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F" w:rsidRDefault="003837FF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3837FF" w:rsidRDefault="003837FF">
      <w:pPr>
        <w:jc w:val="center"/>
        <w:rPr>
          <w:b/>
        </w:rPr>
      </w:pPr>
      <w:r>
        <w:rPr>
          <w:b/>
        </w:rPr>
        <w:t>Federal Communications Commission</w:t>
      </w:r>
    </w:p>
    <w:p w:rsidR="003837FF" w:rsidRDefault="003837FF">
      <w:pPr>
        <w:jc w:val="center"/>
        <w:rPr>
          <w:b/>
        </w:rPr>
      </w:pPr>
      <w:r>
        <w:rPr>
          <w:b/>
        </w:rPr>
        <w:t>Washington, D.C. 20554</w:t>
      </w:r>
    </w:p>
    <w:p w:rsidR="003837FF" w:rsidRDefault="003837FF"/>
    <w:p w:rsidR="003837FF" w:rsidRDefault="003837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3837FF">
        <w:tc>
          <w:tcPr>
            <w:tcW w:w="4698" w:type="dxa"/>
          </w:tcPr>
          <w:p w:rsidR="003837FF" w:rsidRDefault="00AE4EA1">
            <w:pPr>
              <w:ind w:right="-18"/>
            </w:pPr>
            <w:r>
              <w:t>In the M</w:t>
            </w:r>
            <w:r w:rsidR="003837FF">
              <w:t>atter of</w:t>
            </w:r>
          </w:p>
          <w:p w:rsidR="003837FF" w:rsidRDefault="003837FF">
            <w:pPr>
              <w:ind w:right="-18"/>
            </w:pPr>
          </w:p>
          <w:p w:rsidR="00F02481" w:rsidRDefault="00F02481" w:rsidP="00F02481">
            <w:pPr>
              <w:ind w:right="-18"/>
            </w:pPr>
            <w:r>
              <w:t>TREGO/DUGAN AVIATION</w:t>
            </w:r>
            <w:r w:rsidR="00A55C90">
              <w:t xml:space="preserve"> OF GRAND ISLAND, INC.</w:t>
            </w:r>
          </w:p>
          <w:p w:rsidR="00F02481" w:rsidRDefault="00F02481" w:rsidP="00F02481">
            <w:pPr>
              <w:ind w:right="-18"/>
            </w:pPr>
          </w:p>
          <w:p w:rsidR="003837FF" w:rsidRDefault="00F02481" w:rsidP="00F02481">
            <w:pPr>
              <w:ind w:right="-18"/>
            </w:pPr>
            <w:r>
              <w:t>For New Aeronautical Advisory Station at Duluth International Airport, Minnesota</w:t>
            </w:r>
          </w:p>
        </w:tc>
        <w:tc>
          <w:tcPr>
            <w:tcW w:w="720" w:type="dxa"/>
          </w:tcPr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AE4EA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3837FF" w:rsidRDefault="003837FF">
            <w:pPr>
              <w:rPr>
                <w:b/>
              </w:rPr>
            </w:pPr>
          </w:p>
        </w:tc>
        <w:tc>
          <w:tcPr>
            <w:tcW w:w="4230" w:type="dxa"/>
          </w:tcPr>
          <w:p w:rsidR="003837FF" w:rsidRDefault="003837FF"/>
          <w:p w:rsidR="003837FF" w:rsidRDefault="003837FF"/>
          <w:p w:rsidR="003837FF" w:rsidRDefault="00F02481">
            <w:r>
              <w:rPr>
                <w:spacing w:val="-2"/>
              </w:rPr>
              <w:t>FCC File No. 0005249059</w:t>
            </w:r>
          </w:p>
        </w:tc>
      </w:tr>
    </w:tbl>
    <w:p w:rsidR="003837FF" w:rsidRDefault="00C8307E">
      <w:pPr>
        <w:spacing w:before="120"/>
        <w:jc w:val="center"/>
        <w:rPr>
          <w:b/>
        </w:rPr>
      </w:pPr>
      <w:r>
        <w:rPr>
          <w:b/>
          <w:spacing w:val="-2"/>
        </w:rPr>
        <w:t>ORDER</w:t>
      </w:r>
    </w:p>
    <w:p w:rsidR="003837FF" w:rsidRDefault="003837FF"/>
    <w:p w:rsidR="003837FF" w:rsidRDefault="003837FF">
      <w:pPr>
        <w:tabs>
          <w:tab w:val="left" w:pos="5760"/>
        </w:tabs>
        <w:rPr>
          <w:b/>
        </w:rPr>
      </w:pPr>
      <w:r>
        <w:rPr>
          <w:b/>
        </w:rPr>
        <w:t xml:space="preserve">   Adopted:  </w:t>
      </w:r>
      <w:r w:rsidR="000F3A10">
        <w:rPr>
          <w:b/>
          <w:spacing w:val="-2"/>
        </w:rPr>
        <w:t>November 6, 2012</w:t>
      </w:r>
      <w:r>
        <w:rPr>
          <w:b/>
        </w:rPr>
        <w:tab/>
        <w:t xml:space="preserve">Released:  </w:t>
      </w:r>
      <w:r w:rsidR="000F3A10">
        <w:rPr>
          <w:b/>
          <w:spacing w:val="-2"/>
        </w:rPr>
        <w:t>November 7, 2012</w:t>
      </w:r>
    </w:p>
    <w:p w:rsidR="003837FF" w:rsidRDefault="003837FF">
      <w:pPr>
        <w:tabs>
          <w:tab w:val="left" w:pos="5760"/>
        </w:tabs>
        <w:rPr>
          <w:b/>
        </w:rPr>
      </w:pPr>
    </w:p>
    <w:p w:rsidR="003837FF" w:rsidRDefault="003837FF">
      <w:pPr>
        <w:tabs>
          <w:tab w:val="left" w:pos="5760"/>
        </w:tabs>
        <w:rPr>
          <w:spacing w:val="-2"/>
        </w:rPr>
      </w:pPr>
      <w:r>
        <w:t xml:space="preserve">By the </w:t>
      </w:r>
      <w:r w:rsidR="00F02481">
        <w:rPr>
          <w:spacing w:val="-2"/>
        </w:rPr>
        <w:t xml:space="preserve">Deputy Division Chief, Mobility Division, </w:t>
      </w:r>
      <w:r w:rsidR="00F02481" w:rsidRPr="00F02481">
        <w:rPr>
          <w:spacing w:val="-2"/>
        </w:rPr>
        <w:t>Wir</w:t>
      </w:r>
      <w:r w:rsidR="00F02481">
        <w:rPr>
          <w:spacing w:val="-2"/>
        </w:rPr>
        <w:t>eless Telecommunications Bureau</w:t>
      </w:r>
      <w:r>
        <w:rPr>
          <w:spacing w:val="-2"/>
        </w:rPr>
        <w:t>:</w:t>
      </w:r>
    </w:p>
    <w:p w:rsidR="000F3A10" w:rsidRPr="00F02481" w:rsidRDefault="000F3A10">
      <w:pPr>
        <w:tabs>
          <w:tab w:val="left" w:pos="5760"/>
        </w:tabs>
        <w:rPr>
          <w:spacing w:val="-2"/>
        </w:rPr>
      </w:pPr>
    </w:p>
    <w:p w:rsidR="00F02481" w:rsidRPr="00F02481" w:rsidRDefault="00F02481" w:rsidP="00C537FA">
      <w:pPr>
        <w:pStyle w:val="ParaNum"/>
        <w:jc w:val="left"/>
      </w:pPr>
      <w:r w:rsidRPr="00F02481">
        <w:rPr>
          <w:i/>
        </w:rPr>
        <w:t>Introduction</w:t>
      </w:r>
      <w:r w:rsidRPr="00F02481">
        <w:t xml:space="preserve">.  We have before us an application filed by </w:t>
      </w:r>
      <w:r>
        <w:t>Trego/Dugan Aviation</w:t>
      </w:r>
      <w:r w:rsidR="00B972D7">
        <w:t xml:space="preserve"> </w:t>
      </w:r>
      <w:r w:rsidR="00C87389">
        <w:t xml:space="preserve">of Grand Island, Inc. </w:t>
      </w:r>
      <w:r w:rsidR="00B972D7">
        <w:t>(Trego)</w:t>
      </w:r>
      <w:r w:rsidRPr="00F02481">
        <w:rPr>
          <w:vertAlign w:val="superscript"/>
        </w:rPr>
        <w:footnoteReference w:id="2"/>
      </w:r>
      <w:r w:rsidRPr="00F02481">
        <w:t xml:space="preserve"> for a new aeronautical advisory station (unicom) to serve the </w:t>
      </w:r>
      <w:r>
        <w:t>Duluth International A</w:t>
      </w:r>
      <w:r w:rsidRPr="00F02481">
        <w:t>irport</w:t>
      </w:r>
      <w:r w:rsidR="00C537FA">
        <w:t>, and a p</w:t>
      </w:r>
      <w:r w:rsidRPr="00F02481">
        <w:t xml:space="preserve">etition to </w:t>
      </w:r>
      <w:r w:rsidR="00C537FA">
        <w:t>d</w:t>
      </w:r>
      <w:r w:rsidRPr="00F02481">
        <w:t xml:space="preserve">eny the </w:t>
      </w:r>
      <w:r w:rsidR="00C537FA">
        <w:t>a</w:t>
      </w:r>
      <w:r w:rsidRPr="00F02481">
        <w:t xml:space="preserve">pplication filed by </w:t>
      </w:r>
      <w:r>
        <w:t>Monaco Air Duluth</w:t>
      </w:r>
      <w:r w:rsidRPr="00F02481">
        <w:t xml:space="preserve"> </w:t>
      </w:r>
      <w:r w:rsidR="001C61D7">
        <w:t xml:space="preserve">LLC </w:t>
      </w:r>
      <w:r w:rsidRPr="00F02481">
        <w:t>(</w:t>
      </w:r>
      <w:r>
        <w:t>Monaco</w:t>
      </w:r>
      <w:r w:rsidR="00B972D7">
        <w:t>).</w:t>
      </w:r>
      <w:r w:rsidRPr="00F02481">
        <w:rPr>
          <w:vertAlign w:val="superscript"/>
        </w:rPr>
        <w:footnoteReference w:id="3"/>
      </w:r>
      <w:r w:rsidRPr="00F02481">
        <w:t xml:space="preserve"> </w:t>
      </w:r>
      <w:r w:rsidR="00C537FA">
        <w:t xml:space="preserve"> </w:t>
      </w:r>
      <w:r w:rsidRPr="00F02481">
        <w:t xml:space="preserve">For the reasons stated below, we deny the </w:t>
      </w:r>
      <w:r w:rsidR="00C537FA">
        <w:t>p</w:t>
      </w:r>
      <w:r w:rsidRPr="00F02481">
        <w:t xml:space="preserve">etition and </w:t>
      </w:r>
      <w:r w:rsidR="00C537FA">
        <w:t xml:space="preserve">will process </w:t>
      </w:r>
      <w:r w:rsidRPr="00F02481">
        <w:t xml:space="preserve">the </w:t>
      </w:r>
      <w:r w:rsidR="00C537FA">
        <w:t>a</w:t>
      </w:r>
      <w:r w:rsidRPr="00F02481">
        <w:t>pplication.</w:t>
      </w:r>
    </w:p>
    <w:p w:rsidR="00AE4EA1" w:rsidRDefault="00857E00" w:rsidP="00C537FA">
      <w:pPr>
        <w:pStyle w:val="ParaNum"/>
        <w:jc w:val="left"/>
      </w:pPr>
      <w:r>
        <w:rPr>
          <w:i/>
        </w:rPr>
        <w:t>Background</w:t>
      </w:r>
      <w:r w:rsidRPr="00B50576">
        <w:t>.</w:t>
      </w:r>
      <w:r>
        <w:t xml:space="preserve">  </w:t>
      </w:r>
      <w:r w:rsidR="00C537FA" w:rsidRPr="004431C7">
        <w:t>Unicoms are used to provide safety-related and other information to aircraft, primarily general aviation aircraft.</w:t>
      </w:r>
      <w:r w:rsidR="00C537FA" w:rsidRPr="00F02481">
        <w:rPr>
          <w:vertAlign w:val="superscript"/>
        </w:rPr>
        <w:footnoteReference w:id="4"/>
      </w:r>
      <w:r w:rsidR="00C537FA" w:rsidRPr="004431C7">
        <w:t xml:space="preserve">  Unicom transmissions </w:t>
      </w:r>
      <w:r w:rsidR="00AE4EA1">
        <w:t xml:space="preserve">generally </w:t>
      </w:r>
      <w:r w:rsidR="00C537FA" w:rsidRPr="004431C7">
        <w:t xml:space="preserve">are limited to the necessities of safe and expeditious operation of aircraft, </w:t>
      </w:r>
      <w:r w:rsidR="00AE4EA1">
        <w:t xml:space="preserve">such as </w:t>
      </w:r>
      <w:r w:rsidR="00C537FA" w:rsidRPr="004431C7">
        <w:t>types of fuel available, dispatching, and other necessary safety information</w:t>
      </w:r>
      <w:r w:rsidR="00AE4EA1">
        <w:t>, but</w:t>
      </w:r>
      <w:r w:rsidR="00C537FA" w:rsidRPr="004431C7">
        <w:t xml:space="preserve"> unicoms may also transmit, on a secondary basis, information pertaining to the efficient portal-to-portal transit of an aircraft, such as information concerning available ground transportation, food, and lodging.</w:t>
      </w:r>
      <w:r w:rsidR="00AE4EA1">
        <w:rPr>
          <w:rStyle w:val="FootnoteReference"/>
        </w:rPr>
        <w:footnoteReference w:id="5"/>
      </w:r>
      <w:r w:rsidR="00C537FA">
        <w:t xml:space="preserve">  </w:t>
      </w:r>
      <w:r w:rsidR="00AE4EA1">
        <w:t>Unicoms must provide service to any aircraft station upon request and without discrimination, and must provide impartial information concerning available ground services.</w:t>
      </w:r>
      <w:r w:rsidR="00AE4EA1">
        <w:rPr>
          <w:rStyle w:val="FootnoteReference"/>
        </w:rPr>
        <w:footnoteReference w:id="6"/>
      </w:r>
      <w:r w:rsidR="00AE4EA1">
        <w:t xml:space="preserve">  </w:t>
      </w:r>
    </w:p>
    <w:p w:rsidR="00E663FB" w:rsidRDefault="00C537FA" w:rsidP="00E663FB">
      <w:pPr>
        <w:pStyle w:val="ParaNum"/>
        <w:jc w:val="left"/>
      </w:pPr>
      <w:r>
        <w:t xml:space="preserve">Currently, Monaco operates the only </w:t>
      </w:r>
      <w:r w:rsidR="00AE4EA1">
        <w:t>u</w:t>
      </w:r>
      <w:r>
        <w:t xml:space="preserve">nicom at </w:t>
      </w:r>
      <w:r w:rsidR="00857E00">
        <w:t>Duluth International Airport,</w:t>
      </w:r>
      <w:r>
        <w:t xml:space="preserve"> under call sign WQKA265.  Because Duluth International Airport</w:t>
      </w:r>
      <w:r w:rsidR="00857E00">
        <w:t xml:space="preserve"> </w:t>
      </w:r>
      <w:r w:rsidR="002D4840">
        <w:t>operates</w:t>
      </w:r>
      <w:r w:rsidR="00857E00">
        <w:t xml:space="preserve"> a full time FAA control tower</w:t>
      </w:r>
      <w:r>
        <w:t>, however, there is no limit on the number of unicoms that may serve the airport</w:t>
      </w:r>
      <w:r w:rsidR="00857E00">
        <w:t>.</w:t>
      </w:r>
      <w:r>
        <w:rPr>
          <w:rStyle w:val="FootnoteReference"/>
        </w:rPr>
        <w:footnoteReference w:id="7"/>
      </w:r>
      <w:r w:rsidR="00AE4EA1">
        <w:t xml:space="preserve">  The instant a</w:t>
      </w:r>
      <w:r w:rsidR="00857E00">
        <w:t xml:space="preserve">pplication would, if granted, permit another licensed unicom service at </w:t>
      </w:r>
      <w:r w:rsidR="00AE4EA1">
        <w:t>the a</w:t>
      </w:r>
      <w:r w:rsidR="00857E00">
        <w:t xml:space="preserve">irport.  </w:t>
      </w:r>
      <w:r w:rsidR="00AE4EA1">
        <w:t>Monaco argues that the a</w:t>
      </w:r>
      <w:r w:rsidR="006A4F65">
        <w:t>pplication should be denied</w:t>
      </w:r>
      <w:r w:rsidR="00AE4EA1">
        <w:t xml:space="preserve"> because </w:t>
      </w:r>
      <w:r w:rsidR="003837FF">
        <w:t>Trego is not a fixed base operator (FBO)</w:t>
      </w:r>
      <w:r w:rsidR="003837FF">
        <w:rPr>
          <w:rStyle w:val="FootnoteReference"/>
        </w:rPr>
        <w:footnoteReference w:id="8"/>
      </w:r>
      <w:r w:rsidR="003837FF">
        <w:t xml:space="preserve"> and will not use the unicom frequency for its intended purpose of serving any aircraft station upon request but </w:t>
      </w:r>
      <w:r w:rsidR="0086407D">
        <w:t xml:space="preserve">instead </w:t>
      </w:r>
      <w:r w:rsidR="003837FF">
        <w:t xml:space="preserve">intends to use it for ground </w:t>
      </w:r>
      <w:r w:rsidR="003837FF">
        <w:lastRenderedPageBreak/>
        <w:t>handling operations for Allegiant Airlines.</w:t>
      </w:r>
      <w:r w:rsidR="00AE4EA1">
        <w:rPr>
          <w:rStyle w:val="FootnoteReference"/>
        </w:rPr>
        <w:footnoteReference w:id="9"/>
      </w:r>
      <w:r w:rsidR="003837FF">
        <w:t xml:space="preserve">  </w:t>
      </w:r>
    </w:p>
    <w:p w:rsidR="00A779E1" w:rsidRDefault="00E313AA" w:rsidP="00E663FB">
      <w:pPr>
        <w:pStyle w:val="ParaNum"/>
        <w:jc w:val="left"/>
      </w:pPr>
      <w:r w:rsidRPr="00E663FB">
        <w:rPr>
          <w:i/>
        </w:rPr>
        <w:t>Discussion</w:t>
      </w:r>
      <w:r w:rsidRPr="00E313AA">
        <w:t xml:space="preserve">.  </w:t>
      </w:r>
      <w:r w:rsidR="00DD1896">
        <w:t xml:space="preserve">We find </w:t>
      </w:r>
      <w:r w:rsidR="00C420FD" w:rsidRPr="00C420FD">
        <w:t xml:space="preserve">no evidence </w:t>
      </w:r>
      <w:r w:rsidR="00DD1896">
        <w:t xml:space="preserve">to support </w:t>
      </w:r>
      <w:r w:rsidR="00AE4EA1">
        <w:t>Monaco’s</w:t>
      </w:r>
      <w:r w:rsidR="00DD1896">
        <w:t xml:space="preserve"> claim</w:t>
      </w:r>
      <w:r w:rsidR="00AE4EA1">
        <w:t xml:space="preserve"> that Trego is not a FBO and will operate its unicom to communicate only with Allegiant Air</w:t>
      </w:r>
      <w:r w:rsidR="00DD1896">
        <w:t xml:space="preserve">.  </w:t>
      </w:r>
      <w:r w:rsidR="006443DA">
        <w:t>Treg</w:t>
      </w:r>
      <w:r w:rsidR="00AE4EA1">
        <w:t>o</w:t>
      </w:r>
      <w:r w:rsidR="009E21B4">
        <w:t>’s</w:t>
      </w:r>
      <w:r w:rsidR="006443DA">
        <w:t xml:space="preserve"> </w:t>
      </w:r>
      <w:r w:rsidR="00AE4EA1">
        <w:t>a</w:t>
      </w:r>
      <w:r w:rsidR="002C05C6">
        <w:t>pplication indicate</w:t>
      </w:r>
      <w:r w:rsidR="00AE4EA1">
        <w:t>s</w:t>
      </w:r>
      <w:r w:rsidR="002C05C6">
        <w:t xml:space="preserve"> that the </w:t>
      </w:r>
      <w:r w:rsidR="008A7B59">
        <w:t>service</w:t>
      </w:r>
      <w:r w:rsidR="00BB5333">
        <w:t xml:space="preserve"> of the </w:t>
      </w:r>
      <w:r w:rsidR="006443DA" w:rsidRPr="006443DA">
        <w:t xml:space="preserve">station </w:t>
      </w:r>
      <w:r w:rsidR="002C05C6">
        <w:t xml:space="preserve">will </w:t>
      </w:r>
      <w:r w:rsidR="006443DA" w:rsidRPr="006443DA">
        <w:t xml:space="preserve">be available to </w:t>
      </w:r>
      <w:r w:rsidR="002C05C6">
        <w:t>any aircraft desiring use of it.</w:t>
      </w:r>
      <w:r w:rsidR="00CC64CB">
        <w:rPr>
          <w:rStyle w:val="FootnoteReference"/>
        </w:rPr>
        <w:footnoteReference w:id="10"/>
      </w:r>
      <w:r w:rsidR="008A44FF">
        <w:t xml:space="preserve">  </w:t>
      </w:r>
      <w:r w:rsidR="00A12232">
        <w:t xml:space="preserve">Further, we note that Trego </w:t>
      </w:r>
      <w:r w:rsidR="00AE4EA1">
        <w:t xml:space="preserve">is licensed for unicoms at </w:t>
      </w:r>
      <w:r w:rsidR="00E663FB">
        <w:t xml:space="preserve">six </w:t>
      </w:r>
      <w:r w:rsidR="00AE4EA1">
        <w:t>other locations.</w:t>
      </w:r>
      <w:r w:rsidR="00AE4EA1">
        <w:rPr>
          <w:rStyle w:val="FootnoteReference"/>
        </w:rPr>
        <w:footnoteReference w:id="11"/>
      </w:r>
      <w:r w:rsidR="00E663FB">
        <w:t xml:space="preserve">  We conclude that the p</w:t>
      </w:r>
      <w:r w:rsidR="008A44FF">
        <w:t>etition does not provide sufficient informa</w:t>
      </w:r>
      <w:r w:rsidR="00E663FB">
        <w:t>tion to support denying the a</w:t>
      </w:r>
      <w:r w:rsidR="008A44FF">
        <w:t>pplication under our unicom rules and policies.</w:t>
      </w:r>
      <w:r w:rsidR="008964F1">
        <w:rPr>
          <w:rStyle w:val="FootnoteReference"/>
        </w:rPr>
        <w:footnoteReference w:id="12"/>
      </w:r>
      <w:r w:rsidR="008A44FF">
        <w:t xml:space="preserve">  </w:t>
      </w:r>
    </w:p>
    <w:p w:rsidR="0042766E" w:rsidRDefault="0042766E" w:rsidP="00C537FA">
      <w:pPr>
        <w:pStyle w:val="ParaNum"/>
        <w:jc w:val="left"/>
      </w:pPr>
      <w:r w:rsidRPr="002B720D">
        <w:rPr>
          <w:i/>
        </w:rPr>
        <w:t>Conclusion</w:t>
      </w:r>
      <w:r w:rsidR="00E663FB">
        <w:t>.  The p</w:t>
      </w:r>
      <w:r>
        <w:t>etition cite</w:t>
      </w:r>
      <w:r w:rsidR="00E663FB">
        <w:t>s</w:t>
      </w:r>
      <w:r>
        <w:t xml:space="preserve"> no Commission rule or policy that could serve as the basis</w:t>
      </w:r>
      <w:r w:rsidR="00E663FB">
        <w:t xml:space="preserve"> for denying or dismissing </w:t>
      </w:r>
      <w:r w:rsidR="008964F1">
        <w:t>Trego’s</w:t>
      </w:r>
      <w:r w:rsidR="00E663FB">
        <w:t xml:space="preserve"> a</w:t>
      </w:r>
      <w:r>
        <w:t>pplication.  Accord</w:t>
      </w:r>
      <w:r w:rsidR="00813DD4">
        <w:t xml:space="preserve">ingly, </w:t>
      </w:r>
      <w:r w:rsidR="00E663FB">
        <w:t xml:space="preserve">we deny </w:t>
      </w:r>
      <w:r w:rsidR="00813DD4">
        <w:t xml:space="preserve">the </w:t>
      </w:r>
      <w:r w:rsidR="00E663FB">
        <w:t>p</w:t>
      </w:r>
      <w:r w:rsidR="00813DD4">
        <w:t xml:space="preserve">etition </w:t>
      </w:r>
      <w:r w:rsidR="00E663FB">
        <w:t>a</w:t>
      </w:r>
      <w:r w:rsidR="00813DD4">
        <w:t>nd</w:t>
      </w:r>
      <w:r w:rsidR="00E663FB">
        <w:t xml:space="preserve"> will process the application</w:t>
      </w:r>
      <w:r w:rsidR="00813DD4">
        <w:t>.</w:t>
      </w:r>
    </w:p>
    <w:p w:rsidR="00802680" w:rsidRDefault="0042766E" w:rsidP="00C537FA">
      <w:pPr>
        <w:pStyle w:val="ParaNum"/>
        <w:jc w:val="left"/>
      </w:pPr>
      <w:r w:rsidRPr="002B720D">
        <w:t>Accordingly</w:t>
      </w:r>
      <w:r>
        <w:t xml:space="preserve">, IT IS ORDERED pursuant to Sections 4(i) and 303(r) of the Communications Act of 1934, as amended, 47 U.S.C. §§ 154(i), 303(r), and Section 87.215(b) of the Commission’s Rules, 47 C.F.R. § 87.215(b), that the Petition to Deny filed </w:t>
      </w:r>
      <w:r w:rsidR="00270C86">
        <w:t>July 12, 2012</w:t>
      </w:r>
      <w:r>
        <w:t xml:space="preserve"> by </w:t>
      </w:r>
      <w:r w:rsidR="001C61D7">
        <w:t xml:space="preserve">Monaco Air Duluth LLC </w:t>
      </w:r>
      <w:r>
        <w:t>against the captioned application IS DENIED</w:t>
      </w:r>
      <w:r w:rsidR="008964F1">
        <w:t xml:space="preserve">, and </w:t>
      </w:r>
      <w:r w:rsidR="00802680">
        <w:t xml:space="preserve">application FCC File No. </w:t>
      </w:r>
      <w:r w:rsidR="00802680" w:rsidRPr="00802680">
        <w:t>0005249059</w:t>
      </w:r>
      <w:r w:rsidR="00802680">
        <w:t xml:space="preserve"> filed by </w:t>
      </w:r>
      <w:r w:rsidR="00802680" w:rsidRPr="00802680">
        <w:t xml:space="preserve">Trego/Dugan Aviation of Grand Island, Inc. </w:t>
      </w:r>
      <w:r w:rsidR="00802680">
        <w:t>on June 20, 2012 SHALL BE PROCESSED.</w:t>
      </w:r>
    </w:p>
    <w:p w:rsidR="0042766E" w:rsidRDefault="0042766E" w:rsidP="00C537FA">
      <w:pPr>
        <w:pStyle w:val="ParaNum"/>
        <w:jc w:val="left"/>
      </w:pPr>
      <w:r>
        <w:t>This action is taken under delegated authority pursuant to Sections 0.131 and 0.331 of the Commission’s Rules, 47 C.F.R. §§ 0.131, 0.331.</w:t>
      </w:r>
    </w:p>
    <w:p w:rsidR="0042766E" w:rsidRPr="002B720D" w:rsidRDefault="0042766E" w:rsidP="0042766E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42766E" w:rsidRDefault="0042766E" w:rsidP="0042766E"/>
    <w:p w:rsidR="0042766E" w:rsidRDefault="0042766E" w:rsidP="0042766E"/>
    <w:p w:rsidR="0042766E" w:rsidRDefault="0042766E" w:rsidP="0042766E">
      <w:r>
        <w:tab/>
      </w:r>
      <w:r>
        <w:tab/>
      </w:r>
      <w:r>
        <w:tab/>
      </w:r>
      <w:r>
        <w:tab/>
      </w:r>
      <w:r>
        <w:tab/>
      </w:r>
      <w:r>
        <w:tab/>
        <w:t>Scot Stone</w:t>
      </w:r>
    </w:p>
    <w:p w:rsidR="0042766E" w:rsidRDefault="0042766E" w:rsidP="0042766E">
      <w:r>
        <w:tab/>
      </w:r>
      <w:r>
        <w:tab/>
      </w:r>
      <w:r>
        <w:tab/>
      </w:r>
      <w:r>
        <w:tab/>
      </w:r>
      <w:r>
        <w:tab/>
      </w:r>
      <w:r>
        <w:tab/>
        <w:t>Deputy Chief, Mobility Division</w:t>
      </w:r>
    </w:p>
    <w:p w:rsidR="0042766E" w:rsidRPr="00F02481" w:rsidRDefault="0042766E" w:rsidP="0042766E">
      <w:r>
        <w:tab/>
      </w:r>
      <w:r>
        <w:tab/>
      </w:r>
      <w:r>
        <w:tab/>
      </w:r>
      <w:r>
        <w:tab/>
      </w:r>
      <w:r>
        <w:tab/>
      </w:r>
      <w:r>
        <w:tab/>
        <w:t>Wireless Telecommunications Bureau</w:t>
      </w:r>
    </w:p>
    <w:sectPr w:rsidR="0042766E" w:rsidRPr="00F0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9C" w:rsidRDefault="000F509C">
      <w:r>
        <w:separator/>
      </w:r>
    </w:p>
  </w:endnote>
  <w:endnote w:type="continuationSeparator" w:id="0">
    <w:p w:rsidR="000F509C" w:rsidRDefault="000F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4" w:rsidRDefault="00A34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FB" w:rsidRDefault="00E663F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4" w:rsidRDefault="00A34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9C" w:rsidRDefault="000F509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0F509C" w:rsidRDefault="000F509C">
      <w:pPr>
        <w:rPr>
          <w:sz w:val="20"/>
        </w:rPr>
      </w:pPr>
      <w:r>
        <w:rPr>
          <w:sz w:val="20"/>
        </w:rPr>
        <w:separator/>
      </w:r>
    </w:p>
    <w:p w:rsidR="000F509C" w:rsidRDefault="000F509C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0F509C" w:rsidRDefault="000F509C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E663FB" w:rsidRDefault="00E663FB" w:rsidP="00C537F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FCC File No. </w:t>
      </w:r>
      <w:r>
        <w:rPr>
          <w:spacing w:val="-2"/>
        </w:rPr>
        <w:t>0005249059</w:t>
      </w:r>
      <w:r>
        <w:t xml:space="preserve"> (filed June 20, 2012).</w:t>
      </w:r>
    </w:p>
  </w:footnote>
  <w:footnote w:id="3">
    <w:p w:rsidR="00E663FB" w:rsidRDefault="00E663FB" w:rsidP="00C537F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Petition to Deny filed by Michael A. Magni (filed July 12, 2012) (Petition).</w:t>
      </w:r>
    </w:p>
  </w:footnote>
  <w:footnote w:id="4">
    <w:p w:rsidR="00E663FB" w:rsidRDefault="00E663FB" w:rsidP="00C537FA">
      <w:pPr>
        <w:pStyle w:val="FootnoteText"/>
        <w:jc w:val="left"/>
      </w:pPr>
      <w:r>
        <w:rPr>
          <w:rStyle w:val="FootnoteReference"/>
        </w:rPr>
        <w:footnoteRef/>
      </w:r>
      <w:r w:rsidRPr="004431C7">
        <w:t xml:space="preserve">  47 C.F.R. § 87.</w:t>
      </w:r>
      <w:r>
        <w:t>5</w:t>
      </w:r>
      <w:r w:rsidRPr="004431C7">
        <w:t>.</w:t>
      </w:r>
    </w:p>
  </w:footnote>
  <w:footnote w:id="5">
    <w:p w:rsidR="00E663FB" w:rsidRDefault="00E663FB">
      <w:pPr>
        <w:pStyle w:val="FootnoteText"/>
      </w:pPr>
      <w:r>
        <w:rPr>
          <w:rStyle w:val="FootnoteReference"/>
        </w:rPr>
        <w:footnoteRef/>
      </w:r>
      <w:r>
        <w:t xml:space="preserve"> 47 C.F.R. § 87.213(b)</w:t>
      </w:r>
      <w:r w:rsidRPr="004431C7">
        <w:t>.</w:t>
      </w:r>
    </w:p>
  </w:footnote>
  <w:footnote w:id="6">
    <w:p w:rsidR="00E663FB" w:rsidRDefault="00E663FB" w:rsidP="00AE4EA1">
      <w:pPr>
        <w:pStyle w:val="FootnoteText"/>
      </w:pPr>
      <w:r>
        <w:rPr>
          <w:rStyle w:val="FootnoteReference"/>
        </w:rPr>
        <w:footnoteRef/>
      </w:r>
      <w:r>
        <w:t xml:space="preserve"> 47 C.F.R. § 87.213(a)</w:t>
      </w:r>
      <w:r w:rsidRPr="004431C7">
        <w:t>.</w:t>
      </w:r>
    </w:p>
  </w:footnote>
  <w:footnote w:id="7">
    <w:p w:rsidR="00E663FB" w:rsidRDefault="00E663FB">
      <w:pPr>
        <w:pStyle w:val="FootnoteText"/>
      </w:pPr>
      <w:r>
        <w:rPr>
          <w:rStyle w:val="FootnoteReference"/>
        </w:rPr>
        <w:footnoteRef/>
      </w:r>
      <w:r>
        <w:t xml:space="preserve"> 47 C.F.R. § 87.215(b)</w:t>
      </w:r>
      <w:r w:rsidRPr="004431C7">
        <w:t>.</w:t>
      </w:r>
    </w:p>
  </w:footnote>
  <w:footnote w:id="8">
    <w:p w:rsidR="00E663FB" w:rsidRDefault="00E663FB" w:rsidP="00C537F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lang w:val="en"/>
        </w:rPr>
        <w:t>A</w:t>
      </w:r>
      <w:r>
        <w:rPr>
          <w:b/>
          <w:lang w:val="en"/>
        </w:rPr>
        <w:t xml:space="preserve"> </w:t>
      </w:r>
      <w:r>
        <w:rPr>
          <w:lang w:val="en"/>
        </w:rPr>
        <w:t>fixed base operator</w:t>
      </w:r>
      <w:r w:rsidRPr="003837FF">
        <w:rPr>
          <w:lang w:val="en"/>
        </w:rPr>
        <w:t xml:space="preserve"> is a commercial business granted the right by an</w:t>
      </w:r>
      <w:r>
        <w:rPr>
          <w:lang w:val="en"/>
        </w:rPr>
        <w:t xml:space="preserve"> airport </w:t>
      </w:r>
      <w:r w:rsidRPr="003837FF">
        <w:rPr>
          <w:lang w:val="en"/>
        </w:rPr>
        <w:t>to operate on the airport and provide aeronautical services such as fueling, hangaring, tie-down and parking, aircraft rental,</w:t>
      </w:r>
      <w:r>
        <w:rPr>
          <w:lang w:val="en"/>
        </w:rPr>
        <w:t xml:space="preserve"> aircraft maintenance,</w:t>
      </w:r>
      <w:r w:rsidRPr="003837FF">
        <w:rPr>
          <w:lang w:val="en"/>
        </w:rPr>
        <w:t xml:space="preserve"> </w:t>
      </w:r>
      <w:r>
        <w:rPr>
          <w:lang w:val="en"/>
        </w:rPr>
        <w:t>and flight instruction.</w:t>
      </w:r>
    </w:p>
  </w:footnote>
  <w:footnote w:id="9">
    <w:p w:rsidR="00E663FB" w:rsidRPr="00AE4EA1" w:rsidRDefault="00E663FB" w:rsidP="008964F1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Petition at 1.</w:t>
      </w:r>
      <w:r w:rsidR="008964F1">
        <w:t xml:space="preserve">  Monaco states that other scheduled airlines at the airport use unique frequencies for their airline communications.</w:t>
      </w:r>
    </w:p>
  </w:footnote>
  <w:footnote w:id="10">
    <w:p w:rsidR="00E663FB" w:rsidRPr="00CC64CB" w:rsidRDefault="00E663FB" w:rsidP="00C537FA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FCC File No. 0005249059, Schedule G, question 2.</w:t>
      </w:r>
    </w:p>
  </w:footnote>
  <w:footnote w:id="11">
    <w:p w:rsidR="00E663FB" w:rsidRPr="00AE4EA1" w:rsidRDefault="00E663FB" w:rsidP="00E663FB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Call Signs WQMA239, Grand Island, Nebraska; WQMY622, Pueblo, Colorado; WQNA964, Minot, North Dakota; WQOE476, Bismarck, North Dakota; WQOL642, Newport News, Virginia; and WRA8, North Platte, Nebraska.</w:t>
      </w:r>
    </w:p>
  </w:footnote>
  <w:footnote w:id="12">
    <w:p w:rsidR="008964F1" w:rsidRPr="008964F1" w:rsidRDefault="008964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Cf.</w:t>
      </w:r>
      <w:r>
        <w:t xml:space="preserve"> City of Galveston, Texas, </w:t>
      </w:r>
      <w:r>
        <w:rPr>
          <w:i/>
        </w:rPr>
        <w:t>Order</w:t>
      </w:r>
      <w:r>
        <w:t>, 14 FCC Rcd 12274 (WTB PSPWD 1999).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4" w:rsidRDefault="00A34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FB" w:rsidRDefault="00E663F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DA 12-</w:t>
    </w:r>
    <w:r w:rsidR="008A2F13">
      <w:rPr>
        <w:b/>
      </w:rPr>
      <w:t>1783</w:t>
    </w:r>
    <w:r>
      <w:rPr>
        <w:b/>
      </w:rPr>
      <w:t xml:space="preserve"> </w:t>
    </w:r>
  </w:p>
  <w:p w:rsidR="00E663FB" w:rsidRDefault="00516739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E663FB" w:rsidRDefault="00E66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FB" w:rsidRDefault="00E663F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DA 12-</w:t>
    </w:r>
    <w:r w:rsidR="008A2F13">
      <w:rPr>
        <w:b/>
      </w:rPr>
      <w:t>1783</w:t>
    </w:r>
    <w:r>
      <w:rPr>
        <w:b/>
      </w:rPr>
      <w:t xml:space="preserve"> </w:t>
    </w:r>
  </w:p>
  <w:p w:rsidR="00E663FB" w:rsidRDefault="00516739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066EBB"/>
    <w:rsid w:val="000F3A10"/>
    <w:rsid w:val="000F509C"/>
    <w:rsid w:val="00115FF2"/>
    <w:rsid w:val="001A7F68"/>
    <w:rsid w:val="001C61D7"/>
    <w:rsid w:val="00270C86"/>
    <w:rsid w:val="002C05C6"/>
    <w:rsid w:val="002D4840"/>
    <w:rsid w:val="003837FF"/>
    <w:rsid w:val="00426E61"/>
    <w:rsid w:val="0042766E"/>
    <w:rsid w:val="00516739"/>
    <w:rsid w:val="00561D17"/>
    <w:rsid w:val="006157CC"/>
    <w:rsid w:val="006443DA"/>
    <w:rsid w:val="00696F2B"/>
    <w:rsid w:val="006A4F65"/>
    <w:rsid w:val="006E06D1"/>
    <w:rsid w:val="00717935"/>
    <w:rsid w:val="00776D34"/>
    <w:rsid w:val="00802680"/>
    <w:rsid w:val="00813DD4"/>
    <w:rsid w:val="00857E00"/>
    <w:rsid w:val="0086407D"/>
    <w:rsid w:val="008964F1"/>
    <w:rsid w:val="008A2F13"/>
    <w:rsid w:val="008A44FF"/>
    <w:rsid w:val="008A7B59"/>
    <w:rsid w:val="009011E2"/>
    <w:rsid w:val="00911E8B"/>
    <w:rsid w:val="00916657"/>
    <w:rsid w:val="009E21B4"/>
    <w:rsid w:val="00A12232"/>
    <w:rsid w:val="00A34F74"/>
    <w:rsid w:val="00A55C90"/>
    <w:rsid w:val="00A779E1"/>
    <w:rsid w:val="00A955B7"/>
    <w:rsid w:val="00AC6143"/>
    <w:rsid w:val="00AE4EA1"/>
    <w:rsid w:val="00B47FA6"/>
    <w:rsid w:val="00B972D7"/>
    <w:rsid w:val="00BB5333"/>
    <w:rsid w:val="00C0494E"/>
    <w:rsid w:val="00C420FD"/>
    <w:rsid w:val="00C537FA"/>
    <w:rsid w:val="00C80A45"/>
    <w:rsid w:val="00C8307E"/>
    <w:rsid w:val="00C87389"/>
    <w:rsid w:val="00CB3A65"/>
    <w:rsid w:val="00CC64CB"/>
    <w:rsid w:val="00D5535E"/>
    <w:rsid w:val="00DD1896"/>
    <w:rsid w:val="00E21FB2"/>
    <w:rsid w:val="00E313AA"/>
    <w:rsid w:val="00E663FB"/>
    <w:rsid w:val="00E76B1C"/>
    <w:rsid w:val="00EB0656"/>
    <w:rsid w:val="00F02481"/>
    <w:rsid w:val="00F76BCE"/>
    <w:rsid w:val="00FA041A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383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C9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663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383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C9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663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3006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3563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2012-11-07T14:23:00Z</cp:lastPrinted>
  <dcterms:created xsi:type="dcterms:W3CDTF">2012-11-07T14:29:00Z</dcterms:created>
  <dcterms:modified xsi:type="dcterms:W3CDTF">2012-11-07T14:29:00Z</dcterms:modified>
  <cp:category> </cp:category>
  <cp:contentStatus> </cp:contentStatus>
</cp:coreProperties>
</file>