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93" w:rsidRDefault="00381F93">
      <w:pPr>
        <w:jc w:val="center"/>
        <w:rPr>
          <w:b/>
        </w:rPr>
      </w:pPr>
      <w:bookmarkStart w:id="0" w:name="_GoBack"/>
      <w:bookmarkEnd w:id="0"/>
      <w:r>
        <w:rPr>
          <w:b/>
        </w:rPr>
        <w:t>Before the</w:t>
      </w:r>
    </w:p>
    <w:p w:rsidR="00381F93" w:rsidRDefault="00381F93">
      <w:pPr>
        <w:jc w:val="center"/>
        <w:rPr>
          <w:b/>
        </w:rPr>
      </w:pPr>
      <w:r>
        <w:rPr>
          <w:b/>
        </w:rPr>
        <w:t>Federal Communications Commission</w:t>
      </w:r>
    </w:p>
    <w:p w:rsidR="00381F93" w:rsidRDefault="00381F93">
      <w:pPr>
        <w:jc w:val="center"/>
        <w:rPr>
          <w:b/>
        </w:rPr>
      </w:pPr>
      <w:r>
        <w:rPr>
          <w:b/>
        </w:rPr>
        <w:t>Washington, D.C. 20554</w:t>
      </w:r>
    </w:p>
    <w:p w:rsidR="00381F93" w:rsidRDefault="00381F93"/>
    <w:p w:rsidR="00381F93" w:rsidRDefault="00381F93"/>
    <w:tbl>
      <w:tblPr>
        <w:tblW w:w="0" w:type="auto"/>
        <w:tblLayout w:type="fixed"/>
        <w:tblLook w:val="0000" w:firstRow="0" w:lastRow="0" w:firstColumn="0" w:lastColumn="0" w:noHBand="0" w:noVBand="0"/>
      </w:tblPr>
      <w:tblGrid>
        <w:gridCol w:w="4698"/>
        <w:gridCol w:w="720"/>
        <w:gridCol w:w="4230"/>
      </w:tblGrid>
      <w:tr w:rsidR="00381F93" w:rsidTr="000479A0">
        <w:trPr>
          <w:trHeight w:val="1341"/>
        </w:trPr>
        <w:tc>
          <w:tcPr>
            <w:tcW w:w="4698" w:type="dxa"/>
          </w:tcPr>
          <w:p w:rsidR="00381F93" w:rsidRDefault="00381F93">
            <w:pPr>
              <w:ind w:right="-18"/>
            </w:pPr>
            <w:r>
              <w:t xml:space="preserve">In the </w:t>
            </w:r>
            <w:r w:rsidR="00151C26">
              <w:t>M</w:t>
            </w:r>
            <w:r>
              <w:t>atter of</w:t>
            </w:r>
          </w:p>
          <w:p w:rsidR="00381F93" w:rsidRDefault="00381F93">
            <w:pPr>
              <w:ind w:right="-18"/>
            </w:pPr>
          </w:p>
          <w:p w:rsidR="00151C26" w:rsidRDefault="00151C26">
            <w:pPr>
              <w:ind w:right="-18"/>
            </w:pPr>
            <w:r>
              <w:t>RAYMARINE</w:t>
            </w:r>
          </w:p>
          <w:p w:rsidR="00381F93" w:rsidRDefault="00381F93">
            <w:pPr>
              <w:ind w:right="-18"/>
            </w:pPr>
          </w:p>
          <w:p w:rsidR="00381F93" w:rsidRDefault="00381F93">
            <w:pPr>
              <w:ind w:right="-18"/>
            </w:pPr>
            <w:r>
              <w:t>Request for Waiver of Section 80.225(a)</w:t>
            </w:r>
          </w:p>
          <w:p w:rsidR="00381F93" w:rsidRDefault="00381F93">
            <w:pPr>
              <w:ind w:right="-18"/>
            </w:pPr>
          </w:p>
        </w:tc>
        <w:tc>
          <w:tcPr>
            <w:tcW w:w="720" w:type="dxa"/>
          </w:tcPr>
          <w:p w:rsidR="00381F93" w:rsidRDefault="00381F93">
            <w:pPr>
              <w:rPr>
                <w:b/>
              </w:rPr>
            </w:pPr>
            <w:r>
              <w:rPr>
                <w:b/>
              </w:rPr>
              <w:t>)</w:t>
            </w:r>
          </w:p>
          <w:p w:rsidR="00381F93" w:rsidRDefault="00381F93">
            <w:pPr>
              <w:rPr>
                <w:b/>
              </w:rPr>
            </w:pPr>
            <w:r>
              <w:rPr>
                <w:b/>
              </w:rPr>
              <w:t>)</w:t>
            </w:r>
          </w:p>
          <w:p w:rsidR="00381F93" w:rsidRDefault="00381F93">
            <w:pPr>
              <w:rPr>
                <w:b/>
              </w:rPr>
            </w:pPr>
            <w:r>
              <w:rPr>
                <w:b/>
              </w:rPr>
              <w:t>)</w:t>
            </w:r>
          </w:p>
          <w:p w:rsidR="00381F93" w:rsidRDefault="00381F93">
            <w:pPr>
              <w:rPr>
                <w:b/>
              </w:rPr>
            </w:pPr>
            <w:r>
              <w:rPr>
                <w:b/>
              </w:rPr>
              <w:t>)</w:t>
            </w:r>
          </w:p>
          <w:p w:rsidR="00381F93" w:rsidRDefault="00381F93">
            <w:pPr>
              <w:rPr>
                <w:b/>
              </w:rPr>
            </w:pPr>
            <w:r>
              <w:rPr>
                <w:b/>
              </w:rPr>
              <w:t>)</w:t>
            </w:r>
          </w:p>
          <w:p w:rsidR="00381F93" w:rsidRDefault="00381F93" w:rsidP="00381F93">
            <w:pPr>
              <w:rPr>
                <w:b/>
              </w:rPr>
            </w:pPr>
          </w:p>
        </w:tc>
        <w:tc>
          <w:tcPr>
            <w:tcW w:w="4230" w:type="dxa"/>
          </w:tcPr>
          <w:p w:rsidR="00381F93" w:rsidRDefault="00381F93"/>
          <w:p w:rsidR="00381F93" w:rsidRDefault="00381F93"/>
          <w:p w:rsidR="00381F93" w:rsidRDefault="00381F93"/>
        </w:tc>
      </w:tr>
    </w:tbl>
    <w:p w:rsidR="00381F93" w:rsidRDefault="00381F93" w:rsidP="000479A0">
      <w:pPr>
        <w:spacing w:before="120"/>
        <w:jc w:val="center"/>
        <w:rPr>
          <w:b/>
        </w:rPr>
      </w:pPr>
      <w:r>
        <w:rPr>
          <w:b/>
          <w:spacing w:val="-2"/>
        </w:rPr>
        <w:t>ORDER</w:t>
      </w:r>
    </w:p>
    <w:p w:rsidR="00381F93" w:rsidRDefault="00381F93"/>
    <w:p w:rsidR="00381F93" w:rsidRDefault="00381F93">
      <w:pPr>
        <w:tabs>
          <w:tab w:val="left" w:pos="5760"/>
        </w:tabs>
        <w:rPr>
          <w:b/>
        </w:rPr>
      </w:pPr>
      <w:r>
        <w:rPr>
          <w:b/>
        </w:rPr>
        <w:t xml:space="preserve">Adopted:  </w:t>
      </w:r>
      <w:r w:rsidR="00B30719">
        <w:rPr>
          <w:b/>
        </w:rPr>
        <w:t>December</w:t>
      </w:r>
      <w:r w:rsidR="007B7F02">
        <w:rPr>
          <w:b/>
          <w:spacing w:val="-2"/>
        </w:rPr>
        <w:t xml:space="preserve"> 7</w:t>
      </w:r>
      <w:r>
        <w:rPr>
          <w:b/>
          <w:spacing w:val="-2"/>
        </w:rPr>
        <w:t>, 2012</w:t>
      </w:r>
      <w:r>
        <w:rPr>
          <w:b/>
        </w:rPr>
        <w:tab/>
        <w:t xml:space="preserve">Released:  </w:t>
      </w:r>
      <w:r w:rsidR="00B30719">
        <w:rPr>
          <w:b/>
        </w:rPr>
        <w:t>December</w:t>
      </w:r>
      <w:r>
        <w:rPr>
          <w:b/>
          <w:spacing w:val="-2"/>
        </w:rPr>
        <w:t xml:space="preserve"> </w:t>
      </w:r>
      <w:r w:rsidR="007B7F02">
        <w:rPr>
          <w:b/>
          <w:spacing w:val="-2"/>
        </w:rPr>
        <w:t>10</w:t>
      </w:r>
      <w:r>
        <w:rPr>
          <w:b/>
          <w:spacing w:val="-2"/>
        </w:rPr>
        <w:t>, 2012</w:t>
      </w:r>
    </w:p>
    <w:p w:rsidR="00381F93" w:rsidRDefault="00381F93">
      <w:pPr>
        <w:tabs>
          <w:tab w:val="left" w:pos="5760"/>
        </w:tabs>
        <w:rPr>
          <w:b/>
        </w:rPr>
      </w:pPr>
    </w:p>
    <w:p w:rsidR="00381F93" w:rsidRDefault="00381F93" w:rsidP="00381F93">
      <w:pPr>
        <w:tabs>
          <w:tab w:val="right" w:pos="9360"/>
        </w:tabs>
      </w:pPr>
      <w:r>
        <w:t xml:space="preserve">By the </w:t>
      </w:r>
      <w:r>
        <w:rPr>
          <w:spacing w:val="-2"/>
        </w:rPr>
        <w:t>Deputy Chief, Mobility Division, Wireless Telecommunications Bureau:</w:t>
      </w:r>
    </w:p>
    <w:p w:rsidR="00381F93" w:rsidRDefault="00381F93">
      <w:pPr>
        <w:tabs>
          <w:tab w:val="left" w:pos="5760"/>
        </w:tabs>
        <w:rPr>
          <w:b/>
        </w:rPr>
      </w:pPr>
    </w:p>
    <w:p w:rsidR="00151C26" w:rsidRDefault="00654822" w:rsidP="00654822">
      <w:pPr>
        <w:pStyle w:val="ParaNum"/>
        <w:numPr>
          <w:ilvl w:val="0"/>
          <w:numId w:val="23"/>
        </w:numPr>
        <w:tabs>
          <w:tab w:val="num" w:pos="1440"/>
        </w:tabs>
        <w:spacing w:after="120"/>
        <w:ind w:left="0" w:firstLine="720"/>
        <w:jc w:val="left"/>
      </w:pPr>
      <w:r w:rsidRPr="00654822">
        <w:rPr>
          <w:i/>
          <w:szCs w:val="22"/>
        </w:rPr>
        <w:t>Introduction</w:t>
      </w:r>
      <w:r>
        <w:rPr>
          <w:szCs w:val="22"/>
        </w:rPr>
        <w:t xml:space="preserve">.  </w:t>
      </w:r>
      <w:r w:rsidR="0058663C">
        <w:rPr>
          <w:szCs w:val="22"/>
        </w:rPr>
        <w:t xml:space="preserve">This </w:t>
      </w:r>
      <w:r w:rsidR="0058663C" w:rsidRPr="0058663C">
        <w:rPr>
          <w:i/>
          <w:szCs w:val="22"/>
        </w:rPr>
        <w:t>Order</w:t>
      </w:r>
      <w:r w:rsidR="0058663C">
        <w:rPr>
          <w:szCs w:val="22"/>
        </w:rPr>
        <w:t xml:space="preserve"> denies a request for a temporary waiver of Section 80.225(a) of the Commission’s Rules</w:t>
      </w:r>
      <w:r w:rsidR="004D64EC">
        <w:rPr>
          <w:szCs w:val="22"/>
        </w:rPr>
        <w:t>,</w:t>
      </w:r>
      <w:r w:rsidR="00402319">
        <w:rPr>
          <w:rStyle w:val="FootnoteReference"/>
          <w:szCs w:val="22"/>
        </w:rPr>
        <w:footnoteReference w:id="2"/>
      </w:r>
      <w:r w:rsidR="004D64EC">
        <w:rPr>
          <w:szCs w:val="22"/>
        </w:rPr>
        <w:t xml:space="preserve"> </w:t>
      </w:r>
      <w:r w:rsidR="005B18BD">
        <w:rPr>
          <w:szCs w:val="22"/>
        </w:rPr>
        <w:t xml:space="preserve">pursuant to </w:t>
      </w:r>
      <w:r w:rsidR="004D64EC">
        <w:rPr>
          <w:szCs w:val="22"/>
        </w:rPr>
        <w:t>which the manufacture, importation, sale or installation of non-portable marine digital selective calling (DSC) equipment that does not comply with the current International Telecommunication Union (ITU) standard for such equipment</w:t>
      </w:r>
      <w:r w:rsidR="005B18BD">
        <w:rPr>
          <w:szCs w:val="22"/>
        </w:rPr>
        <w:t xml:space="preserve"> will be prohibited after</w:t>
      </w:r>
      <w:r w:rsidR="00402319">
        <w:rPr>
          <w:szCs w:val="22"/>
        </w:rPr>
        <w:t xml:space="preserve"> January 1, 2013</w:t>
      </w:r>
      <w:r w:rsidR="004D64EC">
        <w:rPr>
          <w:szCs w:val="22"/>
        </w:rPr>
        <w:t xml:space="preserve">. </w:t>
      </w:r>
      <w:r w:rsidR="00355F7A">
        <w:rPr>
          <w:szCs w:val="22"/>
        </w:rPr>
        <w:t xml:space="preserve"> Raymarine</w:t>
      </w:r>
      <w:r w:rsidR="005B18BD">
        <w:rPr>
          <w:szCs w:val="22"/>
        </w:rPr>
        <w:t>, a marine electronics manufacturer,</w:t>
      </w:r>
      <w:r w:rsidR="00355F7A">
        <w:rPr>
          <w:szCs w:val="22"/>
        </w:rPr>
        <w:t xml:space="preserve"> seeks a waiver </w:t>
      </w:r>
      <w:r w:rsidR="004D64EC">
        <w:rPr>
          <w:szCs w:val="22"/>
        </w:rPr>
        <w:t>of the rule until July 1, 2013.</w:t>
      </w:r>
      <w:r w:rsidR="004D64EC">
        <w:rPr>
          <w:rStyle w:val="FootnoteReference"/>
          <w:szCs w:val="22"/>
        </w:rPr>
        <w:footnoteReference w:id="3"/>
      </w:r>
      <w:r w:rsidR="004D64EC">
        <w:rPr>
          <w:szCs w:val="22"/>
        </w:rPr>
        <w:t xml:space="preserve"> </w:t>
      </w:r>
      <w:r w:rsidR="00355F7A">
        <w:rPr>
          <w:szCs w:val="22"/>
        </w:rPr>
        <w:t xml:space="preserve"> </w:t>
      </w:r>
      <w:r w:rsidR="004D64EC">
        <w:rPr>
          <w:szCs w:val="22"/>
        </w:rPr>
        <w:t xml:space="preserve">We conclude, for reasons set forth below, that Raymarine has </w:t>
      </w:r>
      <w:r w:rsidR="00FC48DD">
        <w:rPr>
          <w:szCs w:val="22"/>
        </w:rPr>
        <w:t xml:space="preserve">failed to demonstrate adequate </w:t>
      </w:r>
      <w:r w:rsidR="00B0341D">
        <w:rPr>
          <w:szCs w:val="22"/>
        </w:rPr>
        <w:t>justification</w:t>
      </w:r>
      <w:r w:rsidR="00FC48DD">
        <w:rPr>
          <w:szCs w:val="22"/>
        </w:rPr>
        <w:t xml:space="preserve"> for a waiver.</w:t>
      </w:r>
      <w:r w:rsidR="004D64EC">
        <w:rPr>
          <w:szCs w:val="22"/>
        </w:rPr>
        <w:t xml:space="preserve"> </w:t>
      </w:r>
    </w:p>
    <w:p w:rsidR="00654822" w:rsidRPr="001C09A0" w:rsidRDefault="00FC48DD" w:rsidP="001C09A0">
      <w:pPr>
        <w:pStyle w:val="ParaNum"/>
        <w:numPr>
          <w:ilvl w:val="0"/>
          <w:numId w:val="23"/>
        </w:numPr>
        <w:tabs>
          <w:tab w:val="num" w:pos="1440"/>
        </w:tabs>
        <w:spacing w:after="120"/>
        <w:ind w:left="0" w:firstLine="720"/>
        <w:jc w:val="left"/>
      </w:pPr>
      <w:r w:rsidRPr="00FC48DD">
        <w:rPr>
          <w:i/>
        </w:rPr>
        <w:t>Background</w:t>
      </w:r>
      <w:r>
        <w:t xml:space="preserve">.  Section 80.225(a) </w:t>
      </w:r>
      <w:r w:rsidR="005B18BD">
        <w:t>formerly</w:t>
      </w:r>
      <w:r>
        <w:t xml:space="preserve"> mandated that non-portable DSC equipment </w:t>
      </w:r>
      <w:r w:rsidR="005018AC">
        <w:t>had to meet the requirements of</w:t>
      </w:r>
      <w:r>
        <w:t xml:space="preserve"> ITU-R Recomme</w:t>
      </w:r>
      <w:r w:rsidR="005B18BD">
        <w:t>ndation M.493-11</w:t>
      </w:r>
      <w:r w:rsidRPr="005E48EC">
        <w:rPr>
          <w:szCs w:val="22"/>
        </w:rPr>
        <w:t>.</w:t>
      </w:r>
      <w:r w:rsidRPr="005E48EC">
        <w:rPr>
          <w:rStyle w:val="FootnoteReference"/>
          <w:szCs w:val="22"/>
        </w:rPr>
        <w:footnoteReference w:id="4"/>
      </w:r>
      <w:r w:rsidR="005018AC" w:rsidRPr="005E48EC">
        <w:rPr>
          <w:szCs w:val="22"/>
        </w:rPr>
        <w:t xml:space="preserve">  In 2010, in connection with a g</w:t>
      </w:r>
      <w:r w:rsidR="005B18BD">
        <w:rPr>
          <w:szCs w:val="22"/>
        </w:rPr>
        <w:t>eneral updating of the Part 80 r</w:t>
      </w:r>
      <w:r w:rsidR="005018AC" w:rsidRPr="005E48EC">
        <w:rPr>
          <w:szCs w:val="22"/>
        </w:rPr>
        <w:t>ules, the Commission amended Section 80.225(a) by</w:t>
      </w:r>
      <w:r w:rsidR="005E48EC" w:rsidRPr="005E48EC">
        <w:rPr>
          <w:szCs w:val="22"/>
        </w:rPr>
        <w:t xml:space="preserve"> changing</w:t>
      </w:r>
      <w:r w:rsidR="005018AC" w:rsidRPr="005E48EC">
        <w:rPr>
          <w:szCs w:val="22"/>
        </w:rPr>
        <w:t xml:space="preserve"> the referenced ITU standard from ITU-R Recommendation 493-11 to the </w:t>
      </w:r>
      <w:r w:rsidR="005E48EC" w:rsidRPr="005E48EC">
        <w:rPr>
          <w:szCs w:val="22"/>
        </w:rPr>
        <w:t xml:space="preserve">superseding </w:t>
      </w:r>
      <w:r w:rsidR="005018AC" w:rsidRPr="005E48EC">
        <w:rPr>
          <w:szCs w:val="22"/>
        </w:rPr>
        <w:t>ITU-R Recommendation M.493-13</w:t>
      </w:r>
      <w:r w:rsidR="005E48EC" w:rsidRPr="005E48EC">
        <w:rPr>
          <w:szCs w:val="22"/>
        </w:rPr>
        <w:t xml:space="preserve">, in keeping with its stated objective of </w:t>
      </w:r>
      <w:r w:rsidR="005E48EC">
        <w:rPr>
          <w:szCs w:val="22"/>
        </w:rPr>
        <w:t>“</w:t>
      </w:r>
      <w:r w:rsidR="005E48EC" w:rsidRPr="005E48EC">
        <w:rPr>
          <w:color w:val="000000"/>
          <w:szCs w:val="22"/>
        </w:rPr>
        <w:t>maintain</w:t>
      </w:r>
      <w:r w:rsidR="005E48EC">
        <w:rPr>
          <w:color w:val="000000"/>
          <w:szCs w:val="22"/>
        </w:rPr>
        <w:t>[ing]</w:t>
      </w:r>
      <w:r w:rsidR="005E48EC" w:rsidRPr="005E48EC">
        <w:rPr>
          <w:color w:val="000000"/>
          <w:szCs w:val="22"/>
        </w:rPr>
        <w:t xml:space="preserve"> consistency </w:t>
      </w:r>
      <w:r w:rsidR="005E48EC">
        <w:rPr>
          <w:color w:val="000000"/>
          <w:szCs w:val="22"/>
        </w:rPr>
        <w:t xml:space="preserve">with international </w:t>
      </w:r>
      <w:r w:rsidR="005E48EC" w:rsidRPr="005E48EC">
        <w:rPr>
          <w:color w:val="000000"/>
          <w:szCs w:val="22"/>
        </w:rPr>
        <w:t xml:space="preserve">maritime standards to the extent consistent </w:t>
      </w:r>
      <w:r w:rsidR="005E48EC" w:rsidRPr="001C09A0">
        <w:rPr>
          <w:szCs w:val="22"/>
        </w:rPr>
        <w:t>with</w:t>
      </w:r>
      <w:r w:rsidR="005E48EC" w:rsidRPr="005E48EC">
        <w:rPr>
          <w:color w:val="000000"/>
          <w:szCs w:val="22"/>
        </w:rPr>
        <w:t xml:space="preserve"> the United States public interest</w:t>
      </w:r>
      <w:r w:rsidR="005E48EC">
        <w:rPr>
          <w:color w:val="000000"/>
          <w:szCs w:val="22"/>
        </w:rPr>
        <w:t>.”</w:t>
      </w:r>
      <w:r w:rsidR="005E48EC">
        <w:rPr>
          <w:rStyle w:val="FootnoteReference"/>
          <w:color w:val="000000"/>
          <w:szCs w:val="22"/>
        </w:rPr>
        <w:footnoteReference w:id="5"/>
      </w:r>
      <w:r w:rsidR="005E48EC">
        <w:rPr>
          <w:color w:val="000000"/>
          <w:szCs w:val="22"/>
        </w:rPr>
        <w:t xml:space="preserve">  The amended rule, by its terms, </w:t>
      </w:r>
      <w:r w:rsidR="001C09A0">
        <w:rPr>
          <w:color w:val="000000"/>
          <w:szCs w:val="22"/>
        </w:rPr>
        <w:t xml:space="preserve">prohibits the manufacture, importation, sale or installation of non-portable DSC equipment that does not comply with ITU-R </w:t>
      </w:r>
      <w:r w:rsidR="00144071">
        <w:rPr>
          <w:color w:val="000000"/>
          <w:szCs w:val="22"/>
        </w:rPr>
        <w:t>R</w:t>
      </w:r>
      <w:r w:rsidR="001C09A0">
        <w:rPr>
          <w:color w:val="000000"/>
          <w:szCs w:val="22"/>
        </w:rPr>
        <w:t>ecommendation M.493-13</w:t>
      </w:r>
      <w:r w:rsidR="005B18BD">
        <w:rPr>
          <w:color w:val="000000"/>
          <w:szCs w:val="22"/>
        </w:rPr>
        <w:t>, beginning March 25, 2011</w:t>
      </w:r>
      <w:r w:rsidR="001C09A0">
        <w:rPr>
          <w:color w:val="000000"/>
          <w:szCs w:val="22"/>
        </w:rPr>
        <w:t>.</w:t>
      </w:r>
      <w:r w:rsidR="005B18BD">
        <w:rPr>
          <w:rStyle w:val="FootnoteReference"/>
          <w:color w:val="000000"/>
          <w:szCs w:val="22"/>
        </w:rPr>
        <w:footnoteReference w:id="6"/>
      </w:r>
    </w:p>
    <w:p w:rsidR="001C09A0" w:rsidRDefault="0076793C" w:rsidP="006E367D">
      <w:pPr>
        <w:pStyle w:val="ParaNum"/>
        <w:numPr>
          <w:ilvl w:val="0"/>
          <w:numId w:val="23"/>
        </w:numPr>
        <w:tabs>
          <w:tab w:val="num" w:pos="1440"/>
        </w:tabs>
        <w:spacing w:after="120"/>
        <w:ind w:left="0" w:firstLine="720"/>
        <w:jc w:val="left"/>
      </w:pPr>
      <w:r>
        <w:t>This rule amendment</w:t>
      </w:r>
      <w:r w:rsidR="00BD6300">
        <w:t>, which</w:t>
      </w:r>
      <w:r>
        <w:t xml:space="preserve"> was adopted on June 7, 2010, was </w:t>
      </w:r>
      <w:r w:rsidR="00BD6300">
        <w:t>expected</w:t>
      </w:r>
      <w:r>
        <w:t xml:space="preserve"> </w:t>
      </w:r>
      <w:r w:rsidR="00BD6300">
        <w:t>t</w:t>
      </w:r>
      <w:r>
        <w:t xml:space="preserve">o take effect well before March 25, 2011, </w:t>
      </w:r>
      <w:r w:rsidR="00BD6300">
        <w:t>which would give</w:t>
      </w:r>
      <w:r>
        <w:t xml:space="preserve"> manufacturers and retailers of DSC equipment sufficient time to come into compliance with the new standard.  </w:t>
      </w:r>
      <w:r w:rsidR="007E4FEB">
        <w:t>The Federal Register publication of the rule was unexpectedly delayed, h</w:t>
      </w:r>
      <w:r>
        <w:t xml:space="preserve">owever, </w:t>
      </w:r>
      <w:r w:rsidR="00BD6300">
        <w:t>until</w:t>
      </w:r>
      <w:r w:rsidR="007E4FEB">
        <w:t xml:space="preserve"> November 2, 2011, so </w:t>
      </w:r>
      <w:r>
        <w:t xml:space="preserve">the rule amendment did not take effect until </w:t>
      </w:r>
      <w:r>
        <w:lastRenderedPageBreak/>
        <w:t>January 3, 2012.</w:t>
      </w:r>
      <w:r>
        <w:rPr>
          <w:rStyle w:val="FootnoteReference"/>
        </w:rPr>
        <w:footnoteReference w:id="7"/>
      </w:r>
      <w:r>
        <w:t xml:space="preserve">  </w:t>
      </w:r>
      <w:r w:rsidR="009D034A">
        <w:t xml:space="preserve">To relieve </w:t>
      </w:r>
      <w:r w:rsidR="00144071">
        <w:t>manufacturers, importers and vendors of non-portable DSC equipment</w:t>
      </w:r>
      <w:r w:rsidR="009D034A">
        <w:t xml:space="preserve"> from having </w:t>
      </w:r>
      <w:r w:rsidR="00144071">
        <w:t>to come into compliance with the new</w:t>
      </w:r>
      <w:r w:rsidR="00144071" w:rsidRPr="00144071">
        <w:rPr>
          <w:color w:val="000000"/>
          <w:szCs w:val="22"/>
        </w:rPr>
        <w:t xml:space="preserve"> </w:t>
      </w:r>
      <w:r w:rsidR="009D034A">
        <w:t>standard in just two months</w:t>
      </w:r>
      <w:r w:rsidR="00144071">
        <w:t>, the Wireless Telecommunications Bureau</w:t>
      </w:r>
      <w:r w:rsidR="007E4FEB">
        <w:t>’s Mobility Division</w:t>
      </w:r>
      <w:r w:rsidR="00144071">
        <w:t xml:space="preserve"> </w:t>
      </w:r>
      <w:r w:rsidR="008D6DAC">
        <w:t>(</w:t>
      </w:r>
      <w:r w:rsidR="007E4FEB">
        <w:t>Division</w:t>
      </w:r>
      <w:r w:rsidR="008D6DAC">
        <w:t xml:space="preserve">) </w:t>
      </w:r>
      <w:r w:rsidR="00144071">
        <w:t>granted a waiver</w:t>
      </w:r>
      <w:r w:rsidR="009D034A">
        <w:t>, until January 1, 2013,</w:t>
      </w:r>
      <w:r w:rsidR="00144071">
        <w:t xml:space="preserve"> </w:t>
      </w:r>
      <w:r w:rsidR="009D034A">
        <w:t>to</w:t>
      </w:r>
      <w:r w:rsidR="00144071">
        <w:t xml:space="preserve"> allow the continued manufacture,</w:t>
      </w:r>
      <w:r w:rsidR="007E4FEB">
        <w:t xml:space="preserve"> importation,</w:t>
      </w:r>
      <w:r w:rsidR="009D034A">
        <w:t xml:space="preserve"> marketing</w:t>
      </w:r>
      <w:r w:rsidR="00144071">
        <w:t xml:space="preserve"> and installation of existing </w:t>
      </w:r>
      <w:r w:rsidR="00B0341D">
        <w:t>non-</w:t>
      </w:r>
      <w:r w:rsidR="00144071">
        <w:t xml:space="preserve">portable DSC devices that do not comply with the new standard, provided </w:t>
      </w:r>
      <w:r w:rsidR="00B0341D">
        <w:t xml:space="preserve">that </w:t>
      </w:r>
      <w:r w:rsidR="00144071">
        <w:t xml:space="preserve">the devices comply with </w:t>
      </w:r>
      <w:r w:rsidR="00144071">
        <w:rPr>
          <w:color w:val="000000"/>
          <w:szCs w:val="22"/>
        </w:rPr>
        <w:t>ITU-R Recommendation M.493-1</w:t>
      </w:r>
      <w:r w:rsidR="006E367D">
        <w:rPr>
          <w:color w:val="000000"/>
          <w:szCs w:val="22"/>
        </w:rPr>
        <w:t>1</w:t>
      </w:r>
      <w:r w:rsidR="00144071">
        <w:t>.</w:t>
      </w:r>
      <w:r w:rsidR="00144071">
        <w:rPr>
          <w:rStyle w:val="FootnoteReference"/>
        </w:rPr>
        <w:footnoteReference w:id="8"/>
      </w:r>
      <w:r w:rsidR="008D6DAC">
        <w:t xml:space="preserve">  The </w:t>
      </w:r>
      <w:r w:rsidR="007E4FEB">
        <w:t>Division</w:t>
      </w:r>
      <w:r w:rsidR="008D6DAC">
        <w:t xml:space="preserve"> provid</w:t>
      </w:r>
      <w:r w:rsidR="007E4FEB">
        <w:t>ed</w:t>
      </w:r>
      <w:r w:rsidR="008D6DAC">
        <w:t xml:space="preserve"> this temporary relief</w:t>
      </w:r>
      <w:r w:rsidR="006E367D">
        <w:t xml:space="preserve"> </w:t>
      </w:r>
      <w:r w:rsidR="007E4FEB">
        <w:t xml:space="preserve">in order to </w:t>
      </w:r>
      <w:r w:rsidR="006E367D">
        <w:t>“avoid problems of stranded inventory while not unduly delaying the transition to more advanced DSC equipment.”</w:t>
      </w:r>
      <w:r w:rsidR="006E367D">
        <w:rPr>
          <w:rStyle w:val="FootnoteReference"/>
        </w:rPr>
        <w:footnoteReference w:id="9"/>
      </w:r>
    </w:p>
    <w:p w:rsidR="006E367D" w:rsidRPr="001C09A0" w:rsidRDefault="006E367D" w:rsidP="006E367D">
      <w:pPr>
        <w:pStyle w:val="ParaNum"/>
        <w:numPr>
          <w:ilvl w:val="0"/>
          <w:numId w:val="23"/>
        </w:numPr>
        <w:tabs>
          <w:tab w:val="num" w:pos="1440"/>
        </w:tabs>
        <w:spacing w:after="120"/>
        <w:ind w:left="0" w:firstLine="720"/>
        <w:jc w:val="left"/>
      </w:pPr>
      <w:r>
        <w:t xml:space="preserve">Raymarine requests an </w:t>
      </w:r>
      <w:r w:rsidR="009D034A">
        <w:t xml:space="preserve">extension of the </w:t>
      </w:r>
      <w:r w:rsidR="000A30FF">
        <w:t xml:space="preserve">temporary </w:t>
      </w:r>
      <w:r w:rsidR="009D034A">
        <w:t xml:space="preserve">waiver.  </w:t>
      </w:r>
      <w:r w:rsidR="007E4FEB">
        <w:t>It</w:t>
      </w:r>
      <w:r w:rsidR="008C4179">
        <w:t xml:space="preserve"> states that its Ray240 radio cannot be ma</w:t>
      </w:r>
      <w:r w:rsidR="009D034A">
        <w:t>d</w:t>
      </w:r>
      <w:r w:rsidR="008C4179">
        <w:t xml:space="preserve">e compliant with </w:t>
      </w:r>
      <w:r w:rsidR="008C4179">
        <w:rPr>
          <w:color w:val="000000"/>
          <w:szCs w:val="22"/>
        </w:rPr>
        <w:t>ITU-R Recommendation M.493-13, and it has decided to replace this unit in the marketplace.</w:t>
      </w:r>
      <w:r w:rsidR="008C4179">
        <w:rPr>
          <w:rStyle w:val="FootnoteReference"/>
          <w:color w:val="000000"/>
          <w:szCs w:val="22"/>
        </w:rPr>
        <w:footnoteReference w:id="10"/>
      </w:r>
      <w:r w:rsidR="008C4179">
        <w:rPr>
          <w:color w:val="000000"/>
          <w:szCs w:val="22"/>
        </w:rPr>
        <w:t xml:space="preserve">  </w:t>
      </w:r>
      <w:r w:rsidR="00300C9D">
        <w:rPr>
          <w:color w:val="000000"/>
          <w:szCs w:val="22"/>
        </w:rPr>
        <w:t xml:space="preserve">It states that </w:t>
      </w:r>
      <w:r w:rsidR="00C2127D">
        <w:rPr>
          <w:color w:val="000000"/>
          <w:szCs w:val="22"/>
        </w:rPr>
        <w:t xml:space="preserve">it </w:t>
      </w:r>
      <w:r w:rsidR="00300C9D">
        <w:rPr>
          <w:color w:val="000000"/>
          <w:szCs w:val="22"/>
        </w:rPr>
        <w:t>is attempting to introduce the new product before January 1, 2013, but the current forecasted introduction date is in the first quarter of 2013.</w:t>
      </w:r>
      <w:r w:rsidR="00300C9D">
        <w:rPr>
          <w:rStyle w:val="FootnoteReference"/>
          <w:color w:val="000000"/>
          <w:szCs w:val="22"/>
        </w:rPr>
        <w:footnoteReference w:id="11"/>
      </w:r>
      <w:r>
        <w:t xml:space="preserve"> </w:t>
      </w:r>
      <w:r w:rsidR="00300C9D">
        <w:t xml:space="preserve"> Consequently, Raymarine requests a further waiver of Section 80.225(a) until July 1, 2013</w:t>
      </w:r>
      <w:r w:rsidR="000A30FF">
        <w:t>,</w:t>
      </w:r>
      <w:r w:rsidR="00300C9D">
        <w:t xml:space="preserve"> to enable it </w:t>
      </w:r>
      <w:r>
        <w:t>“to honor customer commitments in the marine industry.”</w:t>
      </w:r>
      <w:r>
        <w:rPr>
          <w:rStyle w:val="FootnoteReference"/>
        </w:rPr>
        <w:footnoteReference w:id="12"/>
      </w:r>
      <w:r>
        <w:t xml:space="preserve">  </w:t>
      </w:r>
      <w:r w:rsidR="00300C9D">
        <w:t>It</w:t>
      </w:r>
      <w:r w:rsidR="00EF564F">
        <w:t xml:space="preserve"> asserts that grant of the waiver</w:t>
      </w:r>
      <w:r w:rsidR="00300C9D">
        <w:t xml:space="preserve"> would</w:t>
      </w:r>
      <w:r w:rsidR="00EF564F">
        <w:t xml:space="preserve"> “not undercut the underlying purposes of ensuring safe and reliable DSC calling and compatibility with the Rescue 21 System” and “would have no negative effect on public safety.”</w:t>
      </w:r>
      <w:r w:rsidR="00EF564F">
        <w:rPr>
          <w:rStyle w:val="FootnoteReference"/>
        </w:rPr>
        <w:footnoteReference w:id="13"/>
      </w:r>
    </w:p>
    <w:p w:rsidR="007D4C1B" w:rsidRDefault="00EF564F" w:rsidP="007D4C1B">
      <w:pPr>
        <w:pStyle w:val="ParaNum"/>
        <w:numPr>
          <w:ilvl w:val="0"/>
          <w:numId w:val="23"/>
        </w:numPr>
        <w:tabs>
          <w:tab w:val="num" w:pos="1440"/>
        </w:tabs>
        <w:spacing w:after="120"/>
        <w:ind w:left="0" w:firstLine="720"/>
        <w:jc w:val="left"/>
        <w:rPr>
          <w:szCs w:val="22"/>
        </w:rPr>
      </w:pPr>
      <w:r w:rsidRPr="00EF564F">
        <w:rPr>
          <w:i/>
        </w:rPr>
        <w:t>Discussion</w:t>
      </w:r>
      <w:r>
        <w:t xml:space="preserve">.  </w:t>
      </w:r>
      <w:r w:rsidR="007D4C1B">
        <w:t>Section 1.925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sidR="007D4C1B">
        <w:rPr>
          <w:rStyle w:val="FootnoteReference"/>
        </w:rPr>
        <w:footnoteReference w:id="14"/>
      </w:r>
      <w:r w:rsidR="007D4C1B">
        <w:t xml:space="preserve">  We conclude that </w:t>
      </w:r>
      <w:r w:rsidR="00531D7B">
        <w:t>Raymarine</w:t>
      </w:r>
      <w:r w:rsidR="007D4C1B">
        <w:t xml:space="preserve"> has met neither requirement.</w:t>
      </w:r>
    </w:p>
    <w:p w:rsidR="0019784D" w:rsidRPr="0019784D" w:rsidRDefault="00531D7B" w:rsidP="00DE0931">
      <w:pPr>
        <w:pStyle w:val="ParaNum"/>
        <w:numPr>
          <w:ilvl w:val="0"/>
          <w:numId w:val="23"/>
        </w:numPr>
        <w:tabs>
          <w:tab w:val="num" w:pos="1440"/>
        </w:tabs>
        <w:spacing w:after="120"/>
        <w:ind w:left="0" w:firstLine="720"/>
        <w:jc w:val="left"/>
        <w:rPr>
          <w:szCs w:val="22"/>
        </w:rPr>
      </w:pPr>
      <w:r>
        <w:rPr>
          <w:szCs w:val="22"/>
        </w:rPr>
        <w:t>The purpose of periodically revis</w:t>
      </w:r>
      <w:r w:rsidR="005D771B">
        <w:rPr>
          <w:szCs w:val="22"/>
        </w:rPr>
        <w:t>ing the Part 80 r</w:t>
      </w:r>
      <w:r>
        <w:rPr>
          <w:szCs w:val="22"/>
        </w:rPr>
        <w:t xml:space="preserve">ules to require compliance with the most recently adopted international equipment standards is to promote maritime safety by ensuring that mariners are using </w:t>
      </w:r>
      <w:r w:rsidR="00E94FA1">
        <w:rPr>
          <w:szCs w:val="22"/>
        </w:rPr>
        <w:t>radios</w:t>
      </w:r>
      <w:r w:rsidR="00DE0931">
        <w:rPr>
          <w:szCs w:val="22"/>
        </w:rPr>
        <w:t xml:space="preserve"> </w:t>
      </w:r>
      <w:r>
        <w:rPr>
          <w:szCs w:val="22"/>
        </w:rPr>
        <w:t xml:space="preserve">with up-to-date </w:t>
      </w:r>
      <w:r w:rsidR="00DE0931">
        <w:rPr>
          <w:szCs w:val="22"/>
        </w:rPr>
        <w:t>features, advanced functionality, and international interoperability.</w:t>
      </w:r>
      <w:r w:rsidR="008E2E89">
        <w:rPr>
          <w:rStyle w:val="FootnoteReference"/>
          <w:szCs w:val="22"/>
        </w:rPr>
        <w:footnoteReference w:id="15"/>
      </w:r>
      <w:r w:rsidR="00DE0931">
        <w:rPr>
          <w:szCs w:val="22"/>
        </w:rPr>
        <w:t xml:space="preserve">  Raymarine has not </w:t>
      </w:r>
      <w:r w:rsidR="005D771B">
        <w:rPr>
          <w:szCs w:val="22"/>
        </w:rPr>
        <w:t>explained</w:t>
      </w:r>
      <w:r w:rsidR="00DE0931">
        <w:rPr>
          <w:szCs w:val="22"/>
        </w:rPr>
        <w:t xml:space="preserve"> why prohibiting </w:t>
      </w:r>
      <w:r w:rsidR="005D771B">
        <w:rPr>
          <w:szCs w:val="22"/>
        </w:rPr>
        <w:t xml:space="preserve">the continued manufacture, importation, marketing and sale of </w:t>
      </w:r>
      <w:r w:rsidR="00DE0931">
        <w:rPr>
          <w:szCs w:val="22"/>
        </w:rPr>
        <w:t>device</w:t>
      </w:r>
      <w:r w:rsidR="005D771B">
        <w:rPr>
          <w:szCs w:val="22"/>
        </w:rPr>
        <w:t>s</w:t>
      </w:r>
      <w:r w:rsidR="00DE0931">
        <w:rPr>
          <w:szCs w:val="22"/>
        </w:rPr>
        <w:t xml:space="preserve"> that </w:t>
      </w:r>
      <w:r w:rsidR="005D771B">
        <w:rPr>
          <w:szCs w:val="22"/>
        </w:rPr>
        <w:t>do</w:t>
      </w:r>
      <w:r w:rsidR="00DE0931">
        <w:rPr>
          <w:szCs w:val="22"/>
        </w:rPr>
        <w:t xml:space="preserve"> not compl</w:t>
      </w:r>
      <w:r w:rsidR="005D771B">
        <w:rPr>
          <w:szCs w:val="22"/>
        </w:rPr>
        <w:t>y</w:t>
      </w:r>
      <w:r w:rsidR="00DE0931">
        <w:rPr>
          <w:szCs w:val="22"/>
        </w:rPr>
        <w:t xml:space="preserve"> with </w:t>
      </w:r>
      <w:r w:rsidR="00DE0931">
        <w:rPr>
          <w:color w:val="000000"/>
          <w:szCs w:val="22"/>
        </w:rPr>
        <w:t xml:space="preserve">ITU-R Recommendation M.493-13 would </w:t>
      </w:r>
      <w:r w:rsidR="005D771B">
        <w:rPr>
          <w:color w:val="000000"/>
          <w:szCs w:val="22"/>
        </w:rPr>
        <w:t xml:space="preserve">not </w:t>
      </w:r>
      <w:r w:rsidR="00DE0931">
        <w:rPr>
          <w:color w:val="000000"/>
          <w:szCs w:val="22"/>
        </w:rPr>
        <w:t xml:space="preserve">undermine or frustrate the purpose of Section 80.225(a)(4), and has not demonstrated that granting it a </w:t>
      </w:r>
      <w:r w:rsidR="005D771B">
        <w:rPr>
          <w:color w:val="000000"/>
          <w:szCs w:val="22"/>
        </w:rPr>
        <w:t xml:space="preserve">further </w:t>
      </w:r>
      <w:r w:rsidR="00DE0931">
        <w:rPr>
          <w:color w:val="000000"/>
          <w:szCs w:val="22"/>
        </w:rPr>
        <w:t xml:space="preserve">waiver of that prohibition would serve the public interest.  </w:t>
      </w:r>
    </w:p>
    <w:p w:rsidR="00B14EF3" w:rsidRPr="00B14EF3" w:rsidRDefault="0019784D" w:rsidP="0019784D">
      <w:pPr>
        <w:pStyle w:val="ParaNum"/>
        <w:numPr>
          <w:ilvl w:val="0"/>
          <w:numId w:val="23"/>
        </w:numPr>
        <w:tabs>
          <w:tab w:val="num" w:pos="1440"/>
        </w:tabs>
        <w:spacing w:after="120"/>
        <w:ind w:left="0" w:firstLine="720"/>
        <w:jc w:val="left"/>
        <w:rPr>
          <w:szCs w:val="22"/>
        </w:rPr>
      </w:pPr>
      <w:r w:rsidRPr="002D5AFF">
        <w:rPr>
          <w:szCs w:val="22"/>
        </w:rPr>
        <w:t xml:space="preserve">As noted, </w:t>
      </w:r>
      <w:r w:rsidR="002D5AFF" w:rsidRPr="002D5AFF">
        <w:rPr>
          <w:szCs w:val="22"/>
        </w:rPr>
        <w:t xml:space="preserve">the purpose of the </w:t>
      </w:r>
      <w:r w:rsidR="005D771B">
        <w:rPr>
          <w:szCs w:val="22"/>
        </w:rPr>
        <w:t xml:space="preserve">temporary </w:t>
      </w:r>
      <w:r w:rsidR="002D5AFF" w:rsidRPr="002D5AFF">
        <w:rPr>
          <w:szCs w:val="22"/>
        </w:rPr>
        <w:t xml:space="preserve">waiver granted by the Division </w:t>
      </w:r>
      <w:r w:rsidR="00DE0931" w:rsidRPr="002D5AFF">
        <w:rPr>
          <w:szCs w:val="22"/>
        </w:rPr>
        <w:t xml:space="preserve">was to </w:t>
      </w:r>
      <w:r w:rsidR="002D5AFF" w:rsidRPr="002D5AFF">
        <w:rPr>
          <w:szCs w:val="22"/>
        </w:rPr>
        <w:t xml:space="preserve">relieve </w:t>
      </w:r>
      <w:r w:rsidR="00DE0931" w:rsidRPr="002D5AFF">
        <w:rPr>
          <w:szCs w:val="22"/>
        </w:rPr>
        <w:t xml:space="preserve">manufacturers and vendors from the burden of stranded inventory that might attend what would </w:t>
      </w:r>
      <w:r w:rsidRPr="002D5AFF">
        <w:rPr>
          <w:szCs w:val="22"/>
        </w:rPr>
        <w:t xml:space="preserve">have </w:t>
      </w:r>
      <w:r w:rsidR="00DE0931" w:rsidRPr="002D5AFF">
        <w:rPr>
          <w:szCs w:val="22"/>
        </w:rPr>
        <w:t>be</w:t>
      </w:r>
      <w:r w:rsidRPr="002D5AFF">
        <w:rPr>
          <w:szCs w:val="22"/>
        </w:rPr>
        <w:t>en</w:t>
      </w:r>
      <w:r w:rsidR="00DE0931" w:rsidRPr="002D5AFF">
        <w:rPr>
          <w:szCs w:val="22"/>
        </w:rPr>
        <w:t xml:space="preserve"> a </w:t>
      </w:r>
      <w:r w:rsidR="00300C9D" w:rsidRPr="002D5AFF">
        <w:rPr>
          <w:szCs w:val="22"/>
        </w:rPr>
        <w:t>very rapid</w:t>
      </w:r>
      <w:r w:rsidR="00DE0931" w:rsidRPr="002D5AFF">
        <w:rPr>
          <w:szCs w:val="22"/>
        </w:rPr>
        <w:t xml:space="preserve"> transition to a new equipment standard</w:t>
      </w:r>
      <w:r w:rsidRPr="002D5AFF">
        <w:rPr>
          <w:szCs w:val="22"/>
        </w:rPr>
        <w:t>.</w:t>
      </w:r>
      <w:r>
        <w:rPr>
          <w:rStyle w:val="FootnoteReference"/>
          <w:szCs w:val="22"/>
        </w:rPr>
        <w:footnoteReference w:id="16"/>
      </w:r>
      <w:r w:rsidR="00DE0931" w:rsidRPr="002D5AFF">
        <w:rPr>
          <w:szCs w:val="22"/>
        </w:rPr>
        <w:t xml:space="preserve">  </w:t>
      </w:r>
      <w:r w:rsidR="00531D7B" w:rsidRPr="002D5AFF">
        <w:rPr>
          <w:szCs w:val="22"/>
        </w:rPr>
        <w:t xml:space="preserve"> </w:t>
      </w:r>
      <w:r w:rsidR="002D5AFF" w:rsidRPr="002D5AFF">
        <w:rPr>
          <w:szCs w:val="22"/>
        </w:rPr>
        <w:t xml:space="preserve">The waiver </w:t>
      </w:r>
      <w:r w:rsidRPr="002D5AFF">
        <w:rPr>
          <w:szCs w:val="22"/>
        </w:rPr>
        <w:t xml:space="preserve">was intended to permit them </w:t>
      </w:r>
      <w:r w:rsidR="00961D84" w:rsidRPr="002D5AFF">
        <w:rPr>
          <w:szCs w:val="22"/>
        </w:rPr>
        <w:t xml:space="preserve">to </w:t>
      </w:r>
      <w:r w:rsidRPr="002D5AFF">
        <w:rPr>
          <w:szCs w:val="22"/>
        </w:rPr>
        <w:t>continue to manufacture, import, sell and install existing devices already in production or in the distribution pipeline</w:t>
      </w:r>
      <w:r w:rsidR="002D5AFF" w:rsidRPr="002D5AFF">
        <w:rPr>
          <w:szCs w:val="22"/>
        </w:rPr>
        <w:t xml:space="preserve"> while they developed and distributed equipment that complies with the new standard</w:t>
      </w:r>
      <w:r w:rsidRPr="002D5AFF">
        <w:rPr>
          <w:szCs w:val="22"/>
        </w:rPr>
        <w:t xml:space="preserve">.  </w:t>
      </w:r>
      <w:r w:rsidR="002D5AFF" w:rsidRPr="002D5AFF">
        <w:rPr>
          <w:color w:val="000000"/>
          <w:szCs w:val="22"/>
        </w:rPr>
        <w:t>Like other manufacturers, Raymarine has had notice since 2010, when the amendment to Section 80.225(a) was adopted, that the Commission w</w:t>
      </w:r>
      <w:r w:rsidR="005D771B">
        <w:rPr>
          <w:color w:val="000000"/>
          <w:szCs w:val="22"/>
        </w:rPr>
        <w:t>ould</w:t>
      </w:r>
      <w:r w:rsidR="002D5AFF" w:rsidRPr="002D5AFF">
        <w:rPr>
          <w:color w:val="000000"/>
          <w:szCs w:val="22"/>
        </w:rPr>
        <w:t xml:space="preserve"> require compliance with ITU-R Recommendation M.493-13 sixty days after Federal Register publication of the amendment, and was then given the opportunity, by virtue of the </w:t>
      </w:r>
      <w:r w:rsidR="005D771B">
        <w:rPr>
          <w:color w:val="000000"/>
          <w:szCs w:val="22"/>
        </w:rPr>
        <w:t>Division</w:t>
      </w:r>
      <w:r w:rsidR="002D5AFF" w:rsidRPr="002D5AFF">
        <w:rPr>
          <w:color w:val="000000"/>
          <w:szCs w:val="22"/>
        </w:rPr>
        <w:t xml:space="preserve">’s waiver, to continue to make and market non-compliant equipment for a year after that effective date. </w:t>
      </w:r>
      <w:r w:rsidR="002D5AFF">
        <w:t xml:space="preserve"> </w:t>
      </w:r>
      <w:r w:rsidR="00B14EF3" w:rsidRPr="002D5AFF">
        <w:rPr>
          <w:szCs w:val="22"/>
        </w:rPr>
        <w:t>No party</w:t>
      </w:r>
      <w:r w:rsidR="00B14EF3">
        <w:rPr>
          <w:szCs w:val="22"/>
        </w:rPr>
        <w:t xml:space="preserve"> other than Raymarine</w:t>
      </w:r>
      <w:r w:rsidR="00B14EF3" w:rsidRPr="002D5AFF">
        <w:rPr>
          <w:szCs w:val="22"/>
        </w:rPr>
        <w:t xml:space="preserve"> has requested additional </w:t>
      </w:r>
      <w:r w:rsidR="00B14EF3">
        <w:rPr>
          <w:szCs w:val="22"/>
        </w:rPr>
        <w:t xml:space="preserve">waiver </w:t>
      </w:r>
      <w:r w:rsidR="00B14EF3" w:rsidRPr="002D5AFF">
        <w:rPr>
          <w:szCs w:val="22"/>
        </w:rPr>
        <w:t xml:space="preserve">relief.  </w:t>
      </w:r>
      <w:r w:rsidR="00B14EF3">
        <w:rPr>
          <w:szCs w:val="22"/>
        </w:rPr>
        <w:t>Consequently, w</w:t>
      </w:r>
      <w:r w:rsidR="00B14EF3" w:rsidRPr="002D5AFF">
        <w:rPr>
          <w:szCs w:val="22"/>
        </w:rPr>
        <w:t xml:space="preserve">e conclude that the Division’s waiver provided an appropriate period for interested parties to cease manufacturing, importing, selling and installing </w:t>
      </w:r>
      <w:r w:rsidR="00B14EF3">
        <w:t xml:space="preserve">non-portable DSC equipment that does not comply with </w:t>
      </w:r>
      <w:r w:rsidR="00B14EF3" w:rsidRPr="002D5AFF">
        <w:rPr>
          <w:color w:val="000000"/>
          <w:szCs w:val="22"/>
        </w:rPr>
        <w:t>ITU-R Recommendation M.493-13</w:t>
      </w:r>
      <w:r w:rsidR="00B14EF3">
        <w:rPr>
          <w:color w:val="000000"/>
          <w:szCs w:val="22"/>
        </w:rPr>
        <w:t xml:space="preserve">.  </w:t>
      </w:r>
    </w:p>
    <w:p w:rsidR="0019784D" w:rsidRPr="002D5AFF" w:rsidRDefault="002D5AFF" w:rsidP="0019784D">
      <w:pPr>
        <w:pStyle w:val="ParaNum"/>
        <w:numPr>
          <w:ilvl w:val="0"/>
          <w:numId w:val="23"/>
        </w:numPr>
        <w:tabs>
          <w:tab w:val="num" w:pos="1440"/>
        </w:tabs>
        <w:spacing w:after="120"/>
        <w:ind w:left="0" w:firstLine="720"/>
        <w:jc w:val="left"/>
        <w:rPr>
          <w:szCs w:val="22"/>
        </w:rPr>
      </w:pPr>
      <w:r w:rsidRPr="002D5AFF">
        <w:rPr>
          <w:color w:val="000000"/>
          <w:szCs w:val="22"/>
        </w:rPr>
        <w:t xml:space="preserve">Raymarine has not explained why it cannot replace the Ray240 radio with a device that is compliant with ITU-R Recommendation M.493-13, or why Raymarine is unable to honor its customer commitments through devices that comply with the new standard.  Nor has Raymarine attempted to explain why it would be uniquely burdened by the need to comply with amended Section 80.225(a) by January 1, 2013.  </w:t>
      </w:r>
      <w:r w:rsidR="00B14EF3">
        <w:rPr>
          <w:color w:val="000000"/>
          <w:szCs w:val="22"/>
        </w:rPr>
        <w:t xml:space="preserve">Thus, </w:t>
      </w:r>
      <w:r w:rsidR="0019784D" w:rsidRPr="002D5AFF">
        <w:rPr>
          <w:color w:val="000000"/>
          <w:szCs w:val="22"/>
        </w:rPr>
        <w:t xml:space="preserve">Raymarine has failed to demonstrate that, </w:t>
      </w:r>
      <w:r w:rsidR="0019784D">
        <w:t xml:space="preserve">in light of unique or unusual circumstances, application of the rule </w:t>
      </w:r>
      <w:r w:rsidR="00C96F3D">
        <w:t xml:space="preserve">to it </w:t>
      </w:r>
      <w:r w:rsidR="0019784D">
        <w:t xml:space="preserve">would be inequitable, unduly burdensome, or contrary to the public interest, or that it has no reasonable alternative.  </w:t>
      </w:r>
    </w:p>
    <w:p w:rsidR="007D4C1B" w:rsidRPr="00A41EFE" w:rsidRDefault="007D4C1B" w:rsidP="007D4C1B">
      <w:pPr>
        <w:pStyle w:val="ParaNum"/>
        <w:numPr>
          <w:ilvl w:val="0"/>
          <w:numId w:val="23"/>
        </w:numPr>
        <w:tabs>
          <w:tab w:val="num" w:pos="1440"/>
        </w:tabs>
        <w:spacing w:after="120"/>
        <w:ind w:left="0" w:firstLine="720"/>
        <w:jc w:val="left"/>
        <w:rPr>
          <w:sz w:val="23"/>
          <w:szCs w:val="23"/>
        </w:rPr>
      </w:pPr>
      <w:r>
        <w:rPr>
          <w:i/>
        </w:rPr>
        <w:t xml:space="preserve">Conclusion.  </w:t>
      </w:r>
      <w:r w:rsidR="00A41EFE">
        <w:t xml:space="preserve">Raymarine has failed to adequately explain why it needs a waiver of greater duration than the waiver </w:t>
      </w:r>
      <w:r w:rsidR="00E94FA1">
        <w:t xml:space="preserve">of Section 80.225(a) </w:t>
      </w:r>
      <w:r w:rsidR="00A41EFE">
        <w:t xml:space="preserve">already granted by the </w:t>
      </w:r>
      <w:r w:rsidR="002D5AFF">
        <w:t>Division</w:t>
      </w:r>
      <w:r w:rsidR="00A41EFE">
        <w:t xml:space="preserve"> to provide relief to manufacturers and vendors of non-portable DSC equipment.</w:t>
      </w:r>
      <w:r w:rsidR="00E94FA1">
        <w:t xml:space="preserve">  </w:t>
      </w:r>
      <w:r w:rsidR="002D5AFF">
        <w:t xml:space="preserve">Nor has it demonstrated that an additional waiver </w:t>
      </w:r>
      <w:r w:rsidR="002D5AFF">
        <w:rPr>
          <w:color w:val="000000"/>
          <w:szCs w:val="22"/>
        </w:rPr>
        <w:t>would serve the public interest, and not undermine or frustrate the purpose of Section 80.225(a)(4).</w:t>
      </w:r>
      <w:r w:rsidR="00B14EF3">
        <w:rPr>
          <w:color w:val="000000"/>
          <w:szCs w:val="22"/>
        </w:rPr>
        <w:t xml:space="preserve">  </w:t>
      </w:r>
      <w:r w:rsidR="00B14EF3">
        <w:t>We therefore deny the waiver request.</w:t>
      </w:r>
    </w:p>
    <w:p w:rsidR="007D4C1B" w:rsidRDefault="007D4C1B" w:rsidP="007D4C1B">
      <w:pPr>
        <w:pStyle w:val="ParaNum"/>
        <w:numPr>
          <w:ilvl w:val="0"/>
          <w:numId w:val="23"/>
        </w:numPr>
        <w:tabs>
          <w:tab w:val="num" w:pos="1440"/>
        </w:tabs>
        <w:spacing w:after="120"/>
        <w:ind w:left="0" w:firstLine="720"/>
        <w:jc w:val="left"/>
      </w:pPr>
      <w:r>
        <w:t xml:space="preserve">Accordingly, IT IS ORDERED, pursuant to Sections 4(i) and 303(i) of the Communications Act of 1934, as amended, 47 U.S.C. §§ 154(i), 303(i), and Section 1.925 of the Commission's Rules, 47 C.F.R. § 1.925, that the waiver request filed by </w:t>
      </w:r>
      <w:r w:rsidR="00E94FA1">
        <w:t>Raymarine</w:t>
      </w:r>
      <w:r>
        <w:t xml:space="preserve"> on July </w:t>
      </w:r>
      <w:r w:rsidR="00E94FA1">
        <w:t>11</w:t>
      </w:r>
      <w:r>
        <w:t>, 201</w:t>
      </w:r>
      <w:r w:rsidR="00E94FA1">
        <w:t>2</w:t>
      </w:r>
      <w:r>
        <w:t xml:space="preserve"> IS DENIED.  </w:t>
      </w:r>
    </w:p>
    <w:p w:rsidR="007D4C1B" w:rsidRDefault="007D4C1B" w:rsidP="007D4C1B">
      <w:pPr>
        <w:pStyle w:val="ParaNum"/>
        <w:numPr>
          <w:ilvl w:val="0"/>
          <w:numId w:val="23"/>
        </w:numPr>
        <w:tabs>
          <w:tab w:val="num" w:pos="1440"/>
        </w:tabs>
        <w:spacing w:after="120"/>
        <w:ind w:left="0" w:firstLine="720"/>
        <w:jc w:val="left"/>
      </w:pPr>
      <w:r>
        <w:t xml:space="preserve">This action is taken under delegated authority pursuant to Sections 0.131 and 0.331 of the Commission's Rules, 47 C.F.R. §§ 0.131, 0.331.  </w:t>
      </w:r>
    </w:p>
    <w:p w:rsidR="007D4C1B" w:rsidRDefault="007D4C1B" w:rsidP="007D4C1B">
      <w:pPr>
        <w:keepNext/>
        <w:keepLines/>
        <w:tabs>
          <w:tab w:val="left" w:pos="-1440"/>
          <w:tab w:val="left" w:pos="-720"/>
        </w:tabs>
        <w:suppressAutoHyphens/>
        <w:spacing w:line="227" w:lineRule="auto"/>
        <w:outlineLvl w:val="0"/>
        <w:rPr>
          <w:spacing w:val="-2"/>
        </w:rPr>
      </w:pPr>
      <w:r>
        <w:rPr>
          <w:spacing w:val="-2"/>
        </w:rPr>
        <w:tab/>
      </w:r>
      <w:r>
        <w:rPr>
          <w:spacing w:val="-2"/>
        </w:rPr>
        <w:tab/>
      </w:r>
      <w:r>
        <w:rPr>
          <w:spacing w:val="-2"/>
        </w:rPr>
        <w:tab/>
      </w:r>
      <w:r>
        <w:rPr>
          <w:spacing w:val="-2"/>
        </w:rPr>
        <w:tab/>
      </w:r>
      <w:r>
        <w:rPr>
          <w:spacing w:val="-2"/>
        </w:rPr>
        <w:tab/>
      </w:r>
      <w:r>
        <w:rPr>
          <w:spacing w:val="-2"/>
        </w:rPr>
        <w:tab/>
        <w:t>FEDERAL COMMUNICATIONS COMMISSION</w:t>
      </w:r>
    </w:p>
    <w:p w:rsidR="007D4C1B" w:rsidRDefault="007D4C1B" w:rsidP="007D4C1B">
      <w:pPr>
        <w:keepNext/>
        <w:keepLines/>
        <w:tabs>
          <w:tab w:val="left" w:pos="-1440"/>
          <w:tab w:val="left" w:pos="-720"/>
        </w:tabs>
        <w:suppressAutoHyphens/>
        <w:spacing w:line="227" w:lineRule="auto"/>
        <w:rPr>
          <w:spacing w:val="-2"/>
        </w:rPr>
      </w:pPr>
    </w:p>
    <w:p w:rsidR="007D4C1B" w:rsidRDefault="007D4C1B" w:rsidP="007D4C1B">
      <w:pPr>
        <w:keepNext/>
        <w:keepLines/>
        <w:tabs>
          <w:tab w:val="left" w:pos="-1440"/>
          <w:tab w:val="left" w:pos="-720"/>
        </w:tabs>
        <w:suppressAutoHyphens/>
        <w:spacing w:line="227" w:lineRule="auto"/>
        <w:rPr>
          <w:spacing w:val="-2"/>
        </w:rPr>
      </w:pPr>
    </w:p>
    <w:p w:rsidR="007D4C1B" w:rsidRDefault="007D4C1B" w:rsidP="007D4C1B">
      <w:pPr>
        <w:keepNext/>
        <w:keepLines/>
        <w:tabs>
          <w:tab w:val="left" w:pos="-1440"/>
          <w:tab w:val="left" w:pos="-720"/>
        </w:tabs>
        <w:suppressAutoHyphens/>
        <w:spacing w:line="227" w:lineRule="auto"/>
        <w:rPr>
          <w:spacing w:val="-2"/>
        </w:rPr>
      </w:pPr>
    </w:p>
    <w:p w:rsidR="007D4C1B" w:rsidRDefault="007D4C1B" w:rsidP="007D4C1B">
      <w:pPr>
        <w:keepNext/>
        <w:keepLines/>
        <w:tabs>
          <w:tab w:val="left" w:pos="-1440"/>
          <w:tab w:val="left" w:pos="-720"/>
        </w:tabs>
        <w:suppressAutoHyphens/>
        <w:spacing w:line="227" w:lineRule="auto"/>
        <w:rPr>
          <w:spacing w:val="-2"/>
        </w:rPr>
      </w:pPr>
    </w:p>
    <w:p w:rsidR="007D4C1B" w:rsidRDefault="007D4C1B" w:rsidP="007D4C1B">
      <w:pPr>
        <w:keepNext/>
        <w:keepLines/>
        <w:tabs>
          <w:tab w:val="left" w:pos="-1440"/>
          <w:tab w:val="left" w:pos="-720"/>
        </w:tabs>
        <w:suppressAutoHyphens/>
        <w:spacing w:line="227" w:lineRule="auto"/>
        <w:outlineLvl w:val="0"/>
        <w:rPr>
          <w:caps/>
        </w:rPr>
      </w:pPr>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t>Wireless Telecommunications Bureau</w:t>
      </w:r>
    </w:p>
    <w:p w:rsidR="001C09A0" w:rsidRDefault="001C09A0" w:rsidP="001C09A0"/>
    <w:sectPr w:rsidR="001C0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46" w:rsidRDefault="00D50B46">
      <w:r>
        <w:separator/>
      </w:r>
    </w:p>
  </w:endnote>
  <w:endnote w:type="continuationSeparator" w:id="0">
    <w:p w:rsidR="00D50B46" w:rsidRDefault="00D5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F7" w:rsidRDefault="00DE7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F3" w:rsidRDefault="00B14EF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F7" w:rsidRDefault="00DE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46" w:rsidRDefault="00D50B46">
      <w:pPr>
        <w:rPr>
          <w:sz w:val="20"/>
        </w:rPr>
      </w:pPr>
      <w:r>
        <w:rPr>
          <w:sz w:val="20"/>
        </w:rPr>
        <w:separator/>
      </w:r>
    </w:p>
  </w:footnote>
  <w:footnote w:type="continuationSeparator" w:id="0">
    <w:p w:rsidR="00D50B46" w:rsidRDefault="00D50B46">
      <w:pPr>
        <w:rPr>
          <w:sz w:val="20"/>
        </w:rPr>
      </w:pPr>
      <w:r>
        <w:rPr>
          <w:sz w:val="20"/>
        </w:rPr>
        <w:separator/>
      </w:r>
    </w:p>
    <w:p w:rsidR="00D50B46" w:rsidRDefault="00D50B46">
      <w:pPr>
        <w:rPr>
          <w:sz w:val="20"/>
        </w:rPr>
      </w:pPr>
      <w:r>
        <w:rPr>
          <w:sz w:val="20"/>
        </w:rPr>
        <w:t>(...continued from previous page)</w:t>
      </w:r>
    </w:p>
  </w:footnote>
  <w:footnote w:type="continuationNotice" w:id="1">
    <w:p w:rsidR="00D50B46" w:rsidRDefault="00D50B46">
      <w:pPr>
        <w:jc w:val="right"/>
        <w:rPr>
          <w:sz w:val="20"/>
        </w:rPr>
      </w:pPr>
      <w:r>
        <w:rPr>
          <w:sz w:val="20"/>
        </w:rPr>
        <w:t>(continued....)</w:t>
      </w:r>
    </w:p>
  </w:footnote>
  <w:footnote w:id="2">
    <w:p w:rsidR="00B14EF3" w:rsidRDefault="00B14EF3" w:rsidP="009D034A">
      <w:pPr>
        <w:pStyle w:val="FootnoteText"/>
        <w:jc w:val="left"/>
      </w:pPr>
      <w:r>
        <w:rPr>
          <w:rStyle w:val="FootnoteReference"/>
        </w:rPr>
        <w:footnoteRef/>
      </w:r>
      <w:r>
        <w:t xml:space="preserve"> 47 C.F.R. § 80.225(a).  </w:t>
      </w:r>
    </w:p>
  </w:footnote>
  <w:footnote w:id="3">
    <w:p w:rsidR="00B14EF3" w:rsidRDefault="00B14EF3" w:rsidP="009D034A">
      <w:pPr>
        <w:pStyle w:val="FootnoteText"/>
        <w:jc w:val="left"/>
      </w:pPr>
      <w:r>
        <w:rPr>
          <w:rStyle w:val="FootnoteReference"/>
        </w:rPr>
        <w:footnoteRef/>
      </w:r>
      <w:r>
        <w:t xml:space="preserve"> </w:t>
      </w:r>
      <w:r w:rsidRPr="004D64EC">
        <w:rPr>
          <w:i/>
        </w:rPr>
        <w:t>See</w:t>
      </w:r>
      <w:r>
        <w:t xml:space="preserve"> Letter dated July 11, 2012, from Tom Surran, General Manager, Raymarine, to Ghassan Khalek, Mobility Division, Wireless Telecommunication Bureau (Request).</w:t>
      </w:r>
    </w:p>
  </w:footnote>
  <w:footnote w:id="4">
    <w:p w:rsidR="00B14EF3" w:rsidRDefault="00B14EF3" w:rsidP="009D034A">
      <w:pPr>
        <w:pStyle w:val="FootnoteText"/>
        <w:jc w:val="left"/>
      </w:pPr>
      <w:r>
        <w:rPr>
          <w:rStyle w:val="FootnoteReference"/>
        </w:rPr>
        <w:footnoteRef/>
      </w:r>
      <w:r>
        <w:t xml:space="preserve"> </w:t>
      </w:r>
      <w:r w:rsidRPr="00FC48DD">
        <w:rPr>
          <w:i/>
        </w:rPr>
        <w:t>See</w:t>
      </w:r>
      <w:r>
        <w:t xml:space="preserve"> 47 C.F.R. § 80.225(a) (2010).</w:t>
      </w:r>
    </w:p>
  </w:footnote>
  <w:footnote w:id="5">
    <w:p w:rsidR="00B14EF3" w:rsidRDefault="00B14EF3" w:rsidP="009D034A">
      <w:pPr>
        <w:pStyle w:val="FootnoteText"/>
        <w:jc w:val="left"/>
      </w:pPr>
      <w:r>
        <w:rPr>
          <w:rStyle w:val="FootnoteReference"/>
        </w:rPr>
        <w:footnoteRef/>
      </w:r>
      <w:r>
        <w:t xml:space="preserve"> </w:t>
      </w:r>
      <w:r w:rsidRPr="007E4FEB">
        <w:rPr>
          <w:i/>
        </w:rPr>
        <w:t>See</w:t>
      </w:r>
      <w:r>
        <w:t xml:space="preserve"> Amendment of Parts 13 and 80 of the Commission’s Rules Concerning Maritime Communications, </w:t>
      </w:r>
      <w:r w:rsidRPr="0076793C">
        <w:rPr>
          <w:i/>
        </w:rPr>
        <w:t>Fourth Report and Order and Second Memorandum Opinion and Order</w:t>
      </w:r>
      <w:r>
        <w:t>, WT Docket No. 00-48, 25 FCC Rcd 7781, 7782   ¶ 1 (2010) (</w:t>
      </w:r>
      <w:r w:rsidRPr="0076793C">
        <w:rPr>
          <w:i/>
        </w:rPr>
        <w:t>Fourth Report and Order</w:t>
      </w:r>
      <w:r>
        <w:t xml:space="preserve">) (internal quotation marks omitted).  Section 80.225(a)(4) prohibits equipment that is not compliant with standards referenced in Section 80.225(a)(2).  The updating was effectuated by amending Section 80.225(a)(2) to reference ITU Recommendation M.493-13 as the applicable standard for non-portable DSC equipment; there was no need to amend the cross-referencing Section 80.225(a)(4). </w:t>
      </w:r>
    </w:p>
  </w:footnote>
  <w:footnote w:id="6">
    <w:p w:rsidR="00B14EF3" w:rsidRDefault="00B14EF3" w:rsidP="009D034A">
      <w:pPr>
        <w:pStyle w:val="FootnoteText"/>
        <w:jc w:val="left"/>
      </w:pPr>
      <w:r>
        <w:rPr>
          <w:rStyle w:val="FootnoteReference"/>
        </w:rPr>
        <w:footnoteRef/>
      </w:r>
      <w:r>
        <w:t xml:space="preserve"> </w:t>
      </w:r>
      <w:r w:rsidRPr="005E48EC">
        <w:rPr>
          <w:i/>
        </w:rPr>
        <w:t>See</w:t>
      </w:r>
      <w:r>
        <w:t xml:space="preserve"> 47 C.F.R. § 80.225(a)(4).</w:t>
      </w:r>
    </w:p>
  </w:footnote>
  <w:footnote w:id="7">
    <w:p w:rsidR="00B14EF3" w:rsidRDefault="00B14EF3" w:rsidP="009D034A">
      <w:pPr>
        <w:pStyle w:val="FootnoteText"/>
        <w:jc w:val="left"/>
      </w:pPr>
      <w:r>
        <w:rPr>
          <w:rStyle w:val="FootnoteReference"/>
        </w:rPr>
        <w:footnoteRef/>
      </w:r>
      <w:r>
        <w:t xml:space="preserve"> </w:t>
      </w:r>
      <w:r w:rsidRPr="0076793C">
        <w:rPr>
          <w:i/>
        </w:rPr>
        <w:t>See</w:t>
      </w:r>
      <w:r>
        <w:t xml:space="preserve"> 76 Fed. Reg. 67604 (Nov. 2, 2011).  The rule amendment was effective sixty days after publication in the Federal Register.  </w:t>
      </w:r>
      <w:r w:rsidRPr="0076793C">
        <w:rPr>
          <w:i/>
        </w:rPr>
        <w:t>See Fourth Report and Order</w:t>
      </w:r>
      <w:r>
        <w:t>, 25 FCC Rcd at 7795 ¶ 28.</w:t>
      </w:r>
    </w:p>
  </w:footnote>
  <w:footnote w:id="8">
    <w:p w:rsidR="00B14EF3" w:rsidRDefault="00B14EF3" w:rsidP="009D034A">
      <w:pPr>
        <w:pStyle w:val="FootnoteText"/>
        <w:jc w:val="left"/>
      </w:pPr>
      <w:r>
        <w:rPr>
          <w:rStyle w:val="FootnoteReference"/>
        </w:rPr>
        <w:footnoteRef/>
      </w:r>
      <w:r>
        <w:t xml:space="preserve"> </w:t>
      </w:r>
      <w:r w:rsidRPr="00144071">
        <w:rPr>
          <w:i/>
        </w:rPr>
        <w:t>See</w:t>
      </w:r>
      <w:r>
        <w:t xml:space="preserve"> Wireless Telecommunications Bureau Clarifies and Temporarily Waives Requirements for Maritime Digital Selective Calling Equipment, </w:t>
      </w:r>
      <w:r w:rsidRPr="00144071">
        <w:rPr>
          <w:i/>
        </w:rPr>
        <w:t>Public Notice</w:t>
      </w:r>
      <w:r>
        <w:t>, 26 FCC Rcd 16782 (WTB MD 2011) (</w:t>
      </w:r>
      <w:r w:rsidRPr="00144071">
        <w:rPr>
          <w:i/>
        </w:rPr>
        <w:t>Public Notice</w:t>
      </w:r>
      <w:r>
        <w:t>).</w:t>
      </w:r>
    </w:p>
  </w:footnote>
  <w:footnote w:id="9">
    <w:p w:rsidR="00B14EF3" w:rsidRDefault="00B14EF3" w:rsidP="009D034A">
      <w:pPr>
        <w:pStyle w:val="FootnoteText"/>
        <w:jc w:val="left"/>
      </w:pPr>
      <w:r>
        <w:rPr>
          <w:rStyle w:val="FootnoteReference"/>
        </w:rPr>
        <w:footnoteRef/>
      </w:r>
      <w:r>
        <w:t xml:space="preserve"> </w:t>
      </w:r>
      <w:r w:rsidRPr="006E367D">
        <w:rPr>
          <w:i/>
        </w:rPr>
        <w:t>Id</w:t>
      </w:r>
      <w:r>
        <w:t>. at 16783.</w:t>
      </w:r>
    </w:p>
  </w:footnote>
  <w:footnote w:id="10">
    <w:p w:rsidR="00B14EF3" w:rsidRDefault="00B14EF3" w:rsidP="009D034A">
      <w:pPr>
        <w:pStyle w:val="FootnoteText"/>
        <w:jc w:val="left"/>
      </w:pPr>
      <w:r>
        <w:rPr>
          <w:rStyle w:val="FootnoteReference"/>
        </w:rPr>
        <w:footnoteRef/>
      </w:r>
      <w:r>
        <w:t xml:space="preserve"> </w:t>
      </w:r>
      <w:r w:rsidRPr="006E367D">
        <w:rPr>
          <w:i/>
        </w:rPr>
        <w:t>See</w:t>
      </w:r>
      <w:r>
        <w:t xml:space="preserve"> Request at 2. </w:t>
      </w:r>
    </w:p>
  </w:footnote>
  <w:footnote w:id="11">
    <w:p w:rsidR="00B14EF3" w:rsidRDefault="00B14EF3" w:rsidP="009D034A">
      <w:pPr>
        <w:pStyle w:val="FootnoteText"/>
        <w:jc w:val="left"/>
      </w:pPr>
      <w:r>
        <w:rPr>
          <w:rStyle w:val="FootnoteReference"/>
        </w:rPr>
        <w:footnoteRef/>
      </w:r>
      <w:r>
        <w:t xml:space="preserve"> </w:t>
      </w:r>
      <w:r w:rsidRPr="006E367D">
        <w:rPr>
          <w:i/>
        </w:rPr>
        <w:t>Id</w:t>
      </w:r>
      <w:r>
        <w:t>. at 3.</w:t>
      </w:r>
    </w:p>
  </w:footnote>
  <w:footnote w:id="12">
    <w:p w:rsidR="00B14EF3" w:rsidRDefault="00B14EF3" w:rsidP="009D034A">
      <w:pPr>
        <w:pStyle w:val="FootnoteText"/>
        <w:jc w:val="left"/>
      </w:pPr>
      <w:r>
        <w:rPr>
          <w:rStyle w:val="FootnoteReference"/>
        </w:rPr>
        <w:footnoteRef/>
      </w:r>
      <w:r>
        <w:t xml:space="preserve"> </w:t>
      </w:r>
      <w:r w:rsidRPr="006E367D">
        <w:rPr>
          <w:i/>
        </w:rPr>
        <w:t>Id</w:t>
      </w:r>
      <w:r>
        <w:t>.</w:t>
      </w:r>
    </w:p>
  </w:footnote>
  <w:footnote w:id="13">
    <w:p w:rsidR="00B14EF3" w:rsidRDefault="00B14EF3" w:rsidP="009D034A">
      <w:pPr>
        <w:pStyle w:val="FootnoteText"/>
        <w:jc w:val="left"/>
      </w:pPr>
      <w:r>
        <w:rPr>
          <w:rStyle w:val="FootnoteReference"/>
        </w:rPr>
        <w:footnoteRef/>
      </w:r>
      <w:r>
        <w:t xml:space="preserve"> </w:t>
      </w:r>
      <w:r w:rsidRPr="00EF564F">
        <w:rPr>
          <w:i/>
        </w:rPr>
        <w:t>Id</w:t>
      </w:r>
      <w:r>
        <w:t>.</w:t>
      </w:r>
    </w:p>
  </w:footnote>
  <w:footnote w:id="14">
    <w:p w:rsidR="00B14EF3" w:rsidRDefault="00B14EF3" w:rsidP="009D034A">
      <w:pPr>
        <w:pStyle w:val="FootnoteText"/>
        <w:jc w:val="left"/>
      </w:pPr>
      <w:r>
        <w:rPr>
          <w:rStyle w:val="FootnoteReference"/>
        </w:rPr>
        <w:footnoteRef/>
      </w:r>
      <w:r>
        <w:t xml:space="preserve"> 47 C.F.R. § 1.925(b)(3); </w:t>
      </w:r>
      <w:r>
        <w:rPr>
          <w:i/>
        </w:rPr>
        <w:t xml:space="preserve">see also </w:t>
      </w:r>
      <w:r w:rsidRPr="00B0341D">
        <w:rPr>
          <w:i/>
        </w:rPr>
        <w:t>WAIT Radio v FCC</w:t>
      </w:r>
      <w:r>
        <w:t xml:space="preserve">, 418 F.2d 1153, 1159 (D.C. Cir. 1969).  </w:t>
      </w:r>
    </w:p>
  </w:footnote>
  <w:footnote w:id="15">
    <w:p w:rsidR="008E2E89" w:rsidRPr="008E2E89" w:rsidRDefault="008E2E89">
      <w:pPr>
        <w:pStyle w:val="FootnoteText"/>
        <w:rPr>
          <w:i/>
        </w:rPr>
      </w:pPr>
      <w:r>
        <w:rPr>
          <w:rStyle w:val="FootnoteReference"/>
        </w:rPr>
        <w:footnoteRef/>
      </w:r>
      <w:r>
        <w:t xml:space="preserve"> </w:t>
      </w:r>
      <w:r>
        <w:rPr>
          <w:i/>
        </w:rPr>
        <w:t xml:space="preserve">See </w:t>
      </w:r>
      <w:r w:rsidRPr="0076793C">
        <w:rPr>
          <w:i/>
        </w:rPr>
        <w:t>Fourth Report and Order</w:t>
      </w:r>
      <w:r>
        <w:t>, 25 FCC Rcd at 7789 ¶ 15.</w:t>
      </w:r>
    </w:p>
  </w:footnote>
  <w:footnote w:id="16">
    <w:p w:rsidR="00B14EF3" w:rsidRDefault="00B14EF3" w:rsidP="009D034A">
      <w:pPr>
        <w:pStyle w:val="FootnoteText"/>
        <w:jc w:val="left"/>
      </w:pPr>
      <w:r>
        <w:rPr>
          <w:rStyle w:val="FootnoteReference"/>
        </w:rPr>
        <w:footnoteRef/>
      </w:r>
      <w:r>
        <w:t xml:space="preserve"> </w:t>
      </w:r>
      <w:r w:rsidRPr="00E94FA1">
        <w:rPr>
          <w:i/>
        </w:rPr>
        <w:t>See Public Notice</w:t>
      </w:r>
      <w:r>
        <w:t>, 26 FCC Rcd at 16783.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F7" w:rsidRDefault="00DE7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F3" w:rsidRDefault="00B14EF3">
    <w:pPr>
      <w:pStyle w:val="Header"/>
      <w:tabs>
        <w:tab w:val="clear" w:pos="4320"/>
        <w:tab w:val="clear" w:pos="8640"/>
        <w:tab w:val="center" w:pos="4680"/>
        <w:tab w:val="right" w:pos="9360"/>
      </w:tabs>
      <w:rPr>
        <w:b/>
      </w:rPr>
    </w:pPr>
    <w:r>
      <w:rPr>
        <w:b/>
      </w:rPr>
      <w:tab/>
      <w:t>Federal Communications Commission</w:t>
    </w:r>
    <w:r>
      <w:rPr>
        <w:b/>
      </w:rPr>
      <w:tab/>
      <w:t>DA 12-</w:t>
    </w:r>
    <w:r w:rsidR="00DC77B1">
      <w:rPr>
        <w:b/>
      </w:rPr>
      <w:t>1991</w:t>
    </w:r>
    <w:r>
      <w:rPr>
        <w:b/>
      </w:rPr>
      <w:t xml:space="preserve"> </w:t>
    </w:r>
  </w:p>
  <w:p w:rsidR="00B14EF3" w:rsidRDefault="00B14EF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AB1B739" wp14:editId="7ECEDBD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B14EF3" w:rsidRDefault="00B14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F3" w:rsidRDefault="00B14EF3">
    <w:pPr>
      <w:pStyle w:val="Header"/>
      <w:tabs>
        <w:tab w:val="clear" w:pos="4320"/>
        <w:tab w:val="clear" w:pos="8640"/>
        <w:tab w:val="center" w:pos="4680"/>
        <w:tab w:val="right" w:pos="9360"/>
      </w:tabs>
      <w:rPr>
        <w:b/>
      </w:rPr>
    </w:pPr>
    <w:r>
      <w:rPr>
        <w:b/>
      </w:rPr>
      <w:tab/>
      <w:t>Federal Communications Commission</w:t>
    </w:r>
    <w:r>
      <w:rPr>
        <w:b/>
      </w:rPr>
      <w:tab/>
      <w:t>DA 12-</w:t>
    </w:r>
    <w:r w:rsidR="00DC77B1">
      <w:rPr>
        <w:b/>
      </w:rPr>
      <w:t>1991</w:t>
    </w:r>
    <w:r>
      <w:rPr>
        <w:b/>
      </w:rPr>
      <w:t xml:space="preserve"> </w:t>
    </w:r>
  </w:p>
  <w:p w:rsidR="00B14EF3" w:rsidRPr="00151C26" w:rsidRDefault="00B14EF3">
    <w:pPr>
      <w:pStyle w:val="Header"/>
      <w:tabs>
        <w:tab w:val="clear" w:pos="8640"/>
        <w:tab w:val="right" w:pos="9360"/>
      </w:tabs>
      <w:rPr>
        <w:rFonts w:ascii="Times New Roman Bold" w:hAnsi="Times New Roman Bold"/>
        <w:b/>
      </w:rPr>
    </w:pPr>
    <w:r>
      <w:rPr>
        <w:rFonts w:ascii="Times New Roman Bold" w:hAnsi="Times New Roman Bold"/>
        <w:b/>
        <w:noProof/>
      </w:rPr>
      <mc:AlternateContent>
        <mc:Choice Requires="wps">
          <w:drawing>
            <wp:anchor distT="0" distB="0" distL="114300" distR="114300" simplePos="0" relativeHeight="251657216" behindDoc="0" locked="0" layoutInCell="0" allowOverlap="1" wp14:anchorId="3BA6890A" wp14:editId="7EE42450">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A4DD68"/>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6C739B6"/>
    <w:multiLevelType w:val="hybridMultilevel"/>
    <w:tmpl w:val="5148C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5"/>
  </w:num>
  <w:num w:numId="4">
    <w:abstractNumId w:val="18"/>
  </w:num>
  <w:num w:numId="5">
    <w:abstractNumId w:val="6"/>
  </w:num>
  <w:num w:numId="6">
    <w:abstractNumId w:val="21"/>
  </w:num>
  <w:num w:numId="7">
    <w:abstractNumId w:val="15"/>
  </w:num>
  <w:num w:numId="8">
    <w:abstractNumId w:val="7"/>
  </w:num>
  <w:num w:numId="9">
    <w:abstractNumId w:val="20"/>
  </w:num>
  <w:num w:numId="10">
    <w:abstractNumId w:val="13"/>
  </w:num>
  <w:num w:numId="11">
    <w:abstractNumId w:val="11"/>
  </w:num>
  <w:num w:numId="12">
    <w:abstractNumId w:val="8"/>
  </w:num>
  <w:num w:numId="13">
    <w:abstractNumId w:val="14"/>
  </w:num>
  <w:num w:numId="14">
    <w:abstractNumId w:val="19"/>
  </w:num>
  <w:num w:numId="15">
    <w:abstractNumId w:val="3"/>
  </w:num>
  <w:num w:numId="16">
    <w:abstractNumId w:val="4"/>
  </w:num>
  <w:num w:numId="17">
    <w:abstractNumId w:val="9"/>
  </w:num>
  <w:num w:numId="18">
    <w:abstractNumId w:val="2"/>
  </w:num>
  <w:num w:numId="19">
    <w:abstractNumId w:val="10"/>
  </w:num>
  <w:num w:numId="20">
    <w:abstractNumId w:val="16"/>
  </w:num>
  <w:num w:numId="21">
    <w:abstractNumId w:val="17"/>
  </w:num>
  <w:num w:numId="22">
    <w:abstractNumId w:val="14"/>
  </w:num>
  <w:num w:numId="23">
    <w:abstractNumId w:val="1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26"/>
    <w:rsid w:val="000479A0"/>
    <w:rsid w:val="000A30FF"/>
    <w:rsid w:val="00101B6C"/>
    <w:rsid w:val="00144071"/>
    <w:rsid w:val="00151C26"/>
    <w:rsid w:val="0019784D"/>
    <w:rsid w:val="001C09A0"/>
    <w:rsid w:val="002D5AFF"/>
    <w:rsid w:val="00300C9D"/>
    <w:rsid w:val="00355F7A"/>
    <w:rsid w:val="00381F93"/>
    <w:rsid w:val="003D6E92"/>
    <w:rsid w:val="00402319"/>
    <w:rsid w:val="004C1580"/>
    <w:rsid w:val="004D64EC"/>
    <w:rsid w:val="005018AC"/>
    <w:rsid w:val="00503C37"/>
    <w:rsid w:val="00531D7B"/>
    <w:rsid w:val="0058663C"/>
    <w:rsid w:val="005B18BD"/>
    <w:rsid w:val="005B7E3B"/>
    <w:rsid w:val="005D771B"/>
    <w:rsid w:val="005E48EC"/>
    <w:rsid w:val="00654822"/>
    <w:rsid w:val="006E367D"/>
    <w:rsid w:val="0076793C"/>
    <w:rsid w:val="007B7F02"/>
    <w:rsid w:val="007D4C1B"/>
    <w:rsid w:val="007E4FEB"/>
    <w:rsid w:val="008C4179"/>
    <w:rsid w:val="008D6DAC"/>
    <w:rsid w:val="008E2E89"/>
    <w:rsid w:val="00961D84"/>
    <w:rsid w:val="009D034A"/>
    <w:rsid w:val="00A41EFE"/>
    <w:rsid w:val="00B0341D"/>
    <w:rsid w:val="00B14EF3"/>
    <w:rsid w:val="00B30719"/>
    <w:rsid w:val="00BB6DAA"/>
    <w:rsid w:val="00BD6300"/>
    <w:rsid w:val="00C1233C"/>
    <w:rsid w:val="00C2127D"/>
    <w:rsid w:val="00C96F3D"/>
    <w:rsid w:val="00D50B46"/>
    <w:rsid w:val="00DC77B1"/>
    <w:rsid w:val="00DE0931"/>
    <w:rsid w:val="00DE78F7"/>
    <w:rsid w:val="00E94FA1"/>
    <w:rsid w:val="00EC0C32"/>
    <w:rsid w:val="00EF564F"/>
    <w:rsid w:val="00FC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654822"/>
    <w:pPr>
      <w:ind w:left="720"/>
      <w:contextualSpacing/>
    </w:pPr>
  </w:style>
  <w:style w:type="character" w:customStyle="1" w:styleId="ParaNumChar">
    <w:name w:val="ParaNum Char"/>
    <w:basedOn w:val="DefaultParagraphFont"/>
    <w:link w:val="ParaNum"/>
    <w:rsid w:val="007D4C1B"/>
    <w:rPr>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semiHidden/>
    <w:rsid w:val="007D4C1B"/>
  </w:style>
  <w:style w:type="paragraph" w:styleId="BalloonText">
    <w:name w:val="Balloon Text"/>
    <w:basedOn w:val="Normal"/>
    <w:link w:val="BalloonTextChar"/>
    <w:uiPriority w:val="99"/>
    <w:semiHidden/>
    <w:unhideWhenUsed/>
    <w:rsid w:val="00E94FA1"/>
    <w:rPr>
      <w:rFonts w:ascii="Tahoma" w:hAnsi="Tahoma" w:cs="Tahoma"/>
      <w:sz w:val="16"/>
      <w:szCs w:val="16"/>
    </w:rPr>
  </w:style>
  <w:style w:type="character" w:customStyle="1" w:styleId="BalloonTextChar">
    <w:name w:val="Balloon Text Char"/>
    <w:basedOn w:val="DefaultParagraphFont"/>
    <w:link w:val="BalloonText"/>
    <w:uiPriority w:val="99"/>
    <w:semiHidden/>
    <w:rsid w:val="00E94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654822"/>
    <w:pPr>
      <w:ind w:left="720"/>
      <w:contextualSpacing/>
    </w:pPr>
  </w:style>
  <w:style w:type="character" w:customStyle="1" w:styleId="ParaNumChar">
    <w:name w:val="ParaNum Char"/>
    <w:basedOn w:val="DefaultParagraphFont"/>
    <w:link w:val="ParaNum"/>
    <w:rsid w:val="007D4C1B"/>
    <w:rPr>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semiHidden/>
    <w:rsid w:val="007D4C1B"/>
  </w:style>
  <w:style w:type="paragraph" w:styleId="BalloonText">
    <w:name w:val="Balloon Text"/>
    <w:basedOn w:val="Normal"/>
    <w:link w:val="BalloonTextChar"/>
    <w:uiPriority w:val="99"/>
    <w:semiHidden/>
    <w:unhideWhenUsed/>
    <w:rsid w:val="00E94FA1"/>
    <w:rPr>
      <w:rFonts w:ascii="Tahoma" w:hAnsi="Tahoma" w:cs="Tahoma"/>
      <w:sz w:val="16"/>
      <w:szCs w:val="16"/>
    </w:rPr>
  </w:style>
  <w:style w:type="character" w:customStyle="1" w:styleId="BalloonTextChar">
    <w:name w:val="Balloon Text Char"/>
    <w:basedOn w:val="DefaultParagraphFont"/>
    <w:link w:val="BalloonText"/>
    <w:uiPriority w:val="99"/>
    <w:semiHidden/>
    <w:rsid w:val="00E9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6408</Characters>
  <Application>Microsoft Office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7591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2012-12-10T14:38:00Z</cp:lastPrinted>
  <dcterms:created xsi:type="dcterms:W3CDTF">2012-12-10T15:08:00Z</dcterms:created>
  <dcterms:modified xsi:type="dcterms:W3CDTF">2012-12-10T15:08:00Z</dcterms:modified>
  <cp:category> </cp:category>
  <cp:contentStatus> </cp:contentStatus>
</cp:coreProperties>
</file>