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CA" w:rsidRDefault="00CB07CA">
      <w:pPr>
        <w:jc w:val="center"/>
        <w:rPr>
          <w:b/>
        </w:rPr>
      </w:pPr>
      <w:bookmarkStart w:id="0" w:name="_GoBack"/>
      <w:bookmarkEnd w:id="0"/>
      <w:r>
        <w:rPr>
          <w:b/>
        </w:rPr>
        <w:t>Before the</w:t>
      </w:r>
    </w:p>
    <w:p w:rsidR="00CB07CA" w:rsidRDefault="00CB07CA">
      <w:pPr>
        <w:jc w:val="center"/>
        <w:rPr>
          <w:b/>
        </w:rPr>
      </w:pPr>
      <w:r>
        <w:rPr>
          <w:b/>
        </w:rPr>
        <w:t>Federal Communications Commission</w:t>
      </w:r>
    </w:p>
    <w:p w:rsidR="00CB07CA" w:rsidRDefault="00CB07CA">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CB07CA" w:rsidRDefault="00CB07CA"/>
    <w:p w:rsidR="00CB07CA" w:rsidRDefault="00CB07CA"/>
    <w:tbl>
      <w:tblPr>
        <w:tblW w:w="9648" w:type="dxa"/>
        <w:tblLayout w:type="fixed"/>
        <w:tblLook w:val="0000" w:firstRow="0" w:lastRow="0" w:firstColumn="0" w:lastColumn="0" w:noHBand="0" w:noVBand="0"/>
      </w:tblPr>
      <w:tblGrid>
        <w:gridCol w:w="4698"/>
        <w:gridCol w:w="720"/>
        <w:gridCol w:w="4230"/>
      </w:tblGrid>
      <w:tr w:rsidR="00CB07CA" w:rsidTr="00FA122A">
        <w:tc>
          <w:tcPr>
            <w:tcW w:w="4698" w:type="dxa"/>
          </w:tcPr>
          <w:p w:rsidR="00CB07CA" w:rsidRDefault="00CB07CA">
            <w:pPr>
              <w:ind w:right="-18"/>
            </w:pPr>
            <w:r>
              <w:t xml:space="preserve">In the </w:t>
            </w:r>
            <w:r w:rsidR="00CA4A0B">
              <w:t>M</w:t>
            </w:r>
            <w:r>
              <w:t>atter of</w:t>
            </w:r>
          </w:p>
          <w:p w:rsidR="00CB07CA" w:rsidRDefault="00CB07CA">
            <w:pPr>
              <w:ind w:right="-18"/>
            </w:pPr>
          </w:p>
          <w:p w:rsidR="00CA4A0B" w:rsidRPr="006440F6" w:rsidRDefault="00CA4A0B" w:rsidP="00CA4A0B">
            <w:pPr>
              <w:autoSpaceDE w:val="0"/>
              <w:autoSpaceDN w:val="0"/>
              <w:adjustRightInd w:val="0"/>
              <w:rPr>
                <w:b/>
                <w:szCs w:val="22"/>
              </w:rPr>
            </w:pPr>
            <w:r w:rsidRPr="006440F6">
              <w:rPr>
                <w:szCs w:val="22"/>
              </w:rPr>
              <w:t xml:space="preserve">Application of AT&amp;T Mobility Spectrum LLC and </w:t>
            </w:r>
            <w:r w:rsidR="006B6D50" w:rsidRPr="006B6D50">
              <w:rPr>
                <w:szCs w:val="22"/>
              </w:rPr>
              <w:t>CenturyTel Broadband Wireless, LLC</w:t>
            </w:r>
          </w:p>
          <w:p w:rsidR="00CA4A0B" w:rsidRDefault="00CA4A0B" w:rsidP="00CA4A0B">
            <w:pPr>
              <w:autoSpaceDE w:val="0"/>
              <w:autoSpaceDN w:val="0"/>
              <w:adjustRightInd w:val="0"/>
              <w:rPr>
                <w:szCs w:val="22"/>
              </w:rPr>
            </w:pPr>
          </w:p>
          <w:p w:rsidR="00CB07CA" w:rsidRDefault="00CA4A0B" w:rsidP="006B6D50">
            <w:pPr>
              <w:ind w:right="-18"/>
            </w:pPr>
            <w:r>
              <w:rPr>
                <w:szCs w:val="22"/>
              </w:rPr>
              <w:t xml:space="preserve">For Consent To Assign </w:t>
            </w:r>
            <w:r w:rsidR="00A1463A">
              <w:rPr>
                <w:szCs w:val="22"/>
              </w:rPr>
              <w:t>a</w:t>
            </w:r>
            <w:r w:rsidR="006440F6">
              <w:rPr>
                <w:szCs w:val="22"/>
              </w:rPr>
              <w:t xml:space="preserve"> Lower 700 MHz </w:t>
            </w:r>
            <w:r w:rsidR="007A4A8D">
              <w:rPr>
                <w:szCs w:val="22"/>
              </w:rPr>
              <w:t xml:space="preserve">Band </w:t>
            </w:r>
            <w:r w:rsidR="006B6D50">
              <w:rPr>
                <w:szCs w:val="22"/>
              </w:rPr>
              <w:t>and AWS-1</w:t>
            </w:r>
            <w:r>
              <w:rPr>
                <w:szCs w:val="22"/>
              </w:rPr>
              <w:t xml:space="preserve"> License</w:t>
            </w:r>
            <w:r w:rsidR="006B6D50">
              <w:rPr>
                <w:szCs w:val="22"/>
              </w:rPr>
              <w:t>s</w:t>
            </w:r>
          </w:p>
        </w:tc>
        <w:tc>
          <w:tcPr>
            <w:tcW w:w="720" w:type="dxa"/>
          </w:tcPr>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FA122A" w:rsidRDefault="00FA122A">
            <w:pPr>
              <w:rPr>
                <w:b/>
              </w:rPr>
            </w:pPr>
            <w:r>
              <w:rPr>
                <w:b/>
              </w:rPr>
              <w:t>)</w:t>
            </w:r>
          </w:p>
        </w:tc>
        <w:tc>
          <w:tcPr>
            <w:tcW w:w="4230" w:type="dxa"/>
          </w:tcPr>
          <w:p w:rsidR="00CB07CA" w:rsidRPr="00732291" w:rsidRDefault="00CB07CA"/>
          <w:p w:rsidR="00CB07CA" w:rsidRPr="00732291" w:rsidRDefault="00CB07CA"/>
          <w:p w:rsidR="00CB07CA" w:rsidRPr="00732291" w:rsidRDefault="00CA4A0B">
            <w:r>
              <w:t xml:space="preserve">ULS File No. </w:t>
            </w:r>
            <w:r w:rsidR="006440F6" w:rsidRPr="006440F6">
              <w:rPr>
                <w:szCs w:val="22"/>
              </w:rPr>
              <w:t>0005</w:t>
            </w:r>
            <w:r w:rsidR="007A4A8D">
              <w:rPr>
                <w:szCs w:val="22"/>
              </w:rPr>
              <w:t>3</w:t>
            </w:r>
            <w:r w:rsidR="006B6D50">
              <w:rPr>
                <w:szCs w:val="22"/>
              </w:rPr>
              <w:t>37520</w:t>
            </w:r>
          </w:p>
        </w:tc>
      </w:tr>
    </w:tbl>
    <w:p w:rsidR="00FA122A" w:rsidRDefault="00FA122A" w:rsidP="00FA122A">
      <w:pPr>
        <w:tabs>
          <w:tab w:val="left" w:pos="-720"/>
        </w:tabs>
        <w:suppressAutoHyphens/>
        <w:spacing w:line="227" w:lineRule="auto"/>
        <w:rPr>
          <w:spacing w:val="-2"/>
        </w:rPr>
      </w:pPr>
    </w:p>
    <w:p w:rsidR="00FA122A" w:rsidRDefault="00CA4A0B" w:rsidP="00FA122A">
      <w:pPr>
        <w:jc w:val="center"/>
        <w:outlineLvl w:val="0"/>
        <w:rPr>
          <w:b/>
        </w:rPr>
      </w:pPr>
      <w:r w:rsidRPr="00476D28">
        <w:rPr>
          <w:b/>
        </w:rPr>
        <w:t>ORDER</w:t>
      </w:r>
    </w:p>
    <w:p w:rsidR="00FA122A" w:rsidRDefault="00FA122A" w:rsidP="00FA122A">
      <w:pPr>
        <w:tabs>
          <w:tab w:val="left" w:pos="-720"/>
        </w:tabs>
        <w:suppressAutoHyphens/>
        <w:spacing w:line="227" w:lineRule="auto"/>
        <w:rPr>
          <w:spacing w:val="-2"/>
        </w:rPr>
      </w:pPr>
    </w:p>
    <w:p w:rsidR="004C4AB0" w:rsidRDefault="004C4AB0" w:rsidP="004C4AB0">
      <w:pPr>
        <w:tabs>
          <w:tab w:val="left" w:pos="720"/>
          <w:tab w:val="left" w:pos="5760"/>
        </w:tabs>
        <w:suppressAutoHyphens/>
        <w:spacing w:line="227" w:lineRule="auto"/>
        <w:rPr>
          <w:spacing w:val="-2"/>
        </w:rPr>
      </w:pPr>
      <w:r>
        <w:rPr>
          <w:b/>
          <w:spacing w:val="-2"/>
        </w:rPr>
        <w:t xml:space="preserve">Adopted:  December </w:t>
      </w:r>
      <w:r w:rsidR="00476D28">
        <w:rPr>
          <w:b/>
          <w:spacing w:val="-2"/>
        </w:rPr>
        <w:t>18</w:t>
      </w:r>
      <w:r>
        <w:rPr>
          <w:b/>
          <w:spacing w:val="-2"/>
        </w:rPr>
        <w:t>, 2012</w:t>
      </w:r>
      <w:r>
        <w:rPr>
          <w:b/>
          <w:spacing w:val="-2"/>
        </w:rPr>
        <w:tab/>
        <w:t xml:space="preserve">   </w:t>
      </w:r>
      <w:r w:rsidR="00476D28">
        <w:rPr>
          <w:b/>
          <w:spacing w:val="-2"/>
        </w:rPr>
        <w:t xml:space="preserve">     </w:t>
      </w:r>
      <w:r>
        <w:rPr>
          <w:b/>
          <w:spacing w:val="-2"/>
        </w:rPr>
        <w:t xml:space="preserve">        Released:  December </w:t>
      </w:r>
      <w:r w:rsidR="00476D28">
        <w:rPr>
          <w:b/>
          <w:spacing w:val="-2"/>
        </w:rPr>
        <w:t>18</w:t>
      </w:r>
      <w:r>
        <w:rPr>
          <w:b/>
          <w:spacing w:val="-2"/>
        </w:rPr>
        <w:t>, 2012</w:t>
      </w:r>
    </w:p>
    <w:p w:rsidR="004C4AB0" w:rsidRDefault="004C4AB0" w:rsidP="004C4AB0"/>
    <w:p w:rsidR="004C4AB0" w:rsidRDefault="004C4AB0" w:rsidP="004C4AB0">
      <w:pPr>
        <w:rPr>
          <w:spacing w:val="-2"/>
        </w:rPr>
      </w:pPr>
      <w:r w:rsidRPr="00ED428B">
        <w:t xml:space="preserve">By </w:t>
      </w:r>
      <w:r>
        <w:t>the Deputy Chief, Mobility Division, Wireless Telecommunications Bureau</w:t>
      </w:r>
      <w:r w:rsidRPr="00ED428B">
        <w:rPr>
          <w:spacing w:val="-2"/>
        </w:rPr>
        <w:t>:</w:t>
      </w:r>
    </w:p>
    <w:p w:rsidR="00FA122A" w:rsidRDefault="00FA122A" w:rsidP="00FA122A">
      <w:pPr>
        <w:rPr>
          <w:spacing w:val="-2"/>
        </w:rPr>
      </w:pPr>
    </w:p>
    <w:p w:rsidR="006C615E" w:rsidRDefault="00CA4A0B" w:rsidP="00CA7E3E">
      <w:pPr>
        <w:pStyle w:val="ParaNum"/>
        <w:jc w:val="left"/>
      </w:pPr>
      <w:r>
        <w:t xml:space="preserve">In this Order, we dismiss for lack of </w:t>
      </w:r>
      <w:r w:rsidR="00AE54B8">
        <w:t>party-in-</w:t>
      </w:r>
      <w:r w:rsidR="00590790">
        <w:t xml:space="preserve">interest </w:t>
      </w:r>
      <w:r>
        <w:t xml:space="preserve">standing a </w:t>
      </w:r>
      <w:r w:rsidR="00AA42C6">
        <w:t>Petition to Conditionally Approve or Deny (“Petition”)</w:t>
      </w:r>
      <w:r w:rsidR="0032460E">
        <w:rPr>
          <w:rStyle w:val="FootnoteReference"/>
        </w:rPr>
        <w:footnoteReference w:id="2"/>
      </w:r>
      <w:r>
        <w:t xml:space="preserve"> </w:t>
      </w:r>
      <w:r w:rsidR="00AA42C6">
        <w:t xml:space="preserve">filed </w:t>
      </w:r>
      <w:r>
        <w:t>by Mr. Maneesh Pangasa against the application</w:t>
      </w:r>
      <w:r w:rsidR="009B0D16">
        <w:rPr>
          <w:rStyle w:val="FootnoteReference"/>
        </w:rPr>
        <w:footnoteReference w:id="3"/>
      </w:r>
      <w:r>
        <w:t xml:space="preserve"> of </w:t>
      </w:r>
      <w:r w:rsidRPr="00E302C0">
        <w:rPr>
          <w:szCs w:val="22"/>
        </w:rPr>
        <w:t xml:space="preserve">AT&amp;T Mobility Spectrum LLC (“AT&amp;T Mobility”), an indirect wholly-owned subsidiary of AT&amp;T Inc. (collectively, “AT&amp;T”), and </w:t>
      </w:r>
      <w:r w:rsidR="006B6D50" w:rsidRPr="006B6D50">
        <w:rPr>
          <w:szCs w:val="22"/>
        </w:rPr>
        <w:t>CenturyTel Broadband Wireless, LLC</w:t>
      </w:r>
      <w:r w:rsidR="006B6D50" w:rsidRPr="00E302C0">
        <w:rPr>
          <w:szCs w:val="22"/>
        </w:rPr>
        <w:t xml:space="preserve"> </w:t>
      </w:r>
      <w:r w:rsidRPr="00E302C0">
        <w:rPr>
          <w:szCs w:val="22"/>
        </w:rPr>
        <w:t>(“</w:t>
      </w:r>
      <w:r w:rsidR="006B6D50">
        <w:rPr>
          <w:szCs w:val="22"/>
        </w:rPr>
        <w:t>CenturyTel</w:t>
      </w:r>
      <w:r>
        <w:rPr>
          <w:szCs w:val="22"/>
        </w:rPr>
        <w:t>”</w:t>
      </w:r>
      <w:r w:rsidR="00C97AE1">
        <w:rPr>
          <w:szCs w:val="22"/>
        </w:rPr>
        <w:t xml:space="preserve"> </w:t>
      </w:r>
      <w:r>
        <w:t xml:space="preserve">and together with AT&amp;T Mobility, the “Applicants”) to assign </w:t>
      </w:r>
      <w:r w:rsidR="006B6D50">
        <w:rPr>
          <w:szCs w:val="22"/>
        </w:rPr>
        <w:t>51</w:t>
      </w:r>
      <w:r w:rsidR="006B6D50" w:rsidRPr="00586237">
        <w:rPr>
          <w:szCs w:val="22"/>
        </w:rPr>
        <w:t xml:space="preserve"> Lower 700 MHz Band </w:t>
      </w:r>
      <w:r w:rsidR="006B6D50">
        <w:rPr>
          <w:szCs w:val="22"/>
        </w:rPr>
        <w:t>B</w:t>
      </w:r>
      <w:r w:rsidR="006B6D50" w:rsidRPr="00586237">
        <w:rPr>
          <w:szCs w:val="22"/>
        </w:rPr>
        <w:t xml:space="preserve"> </w:t>
      </w:r>
      <w:r w:rsidR="006B6D50">
        <w:rPr>
          <w:szCs w:val="22"/>
        </w:rPr>
        <w:t xml:space="preserve">Block spectrum licenses, four </w:t>
      </w:r>
      <w:r w:rsidR="006B6D50" w:rsidRPr="00586237">
        <w:rPr>
          <w:szCs w:val="22"/>
        </w:rPr>
        <w:t xml:space="preserve">Lower 700 MHz Band </w:t>
      </w:r>
      <w:r w:rsidR="006B6D50">
        <w:rPr>
          <w:szCs w:val="22"/>
        </w:rPr>
        <w:t>C</w:t>
      </w:r>
      <w:r w:rsidR="006B6D50" w:rsidRPr="00586237">
        <w:rPr>
          <w:szCs w:val="22"/>
        </w:rPr>
        <w:t xml:space="preserve"> </w:t>
      </w:r>
      <w:r w:rsidR="006B6D50">
        <w:rPr>
          <w:szCs w:val="22"/>
        </w:rPr>
        <w:t>Block spectrum licenses,</w:t>
      </w:r>
      <w:r w:rsidR="006B6D50" w:rsidRPr="00586237">
        <w:rPr>
          <w:szCs w:val="22"/>
        </w:rPr>
        <w:t xml:space="preserve"> </w:t>
      </w:r>
      <w:r w:rsidR="006B6D50">
        <w:rPr>
          <w:szCs w:val="22"/>
        </w:rPr>
        <w:t xml:space="preserve">and six Advanced Wireless Service (“AWS-1”) spectrum </w:t>
      </w:r>
      <w:r w:rsidR="00A1463A">
        <w:rPr>
          <w:szCs w:val="22"/>
        </w:rPr>
        <w:t>license</w:t>
      </w:r>
      <w:r w:rsidR="006B6D50">
        <w:rPr>
          <w:szCs w:val="22"/>
        </w:rPr>
        <w:t>s</w:t>
      </w:r>
      <w:r w:rsidRPr="00E302C0">
        <w:rPr>
          <w:szCs w:val="22"/>
        </w:rPr>
        <w:t xml:space="preserve"> from </w:t>
      </w:r>
      <w:r w:rsidR="006B6D50">
        <w:rPr>
          <w:szCs w:val="22"/>
        </w:rPr>
        <w:t>CenturyTel</w:t>
      </w:r>
      <w:r w:rsidRPr="00E302C0">
        <w:rPr>
          <w:szCs w:val="22"/>
        </w:rPr>
        <w:t xml:space="preserve"> to AT&amp;T Mobility</w:t>
      </w:r>
      <w:r>
        <w:t>.</w:t>
      </w:r>
    </w:p>
    <w:p w:rsidR="006B57F5" w:rsidRDefault="006B57F5" w:rsidP="006B57F5">
      <w:pPr>
        <w:pStyle w:val="Heading1"/>
      </w:pPr>
      <w:r>
        <w:t>Background</w:t>
      </w:r>
    </w:p>
    <w:p w:rsidR="003D0F35" w:rsidRDefault="00CA4A0B" w:rsidP="00B943B0">
      <w:pPr>
        <w:pStyle w:val="ParaNum"/>
        <w:tabs>
          <w:tab w:val="left" w:pos="4320"/>
        </w:tabs>
        <w:jc w:val="left"/>
      </w:pPr>
      <w:r>
        <w:t xml:space="preserve">On </w:t>
      </w:r>
      <w:r w:rsidR="00E22187">
        <w:t>August 6</w:t>
      </w:r>
      <w:r>
        <w:t xml:space="preserve">, 2012, </w:t>
      </w:r>
      <w:r w:rsidR="00C04E06">
        <w:t>AT&amp;T Mobility</w:t>
      </w:r>
      <w:r>
        <w:t xml:space="preserve"> and </w:t>
      </w:r>
      <w:r w:rsidR="00E22187">
        <w:t>CenturyTel</w:t>
      </w:r>
      <w:r w:rsidR="00C04E06">
        <w:t xml:space="preserve"> filed the Application</w:t>
      </w:r>
      <w:r>
        <w:t xml:space="preserve"> pursuant to section 310(d) of the Communications Act of 1934, as amended (the “Communications Act”),</w:t>
      </w:r>
      <w:r>
        <w:rPr>
          <w:rStyle w:val="FootnoteReference"/>
          <w:szCs w:val="22"/>
        </w:rPr>
        <w:footnoteReference w:id="4"/>
      </w:r>
      <w:r>
        <w:t xml:space="preserve"> seeking approval to assign </w:t>
      </w:r>
      <w:r w:rsidR="008C367D">
        <w:rPr>
          <w:szCs w:val="22"/>
        </w:rPr>
        <w:t>the</w:t>
      </w:r>
      <w:r w:rsidR="00C04E06" w:rsidRPr="00C97AE1">
        <w:rPr>
          <w:szCs w:val="22"/>
        </w:rPr>
        <w:t xml:space="preserve"> Lower 700 MH</w:t>
      </w:r>
      <w:r w:rsidR="007A4A8D">
        <w:rPr>
          <w:szCs w:val="22"/>
        </w:rPr>
        <w:t xml:space="preserve">z Band </w:t>
      </w:r>
      <w:r w:rsidR="008C367D">
        <w:rPr>
          <w:szCs w:val="22"/>
        </w:rPr>
        <w:t>and AWS-1</w:t>
      </w:r>
      <w:r w:rsidR="00C04E06" w:rsidRPr="00C97AE1">
        <w:rPr>
          <w:szCs w:val="22"/>
        </w:rPr>
        <w:t xml:space="preserve"> </w:t>
      </w:r>
      <w:r w:rsidR="00A1463A">
        <w:t>spectrum license</w:t>
      </w:r>
      <w:r w:rsidR="008C367D">
        <w:t>s</w:t>
      </w:r>
      <w:r>
        <w:t>.</w:t>
      </w:r>
      <w:r w:rsidR="00C04E06">
        <w:t xml:space="preserve">  </w:t>
      </w:r>
      <w:r w:rsidR="00C97AE1">
        <w:t>T</w:t>
      </w:r>
      <w:r w:rsidR="009B0D16">
        <w:t xml:space="preserve">he Commission released a Public Notice </w:t>
      </w:r>
      <w:r w:rsidR="00C97AE1">
        <w:t xml:space="preserve">on </w:t>
      </w:r>
      <w:r w:rsidR="00E22187">
        <w:t>September 11</w:t>
      </w:r>
      <w:r w:rsidR="00C97AE1">
        <w:t xml:space="preserve">, 2012, </w:t>
      </w:r>
      <w:r w:rsidR="009B0D16">
        <w:t>seeking comment on the Application.</w:t>
      </w:r>
      <w:r w:rsidR="009B0D16">
        <w:rPr>
          <w:rStyle w:val="FootnoteReference"/>
        </w:rPr>
        <w:footnoteReference w:id="5"/>
      </w:r>
      <w:r w:rsidR="00B843AA">
        <w:t xml:space="preserve">  In response to the </w:t>
      </w:r>
      <w:r w:rsidR="00B843AA" w:rsidRPr="00C97AE1">
        <w:rPr>
          <w:i/>
        </w:rPr>
        <w:t>Comment Public Notice</w:t>
      </w:r>
      <w:r w:rsidR="00B843AA">
        <w:t xml:space="preserve">, </w:t>
      </w:r>
      <w:r w:rsidR="000939DD">
        <w:t xml:space="preserve">Mr. </w:t>
      </w:r>
      <w:r w:rsidR="00B843AA">
        <w:t xml:space="preserve">Pangasa </w:t>
      </w:r>
      <w:r w:rsidR="009E04A8">
        <w:t xml:space="preserve">submitted </w:t>
      </w:r>
      <w:r w:rsidR="00AA42C6">
        <w:t xml:space="preserve">the </w:t>
      </w:r>
      <w:r w:rsidR="00556099">
        <w:t xml:space="preserve">a number of documents (“Pangasa Pleadings”), including the </w:t>
      </w:r>
      <w:r w:rsidR="00AA42C6">
        <w:t>Petition</w:t>
      </w:r>
      <w:r w:rsidR="00556099">
        <w:t>,</w:t>
      </w:r>
      <w:r w:rsidR="00AA42C6">
        <w:t xml:space="preserve"> citing</w:t>
      </w:r>
      <w:r w:rsidR="00E86A07">
        <w:t xml:space="preserve"> concerns about AT&amp;T’s spectrum purchases in the aggregate and </w:t>
      </w:r>
      <w:r w:rsidR="0032460E">
        <w:t>asking</w:t>
      </w:r>
      <w:r w:rsidR="009520DE">
        <w:t xml:space="preserve"> that approval of the transaction be conditioned on </w:t>
      </w:r>
      <w:r w:rsidR="008C367D">
        <w:t>separation of AT&amp;T’s wireless and wireline operations</w:t>
      </w:r>
      <w:r w:rsidR="00E86A07">
        <w:t>.</w:t>
      </w:r>
      <w:r w:rsidR="00E86A07">
        <w:rPr>
          <w:rStyle w:val="FootnoteReference"/>
        </w:rPr>
        <w:footnoteReference w:id="6"/>
      </w:r>
      <w:r w:rsidR="00E86A07">
        <w:t xml:space="preserve">  T</w:t>
      </w:r>
      <w:r w:rsidR="00A723FB">
        <w:t xml:space="preserve">he pleadings </w:t>
      </w:r>
      <w:r w:rsidR="00A7124D">
        <w:t xml:space="preserve">on their face </w:t>
      </w:r>
      <w:r w:rsidR="00E86A07">
        <w:t xml:space="preserve">do not </w:t>
      </w:r>
      <w:r w:rsidR="00A7124D">
        <w:t>ide</w:t>
      </w:r>
      <w:r w:rsidR="003D3C3A">
        <w:t xml:space="preserve">ntify Mr. Pangasa as the </w:t>
      </w:r>
      <w:r w:rsidR="003D0F35">
        <w:t>filer</w:t>
      </w:r>
      <w:r w:rsidR="003D3C3A">
        <w:t xml:space="preserve"> </w:t>
      </w:r>
      <w:r w:rsidR="00A7124D">
        <w:t>or expla</w:t>
      </w:r>
      <w:r w:rsidR="00A723FB">
        <w:t>in how the instant transaction c</w:t>
      </w:r>
      <w:r w:rsidR="00A7124D">
        <w:t xml:space="preserve">ould harm </w:t>
      </w:r>
      <w:r w:rsidR="003D3C3A">
        <w:t xml:space="preserve">Mr. </w:t>
      </w:r>
      <w:r w:rsidR="003D0F35">
        <w:t>Pangasa specifically.</w:t>
      </w:r>
    </w:p>
    <w:p w:rsidR="006B57F5" w:rsidRDefault="00B843AA" w:rsidP="003D0F35">
      <w:pPr>
        <w:pStyle w:val="ParaNum"/>
        <w:widowControl/>
        <w:tabs>
          <w:tab w:val="left" w:pos="4320"/>
        </w:tabs>
        <w:jc w:val="left"/>
      </w:pPr>
      <w:r>
        <w:t xml:space="preserve">The Applicants filed a Joint Opposition </w:t>
      </w:r>
      <w:r w:rsidR="009E04A8">
        <w:t xml:space="preserve">and Motion to Dismiss </w:t>
      </w:r>
      <w:r>
        <w:t xml:space="preserve">on </w:t>
      </w:r>
      <w:r w:rsidR="008C367D">
        <w:t>October 5</w:t>
      </w:r>
      <w:r>
        <w:t>, 2012, in which they as</w:t>
      </w:r>
      <w:r w:rsidR="009E04A8">
        <w:t xml:space="preserve">sert that </w:t>
      </w:r>
      <w:r w:rsidR="003D3C3A">
        <w:t xml:space="preserve">Mr. </w:t>
      </w:r>
      <w:r w:rsidR="009E04A8">
        <w:t xml:space="preserve">Pangasa fails to meet the criteria </w:t>
      </w:r>
      <w:r w:rsidR="003722D5">
        <w:t>for</w:t>
      </w:r>
      <w:r w:rsidR="00E86A07">
        <w:t xml:space="preserve"> establish</w:t>
      </w:r>
      <w:r w:rsidR="003722D5">
        <w:t>ing</w:t>
      </w:r>
      <w:r w:rsidR="009E04A8">
        <w:t xml:space="preserve"> party-in-interest standing and </w:t>
      </w:r>
      <w:r w:rsidR="009E04A8">
        <w:lastRenderedPageBreak/>
        <w:t xml:space="preserve">accordingly urge dismissal of the </w:t>
      </w:r>
      <w:r w:rsidR="0032460E">
        <w:t>Petition</w:t>
      </w:r>
      <w:r w:rsidR="009E04A8">
        <w:t>.</w:t>
      </w:r>
      <w:r w:rsidR="009E04A8">
        <w:rPr>
          <w:rStyle w:val="StyleFootnoteReferenceofrAppelnotedebasdepStyle12NECG"/>
        </w:rPr>
        <w:footnoteReference w:id="7"/>
      </w:r>
      <w:r w:rsidR="00E86A07">
        <w:t xml:space="preserve">  </w:t>
      </w:r>
      <w:r w:rsidR="00CC78CD">
        <w:t xml:space="preserve">The Applicants </w:t>
      </w:r>
      <w:r w:rsidR="00323A4E">
        <w:t xml:space="preserve">also </w:t>
      </w:r>
      <w:r w:rsidR="00CC78CD">
        <w:t xml:space="preserve">note that the </w:t>
      </w:r>
      <w:r w:rsidR="0032460E">
        <w:t>Petition</w:t>
      </w:r>
      <w:r w:rsidR="00CC78CD">
        <w:t xml:space="preserve"> </w:t>
      </w:r>
      <w:r w:rsidR="00FD4D15">
        <w:t>contain</w:t>
      </w:r>
      <w:r w:rsidR="0032460E">
        <w:t>s</w:t>
      </w:r>
      <w:r w:rsidR="00CC78CD">
        <w:t xml:space="preserve"> a number of procedural defects</w:t>
      </w:r>
      <w:r w:rsidR="00CC78CD">
        <w:rPr>
          <w:rStyle w:val="FootnoteReference"/>
        </w:rPr>
        <w:footnoteReference w:id="8"/>
      </w:r>
      <w:r w:rsidR="00CC78CD">
        <w:t xml:space="preserve"> </w:t>
      </w:r>
      <w:r w:rsidR="005D40CB">
        <w:t xml:space="preserve">and that the </w:t>
      </w:r>
      <w:r w:rsidR="0032460E">
        <w:t>Petition was</w:t>
      </w:r>
      <w:r w:rsidR="005D40CB">
        <w:t xml:space="preserve"> not served upon either AT&amp;T or </w:t>
      </w:r>
      <w:r w:rsidR="008C367D">
        <w:t>CenturyTel</w:t>
      </w:r>
      <w:r w:rsidR="005D40CB">
        <w:t xml:space="preserve"> in contravention of section 1.939(c)</w:t>
      </w:r>
      <w:r w:rsidR="003D0F35">
        <w:t xml:space="preserve"> of the Commission’s rules</w:t>
      </w:r>
      <w:r w:rsidR="005D40CB">
        <w:t>.</w:t>
      </w:r>
      <w:r w:rsidR="003D0F35">
        <w:rPr>
          <w:rStyle w:val="FootnoteReference"/>
        </w:rPr>
        <w:footnoteReference w:id="9"/>
      </w:r>
      <w:r w:rsidR="005D40CB">
        <w:t xml:space="preserve">  </w:t>
      </w:r>
      <w:r w:rsidR="003D3C3A">
        <w:t xml:space="preserve">Mr. </w:t>
      </w:r>
      <w:r w:rsidR="00E86A07">
        <w:t>Pang</w:t>
      </w:r>
      <w:r w:rsidR="00FD451E">
        <w:t xml:space="preserve">asa did not </w:t>
      </w:r>
      <w:r w:rsidR="00493F76">
        <w:t>respond</w:t>
      </w:r>
      <w:r w:rsidR="00FD451E">
        <w:t xml:space="preserve"> to the Joint Opposition.</w:t>
      </w:r>
    </w:p>
    <w:p w:rsidR="00642AF1" w:rsidRDefault="00642AF1" w:rsidP="00642AF1">
      <w:pPr>
        <w:pStyle w:val="Heading1"/>
      </w:pPr>
      <w:r>
        <w:t>DISCUSSION</w:t>
      </w:r>
    </w:p>
    <w:p w:rsidR="00DA5BCD" w:rsidRPr="00CE752D" w:rsidRDefault="00636BCA" w:rsidP="0026062C">
      <w:pPr>
        <w:pStyle w:val="ParaNum"/>
        <w:widowControl/>
        <w:tabs>
          <w:tab w:val="clear" w:pos="1440"/>
        </w:tabs>
        <w:jc w:val="left"/>
        <w:rPr>
          <w:szCs w:val="22"/>
        </w:rPr>
      </w:pPr>
      <w:r>
        <w:t xml:space="preserve">The </w:t>
      </w:r>
      <w:r w:rsidR="00590790">
        <w:t xml:space="preserve">Communications Act of 1934, as amended, and the </w:t>
      </w:r>
      <w:r>
        <w:t>Commission’s rules require that a petition to deny must contain specific allegations of fact sufficient to show that the petitioner is a party in interest.</w:t>
      </w:r>
      <w:r>
        <w:rPr>
          <w:rStyle w:val="FootnoteReference"/>
        </w:rPr>
        <w:footnoteReference w:id="10"/>
      </w:r>
      <w:r>
        <w:t xml:space="preserve">  </w:t>
      </w:r>
      <w:r>
        <w:rPr>
          <w:szCs w:val="22"/>
        </w:rPr>
        <w:t>To establish party-in-interest standing, a petitioner must allege facts sufficient to demonstrate that grant of the subject application would cause it to suffer a direct injury.</w:t>
      </w:r>
      <w:r>
        <w:rPr>
          <w:rStyle w:val="FootnoteReference"/>
          <w:szCs w:val="22"/>
        </w:rPr>
        <w:footnoteReference w:id="11"/>
      </w:r>
      <w:r>
        <w:rPr>
          <w:szCs w:val="22"/>
        </w:rPr>
        <w:t xml:space="preserve">  In addition, </w:t>
      </w:r>
      <w:r w:rsidR="00AE54B8">
        <w:rPr>
          <w:szCs w:val="22"/>
        </w:rPr>
        <w:t xml:space="preserve">a </w:t>
      </w:r>
      <w:r>
        <w:rPr>
          <w:szCs w:val="22"/>
        </w:rPr>
        <w:t>petitioner must demonstrate a causal link between the claimed injury and the challenged action</w:t>
      </w:r>
      <w:r w:rsidR="00AE54B8">
        <w:rPr>
          <w:szCs w:val="22"/>
        </w:rPr>
        <w:t xml:space="preserve">:  it must </w:t>
      </w:r>
      <w:r>
        <w:rPr>
          <w:szCs w:val="22"/>
        </w:rPr>
        <w:t xml:space="preserve">demonstrate that the injury can be </w:t>
      </w:r>
      <w:r w:rsidR="008025AE">
        <w:rPr>
          <w:szCs w:val="22"/>
        </w:rPr>
        <w:t xml:space="preserve">traced to the challenged action </w:t>
      </w:r>
      <w:r>
        <w:rPr>
          <w:szCs w:val="22"/>
        </w:rPr>
        <w:t>and that the injury would be prevented or redressed by the relief requested.</w:t>
      </w:r>
      <w:r>
        <w:rPr>
          <w:rStyle w:val="FootnoteReference"/>
          <w:szCs w:val="22"/>
        </w:rPr>
        <w:footnoteReference w:id="12"/>
      </w:r>
      <w:r>
        <w:rPr>
          <w:szCs w:val="22"/>
        </w:rPr>
        <w:t xml:space="preserve">  </w:t>
      </w:r>
      <w:r w:rsidR="00CE752D">
        <w:rPr>
          <w:szCs w:val="22"/>
        </w:rPr>
        <w:t xml:space="preserve">The Commission repeatedly has upheld </w:t>
      </w:r>
      <w:r w:rsidR="00873756">
        <w:rPr>
          <w:szCs w:val="22"/>
        </w:rPr>
        <w:t>these</w:t>
      </w:r>
      <w:r w:rsidR="00CE752D">
        <w:rPr>
          <w:szCs w:val="22"/>
        </w:rPr>
        <w:t xml:space="preserve"> standard</w:t>
      </w:r>
      <w:r w:rsidR="00873756">
        <w:rPr>
          <w:szCs w:val="22"/>
        </w:rPr>
        <w:t>s</w:t>
      </w:r>
      <w:r w:rsidR="00CE752D">
        <w:rPr>
          <w:szCs w:val="22"/>
        </w:rPr>
        <w:t>.</w:t>
      </w:r>
      <w:r w:rsidR="00CE752D">
        <w:rPr>
          <w:rStyle w:val="FootnoteReference"/>
          <w:szCs w:val="22"/>
        </w:rPr>
        <w:footnoteReference w:id="13"/>
      </w:r>
    </w:p>
    <w:p w:rsidR="00CC78CD" w:rsidRPr="00CC78CD" w:rsidRDefault="001B7786" w:rsidP="0026062C">
      <w:pPr>
        <w:pStyle w:val="ParaNum"/>
        <w:widowControl/>
        <w:tabs>
          <w:tab w:val="clear" w:pos="1440"/>
        </w:tabs>
        <w:jc w:val="left"/>
        <w:rPr>
          <w:szCs w:val="22"/>
        </w:rPr>
      </w:pPr>
      <w:r>
        <w:t>We find that neither the Pangasa Petition nor any of his various subsequent filings asserts specific allegations of fact sufficient to show that Mr. Pangasa is a party in interest with respect to this transaction.</w:t>
      </w:r>
      <w:r w:rsidR="00716BCD">
        <w:t xml:space="preserve">  Instead, </w:t>
      </w:r>
      <w:r w:rsidR="003D3C3A">
        <w:t xml:space="preserve">Mr. </w:t>
      </w:r>
      <w:r w:rsidR="00716BCD">
        <w:t>Pangasa</w:t>
      </w:r>
      <w:r w:rsidR="00EF01C0">
        <w:t xml:space="preserve">’s </w:t>
      </w:r>
      <w:r w:rsidR="008025AE">
        <w:t>submission</w:t>
      </w:r>
      <w:r>
        <w:t>s</w:t>
      </w:r>
      <w:r w:rsidR="00716BCD">
        <w:t xml:space="preserve"> </w:t>
      </w:r>
      <w:r w:rsidR="00EF01C0">
        <w:t>raise</w:t>
      </w:r>
      <w:r w:rsidR="00716BCD">
        <w:t xml:space="preserve"> general concerns about spectrum aggregation and</w:t>
      </w:r>
      <w:r w:rsidR="003D3C3A">
        <w:t xml:space="preserve"> various</w:t>
      </w:r>
      <w:r w:rsidR="00716BCD">
        <w:t xml:space="preserve"> wireless industry practices.</w:t>
      </w:r>
      <w:r w:rsidR="009520DE">
        <w:t xml:space="preserve">  </w:t>
      </w:r>
      <w:r w:rsidR="00CC78CD">
        <w:t xml:space="preserve">The </w:t>
      </w:r>
      <w:r w:rsidR="008025AE">
        <w:t>Petition</w:t>
      </w:r>
      <w:r w:rsidR="00CC78CD">
        <w:t xml:space="preserve"> do</w:t>
      </w:r>
      <w:r w:rsidR="008025AE">
        <w:t>es</w:t>
      </w:r>
      <w:r w:rsidR="00CC78CD">
        <w:t xml:space="preserve"> not explain how </w:t>
      </w:r>
      <w:r w:rsidR="003D3C3A">
        <w:t xml:space="preserve">Mr. </w:t>
      </w:r>
      <w:r w:rsidR="00CC78CD">
        <w:t xml:space="preserve">Pangasa might be injured by an assignment of spectrum to AT&amp;T, much less how any such injury </w:t>
      </w:r>
      <w:r w:rsidR="005D40CB">
        <w:t>might</w:t>
      </w:r>
      <w:r w:rsidR="00CC78CD">
        <w:t xml:space="preserve"> be redressed by denying</w:t>
      </w:r>
      <w:r w:rsidR="00AE54B8">
        <w:t xml:space="preserve"> or conditioning</w:t>
      </w:r>
      <w:r w:rsidR="00CC78CD">
        <w:t xml:space="preserve"> the Application.  </w:t>
      </w:r>
      <w:r>
        <w:t>We accordingly dismiss the Pangasa Pleadings, including the Petition, for lack of party-in-interest standing.</w:t>
      </w:r>
      <w:r w:rsidR="00323A4E">
        <w:rPr>
          <w:rStyle w:val="FootnoteReference"/>
        </w:rPr>
        <w:footnoteReference w:id="14"/>
      </w:r>
    </w:p>
    <w:p w:rsidR="00790FE3" w:rsidRDefault="00790FE3" w:rsidP="00790FE3">
      <w:pPr>
        <w:pStyle w:val="Heading1"/>
      </w:pPr>
      <w:r>
        <w:t>ordering clauses</w:t>
      </w:r>
    </w:p>
    <w:p w:rsidR="00FD451E" w:rsidRPr="000939DD" w:rsidRDefault="00FD451E" w:rsidP="00CA7E3E">
      <w:pPr>
        <w:pStyle w:val="ParaNum"/>
        <w:jc w:val="left"/>
      </w:pPr>
      <w:r w:rsidRPr="000939DD">
        <w:t xml:space="preserve">Accordingly, having reviewed the Application and the record in this matter, IT IS ORDERED that, pursuant to sections 4(i) and (j), 309, and 310(d) of the Communications Act of 1934, as amended, 47 U.S.C. §§ 154(i), (j), 309, 310(d), </w:t>
      </w:r>
      <w:r w:rsidR="001B7786" w:rsidRPr="000939DD">
        <w:t xml:space="preserve">the Petition and Pleadings filed by Maneesh Pangasa are </w:t>
      </w:r>
      <w:r w:rsidRPr="000939DD">
        <w:t>hereby DISMISSED for the reasons stated herein.</w:t>
      </w:r>
    </w:p>
    <w:p w:rsidR="000939DD" w:rsidRPr="000939DD" w:rsidRDefault="000939DD" w:rsidP="0028617A">
      <w:pPr>
        <w:pStyle w:val="ParaNum"/>
        <w:widowControl/>
        <w:jc w:val="left"/>
      </w:pPr>
      <w:r w:rsidRPr="000939DD">
        <w:t xml:space="preserve">IT IS FURTHER ORDERED, pursuant to sections 4(i) and 309 of the Communications Act of 1934, as amended, 47 U.S.C. §§ 154(i), 309, that the </w:t>
      </w:r>
      <w:r w:rsidR="0028617A">
        <w:t xml:space="preserve">staff of the </w:t>
      </w:r>
      <w:r w:rsidRPr="0028617A">
        <w:t>Mobility</w:t>
      </w:r>
      <w:r w:rsidRPr="000939DD">
        <w:t xml:space="preserve"> Division of the Wireless Telecommunications Bureau SHALL PROCESS the following application consistent with this </w:t>
      </w:r>
      <w:r w:rsidRPr="0028617A">
        <w:rPr>
          <w:i/>
        </w:rPr>
        <w:t>Order</w:t>
      </w:r>
      <w:r w:rsidR="0028617A">
        <w:t xml:space="preserve"> and the Commission’s r</w:t>
      </w:r>
      <w:r w:rsidRPr="000939DD">
        <w:t xml:space="preserve">ules: </w:t>
      </w:r>
      <w:r w:rsidR="0028617A">
        <w:t xml:space="preserve"> </w:t>
      </w:r>
      <w:r w:rsidRPr="000939DD">
        <w:t xml:space="preserve">ULS File No. </w:t>
      </w:r>
      <w:r w:rsidR="008C367D" w:rsidRPr="006440F6">
        <w:rPr>
          <w:szCs w:val="22"/>
        </w:rPr>
        <w:t>0005</w:t>
      </w:r>
      <w:r w:rsidR="008C367D">
        <w:rPr>
          <w:szCs w:val="22"/>
        </w:rPr>
        <w:t>337520</w:t>
      </w:r>
      <w:r w:rsidRPr="000939DD">
        <w:t>.</w:t>
      </w:r>
    </w:p>
    <w:p w:rsidR="00FA29A2" w:rsidRPr="00EA12E6" w:rsidRDefault="00FA29A2" w:rsidP="00476D28">
      <w:pPr>
        <w:pStyle w:val="ParaNum"/>
        <w:keepNext/>
        <w:widowControl/>
        <w:jc w:val="left"/>
      </w:pPr>
      <w:r w:rsidRPr="00EA12E6">
        <w:rPr>
          <w:szCs w:val="22"/>
        </w:rPr>
        <w:t xml:space="preserve">This action is taken under delegated authority pursuant to sections 0.131 and 0.331 of the Commission’s </w:t>
      </w:r>
      <w:r w:rsidR="0028617A">
        <w:rPr>
          <w:szCs w:val="22"/>
        </w:rPr>
        <w:t>r</w:t>
      </w:r>
      <w:r w:rsidRPr="00EA12E6">
        <w:rPr>
          <w:szCs w:val="22"/>
        </w:rPr>
        <w:t>ules, 47 C.F.R. §§ 0.131, 0.331.</w:t>
      </w:r>
    </w:p>
    <w:p w:rsidR="00FA29A2" w:rsidRDefault="00FA29A2" w:rsidP="004C4AB0">
      <w:pPr>
        <w:pStyle w:val="ParaNum"/>
        <w:widowControl/>
        <w:numPr>
          <w:ilvl w:val="0"/>
          <w:numId w:val="0"/>
        </w:numPr>
        <w:spacing w:after="0"/>
        <w:ind w:left="3600" w:firstLine="720"/>
        <w:outlineLvl w:val="0"/>
      </w:pPr>
      <w:r>
        <w:t>FEDERAL COMMUNICATIONS COMMISSION</w:t>
      </w:r>
    </w:p>
    <w:p w:rsidR="004C4AB0" w:rsidRPr="00F2432B" w:rsidRDefault="004C4AB0" w:rsidP="004C4AB0">
      <w:pPr>
        <w:keepNext/>
        <w:widowControl w:val="0"/>
        <w:ind w:left="4320"/>
      </w:pPr>
    </w:p>
    <w:p w:rsidR="004C4AB0" w:rsidRPr="00F2432B" w:rsidRDefault="004C4AB0" w:rsidP="004C4AB0">
      <w:pPr>
        <w:keepNext/>
        <w:widowControl w:val="0"/>
        <w:ind w:left="4320"/>
      </w:pPr>
    </w:p>
    <w:p w:rsidR="004C4AB0" w:rsidRPr="00F2432B" w:rsidRDefault="004C4AB0" w:rsidP="004C4AB0">
      <w:pPr>
        <w:keepNext/>
        <w:widowControl w:val="0"/>
        <w:ind w:left="4320"/>
      </w:pPr>
    </w:p>
    <w:p w:rsidR="004C4AB0" w:rsidRPr="00F2432B" w:rsidRDefault="004C4AB0" w:rsidP="004C4AB0">
      <w:pPr>
        <w:keepNext/>
        <w:widowControl w:val="0"/>
        <w:ind w:left="4320"/>
        <w:rPr>
          <w:kern w:val="28"/>
        </w:rPr>
      </w:pPr>
      <w:r>
        <w:rPr>
          <w:kern w:val="28"/>
        </w:rPr>
        <w:t>Katherine M. Harris</w:t>
      </w:r>
    </w:p>
    <w:p w:rsidR="004C4AB0" w:rsidRDefault="004C4AB0" w:rsidP="004C4AB0">
      <w:pPr>
        <w:keepNext/>
        <w:widowControl w:val="0"/>
        <w:ind w:left="4320"/>
      </w:pPr>
      <w:r>
        <w:t xml:space="preserve">Deputy </w:t>
      </w:r>
      <w:r w:rsidRPr="00F2432B">
        <w:t xml:space="preserve">Chief, </w:t>
      </w:r>
      <w:r>
        <w:t>Mobility Division,</w:t>
      </w:r>
    </w:p>
    <w:p w:rsidR="004C4AB0" w:rsidRPr="00254535" w:rsidRDefault="004C4AB0" w:rsidP="004C4AB0">
      <w:pPr>
        <w:keepNext/>
        <w:widowControl w:val="0"/>
        <w:ind w:left="4320"/>
      </w:pPr>
      <w:r w:rsidRPr="00F2432B">
        <w:t>Wireless Telecommunications Bureau</w:t>
      </w:r>
    </w:p>
    <w:p w:rsidR="004C4AB0" w:rsidRDefault="004C4AB0" w:rsidP="004C4AB0">
      <w:pPr>
        <w:ind w:left="4320"/>
      </w:pPr>
    </w:p>
    <w:p w:rsidR="00FA29A2" w:rsidRPr="006B57F5" w:rsidRDefault="00FA29A2" w:rsidP="00FA29A2">
      <w:pPr>
        <w:pStyle w:val="ParaNum"/>
        <w:numPr>
          <w:ilvl w:val="0"/>
          <w:numId w:val="0"/>
        </w:numPr>
        <w:jc w:val="left"/>
      </w:pPr>
    </w:p>
    <w:sectPr w:rsidR="00FA29A2" w:rsidRPr="006B57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2B" w:rsidRDefault="00AB1D2B">
      <w:r>
        <w:separator/>
      </w:r>
    </w:p>
  </w:endnote>
  <w:endnote w:type="continuationSeparator" w:id="0">
    <w:p w:rsidR="00AB1D2B" w:rsidRDefault="00AB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93" w:rsidRDefault="00556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Default="0032460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93" w:rsidRDefault="00556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2B" w:rsidRDefault="00AB1D2B">
      <w:pPr>
        <w:rPr>
          <w:sz w:val="20"/>
        </w:rPr>
      </w:pPr>
      <w:r>
        <w:rPr>
          <w:sz w:val="20"/>
        </w:rPr>
        <w:separator/>
      </w:r>
    </w:p>
  </w:footnote>
  <w:footnote w:type="continuationSeparator" w:id="0">
    <w:p w:rsidR="00AB1D2B" w:rsidRDefault="00AB1D2B">
      <w:pPr>
        <w:rPr>
          <w:sz w:val="20"/>
        </w:rPr>
      </w:pPr>
      <w:r>
        <w:rPr>
          <w:sz w:val="20"/>
        </w:rPr>
        <w:separator/>
      </w:r>
    </w:p>
    <w:p w:rsidR="00AB1D2B" w:rsidRDefault="00AB1D2B">
      <w:pPr>
        <w:rPr>
          <w:sz w:val="20"/>
        </w:rPr>
      </w:pPr>
      <w:r>
        <w:rPr>
          <w:sz w:val="20"/>
        </w:rPr>
        <w:t>(...continued from previous page)</w:t>
      </w:r>
    </w:p>
  </w:footnote>
  <w:footnote w:type="continuationNotice" w:id="1">
    <w:p w:rsidR="00AB1D2B" w:rsidRDefault="00AB1D2B">
      <w:pPr>
        <w:jc w:val="right"/>
        <w:rPr>
          <w:sz w:val="20"/>
        </w:rPr>
      </w:pPr>
      <w:r>
        <w:rPr>
          <w:sz w:val="20"/>
        </w:rPr>
        <w:t>(continued....)</w:t>
      </w:r>
    </w:p>
  </w:footnote>
  <w:footnote w:id="2">
    <w:p w:rsidR="0032460E" w:rsidRDefault="0032460E">
      <w:pPr>
        <w:pStyle w:val="FootnoteText"/>
      </w:pPr>
      <w:r>
        <w:rPr>
          <w:rStyle w:val="FootnoteReference"/>
        </w:rPr>
        <w:footnoteRef/>
      </w:r>
      <w:r>
        <w:t xml:space="preserve"> Petition to Conditionally Approve or Deny </w:t>
      </w:r>
      <w:r w:rsidR="00A1463A">
        <w:t xml:space="preserve">of Maneesh Pangasa, filed </w:t>
      </w:r>
      <w:r w:rsidR="00E22187">
        <w:t>Sept</w:t>
      </w:r>
      <w:r w:rsidR="00A1463A">
        <w:t xml:space="preserve">. </w:t>
      </w:r>
      <w:r w:rsidR="00E22187">
        <w:t>12</w:t>
      </w:r>
      <w:r>
        <w:t>, 2012.</w:t>
      </w:r>
    </w:p>
  </w:footnote>
  <w:footnote w:id="3">
    <w:p w:rsidR="0032460E" w:rsidRDefault="0032460E">
      <w:pPr>
        <w:pStyle w:val="FootnoteText"/>
      </w:pPr>
      <w:r>
        <w:rPr>
          <w:rStyle w:val="FootnoteReference"/>
        </w:rPr>
        <w:footnoteRef/>
      </w:r>
      <w:r>
        <w:t xml:space="preserve"> ULS File No. </w:t>
      </w:r>
      <w:r w:rsidR="00E22187" w:rsidRPr="006440F6">
        <w:rPr>
          <w:szCs w:val="22"/>
        </w:rPr>
        <w:t>0005</w:t>
      </w:r>
      <w:r w:rsidR="00E22187">
        <w:rPr>
          <w:szCs w:val="22"/>
        </w:rPr>
        <w:t>337520</w:t>
      </w:r>
      <w:r w:rsidR="00E22187">
        <w:t xml:space="preserve"> </w:t>
      </w:r>
      <w:r>
        <w:t>(the “Application”).</w:t>
      </w:r>
    </w:p>
  </w:footnote>
  <w:footnote w:id="4">
    <w:p w:rsidR="0032460E" w:rsidRDefault="0032460E" w:rsidP="00CA4A0B">
      <w:pPr>
        <w:pStyle w:val="FootnoteText"/>
      </w:pPr>
      <w:r>
        <w:rPr>
          <w:rStyle w:val="FootnoteReference"/>
        </w:rPr>
        <w:footnoteRef/>
      </w:r>
      <w:r>
        <w:t xml:space="preserve"> 47 U.S.C. § 310(d).  </w:t>
      </w:r>
    </w:p>
  </w:footnote>
  <w:footnote w:id="5">
    <w:p w:rsidR="0032460E" w:rsidRPr="00B843AA" w:rsidRDefault="0032460E">
      <w:pPr>
        <w:pStyle w:val="FootnoteText"/>
      </w:pPr>
      <w:r>
        <w:rPr>
          <w:rStyle w:val="FootnoteReference"/>
        </w:rPr>
        <w:footnoteRef/>
      </w:r>
      <w:r>
        <w:t xml:space="preserve"> </w:t>
      </w:r>
      <w:r w:rsidRPr="00E22187">
        <w:t xml:space="preserve">AT&amp;T Mobility Spectrum LLC and </w:t>
      </w:r>
      <w:r w:rsidR="00E22187" w:rsidRPr="00E22187">
        <w:t xml:space="preserve">CenturyTel Broadband Wireless, LLC </w:t>
      </w:r>
      <w:r w:rsidRPr="00E22187">
        <w:t xml:space="preserve">Seek FCC Consent to the Assignment of </w:t>
      </w:r>
      <w:r w:rsidR="007A4A8D" w:rsidRPr="00E22187">
        <w:t xml:space="preserve">Lower 700 MHz Band </w:t>
      </w:r>
      <w:r w:rsidR="00E22187">
        <w:t>and AWS-1</w:t>
      </w:r>
      <w:r w:rsidR="00A1463A" w:rsidRPr="00E22187">
        <w:t xml:space="preserve"> License</w:t>
      </w:r>
      <w:r w:rsidR="00E22187">
        <w:t>s</w:t>
      </w:r>
      <w:r w:rsidRPr="00E22187">
        <w:t xml:space="preserve">, ULS File No. </w:t>
      </w:r>
      <w:r w:rsidR="00E22187" w:rsidRPr="00E22187">
        <w:t>0005337520</w:t>
      </w:r>
      <w:r w:rsidRPr="00E22187">
        <w:t xml:space="preserve">, </w:t>
      </w:r>
      <w:r w:rsidRPr="00E22187">
        <w:rPr>
          <w:i/>
        </w:rPr>
        <w:t>Public Notice</w:t>
      </w:r>
      <w:r w:rsidR="00A1463A" w:rsidRPr="00E22187">
        <w:t>, DA 1</w:t>
      </w:r>
      <w:r w:rsidR="007A4A8D" w:rsidRPr="00E22187">
        <w:t>2-1</w:t>
      </w:r>
      <w:r w:rsidR="00E22187">
        <w:t>479</w:t>
      </w:r>
      <w:r w:rsidRPr="00E22187">
        <w:t xml:space="preserve"> (rel. </w:t>
      </w:r>
      <w:r w:rsidR="00E22187">
        <w:t>Sept. 11</w:t>
      </w:r>
      <w:r w:rsidRPr="00E22187">
        <w:t>, 2012) (“</w:t>
      </w:r>
      <w:r w:rsidRPr="00E22187">
        <w:rPr>
          <w:i/>
        </w:rPr>
        <w:t>Comment Public Notice</w:t>
      </w:r>
      <w:r w:rsidRPr="00E22187">
        <w:t>”).</w:t>
      </w:r>
    </w:p>
  </w:footnote>
  <w:footnote w:id="6">
    <w:p w:rsidR="0032460E" w:rsidRPr="0032460E" w:rsidRDefault="0032460E" w:rsidP="00E86A07">
      <w:pPr>
        <w:pStyle w:val="FootnoteText"/>
      </w:pPr>
      <w:r>
        <w:rPr>
          <w:rStyle w:val="FootnoteReference"/>
        </w:rPr>
        <w:footnoteRef/>
      </w:r>
      <w:r>
        <w:t xml:space="preserve"> </w:t>
      </w:r>
      <w:r>
        <w:rPr>
          <w:i/>
        </w:rPr>
        <w:t xml:space="preserve">See </w:t>
      </w:r>
      <w:r w:rsidR="008C367D">
        <w:t>Petition at 3-10</w:t>
      </w:r>
      <w:r>
        <w:t>.</w:t>
      </w:r>
    </w:p>
  </w:footnote>
  <w:footnote w:id="7">
    <w:p w:rsidR="0032460E" w:rsidRDefault="0032460E" w:rsidP="009E04A8">
      <w:pPr>
        <w:pStyle w:val="FootnoteText"/>
      </w:pPr>
      <w:r>
        <w:rPr>
          <w:rStyle w:val="FootnoteReference"/>
        </w:rPr>
        <w:footnoteRef/>
      </w:r>
      <w:r>
        <w:t xml:space="preserve"> Joint Opposition and Motion to Dismiss of AT&amp;T Inc. and </w:t>
      </w:r>
      <w:r w:rsidR="008C367D" w:rsidRPr="008C367D">
        <w:t>CenturyTel Broadband Wireless</w:t>
      </w:r>
      <w:r w:rsidR="007A4A8D">
        <w:t>, LLC</w:t>
      </w:r>
      <w:r>
        <w:t xml:space="preserve">, filed </w:t>
      </w:r>
      <w:r w:rsidR="008C367D">
        <w:t>Oct. 5</w:t>
      </w:r>
      <w:r>
        <w:t>, 2012 (“Joint Opposition”).</w:t>
      </w:r>
    </w:p>
  </w:footnote>
  <w:footnote w:id="8">
    <w:p w:rsidR="0032460E" w:rsidRDefault="0032460E">
      <w:pPr>
        <w:pStyle w:val="FootnoteText"/>
      </w:pPr>
      <w:r>
        <w:rPr>
          <w:rStyle w:val="FootnoteReference"/>
        </w:rPr>
        <w:footnoteRef/>
      </w:r>
      <w:r>
        <w:t xml:space="preserve"> The alleged defects include failure to provide the filer’s name, street address, telephone number, or s</w:t>
      </w:r>
      <w:r w:rsidR="008C367D">
        <w:t>ignature.  Joint Opposition at 5-6</w:t>
      </w:r>
      <w:r>
        <w:t>.</w:t>
      </w:r>
    </w:p>
  </w:footnote>
  <w:footnote w:id="9">
    <w:p w:rsidR="0032460E" w:rsidRPr="00493F76" w:rsidRDefault="0032460E">
      <w:pPr>
        <w:pStyle w:val="FootnoteText"/>
      </w:pPr>
      <w:r>
        <w:rPr>
          <w:rStyle w:val="FootnoteReference"/>
        </w:rPr>
        <w:footnoteRef/>
      </w:r>
      <w:r>
        <w:t xml:space="preserve"> </w:t>
      </w:r>
      <w:r>
        <w:rPr>
          <w:i/>
        </w:rPr>
        <w:t>Id.</w:t>
      </w:r>
      <w:r w:rsidR="008C367D">
        <w:t xml:space="preserve"> at 6</w:t>
      </w:r>
      <w:r>
        <w:t xml:space="preserve">; </w:t>
      </w:r>
      <w:r>
        <w:rPr>
          <w:i/>
        </w:rPr>
        <w:t>see</w:t>
      </w:r>
      <w:r>
        <w:t xml:space="preserve"> 47 C.F.R. § 1.939(c).</w:t>
      </w:r>
    </w:p>
  </w:footnote>
  <w:footnote w:id="10">
    <w:p w:rsidR="0032460E" w:rsidRDefault="0032460E" w:rsidP="00636BCA">
      <w:pPr>
        <w:pStyle w:val="FootnoteText"/>
      </w:pPr>
      <w:r>
        <w:rPr>
          <w:rStyle w:val="FootnoteReference"/>
        </w:rPr>
        <w:footnoteRef/>
      </w:r>
      <w:r>
        <w:t xml:space="preserve"> 47 U.S.C. § 309(d)(1); 47 C.F.R. § 1.939(d).</w:t>
      </w:r>
    </w:p>
  </w:footnote>
  <w:footnote w:id="11">
    <w:p w:rsidR="0032460E" w:rsidRDefault="0032460E" w:rsidP="00636BCA">
      <w:pPr>
        <w:pStyle w:val="FootnoteText"/>
      </w:pPr>
      <w:r>
        <w:rPr>
          <w:rStyle w:val="FootnoteReference"/>
        </w:rPr>
        <w:footnoteRef/>
      </w:r>
      <w:r>
        <w:t xml:space="preserve"> Applications of T-Mobile License, LLC, AT&amp;T Mobility Spectrum LLC and New Cingular Wireless PCS, LLC For Consent to Assign AWS-1 Licenses, </w:t>
      </w:r>
      <w:r>
        <w:rPr>
          <w:i/>
        </w:rPr>
        <w:t>Order</w:t>
      </w:r>
      <w:r>
        <w:t>, 27 FCC Rcd 4124, 4126 ¶ 6 (WTB 2012) (“</w:t>
      </w:r>
      <w:r>
        <w:rPr>
          <w:i/>
        </w:rPr>
        <w:t>T-Mobile-AT&amp;T Order</w:t>
      </w:r>
      <w:r>
        <w:t>”);</w:t>
      </w:r>
      <w:r>
        <w:rPr>
          <w:i/>
        </w:rPr>
        <w:t xml:space="preserve"> </w:t>
      </w:r>
      <w:r>
        <w:t xml:space="preserve">Wireless Co., L.P., </w:t>
      </w:r>
      <w:r>
        <w:rPr>
          <w:i/>
        </w:rPr>
        <w:t>Order</w:t>
      </w:r>
      <w:r>
        <w:t xml:space="preserve">, 10 FCC </w:t>
      </w:r>
      <w:smartTag w:uri="urn:schemas-microsoft-com:office:smarttags" w:element="City">
        <w:r>
          <w:t>Rcd</w:t>
        </w:r>
      </w:smartTag>
      <w:r>
        <w:t xml:space="preserve"> </w:t>
      </w:r>
      <w:smartTag w:uri="urn:schemas-microsoft-com:office:smarttags" w:element="PostalCode">
        <w:r>
          <w:t>13233</w:t>
        </w:r>
      </w:smartTag>
      <w:r>
        <w:t xml:space="preserve">, </w:t>
      </w:r>
      <w:smartTag w:uri="urn:schemas-microsoft-com:office:smarttags" w:element="PostalCode">
        <w:r>
          <w:t>13235</w:t>
        </w:r>
      </w:smartTag>
      <w:r>
        <w:t xml:space="preserve"> ¶ 7 (WTB 1995) (“</w:t>
      </w:r>
      <w:r>
        <w:rPr>
          <w:i/>
        </w:rPr>
        <w:t>Wireless Co</w:t>
      </w:r>
      <w:r>
        <w:t xml:space="preserve">.”), citing </w:t>
      </w:r>
      <w:r>
        <w:rPr>
          <w:i/>
        </w:rPr>
        <w:t>Sierra Club v</w:t>
      </w:r>
      <w:r>
        <w:t xml:space="preserve">. </w:t>
      </w:r>
      <w:r>
        <w:rPr>
          <w:i/>
        </w:rPr>
        <w:t>Morton</w:t>
      </w:r>
      <w:r>
        <w:t xml:space="preserve">, 405 </w:t>
      </w:r>
      <w:smartTag w:uri="urn:schemas-microsoft-com:office:smarttags" w:element="place">
        <w:smartTag w:uri="urn:schemas-microsoft-com:office:smarttags" w:element="country-region">
          <w:r>
            <w:t>U.S.</w:t>
          </w:r>
        </w:smartTag>
      </w:smartTag>
      <w:r>
        <w:t xml:space="preserve"> 727, 733 (1972).</w:t>
      </w:r>
    </w:p>
  </w:footnote>
  <w:footnote w:id="12">
    <w:p w:rsidR="0032460E" w:rsidRDefault="0032460E" w:rsidP="00636BCA">
      <w:pPr>
        <w:pStyle w:val="FootnoteText"/>
      </w:pPr>
      <w:r>
        <w:rPr>
          <w:rStyle w:val="FootnoteReference"/>
        </w:rPr>
        <w:footnoteRef/>
      </w:r>
      <w:r>
        <w:t xml:space="preserve"> </w:t>
      </w:r>
      <w:r>
        <w:rPr>
          <w:i/>
        </w:rPr>
        <w:t>T-Mobile-AT&amp;T Order</w:t>
      </w:r>
      <w:r>
        <w:t>, 27 FCC Rcd at 4126 ¶ 6;</w:t>
      </w:r>
      <w:r>
        <w:rPr>
          <w:i/>
        </w:rPr>
        <w:t xml:space="preserve"> Wireless Co</w:t>
      </w:r>
      <w:r>
        <w:t>., 10 FCC Rcd at 13235 ¶ 7.</w:t>
      </w:r>
    </w:p>
  </w:footnote>
  <w:footnote w:id="13">
    <w:p w:rsidR="0032460E" w:rsidRPr="00CE752D" w:rsidRDefault="0032460E">
      <w:pPr>
        <w:pStyle w:val="FootnoteText"/>
      </w:pPr>
      <w:r>
        <w:rPr>
          <w:rStyle w:val="FootnoteReference"/>
        </w:rPr>
        <w:footnoteRef/>
      </w:r>
      <w:r>
        <w:t xml:space="preserve"> </w:t>
      </w:r>
      <w:r>
        <w:rPr>
          <w:i/>
        </w:rPr>
        <w:t>See</w:t>
      </w:r>
      <w:r>
        <w:t xml:space="preserve">, </w:t>
      </w:r>
      <w:r>
        <w:rPr>
          <w:i/>
        </w:rPr>
        <w:t>e.g.</w:t>
      </w:r>
      <w:r>
        <w:t xml:space="preserve">, Application of New Cingular Wireless PCS, LLC and D&amp;E Investments, Inc. For Consent to Assign Lower 700 MHz C Block Licenses, </w:t>
      </w:r>
      <w:r>
        <w:rPr>
          <w:i/>
        </w:rPr>
        <w:t>Order</w:t>
      </w:r>
      <w:r>
        <w:t>, 27 FCC Rcd 1669, 1670-71 ¶ 6 (WTB 2012).</w:t>
      </w:r>
    </w:p>
  </w:footnote>
  <w:footnote w:id="14">
    <w:p w:rsidR="00323A4E" w:rsidRDefault="00323A4E">
      <w:pPr>
        <w:pStyle w:val="FootnoteText"/>
      </w:pPr>
      <w:r>
        <w:rPr>
          <w:rStyle w:val="FootnoteReference"/>
        </w:rPr>
        <w:footnoteRef/>
      </w:r>
      <w:r>
        <w:t xml:space="preserve"> </w:t>
      </w:r>
      <w:r w:rsidRPr="00541618">
        <w:t>In this inst</w:t>
      </w:r>
      <w:r>
        <w:t>ance, because we find that the P</w:t>
      </w:r>
      <w:r w:rsidRPr="00541618">
        <w:t xml:space="preserve">etition does not </w:t>
      </w:r>
      <w:r>
        <w:t>demonstrate the requisite party-in-interest standing</w:t>
      </w:r>
      <w:r w:rsidRPr="00541618">
        <w:t xml:space="preserve">, we need not decide whether it should be dismissed based on </w:t>
      </w:r>
      <w:r>
        <w:t>the procedural deficiencies alleged by the Applicants</w:t>
      </w:r>
      <w:r w:rsidRPr="0054161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93" w:rsidRDefault="00556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Pr="009C4E2C" w:rsidRDefault="0032460E" w:rsidP="009C4E2C">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12-</w:t>
    </w:r>
    <w:r w:rsidR="00917FDC">
      <w:rPr>
        <w:b/>
      </w:rPr>
      <w:t>2039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Pr="007B568D" w:rsidRDefault="0032460E" w:rsidP="007B568D">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12-</w:t>
    </w:r>
    <w:r w:rsidR="00917FDC">
      <w:rPr>
        <w:b/>
      </w:rPr>
      <w:t>2039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01"/>
    <w:rsid w:val="00005217"/>
    <w:rsid w:val="0001601F"/>
    <w:rsid w:val="000270C0"/>
    <w:rsid w:val="00035864"/>
    <w:rsid w:val="0003658B"/>
    <w:rsid w:val="00050403"/>
    <w:rsid w:val="000509D7"/>
    <w:rsid w:val="0006723F"/>
    <w:rsid w:val="00075C30"/>
    <w:rsid w:val="000939DD"/>
    <w:rsid w:val="000A3ED3"/>
    <w:rsid w:val="000B15EF"/>
    <w:rsid w:val="000B3B03"/>
    <w:rsid w:val="000F2CC0"/>
    <w:rsid w:val="00115FEE"/>
    <w:rsid w:val="001220EF"/>
    <w:rsid w:val="00127F97"/>
    <w:rsid w:val="001330C3"/>
    <w:rsid w:val="001369D0"/>
    <w:rsid w:val="00176E3C"/>
    <w:rsid w:val="001851B4"/>
    <w:rsid w:val="0019261E"/>
    <w:rsid w:val="001B7786"/>
    <w:rsid w:val="001C17E6"/>
    <w:rsid w:val="001F701E"/>
    <w:rsid w:val="00215198"/>
    <w:rsid w:val="0023508C"/>
    <w:rsid w:val="00235736"/>
    <w:rsid w:val="00237FDE"/>
    <w:rsid w:val="00246A09"/>
    <w:rsid w:val="002474BD"/>
    <w:rsid w:val="002520BF"/>
    <w:rsid w:val="0026062C"/>
    <w:rsid w:val="00266A17"/>
    <w:rsid w:val="00266E8D"/>
    <w:rsid w:val="0028617A"/>
    <w:rsid w:val="00297DD3"/>
    <w:rsid w:val="002A6083"/>
    <w:rsid w:val="002C144B"/>
    <w:rsid w:val="002C50A3"/>
    <w:rsid w:val="002D481C"/>
    <w:rsid w:val="002F01DF"/>
    <w:rsid w:val="002F314A"/>
    <w:rsid w:val="002F6CE9"/>
    <w:rsid w:val="00303BC5"/>
    <w:rsid w:val="00323A4E"/>
    <w:rsid w:val="0032460E"/>
    <w:rsid w:val="003351E4"/>
    <w:rsid w:val="00337FE6"/>
    <w:rsid w:val="00347DD6"/>
    <w:rsid w:val="003722D5"/>
    <w:rsid w:val="003749B5"/>
    <w:rsid w:val="00385DB0"/>
    <w:rsid w:val="003D0F35"/>
    <w:rsid w:val="003D15E8"/>
    <w:rsid w:val="003D1C74"/>
    <w:rsid w:val="003D3C3A"/>
    <w:rsid w:val="003F457A"/>
    <w:rsid w:val="003F48C3"/>
    <w:rsid w:val="003F56D3"/>
    <w:rsid w:val="00401D81"/>
    <w:rsid w:val="00425A78"/>
    <w:rsid w:val="00435ADD"/>
    <w:rsid w:val="00450DD5"/>
    <w:rsid w:val="00460586"/>
    <w:rsid w:val="00472FD9"/>
    <w:rsid w:val="00476D28"/>
    <w:rsid w:val="00477F19"/>
    <w:rsid w:val="00485292"/>
    <w:rsid w:val="00487FBC"/>
    <w:rsid w:val="004930FA"/>
    <w:rsid w:val="00493F76"/>
    <w:rsid w:val="004A10B4"/>
    <w:rsid w:val="004C4AB0"/>
    <w:rsid w:val="004D5888"/>
    <w:rsid w:val="004D7B29"/>
    <w:rsid w:val="004E5A59"/>
    <w:rsid w:val="004F698A"/>
    <w:rsid w:val="0052382D"/>
    <w:rsid w:val="005360D9"/>
    <w:rsid w:val="00554A3A"/>
    <w:rsid w:val="00556099"/>
    <w:rsid w:val="00556793"/>
    <w:rsid w:val="00582901"/>
    <w:rsid w:val="00590790"/>
    <w:rsid w:val="0059647C"/>
    <w:rsid w:val="00596D13"/>
    <w:rsid w:val="005B063D"/>
    <w:rsid w:val="005D1F52"/>
    <w:rsid w:val="005D40CB"/>
    <w:rsid w:val="00610813"/>
    <w:rsid w:val="00631D63"/>
    <w:rsid w:val="00635F00"/>
    <w:rsid w:val="00636BCA"/>
    <w:rsid w:val="00642AF1"/>
    <w:rsid w:val="006440F6"/>
    <w:rsid w:val="006609AA"/>
    <w:rsid w:val="0068625D"/>
    <w:rsid w:val="00693854"/>
    <w:rsid w:val="006B57F5"/>
    <w:rsid w:val="006B6D50"/>
    <w:rsid w:val="006C615E"/>
    <w:rsid w:val="006D167B"/>
    <w:rsid w:val="006F541F"/>
    <w:rsid w:val="00716BCD"/>
    <w:rsid w:val="00732291"/>
    <w:rsid w:val="00750548"/>
    <w:rsid w:val="0076526B"/>
    <w:rsid w:val="0077172E"/>
    <w:rsid w:val="007721B7"/>
    <w:rsid w:val="00790FE3"/>
    <w:rsid w:val="00794A01"/>
    <w:rsid w:val="007A4A8D"/>
    <w:rsid w:val="007B0F77"/>
    <w:rsid w:val="007B568D"/>
    <w:rsid w:val="007B787C"/>
    <w:rsid w:val="007C0CF9"/>
    <w:rsid w:val="007C3AD7"/>
    <w:rsid w:val="007D231E"/>
    <w:rsid w:val="007F3771"/>
    <w:rsid w:val="00801D4C"/>
    <w:rsid w:val="008025AE"/>
    <w:rsid w:val="008108FF"/>
    <w:rsid w:val="008430E8"/>
    <w:rsid w:val="0084622D"/>
    <w:rsid w:val="00847CE6"/>
    <w:rsid w:val="0085352D"/>
    <w:rsid w:val="00855807"/>
    <w:rsid w:val="0086594C"/>
    <w:rsid w:val="0087020C"/>
    <w:rsid w:val="00873756"/>
    <w:rsid w:val="008844C3"/>
    <w:rsid w:val="00893ABD"/>
    <w:rsid w:val="008964B2"/>
    <w:rsid w:val="008B4C08"/>
    <w:rsid w:val="008C367D"/>
    <w:rsid w:val="008C68D6"/>
    <w:rsid w:val="008D5B16"/>
    <w:rsid w:val="008E1091"/>
    <w:rsid w:val="008E4BA3"/>
    <w:rsid w:val="008F419C"/>
    <w:rsid w:val="008F7EA7"/>
    <w:rsid w:val="0090245F"/>
    <w:rsid w:val="009061E5"/>
    <w:rsid w:val="00907203"/>
    <w:rsid w:val="00916C66"/>
    <w:rsid w:val="00917FDC"/>
    <w:rsid w:val="0093537B"/>
    <w:rsid w:val="009369C1"/>
    <w:rsid w:val="009416A2"/>
    <w:rsid w:val="00942494"/>
    <w:rsid w:val="009520DE"/>
    <w:rsid w:val="009556B7"/>
    <w:rsid w:val="00990A18"/>
    <w:rsid w:val="00995533"/>
    <w:rsid w:val="009B0D16"/>
    <w:rsid w:val="009B1487"/>
    <w:rsid w:val="009B7BAD"/>
    <w:rsid w:val="009C4E2C"/>
    <w:rsid w:val="009C521D"/>
    <w:rsid w:val="009D43AC"/>
    <w:rsid w:val="009E04A8"/>
    <w:rsid w:val="00A01489"/>
    <w:rsid w:val="00A031EA"/>
    <w:rsid w:val="00A033CC"/>
    <w:rsid w:val="00A1463A"/>
    <w:rsid w:val="00A34305"/>
    <w:rsid w:val="00A34430"/>
    <w:rsid w:val="00A7124D"/>
    <w:rsid w:val="00A723FB"/>
    <w:rsid w:val="00A74945"/>
    <w:rsid w:val="00A80008"/>
    <w:rsid w:val="00A81589"/>
    <w:rsid w:val="00A832C1"/>
    <w:rsid w:val="00A855BD"/>
    <w:rsid w:val="00A93483"/>
    <w:rsid w:val="00A951EE"/>
    <w:rsid w:val="00AA42C6"/>
    <w:rsid w:val="00AA7024"/>
    <w:rsid w:val="00AB1D2B"/>
    <w:rsid w:val="00AB55CB"/>
    <w:rsid w:val="00AC5446"/>
    <w:rsid w:val="00AE00FB"/>
    <w:rsid w:val="00AE4B5B"/>
    <w:rsid w:val="00AE54B8"/>
    <w:rsid w:val="00AF2CC4"/>
    <w:rsid w:val="00B10165"/>
    <w:rsid w:val="00B25B59"/>
    <w:rsid w:val="00B308A9"/>
    <w:rsid w:val="00B332D5"/>
    <w:rsid w:val="00B33B87"/>
    <w:rsid w:val="00B47EDD"/>
    <w:rsid w:val="00B54559"/>
    <w:rsid w:val="00B63DCE"/>
    <w:rsid w:val="00B74847"/>
    <w:rsid w:val="00B77B8C"/>
    <w:rsid w:val="00B843AA"/>
    <w:rsid w:val="00B87253"/>
    <w:rsid w:val="00B92187"/>
    <w:rsid w:val="00B943B0"/>
    <w:rsid w:val="00B9700D"/>
    <w:rsid w:val="00BB00BA"/>
    <w:rsid w:val="00BB073D"/>
    <w:rsid w:val="00BC4E79"/>
    <w:rsid w:val="00BD2D51"/>
    <w:rsid w:val="00BD7273"/>
    <w:rsid w:val="00BF1951"/>
    <w:rsid w:val="00C04E06"/>
    <w:rsid w:val="00C16626"/>
    <w:rsid w:val="00C17A8C"/>
    <w:rsid w:val="00C56627"/>
    <w:rsid w:val="00C70508"/>
    <w:rsid w:val="00C97AE1"/>
    <w:rsid w:val="00CA0653"/>
    <w:rsid w:val="00CA4A0B"/>
    <w:rsid w:val="00CA7E3E"/>
    <w:rsid w:val="00CB07CA"/>
    <w:rsid w:val="00CB2536"/>
    <w:rsid w:val="00CB6C81"/>
    <w:rsid w:val="00CC78CD"/>
    <w:rsid w:val="00CD38EB"/>
    <w:rsid w:val="00CE675A"/>
    <w:rsid w:val="00CE752D"/>
    <w:rsid w:val="00D04B78"/>
    <w:rsid w:val="00D0657D"/>
    <w:rsid w:val="00D67C38"/>
    <w:rsid w:val="00D74D07"/>
    <w:rsid w:val="00D90935"/>
    <w:rsid w:val="00DA193F"/>
    <w:rsid w:val="00DA5BCD"/>
    <w:rsid w:val="00DC6BE7"/>
    <w:rsid w:val="00DE4CAD"/>
    <w:rsid w:val="00E00365"/>
    <w:rsid w:val="00E22187"/>
    <w:rsid w:val="00E757B8"/>
    <w:rsid w:val="00E84033"/>
    <w:rsid w:val="00E86A07"/>
    <w:rsid w:val="00E93D2A"/>
    <w:rsid w:val="00EA12E6"/>
    <w:rsid w:val="00EA7E71"/>
    <w:rsid w:val="00EC2405"/>
    <w:rsid w:val="00EC3F66"/>
    <w:rsid w:val="00EC514D"/>
    <w:rsid w:val="00EC6E0E"/>
    <w:rsid w:val="00ED7B9E"/>
    <w:rsid w:val="00EE5C79"/>
    <w:rsid w:val="00EE70BB"/>
    <w:rsid w:val="00EF01C0"/>
    <w:rsid w:val="00F21340"/>
    <w:rsid w:val="00F657C5"/>
    <w:rsid w:val="00F70752"/>
    <w:rsid w:val="00F85F9B"/>
    <w:rsid w:val="00F94DFF"/>
    <w:rsid w:val="00FA122A"/>
    <w:rsid w:val="00FA29A2"/>
    <w:rsid w:val="00FD451E"/>
    <w:rsid w:val="00FD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9496">
      <w:bodyDiv w:val="1"/>
      <w:marLeft w:val="0"/>
      <w:marRight w:val="0"/>
      <w:marTop w:val="0"/>
      <w:marBottom w:val="0"/>
      <w:divBdr>
        <w:top w:val="none" w:sz="0" w:space="0" w:color="auto"/>
        <w:left w:val="none" w:sz="0" w:space="0" w:color="auto"/>
        <w:bottom w:val="none" w:sz="0" w:space="0" w:color="auto"/>
        <w:right w:val="none" w:sz="0" w:space="0" w:color="auto"/>
      </w:divBdr>
      <w:divsChild>
        <w:div w:id="79185545">
          <w:marLeft w:val="0"/>
          <w:marRight w:val="0"/>
          <w:marTop w:val="0"/>
          <w:marBottom w:val="0"/>
          <w:divBdr>
            <w:top w:val="none" w:sz="0" w:space="0" w:color="auto"/>
            <w:left w:val="single" w:sz="4" w:space="0" w:color="BBBBBB"/>
            <w:bottom w:val="single" w:sz="4" w:space="0" w:color="BBBBBB"/>
            <w:right w:val="single" w:sz="4" w:space="0" w:color="BBBBBB"/>
          </w:divBdr>
          <w:divsChild>
            <w:div w:id="361636179">
              <w:marLeft w:val="0"/>
              <w:marRight w:val="0"/>
              <w:marTop w:val="0"/>
              <w:marBottom w:val="0"/>
              <w:divBdr>
                <w:top w:val="none" w:sz="0" w:space="0" w:color="auto"/>
                <w:left w:val="none" w:sz="0" w:space="0" w:color="auto"/>
                <w:bottom w:val="none" w:sz="0" w:space="0" w:color="auto"/>
                <w:right w:val="none" w:sz="0" w:space="0" w:color="auto"/>
              </w:divBdr>
              <w:divsChild>
                <w:div w:id="448090145">
                  <w:marLeft w:val="0"/>
                  <w:marRight w:val="0"/>
                  <w:marTop w:val="0"/>
                  <w:marBottom w:val="0"/>
                  <w:divBdr>
                    <w:top w:val="none" w:sz="0" w:space="0" w:color="auto"/>
                    <w:left w:val="none" w:sz="0" w:space="0" w:color="auto"/>
                    <w:bottom w:val="none" w:sz="0" w:space="0" w:color="auto"/>
                    <w:right w:val="none" w:sz="0" w:space="0" w:color="auto"/>
                  </w:divBdr>
                  <w:divsChild>
                    <w:div w:id="748431640">
                      <w:marLeft w:val="0"/>
                      <w:marRight w:val="0"/>
                      <w:marTop w:val="0"/>
                      <w:marBottom w:val="0"/>
                      <w:divBdr>
                        <w:top w:val="none" w:sz="0" w:space="0" w:color="auto"/>
                        <w:left w:val="none" w:sz="0" w:space="0" w:color="auto"/>
                        <w:bottom w:val="none" w:sz="0" w:space="0" w:color="auto"/>
                        <w:right w:val="none" w:sz="0" w:space="0" w:color="auto"/>
                      </w:divBdr>
                      <w:divsChild>
                        <w:div w:id="609894542">
                          <w:marLeft w:val="0"/>
                          <w:marRight w:val="0"/>
                          <w:marTop w:val="0"/>
                          <w:marBottom w:val="0"/>
                          <w:divBdr>
                            <w:top w:val="none" w:sz="0" w:space="0" w:color="auto"/>
                            <w:left w:val="none" w:sz="0" w:space="0" w:color="auto"/>
                            <w:bottom w:val="none" w:sz="0" w:space="0" w:color="auto"/>
                            <w:right w:val="none" w:sz="0" w:space="0" w:color="auto"/>
                          </w:divBdr>
                          <w:divsChild>
                            <w:div w:id="1349527239">
                              <w:marLeft w:val="0"/>
                              <w:marRight w:val="0"/>
                              <w:marTop w:val="0"/>
                              <w:marBottom w:val="0"/>
                              <w:divBdr>
                                <w:top w:val="none" w:sz="0" w:space="0" w:color="auto"/>
                                <w:left w:val="none" w:sz="0" w:space="0" w:color="auto"/>
                                <w:bottom w:val="none" w:sz="0" w:space="0" w:color="auto"/>
                                <w:right w:val="none" w:sz="0" w:space="0" w:color="auto"/>
                              </w:divBdr>
                              <w:divsChild>
                                <w:div w:id="1688673321">
                                  <w:marLeft w:val="0"/>
                                  <w:marRight w:val="0"/>
                                  <w:marTop w:val="0"/>
                                  <w:marBottom w:val="0"/>
                                  <w:divBdr>
                                    <w:top w:val="none" w:sz="0" w:space="0" w:color="auto"/>
                                    <w:left w:val="none" w:sz="0" w:space="0" w:color="auto"/>
                                    <w:bottom w:val="none" w:sz="0" w:space="0" w:color="auto"/>
                                    <w:right w:val="none" w:sz="0" w:space="0" w:color="auto"/>
                                  </w:divBdr>
                                  <w:divsChild>
                                    <w:div w:id="791244330">
                                      <w:marLeft w:val="0"/>
                                      <w:marRight w:val="0"/>
                                      <w:marTop w:val="0"/>
                                      <w:marBottom w:val="0"/>
                                      <w:divBdr>
                                        <w:top w:val="none" w:sz="0" w:space="0" w:color="auto"/>
                                        <w:left w:val="none" w:sz="0" w:space="0" w:color="auto"/>
                                        <w:bottom w:val="none" w:sz="0" w:space="0" w:color="auto"/>
                                        <w:right w:val="none" w:sz="0" w:space="0" w:color="auto"/>
                                      </w:divBdr>
                                      <w:divsChild>
                                        <w:div w:id="1329287351">
                                          <w:marLeft w:val="1038"/>
                                          <w:marRight w:val="1038"/>
                                          <w:marTop w:val="0"/>
                                          <w:marBottom w:val="0"/>
                                          <w:divBdr>
                                            <w:top w:val="none" w:sz="0" w:space="0" w:color="auto"/>
                                            <w:left w:val="none" w:sz="0" w:space="0" w:color="auto"/>
                                            <w:bottom w:val="none" w:sz="0" w:space="0" w:color="auto"/>
                                            <w:right w:val="none" w:sz="0" w:space="0" w:color="auto"/>
                                          </w:divBdr>
                                          <w:divsChild>
                                            <w:div w:id="900365109">
                                              <w:marLeft w:val="0"/>
                                              <w:marRight w:val="0"/>
                                              <w:marTop w:val="0"/>
                                              <w:marBottom w:val="0"/>
                                              <w:divBdr>
                                                <w:top w:val="none" w:sz="0" w:space="0" w:color="auto"/>
                                                <w:left w:val="none" w:sz="0" w:space="0" w:color="auto"/>
                                                <w:bottom w:val="none" w:sz="0" w:space="0" w:color="auto"/>
                                                <w:right w:val="none" w:sz="0" w:space="0" w:color="auto"/>
                                              </w:divBdr>
                                              <w:divsChild>
                                                <w:div w:id="1588265485">
                                                  <w:marLeft w:val="0"/>
                                                  <w:marRight w:val="0"/>
                                                  <w:marTop w:val="0"/>
                                                  <w:marBottom w:val="0"/>
                                                  <w:divBdr>
                                                    <w:top w:val="none" w:sz="0" w:space="0" w:color="auto"/>
                                                    <w:left w:val="none" w:sz="0" w:space="0" w:color="auto"/>
                                                    <w:bottom w:val="none" w:sz="0" w:space="0" w:color="auto"/>
                                                    <w:right w:val="none" w:sz="0" w:space="0" w:color="auto"/>
                                                  </w:divBdr>
                                                  <w:divsChild>
                                                    <w:div w:id="1147167917">
                                                      <w:marLeft w:val="0"/>
                                                      <w:marRight w:val="0"/>
                                                      <w:marTop w:val="0"/>
                                                      <w:marBottom w:val="0"/>
                                                      <w:divBdr>
                                                        <w:top w:val="none" w:sz="0" w:space="0" w:color="auto"/>
                                                        <w:left w:val="none" w:sz="0" w:space="0" w:color="auto"/>
                                                        <w:bottom w:val="none" w:sz="0" w:space="0" w:color="auto"/>
                                                        <w:right w:val="none" w:sz="0" w:space="0" w:color="auto"/>
                                                      </w:divBdr>
                                                      <w:divsChild>
                                                        <w:div w:id="492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3974</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2012-12-18T18:12:00Z</cp:lastPrinted>
  <dcterms:created xsi:type="dcterms:W3CDTF">2012-12-18T18:41:00Z</dcterms:created>
  <dcterms:modified xsi:type="dcterms:W3CDTF">2012-12-18T18:41:00Z</dcterms:modified>
  <cp:category> </cp:category>
  <cp:contentStatus> </cp:contentStatus>
</cp:coreProperties>
</file>