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19" w:rsidRDefault="00C87319">
      <w:pPr>
        <w:jc w:val="center"/>
        <w:rPr>
          <w:b/>
        </w:rPr>
      </w:pPr>
      <w:bookmarkStart w:id="0" w:name="_GoBack"/>
      <w:bookmarkEnd w:id="0"/>
      <w:r>
        <w:rPr>
          <w:b/>
        </w:rPr>
        <w:t>Before the</w:t>
      </w:r>
    </w:p>
    <w:p w:rsidR="00C87319" w:rsidRDefault="00C87319">
      <w:pPr>
        <w:jc w:val="center"/>
        <w:rPr>
          <w:b/>
        </w:rPr>
      </w:pPr>
      <w:r>
        <w:rPr>
          <w:b/>
        </w:rPr>
        <w:t>Federal Communications Commission</w:t>
      </w:r>
    </w:p>
    <w:p w:rsidR="00C87319" w:rsidRDefault="00C87319">
      <w:pPr>
        <w:jc w:val="center"/>
        <w:rPr>
          <w:b/>
        </w:rPr>
      </w:pPr>
      <w:r>
        <w:rPr>
          <w:b/>
        </w:rPr>
        <w:t>Washington, D.C. 20554</w:t>
      </w:r>
    </w:p>
    <w:p w:rsidR="00C87319" w:rsidRDefault="00C87319"/>
    <w:p w:rsidR="00C87319" w:rsidRDefault="00C87319"/>
    <w:tbl>
      <w:tblPr>
        <w:tblW w:w="9648" w:type="dxa"/>
        <w:tblLayout w:type="fixed"/>
        <w:tblLook w:val="0000" w:firstRow="0" w:lastRow="0" w:firstColumn="0" w:lastColumn="0" w:noHBand="0" w:noVBand="0"/>
      </w:tblPr>
      <w:tblGrid>
        <w:gridCol w:w="4698"/>
        <w:gridCol w:w="720"/>
        <w:gridCol w:w="4230"/>
      </w:tblGrid>
      <w:tr w:rsidR="00C87319">
        <w:tc>
          <w:tcPr>
            <w:tcW w:w="4698" w:type="dxa"/>
          </w:tcPr>
          <w:p w:rsidR="00C87319" w:rsidRDefault="00C87319">
            <w:pPr>
              <w:ind w:right="-18"/>
            </w:pPr>
            <w:r>
              <w:t>In the Matter of</w:t>
            </w:r>
          </w:p>
          <w:p w:rsidR="00C87319" w:rsidRDefault="00C87319">
            <w:pPr>
              <w:ind w:right="-18"/>
            </w:pPr>
          </w:p>
          <w:p w:rsidR="00C87319" w:rsidRDefault="00C87319">
            <w:pPr>
              <w:ind w:right="-18"/>
            </w:pPr>
            <w:r>
              <w:t>JAMES T. POTTS</w:t>
            </w:r>
          </w:p>
          <w:p w:rsidR="00C87319" w:rsidRDefault="00C87319">
            <w:pPr>
              <w:ind w:right="-18"/>
            </w:pPr>
          </w:p>
          <w:p w:rsidR="00C87319" w:rsidRDefault="00C87319" w:rsidP="00C87319">
            <w:pPr>
              <w:ind w:right="-18"/>
            </w:pPr>
            <w:r>
              <w:t>Request for Waiver of Sections 90.307 and 90.309 of the Commission’s Rules</w:t>
            </w:r>
          </w:p>
        </w:tc>
        <w:tc>
          <w:tcPr>
            <w:tcW w:w="720" w:type="dxa"/>
          </w:tcPr>
          <w:p w:rsidR="00C87319" w:rsidRDefault="00C87319">
            <w:r>
              <w:t>)</w:t>
            </w:r>
          </w:p>
          <w:p w:rsidR="00C87319" w:rsidRDefault="00C87319">
            <w:r>
              <w:t>)</w:t>
            </w:r>
          </w:p>
          <w:p w:rsidR="00C87319" w:rsidRDefault="00C87319">
            <w:r>
              <w:t>)</w:t>
            </w:r>
          </w:p>
          <w:p w:rsidR="00C87319" w:rsidRDefault="00C87319">
            <w:r>
              <w:t>)</w:t>
            </w:r>
          </w:p>
          <w:p w:rsidR="00C87319" w:rsidRDefault="00C87319">
            <w:r>
              <w:t>)</w:t>
            </w:r>
          </w:p>
          <w:p w:rsidR="00C87319" w:rsidRDefault="00C87319">
            <w:pPr>
              <w:rPr>
                <w:b/>
              </w:rPr>
            </w:pPr>
            <w:r>
              <w:t>)</w:t>
            </w:r>
          </w:p>
        </w:tc>
        <w:tc>
          <w:tcPr>
            <w:tcW w:w="4230" w:type="dxa"/>
          </w:tcPr>
          <w:p w:rsidR="00C87319" w:rsidRDefault="00C87319"/>
          <w:p w:rsidR="00C87319" w:rsidRDefault="00C87319"/>
          <w:p w:rsidR="00C87319" w:rsidRDefault="00C87319">
            <w:r>
              <w:t xml:space="preserve">File No. 0004976641 </w:t>
            </w:r>
          </w:p>
          <w:p w:rsidR="00C87319" w:rsidRDefault="00C87319"/>
          <w:p w:rsidR="00C87319" w:rsidRDefault="00C87319"/>
        </w:tc>
      </w:tr>
    </w:tbl>
    <w:p w:rsidR="00C87319" w:rsidRDefault="00C87319"/>
    <w:p w:rsidR="00C87319" w:rsidRDefault="00C87319">
      <w:pPr>
        <w:spacing w:before="120"/>
        <w:jc w:val="center"/>
        <w:rPr>
          <w:b/>
        </w:rPr>
      </w:pPr>
      <w:r>
        <w:rPr>
          <w:b/>
          <w:spacing w:val="-2"/>
        </w:rPr>
        <w:t>ORDER</w:t>
      </w:r>
    </w:p>
    <w:p w:rsidR="00C87319" w:rsidRDefault="00C87319"/>
    <w:p w:rsidR="00C87319" w:rsidRDefault="00C87319">
      <w:pPr>
        <w:tabs>
          <w:tab w:val="left" w:pos="5760"/>
          <w:tab w:val="right" w:pos="9360"/>
        </w:tabs>
        <w:rPr>
          <w:b/>
        </w:rPr>
      </w:pPr>
      <w:r>
        <w:rPr>
          <w:b/>
        </w:rPr>
        <w:t xml:space="preserve">Adopted:  December </w:t>
      </w:r>
      <w:r w:rsidR="00AE3EEC">
        <w:rPr>
          <w:b/>
        </w:rPr>
        <w:t>20</w:t>
      </w:r>
      <w:r>
        <w:rPr>
          <w:b/>
        </w:rPr>
        <w:t>, 2012</w:t>
      </w:r>
      <w:r>
        <w:rPr>
          <w:b/>
        </w:rPr>
        <w:tab/>
      </w:r>
      <w:r>
        <w:rPr>
          <w:b/>
        </w:rPr>
        <w:tab/>
        <w:t xml:space="preserve">Released:  December </w:t>
      </w:r>
      <w:r w:rsidR="00AE3EEC">
        <w:rPr>
          <w:b/>
        </w:rPr>
        <w:t>21</w:t>
      </w:r>
      <w:r>
        <w:rPr>
          <w:b/>
        </w:rPr>
        <w:t>, 2012</w:t>
      </w:r>
    </w:p>
    <w:p w:rsidR="00C87319" w:rsidRDefault="00C87319">
      <w:pPr>
        <w:tabs>
          <w:tab w:val="left" w:pos="5760"/>
          <w:tab w:val="right" w:pos="9360"/>
        </w:tabs>
        <w:rPr>
          <w:b/>
        </w:rPr>
      </w:pPr>
    </w:p>
    <w:p w:rsidR="00C87319" w:rsidRDefault="00C87319">
      <w:pPr>
        <w:tabs>
          <w:tab w:val="left" w:pos="5760"/>
        </w:tabs>
      </w:pPr>
      <w:r>
        <w:t>By the Deputy Chief, Mobility Division</w:t>
      </w:r>
      <w:r>
        <w:rPr>
          <w:spacing w:val="-2"/>
        </w:rPr>
        <w:t>,</w:t>
      </w:r>
      <w:r>
        <w:rPr>
          <w:spacing w:val="-2"/>
          <w:szCs w:val="22"/>
        </w:rPr>
        <w:t xml:space="preserve"> Wireless Telecommunications Bureau:</w:t>
      </w:r>
    </w:p>
    <w:p w:rsidR="00C87319" w:rsidRDefault="00C87319">
      <w:pPr>
        <w:tabs>
          <w:tab w:val="left" w:pos="5760"/>
        </w:tabs>
        <w:rPr>
          <w:b/>
        </w:rPr>
      </w:pPr>
    </w:p>
    <w:p w:rsidR="00C87319" w:rsidRDefault="00C87319">
      <w:pPr>
        <w:pStyle w:val="StyleHeading1LeftAfter6pt"/>
        <w:rPr>
          <w:color w:val="000000"/>
          <w:szCs w:val="22"/>
        </w:rPr>
      </w:pPr>
      <w:r>
        <w:t>Introduction</w:t>
      </w:r>
    </w:p>
    <w:p w:rsidR="00C87319" w:rsidRDefault="00C87319">
      <w:pPr>
        <w:pStyle w:val="StyleParaNumLeft"/>
        <w:ind w:left="0"/>
      </w:pPr>
      <w:bookmarkStart w:id="1" w:name="OLE_LINK1"/>
      <w:bookmarkStart w:id="2" w:name="OLE_LINK2"/>
      <w:bookmarkStart w:id="3" w:name="OLE_LINK5"/>
      <w:r>
        <w:t xml:space="preserve">James T. Potts filed an application and request for waiver for a new </w:t>
      </w:r>
      <w:r>
        <w:rPr>
          <w:color w:val="000000"/>
        </w:rPr>
        <w:t xml:space="preserve">470-512 MHz band (T-Band) </w:t>
      </w:r>
      <w:r w:rsidR="00D5766C">
        <w:rPr>
          <w:color w:val="000000"/>
        </w:rPr>
        <w:t xml:space="preserve">private land mobile radio (PLMR) </w:t>
      </w:r>
      <w:r>
        <w:rPr>
          <w:color w:val="000000"/>
        </w:rPr>
        <w:t>station</w:t>
      </w:r>
      <w:r>
        <w:rPr>
          <w:szCs w:val="22"/>
        </w:rPr>
        <w:t>.</w:t>
      </w:r>
      <w:r>
        <w:rPr>
          <w:rStyle w:val="FootnoteReference"/>
          <w:szCs w:val="22"/>
        </w:rPr>
        <w:footnoteReference w:id="2"/>
      </w:r>
      <w:r>
        <w:rPr>
          <w:szCs w:val="22"/>
        </w:rPr>
        <w:t xml:space="preserve"> </w:t>
      </w:r>
      <w:r>
        <w:t xml:space="preserve"> </w:t>
      </w:r>
      <w:r>
        <w:rPr>
          <w:rStyle w:val="StyleParaNumBlackChar"/>
        </w:rPr>
        <w:t xml:space="preserve">Specifically, </w:t>
      </w:r>
      <w:r>
        <w:t>Potts</w:t>
      </w:r>
      <w:r>
        <w:rPr>
          <w:rStyle w:val="StyleParaNumBlackChar"/>
        </w:rPr>
        <w:t xml:space="preserve"> </w:t>
      </w:r>
      <w:r>
        <w:rPr>
          <w:color w:val="000000"/>
        </w:rPr>
        <w:t>requests a waiver because he proposes to operate a mobile relay station in the vicinity of a protected co-channel television station.</w:t>
      </w:r>
      <w:r>
        <w:rPr>
          <w:szCs w:val="22"/>
        </w:rPr>
        <w:t xml:space="preserve"> </w:t>
      </w:r>
      <w:r>
        <w:t xml:space="preserve"> For the reasons stated below, we deny the Waiver Request and </w:t>
      </w:r>
      <w:r w:rsidR="002A72C0">
        <w:t xml:space="preserve">will </w:t>
      </w:r>
      <w:r>
        <w:t xml:space="preserve">dismiss the application. </w:t>
      </w:r>
    </w:p>
    <w:bookmarkEnd w:id="1"/>
    <w:bookmarkEnd w:id="2"/>
    <w:bookmarkEnd w:id="3"/>
    <w:p w:rsidR="00C87319" w:rsidRDefault="00C87319">
      <w:pPr>
        <w:pStyle w:val="StyleHeading1LeftAfter6pt"/>
      </w:pPr>
      <w:r>
        <w:t>BACKGROUND</w:t>
      </w:r>
    </w:p>
    <w:p w:rsidR="00C87319" w:rsidRDefault="00D5766C" w:rsidP="00986278">
      <w:pPr>
        <w:pStyle w:val="StyleParaNumLeft"/>
        <w:ind w:left="0"/>
      </w:pPr>
      <w:r>
        <w:t>Sections 90.307 and 90.309 of the Commission’s Rules provide that T-Band PLMR stations may not be located within a certain distance (depending on the PLMR station’s antenna height and effective radiated power) of co-channel and adjacent channel television stations identified in the Commission’s publication “TV stations to be considered in the preparation of Applications for Land Mobile Facilities in the Band 470-512 MHz.”</w:t>
      </w:r>
      <w:r>
        <w:rPr>
          <w:rStyle w:val="FootnoteReference"/>
        </w:rPr>
        <w:footnoteReference w:id="3"/>
      </w:r>
      <w:r>
        <w:t xml:space="preserve">  Potts acknowledges that Television Station WATR-TV (now WCCT-TV), Waterbury, Connecticut, </w:t>
      </w:r>
      <w:r w:rsidR="00986278">
        <w:t xml:space="preserve">is </w:t>
      </w:r>
      <w:r w:rsidR="002A72C0">
        <w:t xml:space="preserve">identified in the publication and is </w:t>
      </w:r>
      <w:r w:rsidR="00986278">
        <w:t>within the protection criteria</w:t>
      </w:r>
      <w:r w:rsidR="002A72C0">
        <w:t xml:space="preserve"> of his proposed facility</w:t>
      </w:r>
      <w:r w:rsidR="00986278">
        <w:t>.</w:t>
      </w:r>
      <w:r w:rsidR="00C87319">
        <w:rPr>
          <w:rStyle w:val="FootnoteReference"/>
        </w:rPr>
        <w:footnoteReference w:id="4"/>
      </w:r>
      <w:r w:rsidR="00C87319">
        <w:t xml:space="preserve">  </w:t>
      </w:r>
      <w:r w:rsidR="00986278">
        <w:t xml:space="preserve">He notes, however, that the </w:t>
      </w:r>
      <w:r w:rsidR="00760E38">
        <w:t>s</w:t>
      </w:r>
      <w:r w:rsidR="00986278">
        <w:t>tation now broadcasts from Farmington, Connecticut, which is not within the protection criteria for Potts’s proposed PLMR station.  Potts therefore requests a waiver of Sections 90.307 and 90.309 to permit operation of a co-channel PLMR station at Franklin Township, New Jersey.</w:t>
      </w:r>
      <w:r w:rsidR="00986278">
        <w:rPr>
          <w:rStyle w:val="FootnoteReference"/>
        </w:rPr>
        <w:footnoteReference w:id="5"/>
      </w:r>
    </w:p>
    <w:p w:rsidR="00BA275C" w:rsidRDefault="00BA275C" w:rsidP="00986278">
      <w:pPr>
        <w:pStyle w:val="StyleParaNumLeft"/>
        <w:ind w:left="0"/>
      </w:pPr>
      <w:r>
        <w:rPr>
          <w:szCs w:val="22"/>
        </w:rPr>
        <w:t>On February 22, 2012, the President signed the Middle Class Tax Relief and Job Creation Act of 2012 (Spectrum Act) into law.</w:t>
      </w:r>
      <w:r>
        <w:rPr>
          <w:rStyle w:val="FootnoteReference"/>
          <w:szCs w:val="22"/>
        </w:rPr>
        <w:footnoteReference w:id="6"/>
      </w:r>
      <w:r>
        <w:rPr>
          <w:szCs w:val="22"/>
        </w:rPr>
        <w:t xml:space="preserve">  </w:t>
      </w:r>
      <w:r>
        <w:t xml:space="preserve">Section 6103 of the Spectrum Act provides that, not later than nine years after the date of enactment, the Commission shall reallocate T-Band spectrum “currently used </w:t>
      </w:r>
      <w:r>
        <w:lastRenderedPageBreak/>
        <w:t>by public safety eligibles.”</w:t>
      </w:r>
      <w:r>
        <w:rPr>
          <w:rStyle w:val="FootnoteReference"/>
          <w:szCs w:val="22"/>
        </w:rPr>
        <w:footnoteReference w:id="7"/>
      </w:r>
      <w:r>
        <w:rPr>
          <w:szCs w:val="22"/>
        </w:rPr>
        <w:t xml:space="preserve">  </w:t>
      </w:r>
      <w:r>
        <w:t>The Act further instructs the Commission to “begin a system of competitive bidding under Section 309(j) of the Communications Act of 1934 (47 U.S.C. 309(j)) to grant new initial licenses for the use of the spectrum.”</w:t>
      </w:r>
      <w:r>
        <w:rPr>
          <w:rStyle w:val="FootnoteReference"/>
        </w:rPr>
        <w:footnoteReference w:id="8"/>
      </w:r>
      <w:r>
        <w:t xml:space="preserve">  It also provides that “relocation of public safety entities from the T-Band Spectrum” shall be completed not later than two years after completion of the system of competitive bidding.</w:t>
      </w:r>
      <w:r>
        <w:rPr>
          <w:rStyle w:val="FootnoteReference"/>
        </w:rPr>
        <w:footnoteReference w:id="9"/>
      </w:r>
    </w:p>
    <w:p w:rsidR="00BA275C" w:rsidRPr="00606D59" w:rsidRDefault="00BA275C" w:rsidP="00BA275C">
      <w:pPr>
        <w:pStyle w:val="StyleParaNumLeft"/>
        <w:ind w:left="0"/>
        <w:rPr>
          <w:szCs w:val="22"/>
        </w:rPr>
      </w:pPr>
      <w:r>
        <w:rPr>
          <w:szCs w:val="22"/>
        </w:rPr>
        <w:t>On April 26, 2012, the Wireless Telecommunications Bureau and the Public Safety and Homeland Security Bureau (Bureaus) issued a public notice announcing a limited suspension of the acceptance and processing of certain T-Band applications.</w:t>
      </w:r>
      <w:r>
        <w:rPr>
          <w:rStyle w:val="FootnoteReference"/>
          <w:szCs w:val="22"/>
        </w:rPr>
        <w:footnoteReference w:id="10"/>
      </w:r>
      <w:r>
        <w:rPr>
          <w:szCs w:val="22"/>
        </w:rPr>
        <w:t xml:space="preserve">  The </w:t>
      </w:r>
      <w:r>
        <w:rPr>
          <w:i/>
          <w:szCs w:val="22"/>
        </w:rPr>
        <w:t>Suspension Notice</w:t>
      </w:r>
      <w:r>
        <w:rPr>
          <w:szCs w:val="22"/>
        </w:rPr>
        <w:t xml:space="preserve"> suspended the acceptance and processing of T-Band applications “in order to stabilize the existing spectral landscape while the Commission considers issues surrounding future use of the T-Band, solicits input from interested parties, and works to implement the directives of the Act.”</w:t>
      </w:r>
      <w:r>
        <w:rPr>
          <w:rStyle w:val="FootnoteReference"/>
          <w:szCs w:val="22"/>
        </w:rPr>
        <w:footnoteReference w:id="11"/>
      </w:r>
      <w:r>
        <w:rPr>
          <w:szCs w:val="22"/>
        </w:rPr>
        <w:t xml:space="preserve">  In the </w:t>
      </w:r>
      <w:r>
        <w:rPr>
          <w:i/>
          <w:szCs w:val="22"/>
        </w:rPr>
        <w:t>Suspension Notice</w:t>
      </w:r>
      <w:r>
        <w:rPr>
          <w:szCs w:val="22"/>
        </w:rPr>
        <w:t>, the Bureaus stated that they would not accept or process applications “that would, if granted, tend to increase the degree to which the 470-512 MHz band is currently licensed,” including applications that add locations.</w:t>
      </w:r>
      <w:r>
        <w:rPr>
          <w:rStyle w:val="FootnoteReference"/>
          <w:szCs w:val="22"/>
        </w:rPr>
        <w:footnoteReference w:id="12"/>
      </w:r>
      <w:r>
        <w:rPr>
          <w:szCs w:val="22"/>
        </w:rPr>
        <w:t xml:space="preserve">  On June 7, 2012, the Bureaus issued a subsequent public notice to clarify that “applications that seek to add or change locations are suspended only if the new location extends the station’s authorized interference contour in any direction.”</w:t>
      </w:r>
      <w:r>
        <w:rPr>
          <w:rStyle w:val="FootnoteReference"/>
          <w:szCs w:val="22"/>
        </w:rPr>
        <w:footnoteReference w:id="13"/>
      </w:r>
      <w:r w:rsidRPr="00BA275C">
        <w:rPr>
          <w:szCs w:val="22"/>
        </w:rPr>
        <w:t xml:space="preserve"> </w:t>
      </w:r>
    </w:p>
    <w:p w:rsidR="00BA275C" w:rsidRDefault="00BA275C" w:rsidP="00BA275C">
      <w:pPr>
        <w:pStyle w:val="StyleParaNumLeft"/>
        <w:ind w:left="0"/>
      </w:pPr>
      <w:r>
        <w:t xml:space="preserve">On October 2, 2012, the Commission released a </w:t>
      </w:r>
      <w:r w:rsidRPr="00606D59">
        <w:rPr>
          <w:i/>
        </w:rPr>
        <w:t xml:space="preserve">Notice of Proposed Rulemaking </w:t>
      </w:r>
      <w:r>
        <w:t xml:space="preserve">seeking comment on proposals to implement the Spectrum Act mandate to conduct an incentive auction of broadcast television spectrum, including UHF channels 14-20.  While that </w:t>
      </w:r>
      <w:r w:rsidRPr="00606D59">
        <w:rPr>
          <w:i/>
        </w:rPr>
        <w:t>Notice</w:t>
      </w:r>
      <w:r>
        <w:t xml:space="preserve"> made no proposals regarding the reallocation and auction of the T-Band spectrum used by Public Safety eligibles,</w:t>
      </w:r>
      <w:r>
        <w:rPr>
          <w:rStyle w:val="FootnoteReference"/>
        </w:rPr>
        <w:footnoteReference w:id="14"/>
      </w:r>
      <w:r>
        <w:t xml:space="preserve"> the Commission noted that the T-Band would be addressed in a forthcoming </w:t>
      </w:r>
      <w:r w:rsidRPr="00606D59">
        <w:rPr>
          <w:i/>
        </w:rPr>
        <w:t>Public Notice</w:t>
      </w:r>
      <w:r>
        <w:t xml:space="preserve"> intended to advance the record on issues related to the technical, administrative, legal, and policy implications of the Spectrum Act for T-Band licensees.</w:t>
      </w:r>
      <w:r>
        <w:rPr>
          <w:rStyle w:val="FootnoteReference"/>
        </w:rPr>
        <w:footnoteReference w:id="15"/>
      </w:r>
    </w:p>
    <w:p w:rsidR="00C87319" w:rsidRDefault="00C87319">
      <w:pPr>
        <w:pStyle w:val="StyleHeading1LeftAfter6pt"/>
      </w:pPr>
      <w:r>
        <w:t>Discussion</w:t>
      </w:r>
    </w:p>
    <w:p w:rsidR="00C87319" w:rsidRDefault="00C87319">
      <w:pPr>
        <w:pStyle w:val="StyleParaNumLeft"/>
        <w:ind w:left="0"/>
      </w:pPr>
      <w:r>
        <w:rPr>
          <w:rStyle w:val="documentbody"/>
          <w:szCs w:val="22"/>
        </w:rPr>
        <w:t xml:space="preserve">In light of the Spectrum Act and in accordance with the </w:t>
      </w:r>
      <w:r>
        <w:rPr>
          <w:rStyle w:val="documentbody"/>
          <w:i/>
          <w:szCs w:val="22"/>
        </w:rPr>
        <w:t>Suspension Notice</w:t>
      </w:r>
      <w:r>
        <w:rPr>
          <w:rStyle w:val="documentbody"/>
          <w:szCs w:val="22"/>
        </w:rPr>
        <w:t xml:space="preserve">, we find that </w:t>
      </w:r>
      <w:r w:rsidR="00986278">
        <w:rPr>
          <w:rStyle w:val="documentbody"/>
          <w:szCs w:val="22"/>
        </w:rPr>
        <w:t>Potts’s</w:t>
      </w:r>
      <w:r>
        <w:rPr>
          <w:rStyle w:val="documentbody"/>
          <w:szCs w:val="22"/>
        </w:rPr>
        <w:t xml:space="preserve"> application </w:t>
      </w:r>
      <w:r>
        <w:rPr>
          <w:szCs w:val="22"/>
        </w:rPr>
        <w:t>would, if granted, increase the degree to which the T-Band is currently licensed</w:t>
      </w:r>
      <w:r>
        <w:rPr>
          <w:rStyle w:val="documentbody"/>
          <w:szCs w:val="22"/>
        </w:rPr>
        <w:t xml:space="preserve"> because the application is for</w:t>
      </w:r>
      <w:r>
        <w:rPr>
          <w:szCs w:val="22"/>
        </w:rPr>
        <w:t xml:space="preserve"> a new repeater that would expand </w:t>
      </w:r>
      <w:r w:rsidR="00986278">
        <w:rPr>
          <w:szCs w:val="22"/>
        </w:rPr>
        <w:t>Potts’s</w:t>
      </w:r>
      <w:r>
        <w:rPr>
          <w:szCs w:val="22"/>
        </w:rPr>
        <w:t xml:space="preserve"> authorized interference contour</w:t>
      </w:r>
      <w:r>
        <w:t xml:space="preserve">.  We deny </w:t>
      </w:r>
      <w:r w:rsidR="00986278">
        <w:t>Potts’s</w:t>
      </w:r>
      <w:r>
        <w:t xml:space="preserve"> </w:t>
      </w:r>
      <w:r w:rsidR="000E7324">
        <w:t xml:space="preserve">request for </w:t>
      </w:r>
      <w:r>
        <w:t>waiver of Section</w:t>
      </w:r>
      <w:r w:rsidR="00986278">
        <w:t>s</w:t>
      </w:r>
      <w:r>
        <w:t xml:space="preserve"> </w:t>
      </w:r>
      <w:r>
        <w:rPr>
          <w:szCs w:val="22"/>
        </w:rPr>
        <w:t>90.30</w:t>
      </w:r>
      <w:r w:rsidR="00986278">
        <w:rPr>
          <w:szCs w:val="22"/>
        </w:rPr>
        <w:t>7 and 90.309</w:t>
      </w:r>
      <w:r>
        <w:rPr>
          <w:szCs w:val="22"/>
        </w:rPr>
        <w:t xml:space="preserve"> </w:t>
      </w:r>
      <w:r>
        <w:t xml:space="preserve">because, as explained in the </w:t>
      </w:r>
      <w:r>
        <w:rPr>
          <w:i/>
        </w:rPr>
        <w:t>Suspension Notice</w:t>
      </w:r>
      <w:r>
        <w:t>, it is not in the public interest for us to expand further T-Band encumbrance, especially into areas where Part 90 of the Commission’s rules does not permit the requested T-Band operation.</w:t>
      </w:r>
      <w:r w:rsidR="000327D3">
        <w:rPr>
          <w:rStyle w:val="FootnoteReference"/>
        </w:rPr>
        <w:footnoteReference w:id="16"/>
      </w:r>
      <w:r>
        <w:t xml:space="preserve">  Section 1.934(d)(2) of the Commission’s rules provides that an application containing a waiver request is defective if the Commission denies the waiver request and the application does not contain an alternative proposal that fully complies with the rules.</w:t>
      </w:r>
      <w:r>
        <w:rPr>
          <w:rStyle w:val="FootnoteReference"/>
          <w:szCs w:val="22"/>
        </w:rPr>
        <w:footnoteReference w:id="17"/>
      </w:r>
      <w:r>
        <w:t xml:space="preserve">  Because </w:t>
      </w:r>
      <w:r w:rsidR="000327D3">
        <w:t>Potts</w:t>
      </w:r>
      <w:r>
        <w:t xml:space="preserve"> submitted no such alternative proposal, we dismiss </w:t>
      </w:r>
      <w:r w:rsidR="000E7324">
        <w:t>his</w:t>
      </w:r>
      <w:r>
        <w:t xml:space="preserve"> application as defective.</w:t>
      </w:r>
      <w:r>
        <w:rPr>
          <w:rStyle w:val="FootnoteReference"/>
          <w:szCs w:val="22"/>
        </w:rPr>
        <w:footnoteReference w:id="18"/>
      </w:r>
    </w:p>
    <w:p w:rsidR="00C87319" w:rsidRDefault="00C87319">
      <w:pPr>
        <w:pStyle w:val="StyleHeading1LeftAfter6pt"/>
      </w:pPr>
      <w:r>
        <w:t>Ordering clauseS</w:t>
      </w:r>
    </w:p>
    <w:p w:rsidR="00C87319" w:rsidRDefault="00C87319">
      <w:pPr>
        <w:pStyle w:val="StyleParaNumLeft"/>
        <w:ind w:left="0"/>
      </w:pPr>
      <w:r>
        <w:t>Accordingly, IT IS ORDERED pursuant to Sections 4(i) of the Communications Act of 1934, as amended, 47 U.S.C. § 154(i), and Section 1.925 of the Commission’s rules, 47 C.F.R. § 1.925, that the Waiver Request associated with application File No. 000</w:t>
      </w:r>
      <w:r w:rsidR="000E7324">
        <w:t>4976641</w:t>
      </w:r>
      <w:r>
        <w:rPr>
          <w:rStyle w:val="StyleParaNumBlackChar"/>
        </w:rPr>
        <w:t>,</w:t>
      </w:r>
      <w:r>
        <w:t xml:space="preserve"> filed by the </w:t>
      </w:r>
      <w:r w:rsidR="000E7324">
        <w:t>James T. Potts</w:t>
      </w:r>
      <w:r>
        <w:t xml:space="preserve"> on </w:t>
      </w:r>
      <w:r w:rsidR="000E7324">
        <w:t>December 2, 2011</w:t>
      </w:r>
      <w:r>
        <w:t>, IS DENIED.</w:t>
      </w:r>
    </w:p>
    <w:p w:rsidR="00C87319" w:rsidRDefault="00C87319">
      <w:pPr>
        <w:pStyle w:val="StyleParaNumLeft"/>
        <w:ind w:left="0"/>
      </w:pPr>
      <w:r>
        <w:t xml:space="preserve">IT IS FURTHER ORDERED that application File No. </w:t>
      </w:r>
      <w:r w:rsidR="000E7324">
        <w:t>0004976641 SHALL BE</w:t>
      </w:r>
      <w:r>
        <w:t xml:space="preserve"> DISMISSED consistent with </w:t>
      </w:r>
      <w:r>
        <w:rPr>
          <w:szCs w:val="22"/>
        </w:rPr>
        <w:t xml:space="preserve">this </w:t>
      </w:r>
      <w:r>
        <w:rPr>
          <w:i/>
          <w:iCs/>
          <w:szCs w:val="22"/>
        </w:rPr>
        <w:t xml:space="preserve">Order </w:t>
      </w:r>
      <w:r>
        <w:rPr>
          <w:szCs w:val="22"/>
        </w:rPr>
        <w:t>and the Commission’s rules.</w:t>
      </w:r>
    </w:p>
    <w:p w:rsidR="00C87319" w:rsidRDefault="00C87319">
      <w:pPr>
        <w:pStyle w:val="StyleParaNumLeft"/>
        <w:ind w:left="0"/>
      </w:pPr>
      <w:r>
        <w:t>This action is taken under delegated authority pursuant to Sections 0.1</w:t>
      </w:r>
      <w:r w:rsidR="00760E38">
        <w:t>3</w:t>
      </w:r>
      <w:r>
        <w:t>1 and 0.3</w:t>
      </w:r>
      <w:r w:rsidR="00760E38">
        <w:t>31</w:t>
      </w:r>
      <w:r>
        <w:t xml:space="preserve"> of the Commi</w:t>
      </w:r>
      <w:r w:rsidR="00760E38">
        <w:t>ssion’s rules, 47 C.F.R. §§ 0.13</w:t>
      </w:r>
      <w:r>
        <w:t>1, 0.3</w:t>
      </w:r>
      <w:r w:rsidR="00760E38">
        <w:t>31</w:t>
      </w:r>
      <w:r>
        <w:t>.</w:t>
      </w:r>
      <w:r>
        <w:tab/>
      </w:r>
      <w:r>
        <w:tab/>
      </w:r>
      <w:r>
        <w:tab/>
      </w:r>
      <w:r>
        <w:tab/>
      </w:r>
      <w:r>
        <w:tab/>
      </w:r>
      <w:r>
        <w:tab/>
      </w:r>
      <w:r>
        <w:tab/>
      </w:r>
      <w:r>
        <w:tab/>
      </w:r>
    </w:p>
    <w:p w:rsidR="00C87319" w:rsidRDefault="00C87319">
      <w:pPr>
        <w:pStyle w:val="ParaNum"/>
        <w:numPr>
          <w:ilvl w:val="0"/>
          <w:numId w:val="0"/>
        </w:numPr>
        <w:spacing w:after="0"/>
        <w:jc w:val="left"/>
      </w:pPr>
      <w:r>
        <w:tab/>
      </w:r>
      <w:r>
        <w:tab/>
      </w:r>
      <w:r>
        <w:tab/>
      </w:r>
      <w:r>
        <w:tab/>
      </w:r>
      <w:r>
        <w:tab/>
        <w:t>FEDERAL COMMUNICATIONS COMMISSION</w:t>
      </w:r>
    </w:p>
    <w:p w:rsidR="00C87319" w:rsidRDefault="00C87319"/>
    <w:p w:rsidR="00C87319" w:rsidRDefault="00C87319">
      <w:pPr>
        <w:ind w:left="3600" w:firstLine="720"/>
      </w:pPr>
    </w:p>
    <w:p w:rsidR="00C87319" w:rsidRDefault="00C87319">
      <w:pPr>
        <w:ind w:left="3600" w:firstLine="720"/>
      </w:pPr>
    </w:p>
    <w:p w:rsidR="00C87319" w:rsidRDefault="000E7324">
      <w:pPr>
        <w:ind w:left="3600" w:firstLine="720"/>
      </w:pPr>
      <w:r>
        <w:t>Scot Stone</w:t>
      </w:r>
    </w:p>
    <w:p w:rsidR="00C87319" w:rsidRDefault="000E7324">
      <w:pPr>
        <w:ind w:left="3600" w:firstLine="720"/>
      </w:pPr>
      <w:r>
        <w:t xml:space="preserve">Deputy </w:t>
      </w:r>
      <w:r w:rsidR="00C87319">
        <w:t xml:space="preserve">Chief, </w:t>
      </w:r>
      <w:r>
        <w:t>Mobility</w:t>
      </w:r>
      <w:r w:rsidR="00C87319">
        <w:t xml:space="preserve"> Division </w:t>
      </w:r>
    </w:p>
    <w:p w:rsidR="00C87319" w:rsidRDefault="000E7324">
      <w:pPr>
        <w:ind w:left="3600" w:firstLine="720"/>
      </w:pPr>
      <w:r>
        <w:t xml:space="preserve">Wireless Telecommunications </w:t>
      </w:r>
      <w:r w:rsidR="00C87319">
        <w:t xml:space="preserve">Bureau    </w:t>
      </w:r>
      <w:bookmarkStart w:id="4" w:name="sp_999_4"/>
      <w:bookmarkStart w:id="5" w:name="SDU_4"/>
      <w:bookmarkEnd w:id="4"/>
      <w:bookmarkEnd w:id="5"/>
    </w:p>
    <w:sectPr w:rsidR="00C87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56" w:rsidRDefault="00677856">
      <w:r>
        <w:separator/>
      </w:r>
    </w:p>
  </w:endnote>
  <w:endnote w:type="continuationSeparator" w:id="0">
    <w:p w:rsidR="00677856" w:rsidRDefault="0067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E9" w:rsidRDefault="008C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C2EE9">
      <w:rPr>
        <w:rStyle w:val="PageNumber"/>
        <w:noProof/>
      </w:rPr>
      <w:t>3</w:t>
    </w:r>
    <w:r>
      <w:rPr>
        <w:rStyle w:val="PageNumber"/>
      </w:rPr>
      <w:fldChar w:fldCharType="end"/>
    </w:r>
  </w:p>
  <w:p w:rsidR="000327D3" w:rsidRDefault="000327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E9" w:rsidRDefault="008C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56" w:rsidRDefault="00677856">
      <w:pPr>
        <w:rPr>
          <w:sz w:val="20"/>
        </w:rPr>
      </w:pPr>
      <w:r>
        <w:rPr>
          <w:sz w:val="20"/>
        </w:rPr>
        <w:separator/>
      </w:r>
    </w:p>
  </w:footnote>
  <w:footnote w:type="continuationSeparator" w:id="0">
    <w:p w:rsidR="00677856" w:rsidRDefault="00677856">
      <w:pPr>
        <w:rPr>
          <w:sz w:val="20"/>
        </w:rPr>
      </w:pPr>
      <w:r>
        <w:rPr>
          <w:sz w:val="20"/>
        </w:rPr>
        <w:separator/>
      </w:r>
    </w:p>
    <w:p w:rsidR="00677856" w:rsidRDefault="00677856">
      <w:pPr>
        <w:rPr>
          <w:sz w:val="20"/>
        </w:rPr>
      </w:pPr>
      <w:r>
        <w:rPr>
          <w:sz w:val="20"/>
        </w:rPr>
        <w:t>(...continued from previous page)</w:t>
      </w:r>
    </w:p>
  </w:footnote>
  <w:footnote w:type="continuationNotice" w:id="1">
    <w:p w:rsidR="00677856" w:rsidRDefault="00677856">
      <w:pPr>
        <w:jc w:val="right"/>
        <w:rPr>
          <w:sz w:val="20"/>
        </w:rPr>
      </w:pPr>
      <w:r>
        <w:rPr>
          <w:sz w:val="20"/>
        </w:rPr>
        <w:t>(continued....)</w:t>
      </w:r>
    </w:p>
  </w:footnote>
  <w:footnote w:id="2">
    <w:p w:rsidR="000327D3" w:rsidRDefault="000327D3">
      <w:pPr>
        <w:pStyle w:val="FootnoteText"/>
        <w:rPr>
          <w:b/>
        </w:rPr>
      </w:pPr>
      <w:r>
        <w:rPr>
          <w:rStyle w:val="FootnoteReference"/>
        </w:rPr>
        <w:footnoteRef/>
      </w:r>
      <w:r>
        <w:t xml:space="preserve"> File No. 0004976641 (filed Dec. 2, 2011) and accompanying Request for Waiver (Waiver Request). </w:t>
      </w:r>
    </w:p>
  </w:footnote>
  <w:footnote w:id="3">
    <w:p w:rsidR="000327D3" w:rsidRPr="00D5766C" w:rsidRDefault="000327D3">
      <w:pPr>
        <w:pStyle w:val="FootnoteText"/>
      </w:pPr>
      <w:r>
        <w:rPr>
          <w:rStyle w:val="FootnoteReference"/>
        </w:rPr>
        <w:footnoteRef/>
      </w:r>
      <w:r>
        <w:t xml:space="preserve"> </w:t>
      </w:r>
      <w:r>
        <w:rPr>
          <w:i/>
        </w:rPr>
        <w:t xml:space="preserve">See </w:t>
      </w:r>
      <w:r>
        <w:t>47 C.F.R. §§ 90.307(c), (e), 90.309(a).</w:t>
      </w:r>
    </w:p>
  </w:footnote>
  <w:footnote w:id="4">
    <w:p w:rsidR="000327D3" w:rsidRDefault="000327D3">
      <w:pPr>
        <w:pStyle w:val="FootnoteText"/>
      </w:pPr>
      <w:r>
        <w:rPr>
          <w:rStyle w:val="FootnoteReference"/>
        </w:rPr>
        <w:footnoteRef/>
      </w:r>
      <w:r>
        <w:t xml:space="preserve"> Waiver Request at 1.</w:t>
      </w:r>
    </w:p>
  </w:footnote>
  <w:footnote w:id="5">
    <w:p w:rsidR="000327D3" w:rsidRDefault="000327D3">
      <w:pPr>
        <w:pStyle w:val="FootnoteText"/>
      </w:pPr>
      <w:r>
        <w:rPr>
          <w:rStyle w:val="FootnoteReference"/>
        </w:rPr>
        <w:footnoteRef/>
      </w:r>
      <w:r>
        <w:t xml:space="preserve"> Potts also requests a waiver of Sectio</w:t>
      </w:r>
      <w:r w:rsidR="002A72C0">
        <w:t>n</w:t>
      </w:r>
      <w:r>
        <w:t xml:space="preserve"> 90.305 of the Commission’s Rules, 47 C.F.R. § 90.305, regarding the permissible distance </w:t>
      </w:r>
      <w:r w:rsidR="002A72C0">
        <w:t>of T-Band PLMR stations from particular</w:t>
      </w:r>
      <w:r>
        <w:t xml:space="preserve"> urban center</w:t>
      </w:r>
      <w:r w:rsidR="002A72C0">
        <w:t>s</w:t>
      </w:r>
      <w:r>
        <w:t>.  Because we deny the requested waiver of Sections 90.307 and 90.309, we need not address</w:t>
      </w:r>
      <w:r w:rsidR="002A72C0">
        <w:t xml:space="preserve"> the request for waiver of Sect</w:t>
      </w:r>
      <w:r>
        <w:t>ion 90.305.</w:t>
      </w:r>
    </w:p>
  </w:footnote>
  <w:footnote w:id="6">
    <w:p w:rsidR="00BA275C" w:rsidRDefault="00BA275C" w:rsidP="00BA275C">
      <w:pPr>
        <w:pStyle w:val="FootnoteText"/>
      </w:pPr>
      <w:r>
        <w:rPr>
          <w:rStyle w:val="FootnoteReference"/>
        </w:rPr>
        <w:footnoteRef/>
      </w:r>
      <w:r>
        <w:t xml:space="preserve"> </w:t>
      </w:r>
      <w:r>
        <w:rPr>
          <w:i/>
        </w:rPr>
        <w:t>See</w:t>
      </w:r>
      <w:r>
        <w:t xml:space="preserve"> Pub. L. No. 112-96, 126 Stat. 156 (2012).  </w:t>
      </w:r>
    </w:p>
  </w:footnote>
  <w:footnote w:id="7">
    <w:p w:rsidR="00BA275C" w:rsidRDefault="00BA275C" w:rsidP="00BA275C">
      <w:pPr>
        <w:pStyle w:val="FootnoteText"/>
      </w:pPr>
      <w:r>
        <w:rPr>
          <w:rStyle w:val="FootnoteReference"/>
        </w:rPr>
        <w:footnoteRef/>
      </w:r>
      <w:r>
        <w:t xml:space="preserve"> </w:t>
      </w:r>
      <w:r>
        <w:rPr>
          <w:i/>
        </w:rPr>
        <w:t>Id.</w:t>
      </w:r>
      <w:r>
        <w:t xml:space="preserve">, § 6103(a).  </w:t>
      </w:r>
    </w:p>
  </w:footnote>
  <w:footnote w:id="8">
    <w:p w:rsidR="00BA275C" w:rsidRDefault="00BA275C" w:rsidP="00BA275C">
      <w:pPr>
        <w:pStyle w:val="FootnoteText"/>
      </w:pPr>
      <w:r>
        <w:rPr>
          <w:rStyle w:val="FootnoteReference"/>
        </w:rPr>
        <w:footnoteRef/>
      </w:r>
      <w:r>
        <w:t xml:space="preserve"> </w:t>
      </w:r>
      <w:r>
        <w:rPr>
          <w:i/>
        </w:rPr>
        <w:t xml:space="preserve">Id. </w:t>
      </w:r>
      <w:r>
        <w:t xml:space="preserve"> </w:t>
      </w:r>
    </w:p>
  </w:footnote>
  <w:footnote w:id="9">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w:t>
      </w:r>
      <w:r>
        <w:rPr>
          <w:i/>
        </w:rPr>
        <w:t xml:space="preserve"> </w:t>
      </w:r>
      <w:r>
        <w:t>§ 6103(b), (c).</w:t>
      </w:r>
    </w:p>
  </w:footnote>
  <w:footnote w:id="10">
    <w:p w:rsidR="00BA275C" w:rsidRDefault="00BA275C" w:rsidP="00BA275C">
      <w:pPr>
        <w:pStyle w:val="FootnoteText"/>
      </w:pPr>
      <w:r>
        <w:rPr>
          <w:rStyle w:val="FootnoteReference"/>
        </w:rPr>
        <w:footnoteRef/>
      </w:r>
      <w:r>
        <w:t xml:space="preserve"> Wireless </w:t>
      </w:r>
      <w:smartTag w:uri="urn:schemas-microsoft-com:office:smarttags" w:element="address">
        <w:r>
          <w:t>Telecommunications</w:t>
        </w:r>
      </w:smartTag>
      <w:r>
        <w:t xml:space="preserve"> Bureau and Public Safety and Homeland Security Bureau Suspend the Acceptance and Processing of Certain Part 22 and 90 Applications for 470-512 MHz (T-Band) Spectrum, </w:t>
      </w:r>
      <w:r>
        <w:rPr>
          <w:i/>
        </w:rPr>
        <w:t>Public Notice</w:t>
      </w:r>
      <w:r>
        <w:t>, 27 FCC Rcd 4218 (WTB/PSHSB 2012) (</w:t>
      </w:r>
      <w:r>
        <w:rPr>
          <w:i/>
        </w:rPr>
        <w:t>Suspension Notice</w:t>
      </w:r>
      <w:r>
        <w:t xml:space="preserve">).   </w:t>
      </w:r>
    </w:p>
  </w:footnote>
  <w:footnote w:id="11">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at 4218.  </w:t>
      </w:r>
    </w:p>
  </w:footnote>
  <w:footnote w:id="12">
    <w:p w:rsidR="00BA275C" w:rsidRDefault="00BA275C" w:rsidP="00BA27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4219.</w:t>
      </w:r>
    </w:p>
  </w:footnote>
  <w:footnote w:id="13">
    <w:p w:rsidR="00BA275C" w:rsidRDefault="00BA275C" w:rsidP="00BA275C">
      <w:pPr>
        <w:pStyle w:val="FootnoteText"/>
      </w:pPr>
      <w:r>
        <w:rPr>
          <w:rStyle w:val="FootnoteReference"/>
        </w:rPr>
        <w:footnoteRef/>
      </w:r>
      <w:r>
        <w:t xml:space="preserve"> Wireless </w:t>
      </w:r>
      <w:smartTag w:uri="urn:schemas-microsoft-com:office:smarttags" w:element="address">
        <w:r>
          <w:t>Telecommunications</w:t>
        </w:r>
      </w:smartTag>
      <w:r>
        <w:t xml:space="preserve"> Bureau and Public Safety and Homeland Security Bureau Clarify Suspension of the Acceptance and Processing of Certain Part 22 and 90 Applications for 470-512 MHz (T-Band) Spectrum, </w:t>
      </w:r>
      <w:r>
        <w:rPr>
          <w:i/>
        </w:rPr>
        <w:t>Public Notice</w:t>
      </w:r>
      <w:r>
        <w:t>, 27 FCC Rcd 6087, 6087-88 (WTB/PSHSB 2012).</w:t>
      </w:r>
    </w:p>
  </w:footnote>
  <w:footnote w:id="14">
    <w:p w:rsidR="00BA275C" w:rsidRDefault="00BA275C" w:rsidP="00BA275C">
      <w:pPr>
        <w:pStyle w:val="FootnoteText"/>
      </w:pPr>
      <w:r>
        <w:rPr>
          <w:rStyle w:val="FootnoteReference"/>
        </w:rPr>
        <w:footnoteRef/>
      </w:r>
      <w:r>
        <w:t xml:space="preserve"> </w:t>
      </w:r>
      <w:r>
        <w:rPr>
          <w:i/>
        </w:rPr>
        <w:t xml:space="preserve">See </w:t>
      </w:r>
      <w:r>
        <w:t xml:space="preserve">Expanding the Economic and Innovation Opportunities of Spectrum Through Incentive Auctions, </w:t>
      </w:r>
      <w:r>
        <w:rPr>
          <w:i/>
        </w:rPr>
        <w:t>Notice of Proposed Rulemaking</w:t>
      </w:r>
      <w:r>
        <w:t>, GN Docket No. 12-268, 27 FCC Rcd 12357, 12365 ¶ 19 (2012).</w:t>
      </w:r>
    </w:p>
  </w:footnote>
  <w:footnote w:id="15">
    <w:p w:rsidR="00BA275C" w:rsidRDefault="00BA275C" w:rsidP="00BA275C">
      <w:pPr>
        <w:pStyle w:val="FootnoteText"/>
      </w:pPr>
      <w:r>
        <w:rPr>
          <w:rStyle w:val="FootnoteReference"/>
        </w:rPr>
        <w:footnoteRef/>
      </w:r>
      <w:r>
        <w:t xml:space="preserve"> </w:t>
      </w:r>
      <w:r>
        <w:rPr>
          <w:i/>
        </w:rPr>
        <w:t>Id.</w:t>
      </w:r>
    </w:p>
  </w:footnote>
  <w:footnote w:id="16">
    <w:p w:rsidR="000327D3" w:rsidRPr="000327D3" w:rsidRDefault="000327D3">
      <w:pPr>
        <w:pStyle w:val="FootnoteText"/>
      </w:pPr>
      <w:r>
        <w:rPr>
          <w:rStyle w:val="FootnoteReference"/>
        </w:rPr>
        <w:footnoteRef/>
      </w:r>
      <w:r>
        <w:t xml:space="preserve"> </w:t>
      </w:r>
      <w:r>
        <w:rPr>
          <w:i/>
        </w:rPr>
        <w:t xml:space="preserve">See </w:t>
      </w:r>
      <w:r>
        <w:t xml:space="preserve">Town of Sandwich, Massachusetts, </w:t>
      </w:r>
      <w:r>
        <w:rPr>
          <w:i/>
        </w:rPr>
        <w:t>Order</w:t>
      </w:r>
      <w:r>
        <w:t xml:space="preserve">, 27 FCC Rcd 9173, 9174 ¶ 4 (PSHSB PLD 2012); Borough of Roselle Park, New Jersey, </w:t>
      </w:r>
      <w:r>
        <w:rPr>
          <w:i/>
        </w:rPr>
        <w:t>Order</w:t>
      </w:r>
      <w:r>
        <w:t>, 27 FCC Rcd 8300, 8301 ¶ 4 (PSHSB PLD 2012).</w:t>
      </w:r>
    </w:p>
  </w:footnote>
  <w:footnote w:id="17">
    <w:p w:rsidR="000327D3" w:rsidRDefault="000327D3">
      <w:pPr>
        <w:pStyle w:val="FootnoteText"/>
      </w:pPr>
      <w:r>
        <w:rPr>
          <w:rStyle w:val="FootnoteReference"/>
        </w:rPr>
        <w:footnoteRef/>
      </w:r>
      <w:r>
        <w:t xml:space="preserve"> 47 C.F.R. § 1.934(d)(2).</w:t>
      </w:r>
    </w:p>
  </w:footnote>
  <w:footnote w:id="18">
    <w:p w:rsidR="000327D3" w:rsidRDefault="000327D3">
      <w:pPr>
        <w:pStyle w:val="FootnoteText"/>
        <w:rPr>
          <w:i/>
        </w:rPr>
      </w:pPr>
      <w:r>
        <w:rPr>
          <w:rStyle w:val="FootnoteReference"/>
        </w:rPr>
        <w:footnoteRef/>
      </w:r>
      <w:r>
        <w:t xml:space="preserve"> </w:t>
      </w:r>
      <w:r>
        <w:rPr>
          <w:i/>
        </w:rPr>
        <w:t>See Suspension Notice</w:t>
      </w:r>
      <w:r w:rsidR="00760E38">
        <w:t xml:space="preserve">, 27 FCC Rcd </w:t>
      </w:r>
      <w:r>
        <w:t xml:space="preserve">at </w:t>
      </w:r>
      <w:r w:rsidR="00760E38">
        <w:t>4</w:t>
      </w:r>
      <w:r>
        <w:t>2</w:t>
      </w:r>
      <w:r w:rsidR="00760E38">
        <w:t>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E9" w:rsidRDefault="008C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Header"/>
      <w:tabs>
        <w:tab w:val="clear" w:pos="4320"/>
        <w:tab w:val="clear" w:pos="8640"/>
        <w:tab w:val="center" w:pos="4680"/>
        <w:tab w:val="right" w:pos="9360"/>
      </w:tabs>
      <w:rPr>
        <w:b/>
      </w:rPr>
    </w:pPr>
    <w:r>
      <w:rPr>
        <w:b/>
      </w:rPr>
      <w:tab/>
      <w:t>Federal Communications Commission</w:t>
    </w:r>
    <w:r>
      <w:rPr>
        <w:b/>
      </w:rPr>
      <w:tab/>
      <w:t>DA 12-</w:t>
    </w:r>
    <w:r w:rsidR="00420E7A">
      <w:rPr>
        <w:b/>
      </w:rPr>
      <w:t>2058</w:t>
    </w:r>
    <w:r>
      <w:rPr>
        <w:b/>
      </w:rPr>
      <w:t xml:space="preserve"> </w:t>
    </w:r>
  </w:p>
  <w:p w:rsidR="000327D3" w:rsidRDefault="00420E7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0327D3" w:rsidRDefault="00032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3" w:rsidRDefault="000327D3">
    <w:pPr>
      <w:pStyle w:val="Header"/>
      <w:tabs>
        <w:tab w:val="clear" w:pos="4320"/>
        <w:tab w:val="clear" w:pos="8640"/>
        <w:tab w:val="center" w:pos="4680"/>
        <w:tab w:val="right" w:pos="9360"/>
      </w:tabs>
      <w:rPr>
        <w:b/>
      </w:rPr>
    </w:pPr>
    <w:r>
      <w:rPr>
        <w:b/>
      </w:rPr>
      <w:tab/>
      <w:t>Federal Communications Commission</w:t>
    </w:r>
    <w:r>
      <w:rPr>
        <w:b/>
      </w:rPr>
      <w:tab/>
      <w:t>DA 12-</w:t>
    </w:r>
    <w:r w:rsidR="00420E7A">
      <w:rPr>
        <w:b/>
      </w:rPr>
      <w:t>2058</w:t>
    </w:r>
    <w:r>
      <w:rPr>
        <w:b/>
      </w:rPr>
      <w:t xml:space="preserve"> </w:t>
    </w:r>
  </w:p>
  <w:p w:rsidR="000327D3" w:rsidRDefault="00420E7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D0A580A"/>
    <w:multiLevelType w:val="singleLevel"/>
    <w:tmpl w:val="8DE02BC4"/>
    <w:lvl w:ilvl="0">
      <w:start w:val="1"/>
      <w:numFmt w:val="decimal"/>
      <w:lvlText w:val="%1."/>
      <w:lvlJc w:val="left"/>
      <w:pPr>
        <w:tabs>
          <w:tab w:val="num" w:pos="1080"/>
        </w:tabs>
        <w:ind w:left="0" w:firstLine="720"/>
      </w:pPr>
      <w:rPr>
        <w:b w:val="0"/>
        <w:i w:val="0"/>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3"/>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22"/>
  </w:num>
  <w:num w:numId="24">
    <w:abstractNumId w:val="17"/>
  </w:num>
  <w:num w:numId="25">
    <w:abstractNumId w:val="17"/>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7"/>
    <w:rsid w:val="000327D3"/>
    <w:rsid w:val="000E7324"/>
    <w:rsid w:val="002A72C0"/>
    <w:rsid w:val="00420E7A"/>
    <w:rsid w:val="00423E2F"/>
    <w:rsid w:val="00606D59"/>
    <w:rsid w:val="00677856"/>
    <w:rsid w:val="00760E38"/>
    <w:rsid w:val="008C2EE9"/>
    <w:rsid w:val="00986278"/>
    <w:rsid w:val="00A026A7"/>
    <w:rsid w:val="00AE3EEC"/>
    <w:rsid w:val="00BA275C"/>
    <w:rsid w:val="00C87319"/>
    <w:rsid w:val="00D20D17"/>
    <w:rsid w:val="00D30A21"/>
    <w:rsid w:val="00D5766C"/>
    <w:rsid w:val="00DC17A8"/>
    <w:rsid w:val="00E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n Ch"/>
    <w:basedOn w:val="Normal"/>
    <w:link w:val="FootnoteTextChar2"/>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
    <w:name w:val="documentbody"/>
    <w:basedOn w:val="DefaultParagraphFont"/>
  </w:style>
  <w:style w:type="character" w:customStyle="1" w:styleId="bestsection1">
    <w:name w:val="bestsection1"/>
    <w:rPr>
      <w:color w:val="FF0000"/>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ink w:val="FootnoteText"/>
    <w:rPr>
      <w:lang w:val="en-US" w:eastAsia="en-US" w:bidi="ar-SA"/>
    </w:rPr>
  </w:style>
  <w:style w:type="character" w:styleId="Hyperlink">
    <w:name w:val="Hyperlink"/>
    <w:rPr>
      <w:color w:val="0000FF"/>
      <w:u w:val="single"/>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customStyle="1" w:styleId="documentbody1">
    <w:name w:val="documentbody1"/>
    <w:rPr>
      <w:rFonts w:ascii="Verdana" w:hAnsi="Verdana" w:hint="default"/>
      <w:sz w:val="19"/>
      <w:szCs w:val="19"/>
    </w:rPr>
  </w:style>
  <w:style w:type="paragraph" w:customStyle="1" w:styleId="StyleParaNumLeft">
    <w:name w:val="Style ParaNum + Left"/>
    <w:basedOn w:val="ParaNum"/>
    <w:pPr>
      <w:widowControl/>
      <w:tabs>
        <w:tab w:val="clear" w:pos="1170"/>
      </w:tabs>
      <w:jc w:val="lef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tyleParaNumBlackLeft">
    <w:name w:val="Style Style ParaNum + Black + Left"/>
    <w:basedOn w:val="StyleParaNumBlack"/>
    <w:pPr>
      <w:tabs>
        <w:tab w:val="clear" w:pos="1170"/>
      </w:tabs>
      <w:jc w:val="left"/>
    </w:pPr>
  </w:style>
  <w:style w:type="paragraph" w:customStyle="1" w:styleId="StyleHeading1LeftAfter6pt">
    <w:name w:val="Style Heading 1 + Left After:  6 pt"/>
    <w:basedOn w:val="Heading1"/>
    <w:pPr>
      <w:spacing w:after="240"/>
      <w:jc w:val="left"/>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n Ch"/>
    <w:basedOn w:val="Normal"/>
    <w:link w:val="FootnoteTextChar2"/>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
    <w:name w:val="documentbody"/>
    <w:basedOn w:val="DefaultParagraphFont"/>
  </w:style>
  <w:style w:type="character" w:customStyle="1" w:styleId="bestsection1">
    <w:name w:val="bestsection1"/>
    <w:rPr>
      <w:color w:val="FF0000"/>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ink w:val="FootnoteText"/>
    <w:rPr>
      <w:lang w:val="en-US" w:eastAsia="en-US" w:bidi="ar-SA"/>
    </w:rPr>
  </w:style>
  <w:style w:type="character" w:styleId="Hyperlink">
    <w:name w:val="Hyperlink"/>
    <w:rPr>
      <w:color w:val="0000FF"/>
      <w:u w:val="single"/>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customStyle="1" w:styleId="documentbody1">
    <w:name w:val="documentbody1"/>
    <w:rPr>
      <w:rFonts w:ascii="Verdana" w:hAnsi="Verdana" w:hint="default"/>
      <w:sz w:val="19"/>
      <w:szCs w:val="19"/>
    </w:rPr>
  </w:style>
  <w:style w:type="paragraph" w:customStyle="1" w:styleId="StyleParaNumLeft">
    <w:name w:val="Style ParaNum + Left"/>
    <w:basedOn w:val="ParaNum"/>
    <w:pPr>
      <w:widowControl/>
      <w:tabs>
        <w:tab w:val="clear" w:pos="1170"/>
      </w:tabs>
      <w:jc w:val="lef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tyleParaNumBlackLeft">
    <w:name w:val="Style Style ParaNum + Black + Left"/>
    <w:basedOn w:val="StyleParaNumBlack"/>
    <w:pPr>
      <w:tabs>
        <w:tab w:val="clear" w:pos="1170"/>
      </w:tabs>
      <w:jc w:val="left"/>
    </w:pPr>
  </w:style>
  <w:style w:type="paragraph" w:customStyle="1" w:styleId="StyleHeading1LeftAfter6pt">
    <w:name w:val="Style Heading 1 + Left After:  6 pt"/>
    <w:basedOn w:val="Heading1"/>
    <w:pPr>
      <w:spacing w:after="240"/>
      <w:jc w:val="lef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4892</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2009-06-23T14:25:00Z</cp:lastPrinted>
  <dcterms:created xsi:type="dcterms:W3CDTF">2012-12-20T17:27:00Z</dcterms:created>
  <dcterms:modified xsi:type="dcterms:W3CDTF">2012-12-20T17:27:00Z</dcterms:modified>
  <cp:category> </cp:category>
  <cp:contentStatus> </cp:contentStatus>
</cp:coreProperties>
</file>