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5D" w:rsidRDefault="0052545D">
      <w:pPr>
        <w:pStyle w:val="Header"/>
        <w:tabs>
          <w:tab w:val="clear" w:pos="4320"/>
          <w:tab w:val="clear" w:pos="8640"/>
        </w:tabs>
        <w:rPr>
          <w:szCs w:val="22"/>
        </w:rPr>
        <w:sectPr w:rsidR="0052545D" w:rsidSect="00683E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326"/>
        </w:sectPr>
      </w:pPr>
      <w:bookmarkStart w:id="1" w:name="_GoBack"/>
      <w:bookmarkEnd w:id="1"/>
    </w:p>
    <w:p w:rsidR="0052545D" w:rsidRDefault="0052545D">
      <w:pPr>
        <w:tabs>
          <w:tab w:val="right" w:pos="9360"/>
        </w:tabs>
        <w:suppressAutoHyphens/>
        <w:spacing w:line="227" w:lineRule="auto"/>
        <w:jc w:val="right"/>
        <w:rPr>
          <w:b/>
          <w:spacing w:val="-2"/>
          <w:sz w:val="22"/>
          <w:szCs w:val="22"/>
        </w:rPr>
      </w:pPr>
      <w:r>
        <w:rPr>
          <w:b/>
          <w:spacing w:val="-2"/>
          <w:sz w:val="22"/>
          <w:szCs w:val="22"/>
        </w:rPr>
        <w:lastRenderedPageBreak/>
        <w:tab/>
        <w:t>DA 12-</w:t>
      </w:r>
      <w:r w:rsidR="002B2915">
        <w:rPr>
          <w:b/>
          <w:spacing w:val="-2"/>
          <w:sz w:val="22"/>
          <w:szCs w:val="22"/>
        </w:rPr>
        <w:t>2066</w:t>
      </w:r>
    </w:p>
    <w:p w:rsidR="0052545D" w:rsidRDefault="0052545D">
      <w:pPr>
        <w:tabs>
          <w:tab w:val="right" w:pos="9360"/>
        </w:tabs>
        <w:suppressAutoHyphens/>
        <w:spacing w:line="227" w:lineRule="auto"/>
        <w:rPr>
          <w:b/>
          <w:spacing w:val="-2"/>
          <w:sz w:val="22"/>
          <w:szCs w:val="22"/>
        </w:rPr>
      </w:pPr>
      <w:r>
        <w:rPr>
          <w:b/>
          <w:spacing w:val="-2"/>
          <w:sz w:val="22"/>
          <w:szCs w:val="22"/>
        </w:rPr>
        <w:tab/>
      </w:r>
    </w:p>
    <w:p w:rsidR="0052545D" w:rsidRDefault="0052545D">
      <w:pPr>
        <w:tabs>
          <w:tab w:val="right" w:pos="9360"/>
        </w:tabs>
        <w:suppressAutoHyphens/>
        <w:spacing w:line="227" w:lineRule="auto"/>
        <w:rPr>
          <w:spacing w:val="-2"/>
          <w:sz w:val="22"/>
          <w:szCs w:val="22"/>
        </w:rPr>
      </w:pPr>
      <w:r>
        <w:rPr>
          <w:b/>
          <w:spacing w:val="-2"/>
          <w:sz w:val="22"/>
          <w:szCs w:val="22"/>
        </w:rPr>
        <w:tab/>
        <w:t xml:space="preserve">Released:  December </w:t>
      </w:r>
      <w:r w:rsidR="0091487C">
        <w:rPr>
          <w:b/>
          <w:spacing w:val="-2"/>
          <w:sz w:val="22"/>
          <w:szCs w:val="22"/>
        </w:rPr>
        <w:t>21</w:t>
      </w:r>
      <w:r>
        <w:rPr>
          <w:b/>
          <w:spacing w:val="-2"/>
          <w:sz w:val="22"/>
          <w:szCs w:val="22"/>
        </w:rPr>
        <w:t>, 2012</w:t>
      </w:r>
    </w:p>
    <w:p w:rsidR="0052545D" w:rsidRDefault="0052545D">
      <w:pPr>
        <w:tabs>
          <w:tab w:val="left" w:pos="-720"/>
        </w:tabs>
        <w:suppressAutoHyphens/>
        <w:spacing w:line="227" w:lineRule="auto"/>
        <w:jc w:val="both"/>
        <w:rPr>
          <w:spacing w:val="-2"/>
          <w:sz w:val="22"/>
          <w:szCs w:val="22"/>
        </w:rPr>
      </w:pPr>
    </w:p>
    <w:p w:rsidR="0052545D" w:rsidRDefault="0052545D">
      <w:pPr>
        <w:tabs>
          <w:tab w:val="left" w:pos="-720"/>
        </w:tabs>
        <w:suppressAutoHyphens/>
        <w:spacing w:line="227" w:lineRule="auto"/>
        <w:jc w:val="both"/>
        <w:rPr>
          <w:spacing w:val="-2"/>
          <w:sz w:val="22"/>
          <w:szCs w:val="22"/>
        </w:rPr>
      </w:pPr>
    </w:p>
    <w:p w:rsidR="0052545D" w:rsidRDefault="0052545D" w:rsidP="002311A6">
      <w:pPr>
        <w:ind w:right="-90"/>
        <w:jc w:val="center"/>
        <w:rPr>
          <w:b/>
          <w:color w:val="000000"/>
          <w:sz w:val="22"/>
          <w:szCs w:val="22"/>
        </w:rPr>
      </w:pPr>
      <w:r>
        <w:rPr>
          <w:b/>
          <w:color w:val="000000"/>
          <w:sz w:val="22"/>
          <w:szCs w:val="22"/>
        </w:rPr>
        <w:t>WIRELESS TELECOMMUNICATIONS BUREAU</w:t>
      </w:r>
      <w:r w:rsidR="002311A6">
        <w:rPr>
          <w:b/>
          <w:color w:val="000000"/>
          <w:sz w:val="22"/>
          <w:szCs w:val="22"/>
        </w:rPr>
        <w:t xml:space="preserve"> </w:t>
      </w:r>
      <w:r>
        <w:rPr>
          <w:b/>
          <w:color w:val="000000"/>
          <w:sz w:val="22"/>
          <w:szCs w:val="22"/>
        </w:rPr>
        <w:t>SEEKS COMMENT ON</w:t>
      </w:r>
      <w:r w:rsidR="004F512A">
        <w:rPr>
          <w:b/>
          <w:color w:val="000000"/>
          <w:sz w:val="22"/>
          <w:szCs w:val="22"/>
        </w:rPr>
        <w:t xml:space="preserve"> REQUEST FOR WAIVER AND</w:t>
      </w:r>
      <w:r>
        <w:rPr>
          <w:b/>
          <w:color w:val="000000"/>
          <w:sz w:val="22"/>
          <w:szCs w:val="22"/>
        </w:rPr>
        <w:t xml:space="preserve"> APPLICATION</w:t>
      </w:r>
      <w:r w:rsidR="004F512A">
        <w:rPr>
          <w:b/>
          <w:color w:val="000000"/>
          <w:sz w:val="22"/>
          <w:szCs w:val="22"/>
        </w:rPr>
        <w:t>S</w:t>
      </w:r>
      <w:r>
        <w:rPr>
          <w:b/>
          <w:color w:val="000000"/>
          <w:sz w:val="22"/>
          <w:szCs w:val="22"/>
        </w:rPr>
        <w:t xml:space="preserve"> FOR ASSIGNMENT OF </w:t>
      </w:r>
      <w:r w:rsidR="00C263BA">
        <w:rPr>
          <w:b/>
          <w:color w:val="000000"/>
          <w:sz w:val="22"/>
          <w:szCs w:val="22"/>
        </w:rPr>
        <w:t xml:space="preserve">THE UPPER </w:t>
      </w:r>
      <w:r>
        <w:rPr>
          <w:b/>
          <w:color w:val="000000"/>
          <w:sz w:val="22"/>
          <w:szCs w:val="22"/>
        </w:rPr>
        <w:t>700</w:t>
      </w:r>
      <w:r w:rsidR="002311A6">
        <w:rPr>
          <w:b/>
          <w:color w:val="000000"/>
          <w:sz w:val="22"/>
          <w:szCs w:val="22"/>
        </w:rPr>
        <w:t xml:space="preserve"> MHz C BLOCK LICENSE </w:t>
      </w:r>
      <w:r w:rsidR="00C263BA">
        <w:rPr>
          <w:b/>
          <w:color w:val="000000"/>
          <w:sz w:val="22"/>
          <w:szCs w:val="22"/>
        </w:rPr>
        <w:t xml:space="preserve">IN THE GULF OF MEXICO </w:t>
      </w:r>
      <w:r w:rsidR="002311A6">
        <w:rPr>
          <w:b/>
          <w:color w:val="000000"/>
          <w:sz w:val="22"/>
          <w:szCs w:val="22"/>
        </w:rPr>
        <w:t>FROM SMALL </w:t>
      </w:r>
      <w:r>
        <w:rPr>
          <w:b/>
          <w:color w:val="000000"/>
          <w:sz w:val="22"/>
          <w:szCs w:val="22"/>
        </w:rPr>
        <w:t>VENTURES USA, LP</w:t>
      </w:r>
      <w:r w:rsidR="00360674">
        <w:rPr>
          <w:b/>
          <w:color w:val="000000"/>
          <w:sz w:val="22"/>
          <w:szCs w:val="22"/>
        </w:rPr>
        <w:t xml:space="preserve"> </w:t>
      </w:r>
      <w:r>
        <w:rPr>
          <w:b/>
          <w:color w:val="000000"/>
          <w:sz w:val="22"/>
          <w:szCs w:val="22"/>
        </w:rPr>
        <w:t>TO CELLCO PARTNERSHIP</w:t>
      </w:r>
      <w:r w:rsidR="00360674">
        <w:rPr>
          <w:b/>
          <w:color w:val="000000"/>
          <w:sz w:val="22"/>
          <w:szCs w:val="22"/>
        </w:rPr>
        <w:t xml:space="preserve"> d/b/a VERIZON WIRELESS</w:t>
      </w:r>
    </w:p>
    <w:p w:rsidR="0091487C" w:rsidRDefault="0091487C" w:rsidP="002311A6">
      <w:pPr>
        <w:ind w:right="-90"/>
        <w:jc w:val="center"/>
        <w:rPr>
          <w:b/>
          <w:color w:val="000000"/>
          <w:sz w:val="22"/>
          <w:szCs w:val="22"/>
        </w:rPr>
      </w:pPr>
    </w:p>
    <w:p w:rsidR="0091487C" w:rsidRDefault="0091487C" w:rsidP="002311A6">
      <w:pPr>
        <w:ind w:right="-90"/>
        <w:jc w:val="center"/>
        <w:rPr>
          <w:b/>
          <w:color w:val="000000"/>
          <w:sz w:val="22"/>
          <w:szCs w:val="22"/>
        </w:rPr>
      </w:pPr>
      <w:r>
        <w:rPr>
          <w:b/>
          <w:color w:val="000000"/>
          <w:sz w:val="22"/>
          <w:szCs w:val="22"/>
        </w:rPr>
        <w:t>WT Docket No. 12-</w:t>
      </w:r>
      <w:r w:rsidR="002B2915">
        <w:rPr>
          <w:b/>
          <w:color w:val="000000"/>
          <w:sz w:val="22"/>
          <w:szCs w:val="22"/>
        </w:rPr>
        <w:t>373</w:t>
      </w:r>
    </w:p>
    <w:p w:rsidR="00756125" w:rsidRDefault="00756125" w:rsidP="00756125">
      <w:pPr>
        <w:rPr>
          <w:b/>
          <w:color w:val="000000"/>
          <w:sz w:val="22"/>
          <w:szCs w:val="22"/>
        </w:rPr>
      </w:pPr>
    </w:p>
    <w:p w:rsidR="00756125" w:rsidRDefault="00756125" w:rsidP="00756125">
      <w:pPr>
        <w:rPr>
          <w:b/>
          <w:color w:val="000000"/>
          <w:sz w:val="22"/>
          <w:szCs w:val="22"/>
        </w:rPr>
      </w:pPr>
      <w:r>
        <w:rPr>
          <w:b/>
          <w:color w:val="000000"/>
          <w:sz w:val="22"/>
          <w:szCs w:val="22"/>
        </w:rPr>
        <w:t>C</w:t>
      </w:r>
      <w:r w:rsidR="004F512A">
        <w:rPr>
          <w:b/>
          <w:color w:val="000000"/>
          <w:sz w:val="22"/>
          <w:szCs w:val="22"/>
        </w:rPr>
        <w:t>omment Date</w:t>
      </w:r>
      <w:r>
        <w:rPr>
          <w:b/>
          <w:color w:val="000000"/>
          <w:sz w:val="22"/>
          <w:szCs w:val="22"/>
        </w:rPr>
        <w:t xml:space="preserve">:  January </w:t>
      </w:r>
      <w:r w:rsidR="0091487C">
        <w:rPr>
          <w:b/>
          <w:color w:val="000000"/>
          <w:sz w:val="22"/>
          <w:szCs w:val="22"/>
        </w:rPr>
        <w:t>2</w:t>
      </w:r>
      <w:r w:rsidR="004F512A">
        <w:rPr>
          <w:b/>
          <w:color w:val="000000"/>
          <w:sz w:val="22"/>
          <w:szCs w:val="22"/>
        </w:rPr>
        <w:t>2</w:t>
      </w:r>
      <w:r>
        <w:rPr>
          <w:b/>
          <w:color w:val="000000"/>
          <w:sz w:val="22"/>
          <w:szCs w:val="22"/>
        </w:rPr>
        <w:t>, 2013</w:t>
      </w:r>
    </w:p>
    <w:p w:rsidR="00756125" w:rsidRDefault="00756125" w:rsidP="00756125">
      <w:pPr>
        <w:rPr>
          <w:b/>
          <w:color w:val="000000"/>
          <w:sz w:val="22"/>
          <w:szCs w:val="22"/>
        </w:rPr>
      </w:pPr>
      <w:r>
        <w:rPr>
          <w:b/>
          <w:color w:val="000000"/>
          <w:sz w:val="22"/>
          <w:szCs w:val="22"/>
        </w:rPr>
        <w:t>R</w:t>
      </w:r>
      <w:r w:rsidR="004F512A">
        <w:rPr>
          <w:b/>
          <w:color w:val="000000"/>
          <w:sz w:val="22"/>
          <w:szCs w:val="22"/>
        </w:rPr>
        <w:t>eply Comment Date</w:t>
      </w:r>
      <w:r>
        <w:rPr>
          <w:b/>
          <w:color w:val="000000"/>
          <w:sz w:val="22"/>
          <w:szCs w:val="22"/>
        </w:rPr>
        <w:t xml:space="preserve">:  </w:t>
      </w:r>
      <w:r w:rsidR="0091487C">
        <w:rPr>
          <w:b/>
          <w:color w:val="000000"/>
          <w:sz w:val="22"/>
          <w:szCs w:val="22"/>
        </w:rPr>
        <w:t xml:space="preserve">February </w:t>
      </w:r>
      <w:r w:rsidR="004F512A">
        <w:rPr>
          <w:b/>
          <w:color w:val="000000"/>
          <w:sz w:val="22"/>
          <w:szCs w:val="22"/>
        </w:rPr>
        <w:t>6</w:t>
      </w:r>
      <w:r>
        <w:rPr>
          <w:b/>
          <w:color w:val="000000"/>
          <w:sz w:val="22"/>
          <w:szCs w:val="22"/>
        </w:rPr>
        <w:t>, 2013</w:t>
      </w:r>
    </w:p>
    <w:p w:rsidR="00756125" w:rsidRDefault="00756125" w:rsidP="00756125">
      <w:pPr>
        <w:rPr>
          <w:b/>
          <w:color w:val="000000"/>
          <w:sz w:val="22"/>
          <w:szCs w:val="22"/>
        </w:rPr>
      </w:pPr>
    </w:p>
    <w:p w:rsidR="0052545D" w:rsidRDefault="0052545D" w:rsidP="006813EE">
      <w:pPr>
        <w:pStyle w:val="ParaNum0"/>
        <w:rPr>
          <w:color w:val="000000"/>
          <w:szCs w:val="22"/>
        </w:rPr>
      </w:pPr>
      <w:r>
        <w:rPr>
          <w:color w:val="000000"/>
          <w:szCs w:val="22"/>
        </w:rPr>
        <w:t xml:space="preserve">By this </w:t>
      </w:r>
      <w:r w:rsidRPr="004F512A">
        <w:rPr>
          <w:i/>
          <w:szCs w:val="22"/>
        </w:rPr>
        <w:t>Public</w:t>
      </w:r>
      <w:r w:rsidRPr="004F512A">
        <w:rPr>
          <w:i/>
          <w:color w:val="000000"/>
          <w:szCs w:val="22"/>
        </w:rPr>
        <w:t xml:space="preserve"> Notice</w:t>
      </w:r>
      <w:r w:rsidR="00311C17">
        <w:rPr>
          <w:color w:val="000000"/>
          <w:szCs w:val="22"/>
        </w:rPr>
        <w:t xml:space="preserve">, </w:t>
      </w:r>
      <w:r>
        <w:rPr>
          <w:color w:val="000000"/>
          <w:szCs w:val="22"/>
        </w:rPr>
        <w:t xml:space="preserve">the Wireless Telecommunications Bureau </w:t>
      </w:r>
      <w:r w:rsidR="004F512A">
        <w:rPr>
          <w:color w:val="000000"/>
          <w:szCs w:val="22"/>
        </w:rPr>
        <w:t xml:space="preserve">(Bureau) </w:t>
      </w:r>
      <w:r w:rsidR="00311C17">
        <w:rPr>
          <w:color w:val="000000"/>
          <w:szCs w:val="22"/>
        </w:rPr>
        <w:t>seeks comment on application</w:t>
      </w:r>
      <w:r w:rsidR="004A2206">
        <w:rPr>
          <w:color w:val="000000"/>
          <w:szCs w:val="22"/>
        </w:rPr>
        <w:t>s</w:t>
      </w:r>
      <w:r w:rsidR="00311C17">
        <w:rPr>
          <w:color w:val="000000"/>
          <w:szCs w:val="22"/>
        </w:rPr>
        <w:t xml:space="preserve"> for assignment of </w:t>
      </w:r>
      <w:r w:rsidR="00C263BA">
        <w:rPr>
          <w:color w:val="000000"/>
          <w:szCs w:val="22"/>
        </w:rPr>
        <w:t>the Upper</w:t>
      </w:r>
      <w:r w:rsidR="00311C17">
        <w:rPr>
          <w:color w:val="000000"/>
          <w:szCs w:val="22"/>
        </w:rPr>
        <w:t xml:space="preserve"> 700 MHz C Block license </w:t>
      </w:r>
      <w:r w:rsidR="00C263BA">
        <w:rPr>
          <w:color w:val="000000"/>
          <w:szCs w:val="22"/>
        </w:rPr>
        <w:t xml:space="preserve">in the Gulf of Mexico </w:t>
      </w:r>
      <w:r w:rsidR="00311C17">
        <w:rPr>
          <w:color w:val="000000"/>
          <w:szCs w:val="22"/>
        </w:rPr>
        <w:t>from Small Ventures USA, LP (Small Ventures) to Cellco Partnership d/b/a Verizo</w:t>
      </w:r>
      <w:r w:rsidR="005E12F9">
        <w:rPr>
          <w:color w:val="000000"/>
          <w:szCs w:val="22"/>
        </w:rPr>
        <w:t xml:space="preserve">n Wireless (Verizon Wireless), and an associated </w:t>
      </w:r>
      <w:r w:rsidR="004F512A">
        <w:rPr>
          <w:color w:val="000000"/>
          <w:szCs w:val="22"/>
        </w:rPr>
        <w:t>request</w:t>
      </w:r>
      <w:r w:rsidR="005E12F9">
        <w:rPr>
          <w:color w:val="000000"/>
          <w:szCs w:val="22"/>
        </w:rPr>
        <w:t xml:space="preserve"> for waiver</w:t>
      </w:r>
      <w:r w:rsidR="00C263BA">
        <w:rPr>
          <w:color w:val="000000"/>
          <w:szCs w:val="22"/>
        </w:rPr>
        <w:t xml:space="preserve"> regarding compliance with the population benchmark</w:t>
      </w:r>
      <w:r w:rsidR="002D6385">
        <w:rPr>
          <w:color w:val="000000"/>
          <w:szCs w:val="22"/>
        </w:rPr>
        <w:t xml:space="preserve"> for build</w:t>
      </w:r>
      <w:r w:rsidR="006813EE">
        <w:rPr>
          <w:color w:val="000000"/>
          <w:szCs w:val="22"/>
        </w:rPr>
        <w:t>-</w:t>
      </w:r>
      <w:r w:rsidR="002D6385">
        <w:rPr>
          <w:color w:val="000000"/>
          <w:szCs w:val="22"/>
        </w:rPr>
        <w:t xml:space="preserve">out of this license </w:t>
      </w:r>
      <w:r w:rsidR="006813EE">
        <w:rPr>
          <w:color w:val="000000"/>
          <w:szCs w:val="22"/>
        </w:rPr>
        <w:t>pursuant to</w:t>
      </w:r>
      <w:r w:rsidR="002D6385">
        <w:rPr>
          <w:color w:val="000000"/>
          <w:szCs w:val="22"/>
        </w:rPr>
        <w:t xml:space="preserve"> </w:t>
      </w:r>
      <w:r w:rsidR="002D6385">
        <w:t>Section 27.14(h) of the Commission’s rules</w:t>
      </w:r>
      <w:r w:rsidR="005E12F9">
        <w:rPr>
          <w:color w:val="000000"/>
          <w:szCs w:val="22"/>
        </w:rPr>
        <w:t>.</w:t>
      </w:r>
      <w:r w:rsidR="006813EE">
        <w:rPr>
          <w:rStyle w:val="FootnoteReference"/>
          <w:color w:val="000000"/>
          <w:szCs w:val="22"/>
        </w:rPr>
        <w:footnoteReference w:id="1"/>
      </w:r>
    </w:p>
    <w:p w:rsidR="00966660" w:rsidRDefault="00556494" w:rsidP="000D1DE0">
      <w:pPr>
        <w:pStyle w:val="ParaNum0"/>
      </w:pPr>
      <w:r>
        <w:t xml:space="preserve">On December </w:t>
      </w:r>
      <w:r w:rsidR="00360674">
        <w:t>3, 2012</w:t>
      </w:r>
      <w:r w:rsidR="00BF52ED">
        <w:t>,</w:t>
      </w:r>
      <w:r w:rsidR="00311C17">
        <w:t xml:space="preserve"> Small Ventures and Verizon Wireless (together, the Applicants) filed application</w:t>
      </w:r>
      <w:r w:rsidR="004A2206">
        <w:t>s</w:t>
      </w:r>
      <w:r w:rsidR="00311C17">
        <w:t xml:space="preserve"> for assignment of </w:t>
      </w:r>
      <w:r w:rsidR="007E1FF5">
        <w:t>the Upper</w:t>
      </w:r>
      <w:r w:rsidR="00311C17">
        <w:t xml:space="preserve"> 700 MHz C Block license in the Gulf of Mexico (REA012) from Small Ventures to Verizon Wireless</w:t>
      </w:r>
      <w:r>
        <w:t>,</w:t>
      </w:r>
      <w:r w:rsidR="004F512A">
        <w:t xml:space="preserve"> subject to certain co</w:t>
      </w:r>
      <w:r>
        <w:t>nditions.</w:t>
      </w:r>
      <w:r>
        <w:rPr>
          <w:rStyle w:val="FootnoteReference"/>
        </w:rPr>
        <w:footnoteReference w:id="2"/>
      </w:r>
    </w:p>
    <w:p w:rsidR="00311C17" w:rsidRDefault="00966660" w:rsidP="006813EE">
      <w:pPr>
        <w:pStyle w:val="ParaNum0"/>
        <w:widowControl/>
      </w:pPr>
      <w:r>
        <w:rPr>
          <w:i/>
        </w:rPr>
        <w:t xml:space="preserve">License </w:t>
      </w:r>
      <w:r w:rsidR="00542BF1">
        <w:rPr>
          <w:i/>
        </w:rPr>
        <w:t>P</w:t>
      </w:r>
      <w:r>
        <w:rPr>
          <w:i/>
        </w:rPr>
        <w:t>artition.</w:t>
      </w:r>
      <w:r>
        <w:t xml:space="preserve">  T</w:t>
      </w:r>
      <w:r w:rsidR="00556494">
        <w:t>he Applicants request the Bureau</w:t>
      </w:r>
      <w:r w:rsidR="00360674">
        <w:t xml:space="preserve"> to </w:t>
      </w:r>
      <w:r w:rsidR="00542BF1">
        <w:t xml:space="preserve">first </w:t>
      </w:r>
      <w:r w:rsidR="00360674">
        <w:t>approve a</w:t>
      </w:r>
      <w:r w:rsidR="00EA456B">
        <w:t xml:space="preserve">n assignment of </w:t>
      </w:r>
      <w:r w:rsidR="004A2206">
        <w:t xml:space="preserve">the </w:t>
      </w:r>
      <w:r w:rsidR="00556494">
        <w:t xml:space="preserve">spectrum covering the portion of the Gulf of Mexico closest to the shore line, </w:t>
      </w:r>
      <w:r w:rsidR="00EA456B">
        <w:t>then</w:t>
      </w:r>
      <w:r w:rsidR="00556494">
        <w:t xml:space="preserve"> </w:t>
      </w:r>
      <w:r w:rsidR="00EA456B">
        <w:t xml:space="preserve">to approve </w:t>
      </w:r>
      <w:r w:rsidR="00227668">
        <w:t>an</w:t>
      </w:r>
      <w:r w:rsidR="004A2206">
        <w:t xml:space="preserve"> </w:t>
      </w:r>
      <w:r w:rsidR="00EA456B">
        <w:t xml:space="preserve">assignment </w:t>
      </w:r>
      <w:r w:rsidR="004A2206">
        <w:t>for the remainder of the spectrum offshore</w:t>
      </w:r>
      <w:r w:rsidR="00556494">
        <w:t>.</w:t>
      </w:r>
      <w:r w:rsidR="00556494">
        <w:rPr>
          <w:rStyle w:val="FootnoteReference"/>
        </w:rPr>
        <w:footnoteReference w:id="3"/>
      </w:r>
      <w:r w:rsidR="004A2206">
        <w:t xml:space="preserve">  Verizon Wireless plans to cover the shore</w:t>
      </w:r>
      <w:r w:rsidR="005E12F9">
        <w:t>-</w:t>
      </w:r>
      <w:r w:rsidR="004A2206">
        <w:t xml:space="preserve">side </w:t>
      </w:r>
      <w:r w:rsidR="009A096D">
        <w:t>partition</w:t>
      </w:r>
      <w:r w:rsidR="004A2206">
        <w:t xml:space="preserve"> with LTE using land-based sites to provide service to “commercial shipping, pleasure boaters, </w:t>
      </w:r>
      <w:r w:rsidR="004A2206">
        <w:lastRenderedPageBreak/>
        <w:t>and oil and gas drilling platforms.”</w:t>
      </w:r>
      <w:r w:rsidR="004A2206">
        <w:rPr>
          <w:rStyle w:val="FootnoteReference"/>
        </w:rPr>
        <w:footnoteReference w:id="4"/>
      </w:r>
      <w:r w:rsidR="004A2206">
        <w:t xml:space="preserve"> </w:t>
      </w:r>
      <w:r w:rsidR="000F2117">
        <w:t xml:space="preserve"> Verizon Wireless states that t</w:t>
      </w:r>
      <w:r w:rsidR="000F2117" w:rsidRPr="000F2117">
        <w:t>he transaction will also benefit consumers using Verizon Wireless’s LTE network</w:t>
      </w:r>
      <w:r w:rsidR="000F2117" w:rsidRPr="000F2117">
        <w:rPr>
          <w:snapToGrid/>
          <w:kern w:val="0"/>
          <w:sz w:val="23"/>
          <w:szCs w:val="23"/>
        </w:rPr>
        <w:t xml:space="preserve"> </w:t>
      </w:r>
      <w:r w:rsidR="000F2117">
        <w:t>i</w:t>
      </w:r>
      <w:r w:rsidR="000F2117" w:rsidRPr="000F2117">
        <w:t>n the</w:t>
      </w:r>
      <w:r w:rsidR="000F2117">
        <w:t xml:space="preserve"> </w:t>
      </w:r>
      <w:r w:rsidR="000F2117" w:rsidRPr="000F2117">
        <w:t>Gulf states by reducing potential</w:t>
      </w:r>
      <w:r w:rsidR="004A446C">
        <w:t xml:space="preserve"> harmful interference from Gulf-</w:t>
      </w:r>
      <w:r w:rsidR="000F2117" w:rsidRPr="000F2117">
        <w:t>based operations provided</w:t>
      </w:r>
      <w:r w:rsidR="000F2117" w:rsidRPr="000F2117">
        <w:rPr>
          <w:snapToGrid/>
          <w:kern w:val="0"/>
          <w:sz w:val="24"/>
        </w:rPr>
        <w:t xml:space="preserve"> </w:t>
      </w:r>
      <w:r w:rsidR="000F2117" w:rsidRPr="000F2117">
        <w:t>by an entity other than Verizon Wireless</w:t>
      </w:r>
      <w:r w:rsidR="004A2206">
        <w:t>.</w:t>
      </w:r>
      <w:r w:rsidR="009234A3">
        <w:rPr>
          <w:rStyle w:val="FootnoteReference"/>
        </w:rPr>
        <w:footnoteReference w:id="5"/>
      </w:r>
    </w:p>
    <w:p w:rsidR="0052545D" w:rsidRPr="009234A3" w:rsidRDefault="004A2206" w:rsidP="007D5AAA">
      <w:pPr>
        <w:pStyle w:val="ParaNum0"/>
        <w:rPr>
          <w:szCs w:val="22"/>
        </w:rPr>
      </w:pPr>
      <w:r>
        <w:rPr>
          <w:color w:val="000000"/>
          <w:szCs w:val="22"/>
        </w:rPr>
        <w:t>With respect to the off</w:t>
      </w:r>
      <w:r w:rsidR="00227668">
        <w:rPr>
          <w:color w:val="000000"/>
          <w:szCs w:val="22"/>
        </w:rPr>
        <w:t>-</w:t>
      </w:r>
      <w:r>
        <w:rPr>
          <w:color w:val="000000"/>
          <w:szCs w:val="22"/>
        </w:rPr>
        <w:t xml:space="preserve">shore license, Verizon Wireless asserts that it will make it available for leasing by any qualified </w:t>
      </w:r>
      <w:r w:rsidR="007D624D">
        <w:rPr>
          <w:color w:val="000000"/>
          <w:szCs w:val="22"/>
        </w:rPr>
        <w:t>entity</w:t>
      </w:r>
      <w:r>
        <w:rPr>
          <w:color w:val="000000"/>
          <w:szCs w:val="22"/>
        </w:rPr>
        <w:t xml:space="preserve"> through its LTE in Rural America (LRA) program</w:t>
      </w:r>
      <w:r w:rsidR="009234A3">
        <w:rPr>
          <w:color w:val="000000"/>
          <w:szCs w:val="22"/>
        </w:rPr>
        <w:t xml:space="preserve">, committing to file a lease application with </w:t>
      </w:r>
      <w:r w:rsidR="00542BF1">
        <w:rPr>
          <w:color w:val="000000"/>
          <w:szCs w:val="22"/>
        </w:rPr>
        <w:t xml:space="preserve">the Commission reflecting </w:t>
      </w:r>
      <w:r w:rsidR="009234A3">
        <w:rPr>
          <w:color w:val="000000"/>
          <w:szCs w:val="22"/>
        </w:rPr>
        <w:t xml:space="preserve">an </w:t>
      </w:r>
      <w:r w:rsidR="00542BF1">
        <w:rPr>
          <w:color w:val="000000"/>
          <w:szCs w:val="22"/>
        </w:rPr>
        <w:t xml:space="preserve">arrangement with an </w:t>
      </w:r>
      <w:r w:rsidR="009234A3">
        <w:rPr>
          <w:color w:val="000000"/>
          <w:szCs w:val="22"/>
        </w:rPr>
        <w:t xml:space="preserve">LRA participant the later of January 31, 2013 or 30 days after </w:t>
      </w:r>
      <w:r w:rsidR="007D5AAA">
        <w:rPr>
          <w:color w:val="000000"/>
          <w:szCs w:val="22"/>
        </w:rPr>
        <w:t xml:space="preserve">Commission </w:t>
      </w:r>
      <w:r w:rsidR="009234A3">
        <w:rPr>
          <w:color w:val="000000"/>
          <w:szCs w:val="22"/>
        </w:rPr>
        <w:t>approval of the requested assignment.</w:t>
      </w:r>
      <w:r w:rsidR="009234A3">
        <w:rPr>
          <w:rStyle w:val="FootnoteReference"/>
          <w:color w:val="000000"/>
          <w:szCs w:val="22"/>
        </w:rPr>
        <w:footnoteReference w:id="6"/>
      </w:r>
      <w:r w:rsidR="00360674">
        <w:rPr>
          <w:color w:val="000000"/>
          <w:szCs w:val="22"/>
        </w:rPr>
        <w:t xml:space="preserve">  </w:t>
      </w:r>
      <w:r w:rsidR="009A096D">
        <w:rPr>
          <w:color w:val="000000"/>
          <w:szCs w:val="22"/>
        </w:rPr>
        <w:t>Verizon Wireless notes that if it is unable to lease the off-shore license, it will cancel the license and make it available for re-licensing or other usage by the Commission.</w:t>
      </w:r>
      <w:r w:rsidR="009A096D">
        <w:rPr>
          <w:rStyle w:val="FootnoteReference"/>
          <w:color w:val="000000"/>
          <w:szCs w:val="22"/>
        </w:rPr>
        <w:footnoteReference w:id="7"/>
      </w:r>
    </w:p>
    <w:p w:rsidR="009234A3" w:rsidRPr="00D71E08" w:rsidRDefault="00D07C00" w:rsidP="007D5AAA">
      <w:pPr>
        <w:pStyle w:val="ParaNum0"/>
        <w:rPr>
          <w:szCs w:val="22"/>
        </w:rPr>
      </w:pPr>
      <w:r>
        <w:rPr>
          <w:color w:val="000000"/>
          <w:szCs w:val="22"/>
        </w:rPr>
        <w:t>The</w:t>
      </w:r>
      <w:r w:rsidR="009234A3">
        <w:rPr>
          <w:color w:val="000000"/>
          <w:szCs w:val="22"/>
        </w:rPr>
        <w:t xml:space="preserve"> Applicants </w:t>
      </w:r>
      <w:r w:rsidR="00BF52ED">
        <w:rPr>
          <w:color w:val="000000"/>
          <w:szCs w:val="22"/>
        </w:rPr>
        <w:t>contend</w:t>
      </w:r>
      <w:r w:rsidR="009234A3">
        <w:rPr>
          <w:color w:val="000000"/>
          <w:szCs w:val="22"/>
        </w:rPr>
        <w:t xml:space="preserve"> that grant of their application</w:t>
      </w:r>
      <w:r w:rsidR="000E4B30">
        <w:rPr>
          <w:color w:val="000000"/>
          <w:szCs w:val="22"/>
        </w:rPr>
        <w:t>s</w:t>
      </w:r>
      <w:r w:rsidR="009234A3">
        <w:rPr>
          <w:color w:val="000000"/>
          <w:szCs w:val="22"/>
        </w:rPr>
        <w:t xml:space="preserve"> would serve the public interest, allowing Verizon Wireless (who currently holds no spectrum in the Gulf) to provide broadband data and other wireless products in a new service area while increasing competition.</w:t>
      </w:r>
      <w:r w:rsidR="009234A3">
        <w:rPr>
          <w:rStyle w:val="FootnoteReference"/>
          <w:color w:val="000000"/>
          <w:szCs w:val="22"/>
        </w:rPr>
        <w:footnoteReference w:id="8"/>
      </w:r>
      <w:r w:rsidR="009234A3">
        <w:rPr>
          <w:color w:val="000000"/>
          <w:szCs w:val="22"/>
        </w:rPr>
        <w:t xml:space="preserve">  Meanwhile, they contend, Small Ventures has not begun to provide service and thus there will be no reduction in service or customer transition issues as a result of the </w:t>
      </w:r>
      <w:r>
        <w:rPr>
          <w:color w:val="000000"/>
          <w:szCs w:val="22"/>
        </w:rPr>
        <w:t xml:space="preserve">requested </w:t>
      </w:r>
      <w:r w:rsidR="009234A3">
        <w:rPr>
          <w:color w:val="000000"/>
          <w:szCs w:val="22"/>
        </w:rPr>
        <w:t>assignment.</w:t>
      </w:r>
      <w:r w:rsidR="00D71E08">
        <w:rPr>
          <w:rStyle w:val="FootnoteReference"/>
          <w:color w:val="000000"/>
          <w:szCs w:val="22"/>
        </w:rPr>
        <w:footnoteReference w:id="9"/>
      </w:r>
      <w:r>
        <w:rPr>
          <w:color w:val="000000"/>
          <w:szCs w:val="22"/>
        </w:rPr>
        <w:t xml:space="preserve">  We seek comment on this proposed conditional assignment.</w:t>
      </w:r>
    </w:p>
    <w:p w:rsidR="00D71E08" w:rsidRDefault="00360674" w:rsidP="000D1DE0">
      <w:pPr>
        <w:pStyle w:val="ParaNum0"/>
      </w:pPr>
      <w:r>
        <w:rPr>
          <w:i/>
        </w:rPr>
        <w:t xml:space="preserve">Waiver </w:t>
      </w:r>
      <w:r w:rsidR="00542BF1">
        <w:rPr>
          <w:i/>
        </w:rPr>
        <w:t>R</w:t>
      </w:r>
      <w:r>
        <w:rPr>
          <w:i/>
        </w:rPr>
        <w:t xml:space="preserve">egarding </w:t>
      </w:r>
      <w:r w:rsidR="00542BF1">
        <w:rPr>
          <w:i/>
        </w:rPr>
        <w:t>P</w:t>
      </w:r>
      <w:r>
        <w:rPr>
          <w:i/>
        </w:rPr>
        <w:t xml:space="preserve">opulation </w:t>
      </w:r>
      <w:r w:rsidR="00542BF1">
        <w:rPr>
          <w:i/>
        </w:rPr>
        <w:t>B</w:t>
      </w:r>
      <w:r>
        <w:rPr>
          <w:i/>
        </w:rPr>
        <w:t>enchmark</w:t>
      </w:r>
      <w:r w:rsidR="00966660">
        <w:rPr>
          <w:i/>
        </w:rPr>
        <w:t>.</w:t>
      </w:r>
      <w:r w:rsidR="00966660">
        <w:t xml:space="preserve">  </w:t>
      </w:r>
      <w:r w:rsidR="00D71E08">
        <w:t>The Applicants note that Section 27.14(h) of the Commission’s rules for the 700 MHz C Block requires signal cover</w:t>
      </w:r>
      <w:r w:rsidR="00966660">
        <w:t xml:space="preserve">age and </w:t>
      </w:r>
      <w:r w:rsidR="00542BF1">
        <w:t xml:space="preserve">offering of </w:t>
      </w:r>
      <w:r w:rsidR="00966660">
        <w:t>service to at least 40 </w:t>
      </w:r>
      <w:r w:rsidR="00D71E08">
        <w:t>percent of the population in each EA of the REAG license by June 13, 2013, and 75 percent by the end of the license term.</w:t>
      </w:r>
      <w:r w:rsidR="00D71E08">
        <w:rPr>
          <w:rStyle w:val="FootnoteReference"/>
        </w:rPr>
        <w:footnoteReference w:id="10"/>
      </w:r>
      <w:r w:rsidR="00D71E08">
        <w:t xml:space="preserve">  </w:t>
      </w:r>
      <w:r w:rsidR="002D6385">
        <w:t>T</w:t>
      </w:r>
      <w:r w:rsidR="00D71E08">
        <w:t xml:space="preserve">he rule part also requires population to be based upon the most recently available U.S. Census Data, </w:t>
      </w:r>
      <w:r w:rsidR="00542BF1">
        <w:t>and there</w:t>
      </w:r>
      <w:r w:rsidR="00D71E08">
        <w:t xml:space="preserve"> are no</w:t>
      </w:r>
      <w:r w:rsidR="00D07C00">
        <w:t xml:space="preserve"> </w:t>
      </w:r>
      <w:r w:rsidR="00D71E08">
        <w:t>permanent residents in the Gulf counted by the U.S. Census</w:t>
      </w:r>
      <w:r w:rsidR="007D624D">
        <w:t xml:space="preserve">. </w:t>
      </w:r>
      <w:r w:rsidR="00D71E08">
        <w:t xml:space="preserve"> </w:t>
      </w:r>
      <w:r w:rsidR="007D624D">
        <w:t>T</w:t>
      </w:r>
      <w:r w:rsidR="00D71E08">
        <w:t>he Applicants</w:t>
      </w:r>
      <w:r w:rsidR="007D624D">
        <w:t xml:space="preserve"> therefore</w:t>
      </w:r>
      <w:r w:rsidR="00D71E08">
        <w:t xml:space="preserve"> seek a waiver of Section 27.14(h)</w:t>
      </w:r>
      <w:r w:rsidR="00D07C00">
        <w:t>’s</w:t>
      </w:r>
      <w:r w:rsidR="00D71E08">
        <w:t xml:space="preserve"> Census data</w:t>
      </w:r>
      <w:r w:rsidR="00726DCE">
        <w:t xml:space="preserve"> basis</w:t>
      </w:r>
      <w:r w:rsidR="00D71E08">
        <w:t xml:space="preserve">, proposing that the Bureau </w:t>
      </w:r>
      <w:r w:rsidR="00726DCE">
        <w:t xml:space="preserve">instead </w:t>
      </w:r>
      <w:r w:rsidR="00D71E08">
        <w:t>use oil and gas drilling platforms as a proxy for population to determine</w:t>
      </w:r>
      <w:r w:rsidR="00542BF1">
        <w:t xml:space="preserve"> build-out </w:t>
      </w:r>
      <w:r w:rsidR="00D71E08">
        <w:t>compliance.</w:t>
      </w:r>
      <w:r w:rsidR="00D71E08">
        <w:rPr>
          <w:rStyle w:val="FootnoteReference"/>
        </w:rPr>
        <w:footnoteReference w:id="11"/>
      </w:r>
      <w:r w:rsidR="00D71E08">
        <w:t xml:space="preserve">  </w:t>
      </w:r>
      <w:r w:rsidR="00D07C00">
        <w:t>In other words, the Applicants seek to meet the Commission’s</w:t>
      </w:r>
      <w:r w:rsidR="00542BF1">
        <w:t xml:space="preserve"> interim</w:t>
      </w:r>
      <w:r w:rsidR="000E4B30">
        <w:t xml:space="preserve"> and end of term </w:t>
      </w:r>
      <w:r w:rsidR="00D07C00">
        <w:t>build-out requirements</w:t>
      </w:r>
      <w:r w:rsidR="000E4B30">
        <w:t>, respectively,</w:t>
      </w:r>
      <w:r w:rsidR="00D07C00">
        <w:t xml:space="preserve"> </w:t>
      </w:r>
      <w:r w:rsidR="00726DCE">
        <w:t xml:space="preserve">by providing </w:t>
      </w:r>
      <w:r w:rsidR="00D07C00">
        <w:t>coverage</w:t>
      </w:r>
      <w:r w:rsidR="00542BF1">
        <w:t xml:space="preserve"> and offering service</w:t>
      </w:r>
      <w:r w:rsidR="00D07C00">
        <w:t xml:space="preserve"> </w:t>
      </w:r>
      <w:r w:rsidR="00726DCE">
        <w:t>to</w:t>
      </w:r>
      <w:r w:rsidR="00315AED">
        <w:t xml:space="preserve"> 40 </w:t>
      </w:r>
      <w:r w:rsidR="00D07C00">
        <w:t>percent of the oil and gas drilling platforms</w:t>
      </w:r>
      <w:r w:rsidR="007D624D">
        <w:t xml:space="preserve"> in the license area</w:t>
      </w:r>
      <w:r w:rsidR="00D07C00">
        <w:t xml:space="preserve"> in active serv</w:t>
      </w:r>
      <w:r w:rsidR="00315AED">
        <w:t>ice as of June 13, 2013, and 75 </w:t>
      </w:r>
      <w:r w:rsidR="00D07C00">
        <w:t>percent as of the end of the license term</w:t>
      </w:r>
      <w:r w:rsidR="001310B6">
        <w:t>, for both the shore-side and off-shore licenses</w:t>
      </w:r>
      <w:r w:rsidR="00D07C00">
        <w:t xml:space="preserve">.  </w:t>
      </w:r>
      <w:r w:rsidR="001310B6">
        <w:t>We </w:t>
      </w:r>
      <w:r w:rsidR="00D07C00">
        <w:t xml:space="preserve">also </w:t>
      </w:r>
      <w:r w:rsidR="00D71E08">
        <w:t xml:space="preserve">seek comment on this </w:t>
      </w:r>
      <w:r w:rsidR="00D07C00">
        <w:t>waiver request.</w:t>
      </w:r>
    </w:p>
    <w:p w:rsidR="007D624D" w:rsidRDefault="00756125" w:rsidP="000D1DE0">
      <w:pPr>
        <w:pStyle w:val="ParaNum0"/>
      </w:pPr>
      <w:r w:rsidRPr="009506D3">
        <w:t xml:space="preserve">Interested parties may file comments on or before </w:t>
      </w:r>
      <w:r w:rsidRPr="000E0804">
        <w:rPr>
          <w:b/>
        </w:rPr>
        <w:t xml:space="preserve">January </w:t>
      </w:r>
      <w:r w:rsidR="00542BF1">
        <w:rPr>
          <w:b/>
        </w:rPr>
        <w:t>22</w:t>
      </w:r>
      <w:r w:rsidRPr="000E0804">
        <w:rPr>
          <w:b/>
        </w:rPr>
        <w:t>, 2013</w:t>
      </w:r>
      <w:r>
        <w:t>.</w:t>
      </w:r>
      <w:r w:rsidRPr="009506D3">
        <w:t xml:space="preserve">  Parties interested in submitting reply comments must do so on or before </w:t>
      </w:r>
      <w:r w:rsidR="00542BF1">
        <w:rPr>
          <w:b/>
        </w:rPr>
        <w:t>February 6</w:t>
      </w:r>
      <w:r w:rsidRPr="000E0804">
        <w:rPr>
          <w:b/>
        </w:rPr>
        <w:t>, 2013</w:t>
      </w:r>
      <w:r w:rsidRPr="009506D3">
        <w:t xml:space="preserve">.  All </w:t>
      </w:r>
      <w:r w:rsidR="0091487C">
        <w:t>filings</w:t>
      </w:r>
      <w:r w:rsidRPr="009506D3">
        <w:t xml:space="preserve"> should reference the </w:t>
      </w:r>
      <w:r w:rsidR="0091487C">
        <w:t>docket</w:t>
      </w:r>
      <w:r w:rsidRPr="009506D3">
        <w:t xml:space="preserve"> number of this Public Notice, </w:t>
      </w:r>
      <w:r w:rsidR="0091487C">
        <w:rPr>
          <w:b/>
        </w:rPr>
        <w:t>WT Docket No.</w:t>
      </w:r>
      <w:r w:rsidR="000E0804" w:rsidRPr="000E0804">
        <w:rPr>
          <w:b/>
        </w:rPr>
        <w:t xml:space="preserve"> 12-</w:t>
      </w:r>
      <w:r w:rsidR="007D5AAA">
        <w:rPr>
          <w:b/>
        </w:rPr>
        <w:t>373</w:t>
      </w:r>
      <w:r>
        <w:t xml:space="preserve">, </w:t>
      </w:r>
      <w:r w:rsidRPr="009506D3">
        <w:t>together with the Mobility Division of the Wireless Telecommunications Bureau</w:t>
      </w:r>
      <w:r>
        <w:t>.</w:t>
      </w:r>
    </w:p>
    <w:p w:rsidR="0091487C" w:rsidRPr="00DF77E0" w:rsidRDefault="0091487C" w:rsidP="000D1DE0">
      <w:pPr>
        <w:pStyle w:val="ParaNum0"/>
      </w:pPr>
      <w:r w:rsidRPr="00DF77E0">
        <w:t xml:space="preserve">This proceeding has been designated as a “permit-but-disclose” proceeding in accordance </w:t>
      </w:r>
      <w:r w:rsidR="00937B69">
        <w:t>with the Commission’</w:t>
      </w:r>
      <w:r w:rsidRPr="00DF77E0">
        <w:t xml:space="preserve">s </w:t>
      </w:r>
      <w:r w:rsidRPr="00DF77E0">
        <w:rPr>
          <w:i/>
        </w:rPr>
        <w:t>ex parte</w:t>
      </w:r>
      <w:r w:rsidRPr="00DF77E0">
        <w:t xml:space="preserve"> rules.</w:t>
      </w:r>
      <w:r w:rsidRPr="00DF77E0">
        <w:rPr>
          <w:vertAlign w:val="superscript"/>
        </w:rPr>
        <w:footnoteReference w:id="12"/>
      </w:r>
      <w:r w:rsidRPr="00DF77E0">
        <w:t xml:space="preserve">  Persons making </w:t>
      </w:r>
      <w:r w:rsidRPr="00DF77E0">
        <w:rPr>
          <w:i/>
        </w:rPr>
        <w:t xml:space="preserve">ex parte </w:t>
      </w:r>
      <w:r w:rsidRPr="00DF77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F77E0">
        <w:rPr>
          <w:i/>
          <w:iCs/>
        </w:rPr>
        <w:t xml:space="preserve">ex parte </w:t>
      </w:r>
      <w:r w:rsidRPr="00DF77E0">
        <w:t xml:space="preserve">presentations are reminded that memoranda summarizing the presentation must (1) list all persons attending or otherwise participating in the meeting at which the </w:t>
      </w:r>
      <w:r w:rsidRPr="00DF77E0">
        <w:rPr>
          <w:i/>
          <w:iCs/>
        </w:rPr>
        <w:t xml:space="preserve">ex parte </w:t>
      </w:r>
      <w:r w:rsidRPr="00DF77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F77E0">
        <w:rPr>
          <w:i/>
          <w:iCs/>
        </w:rPr>
        <w:t xml:space="preserve">ex parte </w:t>
      </w:r>
      <w:r w:rsidRPr="00DF77E0">
        <w:t xml:space="preserve">meetings are deemed to be written </w:t>
      </w:r>
      <w:r w:rsidRPr="00DF77E0">
        <w:rPr>
          <w:i/>
          <w:iCs/>
        </w:rPr>
        <w:t>ex parte</w:t>
      </w:r>
      <w:r w:rsidRPr="00DF77E0">
        <w:t xml:space="preserve"> presentations and must be filed consistent with rule 1.1206(b).  In proceedings governed by rule 1.49(f) or for which the Commission has made available a method of electronic filing, written </w:t>
      </w:r>
      <w:r w:rsidRPr="00DF77E0">
        <w:rPr>
          <w:i/>
          <w:iCs/>
        </w:rPr>
        <w:t xml:space="preserve">ex parte </w:t>
      </w:r>
      <w:r w:rsidRPr="00DF77E0">
        <w:t xml:space="preserve">presentations and memoranda summarizing oral </w:t>
      </w:r>
      <w:r w:rsidRPr="00DF77E0">
        <w:rPr>
          <w:i/>
          <w:iCs/>
        </w:rPr>
        <w:t xml:space="preserve">ex parte </w:t>
      </w:r>
      <w:r w:rsidRPr="00DF77E0">
        <w:t>presentations, and all attachments thereto, must be filed through the electronic comment filing system available for that proceeding, and must be filed in their native format (</w:t>
      </w:r>
      <w:r w:rsidRPr="00DF77E0">
        <w:rPr>
          <w:i/>
          <w:iCs/>
        </w:rPr>
        <w:t>e.g.</w:t>
      </w:r>
      <w:r w:rsidRPr="00DF77E0">
        <w:t xml:space="preserve">, .doc, .xml, .ppt, searchable .pdf).  Participants in this proceeding should familiarize themselves with the Commission’s </w:t>
      </w:r>
      <w:r w:rsidRPr="00DF77E0">
        <w:rPr>
          <w:i/>
          <w:iCs/>
        </w:rPr>
        <w:t xml:space="preserve">ex parte </w:t>
      </w:r>
      <w:r w:rsidRPr="00DF77E0">
        <w:t>rules.</w:t>
      </w:r>
    </w:p>
    <w:p w:rsidR="0091487C" w:rsidRPr="00DF77E0" w:rsidRDefault="0091487C" w:rsidP="000D1DE0">
      <w:pPr>
        <w:pStyle w:val="ParaNum0"/>
      </w:pPr>
      <w:r w:rsidRPr="00DF77E0">
        <w:t>Comments ma</w:t>
      </w:r>
      <w:r w:rsidR="009A096D">
        <w:t>y be filed using the Commission’</w:t>
      </w:r>
      <w:r w:rsidRPr="00DF77E0">
        <w:t xml:space="preserve">s Electronic Comment Filing System (ECFS) or by filing paper copies.  </w:t>
      </w:r>
      <w:r w:rsidRPr="00DF77E0">
        <w:rPr>
          <w:i/>
        </w:rPr>
        <w:t>See</w:t>
      </w:r>
      <w:r w:rsidRPr="00DF77E0">
        <w:t xml:space="preserve"> Electronic Filing of Documents in Rulemaking Proceedings, 63 Fed. Reg. 24121 (1998).  Comments filed through the ECFS can be sent as an electronic file via the Internet </w:t>
      </w:r>
      <w:r w:rsidR="009A096D">
        <w:t>to http:// www.fcc.gov/cgb/ecfs</w:t>
      </w:r>
      <w:r w:rsidRPr="00DF77E0">
        <w:t>.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91487C" w:rsidRPr="00DF77E0" w:rsidRDefault="0091487C" w:rsidP="000D1DE0">
      <w:pPr>
        <w:pStyle w:val="ParaNum0"/>
      </w:pPr>
      <w:r w:rsidRPr="00DF77E0">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91487C" w:rsidRPr="00DF77E0" w:rsidRDefault="0091487C">
      <w:pPr>
        <w:pStyle w:val="ParaNum0"/>
        <w:numPr>
          <w:ilvl w:val="0"/>
          <w:numId w:val="37"/>
        </w:numPr>
      </w:pPr>
      <w:r w:rsidRPr="00DF77E0">
        <w:t>Filings can be sent by hand or messenger delivery, by commercial overnight courier, or by first-class or overnight U.S. Postal Service mail.  All filings must be addressed to the Commission</w:t>
      </w:r>
      <w:r w:rsidR="009A096D">
        <w:t>’</w:t>
      </w:r>
      <w:r w:rsidRPr="00DF77E0">
        <w:t>s Secretary, Office of the Secretary, Federal Communications Commission.</w:t>
      </w:r>
    </w:p>
    <w:p w:rsidR="0091487C" w:rsidRPr="00DF77E0" w:rsidRDefault="0091487C">
      <w:pPr>
        <w:pStyle w:val="ParaNum0"/>
        <w:numPr>
          <w:ilvl w:val="0"/>
          <w:numId w:val="37"/>
        </w:numPr>
      </w:pPr>
      <w:r w:rsidRPr="00DF77E0">
        <w:t>Effective December 28, 2009, all hand-delivered paper filings for the Commission’s Secretary must be delivered to FCC Headquarters at 445 12</w:t>
      </w:r>
      <w:r w:rsidRPr="00DF77E0">
        <w:rPr>
          <w:vertAlign w:val="superscript"/>
        </w:rPr>
        <w:t>th</w:t>
      </w:r>
      <w:r w:rsidR="009A096D">
        <w:t xml:space="preserve"> St., S.W., Room</w:t>
      </w:r>
      <w:r w:rsidR="00937B69">
        <w:t> </w:t>
      </w:r>
      <w:r w:rsidR="009A096D">
        <w:t>TW</w:t>
      </w:r>
      <w:r w:rsidR="009A096D">
        <w:noBreakHyphen/>
      </w:r>
      <w:r w:rsidRPr="00DF77E0">
        <w:t>A325, Washington, D</w:t>
      </w:r>
      <w:r>
        <w:t>.</w:t>
      </w:r>
      <w:r w:rsidRPr="00DF77E0">
        <w:t>C</w:t>
      </w:r>
      <w:r>
        <w:t xml:space="preserve">. </w:t>
      </w:r>
      <w:r w:rsidRPr="00DF77E0">
        <w:t xml:space="preserve">20554.  All hand deliveries must be held together with rubber bands or fasteners.  Envelopes must be disposed of before entering the building.  The filing hours at this location are 8:00 a.m. to 7:00 p.m.  </w:t>
      </w:r>
      <w:r w:rsidRPr="00DF77E0">
        <w:rPr>
          <w:b/>
        </w:rPr>
        <w:t>PLEASE NOTE:</w:t>
      </w:r>
      <w:r w:rsidRPr="00DF77E0">
        <w:t xml:space="preserve">  The Commission’s former filing location at 236 Massachusetts Ave., N.E. is permanently closed.</w:t>
      </w:r>
    </w:p>
    <w:p w:rsidR="0091487C" w:rsidRPr="00DF77E0" w:rsidRDefault="0091487C">
      <w:pPr>
        <w:pStyle w:val="ParaNum0"/>
        <w:numPr>
          <w:ilvl w:val="0"/>
          <w:numId w:val="37"/>
        </w:numPr>
      </w:pPr>
      <w:r w:rsidRPr="00DF77E0">
        <w:t>Commercial overnight mail (other than U.S. Postal Service Express Mail and Priority Mail) must be sent to 9300 East Hampton Drive, Capitol Heights, MD</w:t>
      </w:r>
      <w:r>
        <w:t xml:space="preserve"> </w:t>
      </w:r>
      <w:r w:rsidRPr="00DF77E0">
        <w:t>20743.</w:t>
      </w:r>
      <w:r w:rsidR="009A096D">
        <w:t xml:space="preserve">  U.S. </w:t>
      </w:r>
      <w:r w:rsidRPr="00DF77E0">
        <w:t xml:space="preserve">Postal Service first-class mail, Express Mail, and Priority </w:t>
      </w:r>
      <w:r w:rsidR="009A096D">
        <w:t>Mail should be addressed to 445 </w:t>
      </w:r>
      <w:r w:rsidRPr="00DF77E0">
        <w:t>12th Street, S.W., Washington</w:t>
      </w:r>
      <w:r>
        <w:t xml:space="preserve">, D.C. </w:t>
      </w:r>
      <w:r w:rsidRPr="00DF77E0">
        <w:t>20554.</w:t>
      </w:r>
    </w:p>
    <w:p w:rsidR="0091487C" w:rsidRPr="00DF77E0" w:rsidRDefault="0091487C">
      <w:pPr>
        <w:pStyle w:val="ParaNum0"/>
      </w:pPr>
      <w:r w:rsidRPr="00DF77E0">
        <w:t>Parties are requested to send one copy of their comments and reply comments to Best Copy and Printing, Inc., Portals II, 445 12th Street, S.W., Room CY-B402, Washington, D.C.</w:t>
      </w:r>
      <w:r>
        <w:t xml:space="preserve"> </w:t>
      </w:r>
      <w:r w:rsidRPr="00DF77E0">
        <w:t>20554, (800) 378-3160, e-mail FCC@BCPIWEB.com.</w:t>
      </w:r>
    </w:p>
    <w:p w:rsidR="0091487C" w:rsidRPr="00DF77E0" w:rsidRDefault="0091487C" w:rsidP="007D5AAA">
      <w:pPr>
        <w:pStyle w:val="ParaNum0"/>
        <w:widowControl/>
      </w:pPr>
      <w:r w:rsidRPr="00DF77E0">
        <w:t xml:space="preserve">The request, and comments and reply comments filed in response to this </w:t>
      </w:r>
      <w:r w:rsidRPr="00DF77E0">
        <w:rPr>
          <w:i/>
        </w:rPr>
        <w:t>Public Notice</w:t>
      </w:r>
      <w:r w:rsidR="007D5AAA">
        <w:rPr>
          <w:i/>
        </w:rPr>
        <w:t>,</w:t>
      </w:r>
      <w:r w:rsidRPr="00DF77E0">
        <w:t xml:space="preserve"> are available for viewi</w:t>
      </w:r>
      <w:r w:rsidR="00937B69">
        <w:t>ng via the Commission’</w:t>
      </w:r>
      <w:r w:rsidRPr="00DF77E0">
        <w:t xml:space="preserve">s Electronic Comment Filing System (ECFS) by entering the docket number, </w:t>
      </w:r>
      <w:r w:rsidR="00937B69">
        <w:rPr>
          <w:b/>
        </w:rPr>
        <w:t>WT Docket No.</w:t>
      </w:r>
      <w:r w:rsidR="00937B69" w:rsidRPr="000E0804">
        <w:rPr>
          <w:b/>
        </w:rPr>
        <w:t xml:space="preserve"> 12-</w:t>
      </w:r>
      <w:r w:rsidR="007D5AAA">
        <w:rPr>
          <w:b/>
        </w:rPr>
        <w:t>373</w:t>
      </w:r>
      <w:r w:rsidRPr="00DF77E0">
        <w:t>.   The documents also will be available for public inspection and copying during business hours in the FCC</w:t>
      </w:r>
      <w:r>
        <w:t xml:space="preserve"> </w:t>
      </w:r>
      <w:r w:rsidRPr="00DF77E0">
        <w:t>Reference</w:t>
      </w:r>
      <w:r>
        <w:t xml:space="preserve"> </w:t>
      </w:r>
      <w:r w:rsidRPr="00DF77E0">
        <w:t>Information</w:t>
      </w:r>
      <w:r>
        <w:t xml:space="preserve"> </w:t>
      </w:r>
      <w:r w:rsidRPr="00DF77E0">
        <w:t>Center, Portals II, 445 12th Street S.W., Room CY-A257, Washington, D.C.</w:t>
      </w:r>
      <w:r>
        <w:t xml:space="preserve"> </w:t>
      </w:r>
      <w:r w:rsidRPr="00DF77E0">
        <w:t>20554.  They may also be purchased from Best Copy and Printing, Inc., telephone (800) 378-3160, facsimile (202) 488-5563, TTY (202) 488-5562, e-mail FCC@BCPIWEB.com.</w:t>
      </w:r>
    </w:p>
    <w:p w:rsidR="0091487C" w:rsidRPr="00DF77E0" w:rsidRDefault="0091487C" w:rsidP="000D1DE0">
      <w:pPr>
        <w:pStyle w:val="ParaNum0"/>
      </w:pPr>
      <w:r w:rsidRPr="00DF77E0">
        <w:t xml:space="preserve">Alternate formats of this </w:t>
      </w:r>
      <w:r w:rsidRPr="00DF77E0">
        <w:rPr>
          <w:i/>
        </w:rPr>
        <w:t>Public Notice</w:t>
      </w:r>
      <w:r w:rsidRPr="00DF77E0">
        <w:t xml:space="preserve"> (computer diskette, large print, audio recording, and Braille) are available to persons with disabilities by contacting the Consumer &amp; Governmental Affairs Bureau at (202) 418-0530 (voice), (202) 418-0432 (TTY), or send an e-mail to fcc504@fcc.gov.</w:t>
      </w:r>
    </w:p>
    <w:p w:rsidR="0091487C" w:rsidRPr="0091487C" w:rsidRDefault="0091487C">
      <w:pPr>
        <w:pStyle w:val="ParaNum0"/>
        <w:rPr>
          <w:b/>
          <w:spacing w:val="-2"/>
          <w:szCs w:val="22"/>
        </w:rPr>
      </w:pPr>
      <w:r>
        <w:rPr>
          <w:szCs w:val="22"/>
        </w:rPr>
        <w:t xml:space="preserve">For further information regarding this Public Notice, please contact Paul Moon, Wireless Telecommunications Bureau, Mobility Division, at (202) 418-1793, </w:t>
      </w:r>
      <w:hyperlink r:id="rId14" w:history="1">
        <w:r w:rsidRPr="002D63A6">
          <w:rPr>
            <w:rStyle w:val="Hyperlink"/>
            <w:szCs w:val="22"/>
          </w:rPr>
          <w:t>paul.moon@fcc.gov</w:t>
        </w:r>
      </w:hyperlink>
      <w:r w:rsidRPr="0052545D">
        <w:rPr>
          <w:szCs w:val="22"/>
        </w:rPr>
        <w:t>.</w:t>
      </w:r>
    </w:p>
    <w:p w:rsidR="0091487C" w:rsidRDefault="0091487C">
      <w:pPr>
        <w:pStyle w:val="ParaNum0"/>
        <w:numPr>
          <w:ilvl w:val="0"/>
          <w:numId w:val="0"/>
        </w:numPr>
        <w:ind w:left="720"/>
      </w:pPr>
      <w:r w:rsidRPr="00DF77E0">
        <w:t>Action by the Chief, Mobility Division, Wireless Telecommunications Bureau.</w:t>
      </w:r>
    </w:p>
    <w:p w:rsidR="0091487C" w:rsidRDefault="0091487C" w:rsidP="0091487C">
      <w:pPr>
        <w:pStyle w:val="ParaNum0"/>
        <w:numPr>
          <w:ilvl w:val="0"/>
          <w:numId w:val="0"/>
        </w:numPr>
        <w:ind w:firstLine="720"/>
      </w:pPr>
    </w:p>
    <w:p w:rsidR="0091487C" w:rsidRDefault="0091487C" w:rsidP="0091487C">
      <w:pPr>
        <w:pStyle w:val="ParaNum0"/>
        <w:numPr>
          <w:ilvl w:val="0"/>
          <w:numId w:val="0"/>
        </w:numPr>
        <w:jc w:val="center"/>
      </w:pPr>
      <w:r>
        <w:t xml:space="preserve">- FCC </w:t>
      </w:r>
      <w:r w:rsidR="000F2117">
        <w:t>–</w:t>
      </w:r>
    </w:p>
    <w:sectPr w:rsidR="0091487C" w:rsidSect="00683EB8">
      <w:footnotePr>
        <w:numRestart w:val="eachSec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D1" w:rsidRDefault="00064AD1">
      <w:r>
        <w:separator/>
      </w:r>
    </w:p>
  </w:endnote>
  <w:endnote w:type="continuationSeparator" w:id="0">
    <w:p w:rsidR="00064AD1" w:rsidRDefault="0006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73" w:rsidRDefault="00263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25" w:rsidRDefault="00756125">
    <w:pPr>
      <w:pStyle w:val="Footer"/>
      <w:jc w:val="center"/>
    </w:pPr>
    <w:r>
      <w:rPr>
        <w:rStyle w:val="PageNumber"/>
      </w:rPr>
      <w:fldChar w:fldCharType="begin"/>
    </w:r>
    <w:r>
      <w:rPr>
        <w:rStyle w:val="PageNumber"/>
      </w:rPr>
      <w:instrText xml:space="preserve"> PAGE </w:instrText>
    </w:r>
    <w:r>
      <w:rPr>
        <w:rStyle w:val="PageNumber"/>
      </w:rPr>
      <w:fldChar w:fldCharType="separate"/>
    </w:r>
    <w:r w:rsidR="00E436A6">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73" w:rsidRDefault="0026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D1" w:rsidRDefault="00064AD1">
      <w:r>
        <w:separator/>
      </w:r>
    </w:p>
  </w:footnote>
  <w:footnote w:type="continuationSeparator" w:id="0">
    <w:p w:rsidR="00064AD1" w:rsidRDefault="00064AD1">
      <w:r>
        <w:continuationSeparator/>
      </w:r>
    </w:p>
  </w:footnote>
  <w:footnote w:id="1">
    <w:p w:rsidR="006813EE" w:rsidRDefault="006813EE">
      <w:pPr>
        <w:pStyle w:val="FootnoteText"/>
      </w:pPr>
      <w:r>
        <w:rPr>
          <w:rStyle w:val="FootnoteReference"/>
        </w:rPr>
        <w:footnoteRef/>
      </w:r>
      <w:r w:rsidRPr="009A096D">
        <w:rPr>
          <w:sz w:val="20"/>
        </w:rPr>
        <w:t xml:space="preserve"> </w:t>
      </w:r>
      <w:r>
        <w:rPr>
          <w:sz w:val="20"/>
        </w:rPr>
        <w:t>47 C.F.R.</w:t>
      </w:r>
      <w:r w:rsidRPr="009A096D">
        <w:rPr>
          <w:sz w:val="20"/>
        </w:rPr>
        <w:t xml:space="preserve"> §</w:t>
      </w:r>
      <w:r>
        <w:rPr>
          <w:sz w:val="20"/>
        </w:rPr>
        <w:t xml:space="preserve"> 2</w:t>
      </w:r>
      <w:r w:rsidRPr="009A096D">
        <w:rPr>
          <w:sz w:val="20"/>
        </w:rPr>
        <w:t>7.14(h)</w:t>
      </w:r>
      <w:r>
        <w:rPr>
          <w:sz w:val="20"/>
        </w:rPr>
        <w:t>.</w:t>
      </w:r>
    </w:p>
  </w:footnote>
  <w:footnote w:id="2">
    <w:p w:rsidR="00756125" w:rsidRPr="009A096D" w:rsidRDefault="00756125">
      <w:pPr>
        <w:pStyle w:val="FootnoteText"/>
        <w:rPr>
          <w:sz w:val="20"/>
        </w:rPr>
      </w:pPr>
      <w:r w:rsidRPr="009A096D">
        <w:rPr>
          <w:rStyle w:val="FootnoteReference"/>
          <w:sz w:val="20"/>
        </w:rPr>
        <w:footnoteRef/>
      </w:r>
      <w:r w:rsidRPr="009A096D">
        <w:rPr>
          <w:sz w:val="20"/>
        </w:rPr>
        <w:t xml:space="preserve"> </w:t>
      </w:r>
      <w:r w:rsidR="00966660" w:rsidRPr="009A096D">
        <w:rPr>
          <w:sz w:val="20"/>
        </w:rPr>
        <w:t xml:space="preserve">ULS </w:t>
      </w:r>
      <w:r w:rsidRPr="009A096D">
        <w:rPr>
          <w:sz w:val="20"/>
        </w:rPr>
        <w:t xml:space="preserve">File Nos. 0005501846 and 0005501481.  </w:t>
      </w:r>
      <w:r w:rsidR="004F512A">
        <w:rPr>
          <w:sz w:val="20"/>
        </w:rPr>
        <w:t>T</w:t>
      </w:r>
      <w:r w:rsidRPr="009A096D">
        <w:rPr>
          <w:sz w:val="20"/>
        </w:rPr>
        <w:t>he Applicants first filed their application</w:t>
      </w:r>
      <w:r w:rsidR="00583885" w:rsidRPr="009A096D">
        <w:rPr>
          <w:sz w:val="20"/>
        </w:rPr>
        <w:t>s</w:t>
      </w:r>
      <w:r w:rsidRPr="009A096D">
        <w:rPr>
          <w:sz w:val="20"/>
        </w:rPr>
        <w:t xml:space="preserve"> and associated </w:t>
      </w:r>
      <w:r w:rsidR="004F512A">
        <w:rPr>
          <w:sz w:val="20"/>
        </w:rPr>
        <w:t>request</w:t>
      </w:r>
      <w:r w:rsidRPr="009A096D">
        <w:rPr>
          <w:sz w:val="20"/>
        </w:rPr>
        <w:t xml:space="preserve"> for waiver on December 3, 2012.  </w:t>
      </w:r>
      <w:r w:rsidR="004F512A">
        <w:rPr>
          <w:sz w:val="20"/>
        </w:rPr>
        <w:t xml:space="preserve"> O</w:t>
      </w:r>
      <w:r w:rsidR="004F512A" w:rsidRPr="009A096D">
        <w:rPr>
          <w:sz w:val="20"/>
        </w:rPr>
        <w:t>n December 18, 2012</w:t>
      </w:r>
      <w:r w:rsidR="00360674" w:rsidRPr="009A096D">
        <w:rPr>
          <w:sz w:val="20"/>
        </w:rPr>
        <w:t>, the</w:t>
      </w:r>
      <w:r w:rsidRPr="009A096D">
        <w:rPr>
          <w:sz w:val="20"/>
        </w:rPr>
        <w:t xml:space="preserve"> Applicants </w:t>
      </w:r>
      <w:r w:rsidR="00BF52ED" w:rsidRPr="009A096D">
        <w:rPr>
          <w:sz w:val="20"/>
        </w:rPr>
        <w:t xml:space="preserve">filed </w:t>
      </w:r>
      <w:r w:rsidR="00A14031" w:rsidRPr="009A096D">
        <w:rPr>
          <w:sz w:val="20"/>
        </w:rPr>
        <w:t>an amendment to File No</w:t>
      </w:r>
      <w:r w:rsidR="004F512A">
        <w:rPr>
          <w:sz w:val="20"/>
        </w:rPr>
        <w:t>s</w:t>
      </w:r>
      <w:r w:rsidR="00A14031" w:rsidRPr="009A096D">
        <w:rPr>
          <w:sz w:val="20"/>
        </w:rPr>
        <w:t>. 0005501846</w:t>
      </w:r>
      <w:r w:rsidR="004F512A">
        <w:rPr>
          <w:sz w:val="20"/>
        </w:rPr>
        <w:t xml:space="preserve"> and </w:t>
      </w:r>
      <w:r w:rsidR="004F512A" w:rsidRPr="009A096D">
        <w:rPr>
          <w:sz w:val="20"/>
        </w:rPr>
        <w:t>0005501481</w:t>
      </w:r>
      <w:r w:rsidR="00DE246D">
        <w:rPr>
          <w:sz w:val="20"/>
        </w:rPr>
        <w:t xml:space="preserve"> </w:t>
      </w:r>
      <w:r w:rsidR="004F512A">
        <w:rPr>
          <w:sz w:val="20"/>
        </w:rPr>
        <w:t>with</w:t>
      </w:r>
      <w:r w:rsidRPr="009A096D">
        <w:rPr>
          <w:sz w:val="20"/>
        </w:rPr>
        <w:t xml:space="preserve"> corrected data</w:t>
      </w:r>
      <w:r w:rsidR="004F512A">
        <w:rPr>
          <w:sz w:val="20"/>
        </w:rPr>
        <w:t xml:space="preserve">/exhibits, including </w:t>
      </w:r>
      <w:r w:rsidR="000E4B30">
        <w:rPr>
          <w:sz w:val="20"/>
        </w:rPr>
        <w:t xml:space="preserve">providing </w:t>
      </w:r>
      <w:r w:rsidR="004F512A">
        <w:rPr>
          <w:sz w:val="20"/>
        </w:rPr>
        <w:t>a map depicting the two prospective license areas in the Gulf.</w:t>
      </w:r>
    </w:p>
  </w:footnote>
  <w:footnote w:id="3">
    <w:p w:rsidR="00756125" w:rsidRPr="009A096D" w:rsidRDefault="00756125">
      <w:pPr>
        <w:pStyle w:val="FootnoteText"/>
        <w:rPr>
          <w:sz w:val="20"/>
        </w:rPr>
      </w:pPr>
      <w:r w:rsidRPr="009A096D">
        <w:rPr>
          <w:rStyle w:val="FootnoteReference"/>
          <w:sz w:val="20"/>
        </w:rPr>
        <w:footnoteRef/>
      </w:r>
      <w:r w:rsidRPr="009A096D">
        <w:rPr>
          <w:sz w:val="20"/>
        </w:rPr>
        <w:t xml:space="preserve"> </w:t>
      </w:r>
      <w:r w:rsidR="00966660" w:rsidRPr="009A096D">
        <w:rPr>
          <w:sz w:val="20"/>
        </w:rPr>
        <w:t xml:space="preserve">ULS </w:t>
      </w:r>
      <w:r w:rsidR="000F7758" w:rsidRPr="009A096D">
        <w:rPr>
          <w:sz w:val="20"/>
        </w:rPr>
        <w:t xml:space="preserve">File Nos. 0005501846, </w:t>
      </w:r>
      <w:r w:rsidRPr="009A096D">
        <w:rPr>
          <w:sz w:val="20"/>
        </w:rPr>
        <w:t xml:space="preserve">Exh. 1, </w:t>
      </w:r>
      <w:r w:rsidR="00583885" w:rsidRPr="009A096D">
        <w:rPr>
          <w:sz w:val="20"/>
        </w:rPr>
        <w:t xml:space="preserve">Amended </w:t>
      </w:r>
      <w:r w:rsidRPr="009A096D">
        <w:rPr>
          <w:sz w:val="20"/>
        </w:rPr>
        <w:t xml:space="preserve">Description of Transaction, Public Interest Statement and Request for Waiver at 1 (filed Dec. </w:t>
      </w:r>
      <w:r w:rsidR="00966660" w:rsidRPr="009A096D">
        <w:rPr>
          <w:sz w:val="20"/>
        </w:rPr>
        <w:t>1</w:t>
      </w:r>
      <w:r w:rsidR="0091487C" w:rsidRPr="009A096D">
        <w:rPr>
          <w:sz w:val="20"/>
        </w:rPr>
        <w:t>8</w:t>
      </w:r>
      <w:r w:rsidRPr="009A096D">
        <w:rPr>
          <w:sz w:val="20"/>
        </w:rPr>
        <w:t>, 2012)</w:t>
      </w:r>
      <w:r w:rsidR="000E4B30">
        <w:rPr>
          <w:sz w:val="20"/>
        </w:rPr>
        <w:t xml:space="preserve"> (Waiver Request)</w:t>
      </w:r>
      <w:r w:rsidRPr="009A096D">
        <w:rPr>
          <w:sz w:val="20"/>
        </w:rPr>
        <w:t>.  The coordinates of each coverage area for partitioning the license are presented in Schedule G of the Form 603 application.</w:t>
      </w:r>
      <w:r w:rsidR="00227668" w:rsidRPr="009A096D">
        <w:rPr>
          <w:sz w:val="20"/>
        </w:rPr>
        <w:t xml:space="preserve">  We </w:t>
      </w:r>
      <w:r w:rsidR="004F00EE" w:rsidRPr="009A096D">
        <w:rPr>
          <w:sz w:val="20"/>
        </w:rPr>
        <w:t xml:space="preserve">note that File </w:t>
      </w:r>
      <w:r w:rsidR="00227668" w:rsidRPr="009A096D">
        <w:rPr>
          <w:sz w:val="20"/>
        </w:rPr>
        <w:t xml:space="preserve">No. 0005501846 </w:t>
      </w:r>
      <w:r w:rsidR="004F00EE" w:rsidRPr="009A096D">
        <w:rPr>
          <w:sz w:val="20"/>
        </w:rPr>
        <w:t>is the application for assignment from Small Ventures to Verizon Wireless</w:t>
      </w:r>
      <w:r w:rsidR="00227668" w:rsidRPr="009A096D">
        <w:rPr>
          <w:sz w:val="20"/>
        </w:rPr>
        <w:t xml:space="preserve"> regarding the shore-side partition</w:t>
      </w:r>
      <w:r w:rsidR="004F00EE" w:rsidRPr="009A096D">
        <w:rPr>
          <w:sz w:val="20"/>
        </w:rPr>
        <w:t xml:space="preserve">, whereas File No. </w:t>
      </w:r>
      <w:r w:rsidR="00227668" w:rsidRPr="009A096D">
        <w:rPr>
          <w:sz w:val="20"/>
        </w:rPr>
        <w:t xml:space="preserve">0005501481 </w:t>
      </w:r>
      <w:r w:rsidR="004F00EE" w:rsidRPr="009A096D">
        <w:rPr>
          <w:sz w:val="20"/>
        </w:rPr>
        <w:t xml:space="preserve">is the </w:t>
      </w:r>
      <w:r w:rsidR="00227668" w:rsidRPr="009A096D">
        <w:rPr>
          <w:sz w:val="20"/>
        </w:rPr>
        <w:t>successive</w:t>
      </w:r>
      <w:r w:rsidR="004F00EE" w:rsidRPr="009A096D">
        <w:rPr>
          <w:sz w:val="20"/>
        </w:rPr>
        <w:t xml:space="preserve"> application </w:t>
      </w:r>
      <w:r w:rsidR="004F512A">
        <w:rPr>
          <w:sz w:val="20"/>
        </w:rPr>
        <w:t xml:space="preserve">requesting assignment of </w:t>
      </w:r>
      <w:r w:rsidR="008705D1">
        <w:rPr>
          <w:sz w:val="20"/>
        </w:rPr>
        <w:t>c</w:t>
      </w:r>
      <w:r w:rsidR="004F512A">
        <w:rPr>
          <w:sz w:val="20"/>
        </w:rPr>
        <w:t xml:space="preserve">all sign </w:t>
      </w:r>
      <w:r w:rsidR="00937B69">
        <w:rPr>
          <w:sz w:val="20"/>
        </w:rPr>
        <w:t>WQJQ798</w:t>
      </w:r>
      <w:r w:rsidR="004F512A">
        <w:rPr>
          <w:sz w:val="20"/>
        </w:rPr>
        <w:t xml:space="preserve"> which, after processing of the shore-side partition companion application, would consist solely of the off</w:t>
      </w:r>
      <w:r w:rsidR="00F90D9A">
        <w:rPr>
          <w:sz w:val="20"/>
        </w:rPr>
        <w:t>-</w:t>
      </w:r>
      <w:r w:rsidR="004F512A">
        <w:rPr>
          <w:sz w:val="20"/>
        </w:rPr>
        <w:t xml:space="preserve">shore area. </w:t>
      </w:r>
    </w:p>
  </w:footnote>
  <w:footnote w:id="4">
    <w:p w:rsidR="00756125" w:rsidRPr="009A096D" w:rsidRDefault="00756125">
      <w:pPr>
        <w:pStyle w:val="FootnoteText"/>
        <w:rPr>
          <w:sz w:val="20"/>
        </w:rPr>
      </w:pPr>
      <w:r w:rsidRPr="009A096D">
        <w:rPr>
          <w:rStyle w:val="FootnoteReference"/>
          <w:sz w:val="20"/>
        </w:rPr>
        <w:footnoteRef/>
      </w:r>
      <w:r w:rsidRPr="009A096D">
        <w:rPr>
          <w:sz w:val="20"/>
        </w:rPr>
        <w:t xml:space="preserve"> Waiver Request at 1.</w:t>
      </w:r>
    </w:p>
  </w:footnote>
  <w:footnote w:id="5">
    <w:p w:rsidR="00756125" w:rsidRPr="009A096D" w:rsidRDefault="00756125">
      <w:pPr>
        <w:pStyle w:val="FootnoteText"/>
        <w:rPr>
          <w:i/>
          <w:sz w:val="20"/>
        </w:rPr>
      </w:pPr>
      <w:r w:rsidRPr="009A096D">
        <w:rPr>
          <w:rStyle w:val="FootnoteReference"/>
          <w:sz w:val="20"/>
        </w:rPr>
        <w:footnoteRef/>
      </w:r>
      <w:r w:rsidRPr="009A096D">
        <w:rPr>
          <w:sz w:val="20"/>
        </w:rPr>
        <w:t xml:space="preserve"> </w:t>
      </w:r>
      <w:r w:rsidRPr="009A096D">
        <w:rPr>
          <w:i/>
          <w:sz w:val="20"/>
        </w:rPr>
        <w:t>Id.</w:t>
      </w:r>
    </w:p>
  </w:footnote>
  <w:footnote w:id="6">
    <w:p w:rsidR="00756125" w:rsidRPr="009A096D" w:rsidRDefault="00756125">
      <w:pPr>
        <w:pStyle w:val="FootnoteText"/>
        <w:rPr>
          <w:i/>
          <w:sz w:val="20"/>
        </w:rPr>
      </w:pPr>
      <w:r w:rsidRPr="009A096D">
        <w:rPr>
          <w:rStyle w:val="FootnoteReference"/>
          <w:sz w:val="20"/>
        </w:rPr>
        <w:footnoteRef/>
      </w:r>
      <w:r w:rsidRPr="009A096D">
        <w:rPr>
          <w:sz w:val="20"/>
        </w:rPr>
        <w:t xml:space="preserve"> </w:t>
      </w:r>
      <w:r w:rsidRPr="009A096D">
        <w:rPr>
          <w:i/>
          <w:sz w:val="20"/>
        </w:rPr>
        <w:t>Id.</w:t>
      </w:r>
    </w:p>
  </w:footnote>
  <w:footnote w:id="7">
    <w:p w:rsidR="009A096D" w:rsidRPr="00937B69" w:rsidRDefault="009A096D">
      <w:pPr>
        <w:pStyle w:val="FootnoteText"/>
        <w:rPr>
          <w:sz w:val="20"/>
        </w:rPr>
      </w:pPr>
      <w:r w:rsidRPr="009A096D">
        <w:rPr>
          <w:rStyle w:val="FootnoteReference"/>
          <w:sz w:val="20"/>
        </w:rPr>
        <w:footnoteRef/>
      </w:r>
      <w:r w:rsidRPr="009A096D">
        <w:rPr>
          <w:sz w:val="20"/>
        </w:rPr>
        <w:t xml:space="preserve"> </w:t>
      </w:r>
      <w:r w:rsidRPr="009A096D">
        <w:rPr>
          <w:i/>
          <w:sz w:val="20"/>
        </w:rPr>
        <w:t>Id.</w:t>
      </w:r>
      <w:r w:rsidR="00937B69">
        <w:rPr>
          <w:sz w:val="20"/>
        </w:rPr>
        <w:t xml:space="preserve">  </w:t>
      </w:r>
      <w:r w:rsidR="00937B69" w:rsidRPr="00937B69">
        <w:rPr>
          <w:sz w:val="20"/>
        </w:rPr>
        <w:t>Additionally, Verizon Wireless notes that because the WQJQ798 license was originally awarded through bidding credits within the last five years, and Verizon Wireless does not meet the eligibility</w:t>
      </w:r>
      <w:r w:rsidR="00543FCE">
        <w:rPr>
          <w:sz w:val="20"/>
        </w:rPr>
        <w:t xml:space="preserve"> </w:t>
      </w:r>
      <w:r w:rsidR="00937B69" w:rsidRPr="00937B69">
        <w:rPr>
          <w:sz w:val="20"/>
        </w:rPr>
        <w:t>criteria for a bidding credit, the Applicants will make any required unjust enrichment payments to the Commission upon consummation of the transaction.</w:t>
      </w:r>
      <w:r w:rsidR="00937B69">
        <w:rPr>
          <w:sz w:val="20"/>
        </w:rPr>
        <w:t xml:space="preserve">  </w:t>
      </w:r>
      <w:r w:rsidR="00937B69">
        <w:rPr>
          <w:i/>
          <w:sz w:val="20"/>
        </w:rPr>
        <w:t>Id.</w:t>
      </w:r>
      <w:r w:rsidR="00937B69">
        <w:rPr>
          <w:sz w:val="20"/>
        </w:rPr>
        <w:t xml:space="preserve"> at 1, 2.</w:t>
      </w:r>
    </w:p>
  </w:footnote>
  <w:footnote w:id="8">
    <w:p w:rsidR="00756125" w:rsidRPr="009A096D" w:rsidRDefault="00756125">
      <w:pPr>
        <w:pStyle w:val="FootnoteText"/>
        <w:rPr>
          <w:sz w:val="20"/>
        </w:rPr>
      </w:pPr>
      <w:r w:rsidRPr="009A096D">
        <w:rPr>
          <w:rStyle w:val="FootnoteReference"/>
          <w:sz w:val="20"/>
        </w:rPr>
        <w:footnoteRef/>
      </w:r>
      <w:r w:rsidRPr="009A096D">
        <w:rPr>
          <w:sz w:val="20"/>
        </w:rPr>
        <w:t xml:space="preserve"> </w:t>
      </w:r>
      <w:r w:rsidRPr="009A096D">
        <w:rPr>
          <w:i/>
          <w:sz w:val="20"/>
        </w:rPr>
        <w:t>Id.</w:t>
      </w:r>
      <w:r w:rsidRPr="009A096D">
        <w:rPr>
          <w:sz w:val="20"/>
        </w:rPr>
        <w:t xml:space="preserve"> at 2.</w:t>
      </w:r>
    </w:p>
  </w:footnote>
  <w:footnote w:id="9">
    <w:p w:rsidR="00756125" w:rsidRPr="009A096D" w:rsidRDefault="00756125">
      <w:pPr>
        <w:pStyle w:val="FootnoteText"/>
        <w:rPr>
          <w:i/>
          <w:sz w:val="20"/>
        </w:rPr>
      </w:pPr>
      <w:r w:rsidRPr="009A096D">
        <w:rPr>
          <w:rStyle w:val="FootnoteReference"/>
          <w:sz w:val="20"/>
        </w:rPr>
        <w:footnoteRef/>
      </w:r>
      <w:r w:rsidRPr="009A096D">
        <w:rPr>
          <w:sz w:val="20"/>
        </w:rPr>
        <w:t xml:space="preserve"> </w:t>
      </w:r>
      <w:r w:rsidRPr="009A096D">
        <w:rPr>
          <w:i/>
          <w:sz w:val="20"/>
        </w:rPr>
        <w:t>Id.</w:t>
      </w:r>
    </w:p>
  </w:footnote>
  <w:footnote w:id="10">
    <w:p w:rsidR="00756125" w:rsidRPr="009A096D" w:rsidRDefault="00756125" w:rsidP="00D71E08">
      <w:pPr>
        <w:pStyle w:val="FootnoteText"/>
        <w:rPr>
          <w:sz w:val="20"/>
        </w:rPr>
      </w:pPr>
      <w:r w:rsidRPr="009A096D">
        <w:rPr>
          <w:rStyle w:val="FootnoteReference"/>
          <w:sz w:val="20"/>
        </w:rPr>
        <w:footnoteRef/>
      </w:r>
      <w:r w:rsidRPr="009A096D">
        <w:rPr>
          <w:sz w:val="20"/>
        </w:rPr>
        <w:t xml:space="preserve"> </w:t>
      </w:r>
      <w:r w:rsidRPr="009A096D">
        <w:rPr>
          <w:i/>
          <w:sz w:val="20"/>
        </w:rPr>
        <w:t>Id.</w:t>
      </w:r>
      <w:r w:rsidRPr="009A096D">
        <w:rPr>
          <w:sz w:val="20"/>
        </w:rPr>
        <w:t xml:space="preserve"> </w:t>
      </w:r>
      <w:r w:rsidR="007D624D">
        <w:rPr>
          <w:sz w:val="20"/>
        </w:rPr>
        <w:t>(</w:t>
      </w:r>
      <w:r w:rsidRPr="009A096D">
        <w:rPr>
          <w:sz w:val="20"/>
        </w:rPr>
        <w:t>citing 47 C.F.R. § 27.14(h)</w:t>
      </w:r>
      <w:r w:rsidR="007D624D">
        <w:rPr>
          <w:sz w:val="20"/>
        </w:rPr>
        <w:t>)</w:t>
      </w:r>
      <w:r w:rsidRPr="009A096D">
        <w:rPr>
          <w:sz w:val="20"/>
        </w:rPr>
        <w:t>.</w:t>
      </w:r>
    </w:p>
  </w:footnote>
  <w:footnote w:id="11">
    <w:p w:rsidR="00756125" w:rsidRPr="009A096D" w:rsidRDefault="00756125">
      <w:pPr>
        <w:pStyle w:val="FootnoteText"/>
        <w:rPr>
          <w:i/>
          <w:sz w:val="20"/>
        </w:rPr>
      </w:pPr>
      <w:r w:rsidRPr="009A096D">
        <w:rPr>
          <w:rStyle w:val="FootnoteReference"/>
          <w:sz w:val="20"/>
        </w:rPr>
        <w:footnoteRef/>
      </w:r>
      <w:r w:rsidRPr="009A096D">
        <w:rPr>
          <w:sz w:val="20"/>
        </w:rPr>
        <w:t xml:space="preserve"> </w:t>
      </w:r>
      <w:r w:rsidRPr="009A096D">
        <w:rPr>
          <w:i/>
          <w:sz w:val="20"/>
        </w:rPr>
        <w:t>Id.</w:t>
      </w:r>
    </w:p>
  </w:footnote>
  <w:footnote w:id="12">
    <w:p w:rsidR="0091487C" w:rsidRPr="009A096D" w:rsidRDefault="0091487C" w:rsidP="0091487C">
      <w:pPr>
        <w:pStyle w:val="FootnoteText"/>
        <w:rPr>
          <w:sz w:val="20"/>
        </w:rPr>
      </w:pPr>
      <w:r w:rsidRPr="009A096D">
        <w:rPr>
          <w:rStyle w:val="FootnoteReference"/>
          <w:sz w:val="20"/>
        </w:rPr>
        <w:footnoteRef/>
      </w:r>
      <w:r w:rsidRPr="009A096D">
        <w:rPr>
          <w:i/>
          <w:sz w:val="20"/>
        </w:rPr>
        <w:t xml:space="preserve"> See</w:t>
      </w:r>
      <w:r w:rsidRPr="009A096D">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73" w:rsidRDefault="00263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73" w:rsidRDefault="00263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25" w:rsidRDefault="0075612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0C34208" wp14:editId="6DC9068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40BFF72" wp14:editId="6B539E3D">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125" w:rsidRDefault="00756125">
                          <w:pPr>
                            <w:rPr>
                              <w:rFonts w:ascii="Arial" w:hAnsi="Arial"/>
                              <w:b/>
                            </w:rPr>
                          </w:pPr>
                          <w:r>
                            <w:rPr>
                              <w:rFonts w:ascii="Arial" w:hAnsi="Arial"/>
                              <w:b/>
                            </w:rPr>
                            <w:t>Federal Communications Commission</w:t>
                          </w:r>
                        </w:p>
                        <w:p w:rsidR="00756125" w:rsidRDefault="007561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56125" w:rsidRDefault="0075612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756125" w:rsidRDefault="00756125">
                    <w:pPr>
                      <w:rPr>
                        <w:rFonts w:ascii="Arial" w:hAnsi="Arial"/>
                        <w:b/>
                      </w:rPr>
                    </w:pPr>
                    <w:r>
                      <w:rPr>
                        <w:rFonts w:ascii="Arial" w:hAnsi="Arial"/>
                        <w:b/>
                      </w:rPr>
                      <w:t>Federal Communications Commission</w:t>
                    </w:r>
                  </w:p>
                  <w:p w:rsidR="00756125" w:rsidRDefault="007561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56125" w:rsidRDefault="00756125">
                    <w:pPr>
                      <w:rPr>
                        <w:rFonts w:ascii="Arial" w:hAnsi="Arial"/>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756125" w:rsidRDefault="00683EB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07F6C11C" wp14:editId="205AFF81">
              <wp:simplePos x="0" y="0"/>
              <wp:positionH relativeFrom="column">
                <wp:posOffset>3990340</wp:posOffset>
              </wp:positionH>
              <wp:positionV relativeFrom="paragraph">
                <wp:posOffset>130175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125" w:rsidRDefault="00756125">
                          <w:pPr>
                            <w:spacing w:before="40"/>
                            <w:jc w:val="right"/>
                            <w:rPr>
                              <w:rFonts w:ascii="Arial" w:hAnsi="Arial"/>
                              <w:b/>
                              <w:sz w:val="16"/>
                            </w:rPr>
                          </w:pPr>
                          <w:r>
                            <w:rPr>
                              <w:rFonts w:ascii="Arial" w:hAnsi="Arial"/>
                              <w:b/>
                              <w:sz w:val="16"/>
                            </w:rPr>
                            <w:t>News Media Information 202 / 418-0500</w:t>
                          </w:r>
                        </w:p>
                        <w:p w:rsidR="00756125" w:rsidRDefault="0075612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56125" w:rsidRDefault="00756125">
                          <w:pPr>
                            <w:jc w:val="right"/>
                            <w:rPr>
                              <w:rFonts w:ascii="Arial" w:hAnsi="Arial"/>
                              <w:b/>
                              <w:sz w:val="16"/>
                            </w:rPr>
                          </w:pPr>
                          <w:r>
                            <w:rPr>
                              <w:rFonts w:ascii="Arial" w:hAnsi="Arial"/>
                              <w:b/>
                              <w:sz w:val="16"/>
                            </w:rPr>
                            <w:t>TTY: 1-888-835-5322</w:t>
                          </w:r>
                        </w:p>
                        <w:p w:rsidR="00756125" w:rsidRDefault="0075612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4.2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" o:allowincell="f" stroked="f">
              <v:textbox inset=",0,,0">
                <w:txbxContent>
                  <w:p w:rsidR="00756125" w:rsidRDefault="00756125">
                    <w:pPr>
                      <w:spacing w:before="40"/>
                      <w:jc w:val="right"/>
                      <w:rPr>
                        <w:rFonts w:ascii="Arial" w:hAnsi="Arial"/>
                        <w:b/>
                        <w:sz w:val="16"/>
                      </w:rPr>
                    </w:pPr>
                    <w:r>
                      <w:rPr>
                        <w:rFonts w:ascii="Arial" w:hAnsi="Arial"/>
                        <w:b/>
                        <w:sz w:val="16"/>
                      </w:rPr>
                      <w:t>News Media Information 202 / 418-0500</w:t>
                    </w:r>
                  </w:p>
                  <w:p w:rsidR="00756125" w:rsidRDefault="0075612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56125" w:rsidRDefault="00756125">
                    <w:pPr>
                      <w:jc w:val="right"/>
                      <w:rPr>
                        <w:rFonts w:ascii="Arial" w:hAnsi="Arial"/>
                        <w:b/>
                        <w:sz w:val="16"/>
                      </w:rPr>
                    </w:pPr>
                    <w:r>
                      <w:rPr>
                        <w:rFonts w:ascii="Arial" w:hAnsi="Arial"/>
                        <w:b/>
                        <w:sz w:val="16"/>
                      </w:rPr>
                      <w:t>TTY: 1-888-835-5322</w:t>
                    </w:r>
                  </w:p>
                  <w:p w:rsidR="00756125" w:rsidRDefault="00756125">
                    <w:pPr>
                      <w:jc w:val="right"/>
                    </w:pPr>
                  </w:p>
                </w:txbxContent>
              </v:textbox>
            </v:shape>
          </w:pict>
        </mc:Fallback>
      </mc:AlternateContent>
    </w:r>
  </w:p>
  <w:p w:rsidR="00756125" w:rsidRDefault="007D624D">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0" allowOverlap="1" wp14:anchorId="4AC7EA5D" wp14:editId="7276D570">
              <wp:simplePos x="0" y="0"/>
              <wp:positionH relativeFrom="column">
                <wp:posOffset>-95250</wp:posOffset>
              </wp:positionH>
              <wp:positionV relativeFrom="paragraph">
                <wp:posOffset>67310</wp:posOffset>
              </wp:positionV>
              <wp:extent cx="6619875" cy="2540"/>
              <wp:effectExtent l="0" t="0" r="9525"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3pt" to="51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LV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3C9"/>
    <w:multiLevelType w:val="hybridMultilevel"/>
    <w:tmpl w:val="9F34F8B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Symbo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Symbol"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Symbol"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11953FCE"/>
    <w:multiLevelType w:val="hybridMultilevel"/>
    <w:tmpl w:val="78A02492"/>
    <w:lvl w:ilvl="0" w:tplc="D5B89CEA">
      <w:start w:val="1"/>
      <w:numFmt w:val="decimal"/>
      <w:pStyle w:val="ParaNumCharChar"/>
      <w:lvlText w:val="%1."/>
      <w:lvlJc w:val="left"/>
      <w:pPr>
        <w:tabs>
          <w:tab w:val="num" w:pos="0"/>
        </w:tabs>
        <w:ind w:firstLine="288"/>
      </w:pPr>
      <w:rPr>
        <w:rFonts w:ascii="Times New Roman" w:hAnsi="Times New Roman" w:cs="Times New Roman" w:hint="default"/>
        <w:b w:val="0"/>
        <w:i w:val="0"/>
        <w:sz w:val="22"/>
        <w:szCs w:val="22"/>
      </w:rPr>
    </w:lvl>
    <w:lvl w:ilvl="1" w:tplc="4FD4E05C">
      <w:start w:val="2"/>
      <w:numFmt w:val="upperLetter"/>
      <w:lvlText w:val="%2."/>
      <w:lvlJc w:val="left"/>
      <w:pPr>
        <w:tabs>
          <w:tab w:val="num" w:pos="1440"/>
        </w:tabs>
        <w:ind w:left="1440" w:hanging="360"/>
      </w:pPr>
      <w:rPr>
        <w:rFonts w:cs="Times New Roman" w:hint="default"/>
      </w:rPr>
    </w:lvl>
    <w:lvl w:ilvl="2" w:tplc="C8A27178" w:tentative="1">
      <w:start w:val="1"/>
      <w:numFmt w:val="lowerRoman"/>
      <w:lvlText w:val="%3."/>
      <w:lvlJc w:val="right"/>
      <w:pPr>
        <w:tabs>
          <w:tab w:val="num" w:pos="2160"/>
        </w:tabs>
        <w:ind w:left="2160" w:hanging="180"/>
      </w:pPr>
      <w:rPr>
        <w:rFonts w:cs="Times New Roman"/>
      </w:rPr>
    </w:lvl>
    <w:lvl w:ilvl="3" w:tplc="93247A3E" w:tentative="1">
      <w:start w:val="1"/>
      <w:numFmt w:val="decimal"/>
      <w:lvlText w:val="%4."/>
      <w:lvlJc w:val="left"/>
      <w:pPr>
        <w:tabs>
          <w:tab w:val="num" w:pos="2880"/>
        </w:tabs>
        <w:ind w:left="2880" w:hanging="360"/>
      </w:pPr>
      <w:rPr>
        <w:rFonts w:cs="Times New Roman"/>
      </w:rPr>
    </w:lvl>
    <w:lvl w:ilvl="4" w:tplc="F940C0C4" w:tentative="1">
      <w:start w:val="1"/>
      <w:numFmt w:val="lowerLetter"/>
      <w:lvlText w:val="%5."/>
      <w:lvlJc w:val="left"/>
      <w:pPr>
        <w:tabs>
          <w:tab w:val="num" w:pos="3600"/>
        </w:tabs>
        <w:ind w:left="3600" w:hanging="360"/>
      </w:pPr>
      <w:rPr>
        <w:rFonts w:cs="Times New Roman"/>
      </w:rPr>
    </w:lvl>
    <w:lvl w:ilvl="5" w:tplc="A7A2828A" w:tentative="1">
      <w:start w:val="1"/>
      <w:numFmt w:val="lowerRoman"/>
      <w:lvlText w:val="%6."/>
      <w:lvlJc w:val="right"/>
      <w:pPr>
        <w:tabs>
          <w:tab w:val="num" w:pos="4320"/>
        </w:tabs>
        <w:ind w:left="4320" w:hanging="180"/>
      </w:pPr>
      <w:rPr>
        <w:rFonts w:cs="Times New Roman"/>
      </w:rPr>
    </w:lvl>
    <w:lvl w:ilvl="6" w:tplc="80EA2EDA" w:tentative="1">
      <w:start w:val="1"/>
      <w:numFmt w:val="decimal"/>
      <w:lvlText w:val="%7."/>
      <w:lvlJc w:val="left"/>
      <w:pPr>
        <w:tabs>
          <w:tab w:val="num" w:pos="5040"/>
        </w:tabs>
        <w:ind w:left="5040" w:hanging="360"/>
      </w:pPr>
      <w:rPr>
        <w:rFonts w:cs="Times New Roman"/>
      </w:rPr>
    </w:lvl>
    <w:lvl w:ilvl="7" w:tplc="A91C347A" w:tentative="1">
      <w:start w:val="1"/>
      <w:numFmt w:val="lowerLetter"/>
      <w:lvlText w:val="%8."/>
      <w:lvlJc w:val="left"/>
      <w:pPr>
        <w:tabs>
          <w:tab w:val="num" w:pos="5760"/>
        </w:tabs>
        <w:ind w:left="5760" w:hanging="360"/>
      </w:pPr>
      <w:rPr>
        <w:rFonts w:cs="Times New Roman"/>
      </w:rPr>
    </w:lvl>
    <w:lvl w:ilvl="8" w:tplc="9DA2E66E" w:tentative="1">
      <w:start w:val="1"/>
      <w:numFmt w:val="lowerRoman"/>
      <w:lvlText w:val="%9."/>
      <w:lvlJc w:val="right"/>
      <w:pPr>
        <w:tabs>
          <w:tab w:val="num" w:pos="6480"/>
        </w:tabs>
        <w:ind w:left="6480" w:hanging="180"/>
      </w:pPr>
      <w:rPr>
        <w:rFonts w:cs="Times New Roman"/>
      </w:rPr>
    </w:lvl>
  </w:abstractNum>
  <w:abstractNum w:abstractNumId="2">
    <w:nsid w:val="2499374D"/>
    <w:multiLevelType w:val="hybridMultilevel"/>
    <w:tmpl w:val="6C60FAFE"/>
    <w:lvl w:ilvl="0" w:tplc="825684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0753436"/>
    <w:multiLevelType w:val="hybridMultilevel"/>
    <w:tmpl w:val="690A0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FD1E82"/>
    <w:multiLevelType w:val="hybridMultilevel"/>
    <w:tmpl w:val="42EA67C4"/>
    <w:lvl w:ilvl="0" w:tplc="6D9C17A4">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B5B1F57"/>
    <w:multiLevelType w:val="hybridMultilevel"/>
    <w:tmpl w:val="396408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343491"/>
    <w:multiLevelType w:val="hybridMultilevel"/>
    <w:tmpl w:val="47F61A52"/>
    <w:lvl w:ilvl="0" w:tplc="6D9C17A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160C52E0">
      <w:numFmt w:val="bullet"/>
      <w:lvlText w:val="-"/>
      <w:lvlJc w:val="left"/>
      <w:pPr>
        <w:tabs>
          <w:tab w:val="num" w:pos="2880"/>
        </w:tabs>
        <w:ind w:left="2880" w:hanging="360"/>
      </w:pPr>
      <w:rPr>
        <w:rFonts w:ascii="Times New Roman" w:eastAsia="Times New Roman" w:hAnsi="Times New Roman" w:cs="Times New Roman"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111B6E"/>
    <w:multiLevelType w:val="hybridMultilevel"/>
    <w:tmpl w:val="12C2D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7CCE75BA"/>
    <w:lvl w:ilvl="0">
      <w:start w:val="1"/>
      <w:numFmt w:val="decimal"/>
      <w:pStyle w:val="ParaNum0"/>
      <w:lvlText w:val="%1."/>
      <w:lvlJc w:val="left"/>
      <w:pPr>
        <w:tabs>
          <w:tab w:val="num" w:pos="1080"/>
        </w:tabs>
        <w:ind w:left="0" w:firstLine="720"/>
      </w:pPr>
      <w:rPr>
        <w:b w:val="0"/>
      </w:rPr>
    </w:lvl>
  </w:abstractNum>
  <w:num w:numId="1">
    <w:abstractNumId w:val="11"/>
  </w:num>
  <w:num w:numId="2">
    <w:abstractNumId w:val="10"/>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6"/>
  </w:num>
  <w:num w:numId="13">
    <w:abstractNumId w:val="0"/>
  </w:num>
  <w:num w:numId="14">
    <w:abstractNumId w:val="4"/>
  </w:num>
  <w:num w:numId="15">
    <w:abstractNumId w:val="1"/>
  </w:num>
  <w:num w:numId="16">
    <w:abstractNumId w:val="8"/>
  </w:num>
  <w:num w:numId="17">
    <w:abstractNumId w:val="5"/>
  </w:num>
  <w:num w:numId="18">
    <w:abstractNumId w:val="14"/>
  </w:num>
  <w:num w:numId="19">
    <w:abstractNumId w:val="2"/>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D5"/>
    <w:rsid w:val="000150E8"/>
    <w:rsid w:val="000254D5"/>
    <w:rsid w:val="00064AD1"/>
    <w:rsid w:val="000D1DE0"/>
    <w:rsid w:val="000E0804"/>
    <w:rsid w:val="000E4B30"/>
    <w:rsid w:val="000F2117"/>
    <w:rsid w:val="000F7758"/>
    <w:rsid w:val="001310B6"/>
    <w:rsid w:val="00227668"/>
    <w:rsid w:val="002311A6"/>
    <w:rsid w:val="00263973"/>
    <w:rsid w:val="002B28B8"/>
    <w:rsid w:val="002B2915"/>
    <w:rsid w:val="002D6385"/>
    <w:rsid w:val="002F1218"/>
    <w:rsid w:val="00311C17"/>
    <w:rsid w:val="00315AED"/>
    <w:rsid w:val="00360674"/>
    <w:rsid w:val="00496978"/>
    <w:rsid w:val="004A2206"/>
    <w:rsid w:val="004A446C"/>
    <w:rsid w:val="004F00EE"/>
    <w:rsid w:val="004F512A"/>
    <w:rsid w:val="0052545D"/>
    <w:rsid w:val="00542BF1"/>
    <w:rsid w:val="00543FCE"/>
    <w:rsid w:val="00556494"/>
    <w:rsid w:val="00583885"/>
    <w:rsid w:val="005E12F9"/>
    <w:rsid w:val="00623D10"/>
    <w:rsid w:val="006813EE"/>
    <w:rsid w:val="00683EB8"/>
    <w:rsid w:val="00724D96"/>
    <w:rsid w:val="00726DCE"/>
    <w:rsid w:val="00756125"/>
    <w:rsid w:val="007D5AAA"/>
    <w:rsid w:val="007D624D"/>
    <w:rsid w:val="007E1FF5"/>
    <w:rsid w:val="008705D1"/>
    <w:rsid w:val="0091487C"/>
    <w:rsid w:val="009234A3"/>
    <w:rsid w:val="00937B69"/>
    <w:rsid w:val="00966660"/>
    <w:rsid w:val="00993CBB"/>
    <w:rsid w:val="009A096D"/>
    <w:rsid w:val="00A14031"/>
    <w:rsid w:val="00A83278"/>
    <w:rsid w:val="00A966A4"/>
    <w:rsid w:val="00B23F04"/>
    <w:rsid w:val="00BF52ED"/>
    <w:rsid w:val="00C04896"/>
    <w:rsid w:val="00C263BA"/>
    <w:rsid w:val="00D07C00"/>
    <w:rsid w:val="00D71E08"/>
    <w:rsid w:val="00D941C0"/>
    <w:rsid w:val="00DD099D"/>
    <w:rsid w:val="00DE246D"/>
    <w:rsid w:val="00E436A6"/>
    <w:rsid w:val="00EA456B"/>
    <w:rsid w:val="00EE2D66"/>
    <w:rsid w:val="00F9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o,fr,Style 3,Style 13,FR"/>
    <w:basedOn w:val="DefaultParagraphFont"/>
    <w:uiPriority w:val="99"/>
    <w:semiHidden/>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n Char,Footnote Text Char1,fn,ALTS FOOTNOTE C,Footnote Text Char6"/>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basedOn w:val="DefaultParagraphFont"/>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rPr>
      <w:szCs w:val="24"/>
    </w:rPr>
  </w:style>
  <w:style w:type="character" w:styleId="PageNumber">
    <w:name w:val="page number"/>
    <w:basedOn w:val="DefaultParagraphFont"/>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 Char Char1,fn Char Char,fn Char2"/>
    <w:basedOn w:val="DefaultParagraphFont"/>
    <w:link w:val="FootnoteText"/>
    <w:semiHidden/>
    <w:locked/>
    <w:rPr>
      <w:sz w:val="24"/>
      <w:lang w:val="en-US" w:eastAsia="en-US" w:bidi="ar-SA"/>
    </w:rPr>
  </w:style>
  <w:style w:type="character" w:customStyle="1" w:styleId="FootnoteTextChar2">
    <w:name w:val="Footnote Text Char2"/>
    <w:aliases w:val="Footnote Text Char Char,Footnote Text Char1 Char Char,Footnote Text Char Char Char Char,Footnote Text Char1 Char Char Char Char,Footnote Text Char Char Char Char Char Char,Footnote Text Char1 Char Char Char Char Char Char,fn Char1"/>
    <w:basedOn w:val="DefaultParagraphFont"/>
    <w:semiHidden/>
    <w:locked/>
    <w:rPr>
      <w:rFonts w:cs="Times New Roman"/>
      <w:lang w:val="en-US" w:eastAsia="en-US" w:bidi="ar-SA"/>
    </w:rPr>
  </w:style>
  <w:style w:type="paragraph" w:customStyle="1" w:styleId="ParaNumCharChar">
    <w:name w:val="ParaNum Char Char"/>
    <w:basedOn w:val="Normal"/>
    <w:link w:val="ParaNumCharCharChar1"/>
    <w:pPr>
      <w:numPr>
        <w:numId w:val="15"/>
      </w:numPr>
      <w:snapToGrid w:val="0"/>
      <w:spacing w:after="220"/>
    </w:pPr>
    <w:rPr>
      <w:kern w:val="28"/>
      <w:sz w:val="22"/>
      <w:szCs w:val="22"/>
    </w:rPr>
  </w:style>
  <w:style w:type="character" w:customStyle="1" w:styleId="ParaNumCharCharChar1">
    <w:name w:val="ParaNum Char Char Char1"/>
    <w:basedOn w:val="DefaultParagraphFont"/>
    <w:link w:val="ParaNumCharChar"/>
    <w:locked/>
    <w:rPr>
      <w:kern w:val="28"/>
      <w:sz w:val="22"/>
      <w:szCs w:val="22"/>
    </w:rPr>
  </w:style>
  <w:style w:type="paragraph" w:styleId="TOC7">
    <w:name w:val="toc 7"/>
    <w:basedOn w:val="Normal"/>
    <w:next w:val="Normal"/>
    <w:autoRedefine/>
    <w:pPr>
      <w:ind w:left="1440"/>
    </w:pPr>
  </w:style>
  <w:style w:type="paragraph" w:customStyle="1" w:styleId="ParaNum0">
    <w:name w:val="ParaNum"/>
    <w:basedOn w:val="Normal"/>
    <w:link w:val="ParaNumChar"/>
    <w:pPr>
      <w:widowControl w:val="0"/>
      <w:numPr>
        <w:numId w:val="18"/>
      </w:numPr>
      <w:spacing w:after="120"/>
    </w:pPr>
    <w:rPr>
      <w:snapToGrid w:val="0"/>
      <w:kern w:val="28"/>
      <w:sz w:val="22"/>
    </w:rPr>
  </w:style>
  <w:style w:type="character" w:customStyle="1" w:styleId="ParaNumChar">
    <w:name w:val="ParaNum Char"/>
    <w:basedOn w:val="DefaultParagraphFont"/>
    <w:link w:val="ParaNum0"/>
    <w:locked/>
    <w:rPr>
      <w:snapToGrid w:val="0"/>
      <w:kern w:val="28"/>
      <w:sz w:val="22"/>
    </w:rPr>
  </w:style>
  <w:style w:type="paragraph" w:customStyle="1" w:styleId="StyleParaNum11pt">
    <w:name w:val="Style ParaNum + 11 pt"/>
    <w:basedOn w:val="ParaNum0"/>
    <w:autoRedefine/>
    <w:pPr>
      <w:widowControl/>
      <w:numPr>
        <w:numId w:val="0"/>
      </w:numPr>
      <w:tabs>
        <w:tab w:val="num" w:pos="720"/>
        <w:tab w:val="left" w:pos="1440"/>
      </w:tabs>
      <w:ind w:firstLine="720"/>
    </w:pPr>
    <w:rPr>
      <w:kern w:val="0"/>
      <w:szCs w:val="22"/>
    </w:rPr>
  </w:style>
  <w:style w:type="character" w:customStyle="1" w:styleId="FootnoteTextChar2CharChar1">
    <w:name w:val="Footnote Text Char2 Char Char1"/>
    <w:aliases w:val="Footnote Text Char1 Char Char Char1,Footnote Text Char Char Char Char Char1,Footnote Text Char2 Char Char Char Char Char1,Footnote Text Char1 Char1 Char Char Char Char Char1,Footnote Text Char2 Char2"/>
    <w:semiHidden/>
    <w:locked/>
    <w:rsid w:val="0091487C"/>
    <w:rPr>
      <w:rFonts w:ascii="Times New Roman" w:hAnsi="Times New Roman"/>
      <w:sz w:val="20"/>
    </w:rPr>
  </w:style>
  <w:style w:type="paragraph" w:customStyle="1" w:styleId="Default">
    <w:name w:val="Default"/>
    <w:rsid w:val="000F2117"/>
    <w:pPr>
      <w:autoSpaceDE w:val="0"/>
      <w:autoSpaceDN w:val="0"/>
      <w:adjustRightInd w:val="0"/>
    </w:pPr>
    <w:rPr>
      <w:color w:val="000000"/>
      <w:sz w:val="24"/>
      <w:szCs w:val="24"/>
    </w:rPr>
  </w:style>
  <w:style w:type="character" w:styleId="CommentReference">
    <w:name w:val="annotation reference"/>
    <w:basedOn w:val="DefaultParagraphFont"/>
    <w:rsid w:val="00C263BA"/>
    <w:rPr>
      <w:sz w:val="16"/>
      <w:szCs w:val="16"/>
    </w:rPr>
  </w:style>
  <w:style w:type="paragraph" w:styleId="CommentText">
    <w:name w:val="annotation text"/>
    <w:basedOn w:val="Normal"/>
    <w:link w:val="CommentTextChar"/>
    <w:rsid w:val="00C263BA"/>
    <w:rPr>
      <w:sz w:val="20"/>
    </w:rPr>
  </w:style>
  <w:style w:type="character" w:customStyle="1" w:styleId="CommentTextChar">
    <w:name w:val="Comment Text Char"/>
    <w:basedOn w:val="DefaultParagraphFont"/>
    <w:link w:val="CommentText"/>
    <w:rsid w:val="00C263BA"/>
  </w:style>
  <w:style w:type="paragraph" w:styleId="CommentSubject">
    <w:name w:val="annotation subject"/>
    <w:basedOn w:val="CommentText"/>
    <w:next w:val="CommentText"/>
    <w:link w:val="CommentSubjectChar"/>
    <w:rsid w:val="00C263BA"/>
    <w:rPr>
      <w:b/>
      <w:bCs/>
    </w:rPr>
  </w:style>
  <w:style w:type="character" w:customStyle="1" w:styleId="CommentSubjectChar">
    <w:name w:val="Comment Subject Char"/>
    <w:basedOn w:val="CommentTextChar"/>
    <w:link w:val="CommentSubject"/>
    <w:rsid w:val="00C26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o,fr,Style 3,Style 13,FR"/>
    <w:basedOn w:val="DefaultParagraphFont"/>
    <w:uiPriority w:val="99"/>
    <w:semiHidden/>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n Char,Footnote Text Char1,fn,ALTS FOOTNOTE C,Footnote Text Char6"/>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basedOn w:val="DefaultParagraphFont"/>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rPr>
      <w:szCs w:val="24"/>
    </w:rPr>
  </w:style>
  <w:style w:type="character" w:styleId="PageNumber">
    <w:name w:val="page number"/>
    <w:basedOn w:val="DefaultParagraphFont"/>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 Char Char1,fn Char Char,fn Char2"/>
    <w:basedOn w:val="DefaultParagraphFont"/>
    <w:link w:val="FootnoteText"/>
    <w:semiHidden/>
    <w:locked/>
    <w:rPr>
      <w:sz w:val="24"/>
      <w:lang w:val="en-US" w:eastAsia="en-US" w:bidi="ar-SA"/>
    </w:rPr>
  </w:style>
  <w:style w:type="character" w:customStyle="1" w:styleId="FootnoteTextChar2">
    <w:name w:val="Footnote Text Char2"/>
    <w:aliases w:val="Footnote Text Char Char,Footnote Text Char1 Char Char,Footnote Text Char Char Char Char,Footnote Text Char1 Char Char Char Char,Footnote Text Char Char Char Char Char Char,Footnote Text Char1 Char Char Char Char Char Char,fn Char1"/>
    <w:basedOn w:val="DefaultParagraphFont"/>
    <w:semiHidden/>
    <w:locked/>
    <w:rPr>
      <w:rFonts w:cs="Times New Roman"/>
      <w:lang w:val="en-US" w:eastAsia="en-US" w:bidi="ar-SA"/>
    </w:rPr>
  </w:style>
  <w:style w:type="paragraph" w:customStyle="1" w:styleId="ParaNumCharChar">
    <w:name w:val="ParaNum Char Char"/>
    <w:basedOn w:val="Normal"/>
    <w:link w:val="ParaNumCharCharChar1"/>
    <w:pPr>
      <w:numPr>
        <w:numId w:val="15"/>
      </w:numPr>
      <w:snapToGrid w:val="0"/>
      <w:spacing w:after="220"/>
    </w:pPr>
    <w:rPr>
      <w:kern w:val="28"/>
      <w:sz w:val="22"/>
      <w:szCs w:val="22"/>
    </w:rPr>
  </w:style>
  <w:style w:type="character" w:customStyle="1" w:styleId="ParaNumCharCharChar1">
    <w:name w:val="ParaNum Char Char Char1"/>
    <w:basedOn w:val="DefaultParagraphFont"/>
    <w:link w:val="ParaNumCharChar"/>
    <w:locked/>
    <w:rPr>
      <w:kern w:val="28"/>
      <w:sz w:val="22"/>
      <w:szCs w:val="22"/>
    </w:rPr>
  </w:style>
  <w:style w:type="paragraph" w:styleId="TOC7">
    <w:name w:val="toc 7"/>
    <w:basedOn w:val="Normal"/>
    <w:next w:val="Normal"/>
    <w:autoRedefine/>
    <w:pPr>
      <w:ind w:left="1440"/>
    </w:pPr>
  </w:style>
  <w:style w:type="paragraph" w:customStyle="1" w:styleId="ParaNum0">
    <w:name w:val="ParaNum"/>
    <w:basedOn w:val="Normal"/>
    <w:link w:val="ParaNumChar"/>
    <w:pPr>
      <w:widowControl w:val="0"/>
      <w:numPr>
        <w:numId w:val="18"/>
      </w:numPr>
      <w:spacing w:after="120"/>
    </w:pPr>
    <w:rPr>
      <w:snapToGrid w:val="0"/>
      <w:kern w:val="28"/>
      <w:sz w:val="22"/>
    </w:rPr>
  </w:style>
  <w:style w:type="character" w:customStyle="1" w:styleId="ParaNumChar">
    <w:name w:val="ParaNum Char"/>
    <w:basedOn w:val="DefaultParagraphFont"/>
    <w:link w:val="ParaNum0"/>
    <w:locked/>
    <w:rPr>
      <w:snapToGrid w:val="0"/>
      <w:kern w:val="28"/>
      <w:sz w:val="22"/>
    </w:rPr>
  </w:style>
  <w:style w:type="paragraph" w:customStyle="1" w:styleId="StyleParaNum11pt">
    <w:name w:val="Style ParaNum + 11 pt"/>
    <w:basedOn w:val="ParaNum0"/>
    <w:autoRedefine/>
    <w:pPr>
      <w:widowControl/>
      <w:numPr>
        <w:numId w:val="0"/>
      </w:numPr>
      <w:tabs>
        <w:tab w:val="num" w:pos="720"/>
        <w:tab w:val="left" w:pos="1440"/>
      </w:tabs>
      <w:ind w:firstLine="720"/>
    </w:pPr>
    <w:rPr>
      <w:kern w:val="0"/>
      <w:szCs w:val="22"/>
    </w:rPr>
  </w:style>
  <w:style w:type="character" w:customStyle="1" w:styleId="FootnoteTextChar2CharChar1">
    <w:name w:val="Footnote Text Char2 Char Char1"/>
    <w:aliases w:val="Footnote Text Char1 Char Char Char1,Footnote Text Char Char Char Char Char1,Footnote Text Char2 Char Char Char Char Char1,Footnote Text Char1 Char1 Char Char Char Char Char1,Footnote Text Char2 Char2"/>
    <w:semiHidden/>
    <w:locked/>
    <w:rsid w:val="0091487C"/>
    <w:rPr>
      <w:rFonts w:ascii="Times New Roman" w:hAnsi="Times New Roman"/>
      <w:sz w:val="20"/>
    </w:rPr>
  </w:style>
  <w:style w:type="paragraph" w:customStyle="1" w:styleId="Default">
    <w:name w:val="Default"/>
    <w:rsid w:val="000F2117"/>
    <w:pPr>
      <w:autoSpaceDE w:val="0"/>
      <w:autoSpaceDN w:val="0"/>
      <w:adjustRightInd w:val="0"/>
    </w:pPr>
    <w:rPr>
      <w:color w:val="000000"/>
      <w:sz w:val="24"/>
      <w:szCs w:val="24"/>
    </w:rPr>
  </w:style>
  <w:style w:type="character" w:styleId="CommentReference">
    <w:name w:val="annotation reference"/>
    <w:basedOn w:val="DefaultParagraphFont"/>
    <w:rsid w:val="00C263BA"/>
    <w:rPr>
      <w:sz w:val="16"/>
      <w:szCs w:val="16"/>
    </w:rPr>
  </w:style>
  <w:style w:type="paragraph" w:styleId="CommentText">
    <w:name w:val="annotation text"/>
    <w:basedOn w:val="Normal"/>
    <w:link w:val="CommentTextChar"/>
    <w:rsid w:val="00C263BA"/>
    <w:rPr>
      <w:sz w:val="20"/>
    </w:rPr>
  </w:style>
  <w:style w:type="character" w:customStyle="1" w:styleId="CommentTextChar">
    <w:name w:val="Comment Text Char"/>
    <w:basedOn w:val="DefaultParagraphFont"/>
    <w:link w:val="CommentText"/>
    <w:rsid w:val="00C263BA"/>
  </w:style>
  <w:style w:type="paragraph" w:styleId="CommentSubject">
    <w:name w:val="annotation subject"/>
    <w:basedOn w:val="CommentText"/>
    <w:next w:val="CommentText"/>
    <w:link w:val="CommentSubjectChar"/>
    <w:rsid w:val="00C263BA"/>
    <w:rPr>
      <w:b/>
      <w:bCs/>
    </w:rPr>
  </w:style>
  <w:style w:type="character" w:customStyle="1" w:styleId="CommentSubjectChar">
    <w:name w:val="Comment Subject Char"/>
    <w:basedOn w:val="CommentTextChar"/>
    <w:link w:val="CommentSubject"/>
    <w:rsid w:val="00C2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8728">
      <w:bodyDiv w:val="1"/>
      <w:marLeft w:val="0"/>
      <w:marRight w:val="0"/>
      <w:marTop w:val="0"/>
      <w:marBottom w:val="0"/>
      <w:divBdr>
        <w:top w:val="none" w:sz="0" w:space="0" w:color="auto"/>
        <w:left w:val="none" w:sz="0" w:space="0" w:color="auto"/>
        <w:bottom w:val="none" w:sz="0" w:space="0" w:color="auto"/>
        <w:right w:val="none" w:sz="0" w:space="0" w:color="auto"/>
      </w:divBdr>
      <w:divsChild>
        <w:div w:id="72288542">
          <w:marLeft w:val="0"/>
          <w:marRight w:val="0"/>
          <w:marTop w:val="0"/>
          <w:marBottom w:val="0"/>
          <w:divBdr>
            <w:top w:val="none" w:sz="0" w:space="0" w:color="auto"/>
            <w:left w:val="none" w:sz="0" w:space="0" w:color="auto"/>
            <w:bottom w:val="none" w:sz="0" w:space="0" w:color="auto"/>
            <w:right w:val="none" w:sz="0" w:space="0" w:color="auto"/>
          </w:divBdr>
          <w:divsChild>
            <w:div w:id="1922569194">
              <w:marLeft w:val="0"/>
              <w:marRight w:val="0"/>
              <w:marTop w:val="0"/>
              <w:marBottom w:val="0"/>
              <w:divBdr>
                <w:top w:val="none" w:sz="0" w:space="0" w:color="auto"/>
                <w:left w:val="none" w:sz="0" w:space="0" w:color="auto"/>
                <w:bottom w:val="none" w:sz="0" w:space="0" w:color="auto"/>
                <w:right w:val="none" w:sz="0" w:space="0" w:color="auto"/>
              </w:divBdr>
              <w:divsChild>
                <w:div w:id="1872717764">
                  <w:marLeft w:val="0"/>
                  <w:marRight w:val="0"/>
                  <w:marTop w:val="0"/>
                  <w:marBottom w:val="0"/>
                  <w:divBdr>
                    <w:top w:val="none" w:sz="0" w:space="0" w:color="auto"/>
                    <w:left w:val="none" w:sz="0" w:space="0" w:color="auto"/>
                    <w:bottom w:val="none" w:sz="0" w:space="0" w:color="auto"/>
                    <w:right w:val="none" w:sz="0" w:space="0" w:color="auto"/>
                  </w:divBdr>
                  <w:divsChild>
                    <w:div w:id="20097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537022">
      <w:bodyDiv w:val="1"/>
      <w:marLeft w:val="0"/>
      <w:marRight w:val="0"/>
      <w:marTop w:val="0"/>
      <w:marBottom w:val="0"/>
      <w:divBdr>
        <w:top w:val="none" w:sz="0" w:space="0" w:color="auto"/>
        <w:left w:val="none" w:sz="0" w:space="0" w:color="auto"/>
        <w:bottom w:val="none" w:sz="0" w:space="0" w:color="auto"/>
        <w:right w:val="none" w:sz="0" w:space="0" w:color="auto"/>
      </w:divBdr>
      <w:divsChild>
        <w:div w:id="977027485">
          <w:marLeft w:val="0"/>
          <w:marRight w:val="0"/>
          <w:marTop w:val="0"/>
          <w:marBottom w:val="0"/>
          <w:divBdr>
            <w:top w:val="none" w:sz="0" w:space="0" w:color="auto"/>
            <w:left w:val="none" w:sz="0" w:space="0" w:color="auto"/>
            <w:bottom w:val="none" w:sz="0" w:space="0" w:color="auto"/>
            <w:right w:val="none" w:sz="0" w:space="0" w:color="auto"/>
          </w:divBdr>
          <w:divsChild>
            <w:div w:id="2141997009">
              <w:marLeft w:val="0"/>
              <w:marRight w:val="0"/>
              <w:marTop w:val="0"/>
              <w:marBottom w:val="0"/>
              <w:divBdr>
                <w:top w:val="none" w:sz="0" w:space="0" w:color="auto"/>
                <w:left w:val="none" w:sz="0" w:space="0" w:color="auto"/>
                <w:bottom w:val="none" w:sz="0" w:space="0" w:color="auto"/>
                <w:right w:val="none" w:sz="0" w:space="0" w:color="auto"/>
              </w:divBdr>
              <w:divsChild>
                <w:div w:id="1215384244">
                  <w:marLeft w:val="0"/>
                  <w:marRight w:val="0"/>
                  <w:marTop w:val="0"/>
                  <w:marBottom w:val="0"/>
                  <w:divBdr>
                    <w:top w:val="none" w:sz="0" w:space="0" w:color="auto"/>
                    <w:left w:val="none" w:sz="0" w:space="0" w:color="auto"/>
                    <w:bottom w:val="none" w:sz="0" w:space="0" w:color="auto"/>
                    <w:right w:val="none" w:sz="0" w:space="0" w:color="auto"/>
                  </w:divBdr>
                  <w:divsChild>
                    <w:div w:id="762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44419">
      <w:bodyDiv w:val="1"/>
      <w:marLeft w:val="0"/>
      <w:marRight w:val="0"/>
      <w:marTop w:val="0"/>
      <w:marBottom w:val="0"/>
      <w:divBdr>
        <w:top w:val="none" w:sz="0" w:space="0" w:color="auto"/>
        <w:left w:val="none" w:sz="0" w:space="0" w:color="auto"/>
        <w:bottom w:val="none" w:sz="0" w:space="0" w:color="auto"/>
        <w:right w:val="none" w:sz="0" w:space="0" w:color="auto"/>
      </w:divBdr>
      <w:divsChild>
        <w:div w:id="1453089434">
          <w:marLeft w:val="0"/>
          <w:marRight w:val="0"/>
          <w:marTop w:val="0"/>
          <w:marBottom w:val="0"/>
          <w:divBdr>
            <w:top w:val="none" w:sz="0" w:space="0" w:color="auto"/>
            <w:left w:val="none" w:sz="0" w:space="0" w:color="auto"/>
            <w:bottom w:val="none" w:sz="0" w:space="0" w:color="auto"/>
            <w:right w:val="none" w:sz="0" w:space="0" w:color="auto"/>
          </w:divBdr>
          <w:divsChild>
            <w:div w:id="1576280329">
              <w:marLeft w:val="0"/>
              <w:marRight w:val="0"/>
              <w:marTop w:val="0"/>
              <w:marBottom w:val="0"/>
              <w:divBdr>
                <w:top w:val="none" w:sz="0" w:space="0" w:color="auto"/>
                <w:left w:val="none" w:sz="0" w:space="0" w:color="auto"/>
                <w:bottom w:val="none" w:sz="0" w:space="0" w:color="auto"/>
                <w:right w:val="none" w:sz="0" w:space="0" w:color="auto"/>
              </w:divBdr>
              <w:divsChild>
                <w:div w:id="955216303">
                  <w:marLeft w:val="0"/>
                  <w:marRight w:val="0"/>
                  <w:marTop w:val="0"/>
                  <w:marBottom w:val="0"/>
                  <w:divBdr>
                    <w:top w:val="none" w:sz="0" w:space="0" w:color="auto"/>
                    <w:left w:val="none" w:sz="0" w:space="0" w:color="auto"/>
                    <w:bottom w:val="none" w:sz="0" w:space="0" w:color="auto"/>
                    <w:right w:val="none" w:sz="0" w:space="0" w:color="auto"/>
                  </w:divBdr>
                  <w:divsChild>
                    <w:div w:id="12622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52395">
      <w:bodyDiv w:val="1"/>
      <w:marLeft w:val="0"/>
      <w:marRight w:val="0"/>
      <w:marTop w:val="0"/>
      <w:marBottom w:val="0"/>
      <w:divBdr>
        <w:top w:val="none" w:sz="0" w:space="0" w:color="auto"/>
        <w:left w:val="none" w:sz="0" w:space="0" w:color="auto"/>
        <w:bottom w:val="none" w:sz="0" w:space="0" w:color="auto"/>
        <w:right w:val="none" w:sz="0" w:space="0" w:color="auto"/>
      </w:divBdr>
      <w:divsChild>
        <w:div w:id="234557698">
          <w:marLeft w:val="0"/>
          <w:marRight w:val="0"/>
          <w:marTop w:val="0"/>
          <w:marBottom w:val="0"/>
          <w:divBdr>
            <w:top w:val="none" w:sz="0" w:space="0" w:color="auto"/>
            <w:left w:val="none" w:sz="0" w:space="0" w:color="auto"/>
            <w:bottom w:val="none" w:sz="0" w:space="0" w:color="auto"/>
            <w:right w:val="none" w:sz="0" w:space="0" w:color="auto"/>
          </w:divBdr>
          <w:divsChild>
            <w:div w:id="1209222276">
              <w:marLeft w:val="0"/>
              <w:marRight w:val="0"/>
              <w:marTop w:val="0"/>
              <w:marBottom w:val="0"/>
              <w:divBdr>
                <w:top w:val="none" w:sz="0" w:space="0" w:color="auto"/>
                <w:left w:val="none" w:sz="0" w:space="0" w:color="auto"/>
                <w:bottom w:val="none" w:sz="0" w:space="0" w:color="auto"/>
                <w:right w:val="none" w:sz="0" w:space="0" w:color="auto"/>
              </w:divBdr>
              <w:divsChild>
                <w:div w:id="950665488">
                  <w:marLeft w:val="0"/>
                  <w:marRight w:val="0"/>
                  <w:marTop w:val="0"/>
                  <w:marBottom w:val="0"/>
                  <w:divBdr>
                    <w:top w:val="none" w:sz="0" w:space="0" w:color="auto"/>
                    <w:left w:val="none" w:sz="0" w:space="0" w:color="auto"/>
                    <w:bottom w:val="none" w:sz="0" w:space="0" w:color="auto"/>
                    <w:right w:val="none" w:sz="0" w:space="0" w:color="auto"/>
                  </w:divBdr>
                  <w:divsChild>
                    <w:div w:id="8653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mo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8384</Characters>
  <Application>Microsoft Office Word</Application>
  <DocSecurity>0</DocSecurity>
  <Lines>122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9934</CharactersWithSpaces>
  <SharedDoc>false</SharedDoc>
  <HyperlinkBase> </HyperlinkBase>
  <HLinks>
    <vt:vector size="6" baseType="variant">
      <vt:variant>
        <vt:i4>2031727</vt:i4>
      </vt:variant>
      <vt:variant>
        <vt:i4>0</vt:i4>
      </vt:variant>
      <vt:variant>
        <vt:i4>0</vt:i4>
      </vt:variant>
      <vt:variant>
        <vt:i4>5</vt:i4>
      </vt:variant>
      <vt:variant>
        <vt:lpwstr>mailto:richard.arsenault@fcc.gov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2010-06-28T18:04:00Z</cp:lastPrinted>
  <dcterms:created xsi:type="dcterms:W3CDTF">2012-12-21T17:50:00Z</dcterms:created>
  <dcterms:modified xsi:type="dcterms:W3CDTF">2012-12-21T17:50:00Z</dcterms:modified>
  <cp:category> </cp:category>
  <cp:contentStatus> </cp:contentStatus>
</cp:coreProperties>
</file>