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3AB9" w:rsidRPr="00A23D59" w:rsidRDefault="006A3AB9">
      <w:pPr>
        <w:tabs>
          <w:tab w:val="right" w:pos="9360"/>
        </w:tabs>
        <w:suppressAutoHyphens/>
        <w:rPr>
          <w:rFonts w:ascii="Arial" w:hAnsi="Arial"/>
          <w:b/>
          <w:sz w:val="96"/>
          <w:szCs w:val="96"/>
        </w:rPr>
      </w:pPr>
      <w:bookmarkStart w:id="0" w:name="_GoBack"/>
      <w:bookmarkEnd w:id="0"/>
      <w:r>
        <w:tab/>
      </w:r>
      <w:r w:rsidR="00150105">
        <w:rPr>
          <w:noProof/>
        </w:rPr>
        <mc:AlternateContent>
          <mc:Choice Requires="wps">
            <w:drawing>
              <wp:anchor distT="0" distB="0" distL="114300" distR="114300" simplePos="0" relativeHeight="251658240" behindDoc="1" locked="0" layoutInCell="0" allowOverlap="1" wp14:anchorId="3C7E0AFE" wp14:editId="4A787555">
                <wp:simplePos x="0" y="0"/>
                <wp:positionH relativeFrom="margin">
                  <wp:posOffset>-72390</wp:posOffset>
                </wp:positionH>
                <wp:positionV relativeFrom="page">
                  <wp:posOffset>792480</wp:posOffset>
                </wp:positionV>
                <wp:extent cx="693420" cy="731520"/>
                <wp:effectExtent l="0" t="0" r="0" b="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 cy="7315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151D61" w:rsidRDefault="00151D61">
                            <w:pPr>
                              <w:tabs>
                                <w:tab w:val="left" w:pos="-720"/>
                              </w:tabs>
                              <w:suppressAutoHyphens/>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5.7pt;margin-top:62.4pt;width:54.6pt;height:57.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" o:allowincell="f" filled="f" stroked="f" strokeweight="0">
                <v:textbox inset="0,0,0,0">
                  <w:txbxContent>
                    <w:p w:rsidR="00151D61" w:rsidRDefault="00151D61">
                      <w:pPr>
                        <w:tabs>
                          <w:tab w:val="left" w:pos="-720"/>
                        </w:tabs>
                        <w:suppressAutoHyphens/>
                        <w:rPr>
                          <w:sz w:val="2"/>
                        </w:rPr>
                      </w:pPr>
                    </w:p>
                  </w:txbxContent>
                </v:textbox>
                <w10:wrap anchorx="margin" anchory="page"/>
              </v:rect>
            </w:pict>
          </mc:Fallback>
        </mc:AlternateContent>
      </w:r>
      <w:r>
        <w:rPr>
          <w:rFonts w:ascii="Arial" w:hAnsi="Arial"/>
          <w:b/>
          <w:sz w:val="100"/>
        </w:rPr>
        <w:t xml:space="preserve"> </w:t>
      </w:r>
      <w:r w:rsidRPr="00A23D59">
        <w:rPr>
          <w:rFonts w:ascii="Arial" w:hAnsi="Arial"/>
          <w:b/>
          <w:sz w:val="96"/>
          <w:szCs w:val="96"/>
        </w:rPr>
        <w:t>PUBLIC NOTICE</w:t>
      </w:r>
    </w:p>
    <w:p w:rsidR="006A3AB9" w:rsidRPr="009237FA" w:rsidRDefault="006A3AB9">
      <w:pPr>
        <w:tabs>
          <w:tab w:val="left" w:pos="-720"/>
        </w:tabs>
        <w:suppressAutoHyphens/>
        <w:rPr>
          <w:b/>
        </w:rPr>
      </w:pPr>
    </w:p>
    <w:p w:rsidR="006A3AB9" w:rsidRPr="009237FA" w:rsidRDefault="006A3AB9">
      <w:pPr>
        <w:tabs>
          <w:tab w:val="right" w:pos="9360"/>
        </w:tabs>
        <w:suppressAutoHyphens/>
        <w:rPr>
          <w:szCs w:val="22"/>
        </w:rPr>
      </w:pPr>
      <w:r w:rsidRPr="009237FA">
        <w:rPr>
          <w:b/>
          <w:szCs w:val="22"/>
        </w:rPr>
        <w:t>FEDERAL COMMUNICATIONS COMMISSION</w:t>
      </w:r>
      <w:r w:rsidRPr="009237FA">
        <w:rPr>
          <w:szCs w:val="22"/>
        </w:rPr>
        <w:t xml:space="preserve"> </w:t>
      </w:r>
      <w:r w:rsidRPr="009237FA">
        <w:rPr>
          <w:szCs w:val="22"/>
        </w:rPr>
        <w:tab/>
      </w:r>
      <w:r w:rsidRPr="009237FA">
        <w:rPr>
          <w:b/>
          <w:szCs w:val="22"/>
        </w:rPr>
        <w:t>News Media Information: (202) 418-0500</w:t>
      </w:r>
    </w:p>
    <w:p w:rsidR="004A0E9F" w:rsidRPr="009237FA" w:rsidRDefault="006A3AB9" w:rsidP="004A0E9F">
      <w:pPr>
        <w:tabs>
          <w:tab w:val="left" w:pos="-2970"/>
          <w:tab w:val="right" w:pos="9360"/>
        </w:tabs>
        <w:suppressAutoHyphens/>
        <w:rPr>
          <w:szCs w:val="22"/>
        </w:rPr>
      </w:pPr>
      <w:smartTag w:uri="urn:schemas-microsoft-com:office:smarttags" w:element="Street">
        <w:smartTag w:uri="urn:schemas-microsoft-com:office:smarttags" w:element="address">
          <w:r w:rsidRPr="009237FA">
            <w:rPr>
              <w:b/>
              <w:szCs w:val="22"/>
            </w:rPr>
            <w:t>445 12th STREET, S.W.</w:t>
          </w:r>
        </w:smartTag>
      </w:smartTag>
      <w:r w:rsidR="004A0E9F" w:rsidRPr="009237FA">
        <w:rPr>
          <w:b/>
          <w:szCs w:val="22"/>
        </w:rPr>
        <w:t xml:space="preserve">                                                                 </w:t>
      </w:r>
      <w:r w:rsidR="009237FA">
        <w:rPr>
          <w:b/>
          <w:szCs w:val="22"/>
        </w:rPr>
        <w:t xml:space="preserve">             </w:t>
      </w:r>
      <w:r w:rsidR="004A0E9F" w:rsidRPr="009237FA">
        <w:rPr>
          <w:b/>
          <w:szCs w:val="22"/>
        </w:rPr>
        <w:t>Internet:  http://www.fcc.gov</w:t>
      </w:r>
    </w:p>
    <w:p w:rsidR="006A3AB9" w:rsidRPr="009237FA" w:rsidRDefault="006A3AB9">
      <w:pPr>
        <w:pStyle w:val="Heading1"/>
        <w:tabs>
          <w:tab w:val="clear" w:pos="-720"/>
          <w:tab w:val="left" w:pos="-2970"/>
          <w:tab w:val="right" w:pos="9360"/>
        </w:tabs>
        <w:rPr>
          <w:rFonts w:ascii="Times New Roman" w:hAnsi="Times New Roman"/>
          <w:sz w:val="20"/>
        </w:rPr>
      </w:pPr>
      <w:smartTag w:uri="urn:schemas-microsoft-com:office:smarttags" w:element="place">
        <w:smartTag w:uri="urn:schemas-microsoft-com:office:smarttags" w:element="City">
          <w:r w:rsidRPr="009237FA">
            <w:rPr>
              <w:rFonts w:ascii="Times New Roman" w:hAnsi="Times New Roman"/>
              <w:szCs w:val="22"/>
            </w:rPr>
            <w:t>WASHINGTON</w:t>
          </w:r>
        </w:smartTag>
        <w:r w:rsidRPr="009237FA">
          <w:rPr>
            <w:rFonts w:ascii="Times New Roman" w:hAnsi="Times New Roman"/>
            <w:szCs w:val="22"/>
          </w:rPr>
          <w:t xml:space="preserve">, </w:t>
        </w:r>
        <w:smartTag w:uri="urn:schemas-microsoft-com:office:smarttags" w:element="State">
          <w:r w:rsidRPr="009237FA">
            <w:rPr>
              <w:rFonts w:ascii="Times New Roman" w:hAnsi="Times New Roman"/>
              <w:szCs w:val="22"/>
            </w:rPr>
            <w:t>D.C.</w:t>
          </w:r>
        </w:smartTag>
      </w:smartTag>
      <w:r w:rsidRPr="009237FA">
        <w:rPr>
          <w:rFonts w:ascii="Times New Roman" w:hAnsi="Times New Roman"/>
          <w:szCs w:val="22"/>
        </w:rPr>
        <w:t xml:space="preserve">  20554</w:t>
      </w:r>
      <w:r w:rsidR="007240DB" w:rsidRPr="009237FA">
        <w:rPr>
          <w:rFonts w:ascii="Times New Roman" w:hAnsi="Times New Roman"/>
          <w:szCs w:val="22"/>
        </w:rPr>
        <w:t xml:space="preserve">                                                                       </w:t>
      </w:r>
      <w:r w:rsidR="009237FA">
        <w:rPr>
          <w:rFonts w:ascii="Times New Roman" w:hAnsi="Times New Roman"/>
          <w:szCs w:val="22"/>
        </w:rPr>
        <w:t xml:space="preserve">           </w:t>
      </w:r>
      <w:r w:rsidR="007240DB" w:rsidRPr="009237FA">
        <w:rPr>
          <w:rFonts w:ascii="Times New Roman" w:hAnsi="Times New Roman"/>
          <w:szCs w:val="22"/>
        </w:rPr>
        <w:t>TTY:  1-888-835-5322</w:t>
      </w:r>
    </w:p>
    <w:p w:rsidR="006A3AB9" w:rsidRDefault="00150105">
      <w:pPr>
        <w:tabs>
          <w:tab w:val="left" w:pos="-720"/>
        </w:tabs>
        <w:suppressAutoHyphens/>
        <w:spacing w:line="28" w:lineRule="exact"/>
        <w:rPr>
          <w:rFonts w:ascii="Arial" w:hAnsi="Arial"/>
          <w:sz w:val="20"/>
        </w:rPr>
      </w:pPr>
      <w:r>
        <w:rPr>
          <w:noProof/>
        </w:rPr>
        <mc:AlternateContent>
          <mc:Choice Requires="wps">
            <w:drawing>
              <wp:anchor distT="0" distB="0" distL="114300" distR="114300" simplePos="0" relativeHeight="251657216" behindDoc="1" locked="0" layoutInCell="0" allowOverlap="1" wp14:anchorId="0A3A2D87" wp14:editId="74F139E1">
                <wp:simplePos x="0" y="0"/>
                <wp:positionH relativeFrom="margin">
                  <wp:posOffset>0</wp:posOffset>
                </wp:positionH>
                <wp:positionV relativeFrom="paragraph">
                  <wp:posOffset>0</wp:posOffset>
                </wp:positionV>
                <wp:extent cx="5943600" cy="1778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7780"/>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0;margin-top:0;width:468pt;height: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" o:allowincell="f" fillcolor="black" stroked="f" strokeweight=".05pt">
                <w10:wrap anchorx="margin"/>
              </v:rect>
            </w:pict>
          </mc:Fallback>
        </mc:AlternateContent>
      </w:r>
    </w:p>
    <w:p w:rsidR="006A3AB9" w:rsidRDefault="006A3AB9">
      <w:pPr>
        <w:tabs>
          <w:tab w:val="left" w:pos="-2880"/>
        </w:tabs>
        <w:suppressAutoHyphens/>
        <w:jc w:val="right"/>
        <w:rPr>
          <w:b/>
        </w:rPr>
      </w:pPr>
    </w:p>
    <w:p w:rsidR="006A3AB9" w:rsidRPr="004007AC" w:rsidRDefault="006A3AB9">
      <w:pPr>
        <w:tabs>
          <w:tab w:val="left" w:pos="-2880"/>
        </w:tabs>
        <w:suppressAutoHyphens/>
        <w:jc w:val="right"/>
        <w:rPr>
          <w:b/>
        </w:rPr>
      </w:pPr>
      <w:r w:rsidRPr="004007AC">
        <w:rPr>
          <w:b/>
        </w:rPr>
        <w:t xml:space="preserve">DA </w:t>
      </w:r>
      <w:r w:rsidR="00151D61" w:rsidRPr="00151D61">
        <w:rPr>
          <w:b/>
        </w:rPr>
        <w:t>12-2073</w:t>
      </w:r>
    </w:p>
    <w:p w:rsidR="00B949A7" w:rsidRDefault="00151D61" w:rsidP="00832F48">
      <w:pPr>
        <w:suppressAutoHyphens/>
        <w:jc w:val="right"/>
        <w:rPr>
          <w:b/>
          <w:sz w:val="32"/>
          <w:szCs w:val="32"/>
        </w:rPr>
      </w:pPr>
      <w:r>
        <w:rPr>
          <w:b/>
        </w:rPr>
        <w:t>December 21</w:t>
      </w:r>
      <w:r w:rsidR="00F73DC8">
        <w:rPr>
          <w:b/>
        </w:rPr>
        <w:t>, 2012</w:t>
      </w:r>
    </w:p>
    <w:p w:rsidR="00086527" w:rsidRDefault="00086527" w:rsidP="00E90460">
      <w:pPr>
        <w:jc w:val="center"/>
        <w:rPr>
          <w:b/>
          <w:sz w:val="32"/>
          <w:szCs w:val="32"/>
        </w:rPr>
      </w:pPr>
    </w:p>
    <w:p w:rsidR="00E90460" w:rsidRPr="00AA39F8" w:rsidRDefault="00AA39F8" w:rsidP="00E90460">
      <w:pPr>
        <w:jc w:val="center"/>
        <w:rPr>
          <w:b/>
          <w:szCs w:val="22"/>
        </w:rPr>
      </w:pPr>
      <w:r w:rsidRPr="00AA39F8">
        <w:rPr>
          <w:b/>
          <w:szCs w:val="22"/>
        </w:rPr>
        <w:t>M</w:t>
      </w:r>
      <w:r>
        <w:rPr>
          <w:b/>
          <w:szCs w:val="22"/>
        </w:rPr>
        <w:t>EDIA</w:t>
      </w:r>
      <w:r w:rsidRPr="00AA39F8">
        <w:rPr>
          <w:b/>
          <w:szCs w:val="22"/>
        </w:rPr>
        <w:t xml:space="preserve"> B</w:t>
      </w:r>
      <w:r>
        <w:rPr>
          <w:b/>
          <w:szCs w:val="22"/>
        </w:rPr>
        <w:t>UREAU</w:t>
      </w:r>
      <w:r w:rsidRPr="00AA39F8">
        <w:rPr>
          <w:b/>
          <w:szCs w:val="22"/>
        </w:rPr>
        <w:t xml:space="preserve"> A</w:t>
      </w:r>
      <w:r>
        <w:rPr>
          <w:b/>
          <w:szCs w:val="22"/>
        </w:rPr>
        <w:t xml:space="preserve">NNOUNCES </w:t>
      </w:r>
      <w:r w:rsidR="00A42E6E">
        <w:rPr>
          <w:b/>
          <w:szCs w:val="22"/>
        </w:rPr>
        <w:t xml:space="preserve">JANUARY 10 – JANUARY 25, 2013 </w:t>
      </w:r>
      <w:r w:rsidR="00851FC0">
        <w:rPr>
          <w:b/>
          <w:szCs w:val="22"/>
        </w:rPr>
        <w:t xml:space="preserve">FILING WINDOW FOR </w:t>
      </w:r>
      <w:r>
        <w:rPr>
          <w:b/>
          <w:szCs w:val="22"/>
        </w:rPr>
        <w:t xml:space="preserve">AUCTION 83 FM TRANSLATOR </w:t>
      </w:r>
      <w:r w:rsidR="00A42E6E">
        <w:rPr>
          <w:b/>
          <w:szCs w:val="22"/>
        </w:rPr>
        <w:t xml:space="preserve">APPLICATION SELECTIONS AND </w:t>
      </w:r>
      <w:r>
        <w:rPr>
          <w:b/>
          <w:szCs w:val="22"/>
        </w:rPr>
        <w:t>CAP</w:t>
      </w:r>
      <w:r w:rsidR="003954DA">
        <w:rPr>
          <w:b/>
          <w:szCs w:val="22"/>
        </w:rPr>
        <w:t>S</w:t>
      </w:r>
      <w:r>
        <w:rPr>
          <w:b/>
          <w:szCs w:val="22"/>
        </w:rPr>
        <w:t xml:space="preserve"> SHOWINGS</w:t>
      </w:r>
      <w:r w:rsidR="00A42E6E">
        <w:rPr>
          <w:b/>
          <w:szCs w:val="22"/>
        </w:rPr>
        <w:t xml:space="preserve"> </w:t>
      </w:r>
    </w:p>
    <w:p w:rsidR="00FE221D" w:rsidRPr="00FE221D" w:rsidRDefault="00FE221D">
      <w:pPr>
        <w:jc w:val="center"/>
        <w:rPr>
          <w:b/>
          <w:sz w:val="28"/>
          <w:szCs w:val="28"/>
        </w:rPr>
      </w:pPr>
    </w:p>
    <w:p w:rsidR="00D51090" w:rsidRDefault="00AA39F8" w:rsidP="0063582C">
      <w:pPr>
        <w:ind w:firstLine="720"/>
      </w:pPr>
      <w:r>
        <w:t xml:space="preserve">On December 4, 2012, the Federal Communications Commission released </w:t>
      </w:r>
      <w:r w:rsidRPr="00AA39F8">
        <w:rPr>
          <w:i/>
        </w:rPr>
        <w:t>Creation of a Low Power Radio Service</w:t>
      </w:r>
      <w:r>
        <w:t>, Fifth Order on Reconsideration and Sixth Report and Order.</w:t>
      </w:r>
      <w:r>
        <w:rPr>
          <w:rStyle w:val="FootnoteReference"/>
        </w:rPr>
        <w:footnoteReference w:id="1"/>
      </w:r>
      <w:r>
        <w:t xml:space="preserve">  The </w:t>
      </w:r>
      <w:r w:rsidRPr="00D16B38">
        <w:rPr>
          <w:i/>
        </w:rPr>
        <w:t>Fifth Order</w:t>
      </w:r>
      <w:r w:rsidR="005575CC">
        <w:t xml:space="preserve"> </w:t>
      </w:r>
      <w:r>
        <w:t xml:space="preserve"> modified the national cap and the per-market caps adopted earlier this year</w:t>
      </w:r>
      <w:r w:rsidR="00B069C7">
        <w:rPr>
          <w:rStyle w:val="FootnoteReference"/>
        </w:rPr>
        <w:footnoteReference w:id="2"/>
      </w:r>
      <w:r>
        <w:t xml:space="preserve"> for FM translator applications </w:t>
      </w:r>
      <w:r w:rsidR="00490081">
        <w:t>pending from</w:t>
      </w:r>
      <w:r>
        <w:t xml:space="preserve"> the 2003 Auction 83 </w:t>
      </w:r>
      <w:r w:rsidR="00D16B38">
        <w:t xml:space="preserve">application </w:t>
      </w:r>
      <w:r>
        <w:t>window (the “Applications”).</w:t>
      </w:r>
      <w:r w:rsidR="005575CC">
        <w:rPr>
          <w:rStyle w:val="FootnoteReference"/>
        </w:rPr>
        <w:footnoteReference w:id="3"/>
      </w:r>
      <w:r w:rsidR="00490081">
        <w:t xml:space="preserve"> The </w:t>
      </w:r>
      <w:r w:rsidR="00490081" w:rsidRPr="00490081">
        <w:rPr>
          <w:i/>
        </w:rPr>
        <w:t>Fifth Order</w:t>
      </w:r>
      <w:r w:rsidR="00490081">
        <w:t xml:space="preserve"> directed the Media Bureau to resume processing the Applications, beginning with</w:t>
      </w:r>
      <w:r w:rsidR="00851FC0">
        <w:t xml:space="preserve"> implementation of the modified cap restrictions</w:t>
      </w:r>
      <w:r w:rsidR="00490081">
        <w:t>.</w:t>
      </w:r>
      <w:r w:rsidR="00720885">
        <w:t xml:space="preserve">  </w:t>
      </w:r>
      <w:r w:rsidR="00851FC0">
        <w:t>By this Public Notice, the Media Bureau (“Bureau”) announces that a</w:t>
      </w:r>
      <w:r w:rsidR="00720885">
        <w:t>ny applicant that is subject to either the national cap</w:t>
      </w:r>
      <w:r w:rsidR="00324654">
        <w:t xml:space="preserve"> described below (the “National Cap”)</w:t>
      </w:r>
      <w:r w:rsidR="00720885">
        <w:t xml:space="preserve"> or the per-market cap </w:t>
      </w:r>
      <w:r w:rsidR="00324654">
        <w:t>described below (the “Appendix A Market Caps”)</w:t>
      </w:r>
      <w:r w:rsidR="00720885">
        <w:t xml:space="preserve"> must submit </w:t>
      </w:r>
      <w:r w:rsidR="00BB528B">
        <w:t xml:space="preserve">a. </w:t>
      </w:r>
      <w:r w:rsidR="00720885">
        <w:t>a</w:t>
      </w:r>
      <w:r w:rsidR="00BB528B">
        <w:t xml:space="preserve"> list of Applications selected for further processing and/or a list of Applications selected for dismissal (“Selection List”); and b. cap compliance showings</w:t>
      </w:r>
      <w:r w:rsidR="00A42E6E">
        <w:t xml:space="preserve"> </w:t>
      </w:r>
      <w:r w:rsidR="00BB528B">
        <w:t>(“Cap</w:t>
      </w:r>
      <w:r w:rsidR="003954DA">
        <w:t>s</w:t>
      </w:r>
      <w:r w:rsidR="00BB528B">
        <w:t xml:space="preserve"> Showings”)  for the Applications which the applicant has identified for further processing.  Selection Lists and Cap</w:t>
      </w:r>
      <w:r w:rsidR="003954DA">
        <w:t>s</w:t>
      </w:r>
      <w:r w:rsidR="00BB528B">
        <w:t xml:space="preserve"> Showings must be submitted</w:t>
      </w:r>
      <w:r w:rsidR="00720885">
        <w:t xml:space="preserve"> </w:t>
      </w:r>
      <w:r w:rsidR="004657D9">
        <w:t>during a filing window that begins on January 10, 2013 and ends on</w:t>
      </w:r>
      <w:r w:rsidR="00720885">
        <w:t xml:space="preserve"> January </w:t>
      </w:r>
      <w:r w:rsidR="00E02B8E">
        <w:t>25</w:t>
      </w:r>
      <w:r w:rsidR="00720885">
        <w:t>, 2013</w:t>
      </w:r>
      <w:r w:rsidR="00104D84">
        <w:t xml:space="preserve"> (the “Caps Deadline”)</w:t>
      </w:r>
      <w:r w:rsidR="00720885">
        <w:t>.</w:t>
      </w:r>
      <w:r w:rsidR="00D16B38">
        <w:t xml:space="preserve">  </w:t>
      </w:r>
      <w:r w:rsidR="00B451E1">
        <w:t xml:space="preserve">All </w:t>
      </w:r>
      <w:r w:rsidR="008547C2">
        <w:t>Cap</w:t>
      </w:r>
      <w:r w:rsidR="003954DA">
        <w:t>s</w:t>
      </w:r>
      <w:r w:rsidR="008547C2">
        <w:t xml:space="preserve"> S</w:t>
      </w:r>
      <w:r w:rsidR="00B451E1">
        <w:t xml:space="preserve">howings must be based on facilities specified in the pending Applications.  No amendments </w:t>
      </w:r>
      <w:r w:rsidR="00683FFD">
        <w:t xml:space="preserve">to Applications </w:t>
      </w:r>
      <w:r w:rsidR="00B451E1">
        <w:t xml:space="preserve">will be permitted in connection with these </w:t>
      </w:r>
      <w:r w:rsidR="00A42E6E">
        <w:t>C</w:t>
      </w:r>
      <w:r w:rsidR="00B451E1">
        <w:t>ap</w:t>
      </w:r>
      <w:r w:rsidR="003954DA">
        <w:t>s</w:t>
      </w:r>
      <w:r w:rsidR="00B451E1">
        <w:t xml:space="preserve"> </w:t>
      </w:r>
      <w:r w:rsidR="00A42E6E">
        <w:t>S</w:t>
      </w:r>
      <w:r w:rsidR="00B451E1">
        <w:t>howings</w:t>
      </w:r>
      <w:r w:rsidR="00683FFD">
        <w:t xml:space="preserve"> nor may any </w:t>
      </w:r>
      <w:r w:rsidR="00A42E6E">
        <w:t>C</w:t>
      </w:r>
      <w:r w:rsidR="00683FFD">
        <w:t>ap</w:t>
      </w:r>
      <w:r w:rsidR="003954DA">
        <w:t>s</w:t>
      </w:r>
      <w:r w:rsidR="00683FFD">
        <w:t xml:space="preserve"> </w:t>
      </w:r>
      <w:r w:rsidR="00A42E6E">
        <w:t>S</w:t>
      </w:r>
      <w:r w:rsidR="00683FFD">
        <w:t>howing assume a future amendment to the Application</w:t>
      </w:r>
      <w:r w:rsidR="00B451E1">
        <w:t xml:space="preserve">.  </w:t>
      </w:r>
      <w:r w:rsidR="00D30CE7">
        <w:t>No submission is required for this filing window by any Auction 83 applicant that</w:t>
      </w:r>
      <w:r w:rsidR="00683FFD">
        <w:t xml:space="preserve"> has fewer than 51 pending</w:t>
      </w:r>
      <w:r w:rsidR="00D30CE7">
        <w:t xml:space="preserve"> Applications nationally and no more than one </w:t>
      </w:r>
      <w:r w:rsidR="00683FFD">
        <w:t xml:space="preserve">pending </w:t>
      </w:r>
      <w:r w:rsidR="00D30CE7">
        <w:t>Application in any of the Appendix A Markets, as defined below.</w:t>
      </w:r>
      <w:r w:rsidR="00B451E1">
        <w:t xml:space="preserve">  </w:t>
      </w:r>
    </w:p>
    <w:p w:rsidR="00D51090" w:rsidRDefault="00D51090" w:rsidP="0063582C">
      <w:pPr>
        <w:ind w:firstLine="720"/>
      </w:pPr>
    </w:p>
    <w:p w:rsidR="00D51090" w:rsidRDefault="00D51090" w:rsidP="00D51090">
      <w:pPr>
        <w:numPr>
          <w:ilvl w:val="0"/>
          <w:numId w:val="2"/>
        </w:numPr>
        <w:rPr>
          <w:b/>
        </w:rPr>
      </w:pPr>
      <w:r>
        <w:rPr>
          <w:b/>
        </w:rPr>
        <w:t>The National Cap</w:t>
      </w:r>
    </w:p>
    <w:p w:rsidR="00D51090" w:rsidRPr="00D51090" w:rsidRDefault="00D51090" w:rsidP="00D51090">
      <w:pPr>
        <w:rPr>
          <w:b/>
        </w:rPr>
      </w:pPr>
    </w:p>
    <w:p w:rsidR="00A73DD2" w:rsidRDefault="00D16B38" w:rsidP="0063582C">
      <w:pPr>
        <w:ind w:firstLine="720"/>
      </w:pPr>
      <w:r>
        <w:t xml:space="preserve">The </w:t>
      </w:r>
      <w:r w:rsidR="00324654">
        <w:t>National Cap</w:t>
      </w:r>
      <w:r>
        <w:t xml:space="preserve"> allow</w:t>
      </w:r>
      <w:r w:rsidR="00324654">
        <w:t>s</w:t>
      </w:r>
      <w:r>
        <w:t xml:space="preserve"> each applicant to prosecute up to 70 Applications nationally, provided that no more than 50 of those Applications </w:t>
      </w:r>
      <w:r w:rsidR="00851FC0">
        <w:t>are</w:t>
      </w:r>
      <w:r>
        <w:t xml:space="preserve"> in the markets identified in Appendix A to the </w:t>
      </w:r>
      <w:r w:rsidRPr="00D16B38">
        <w:rPr>
          <w:i/>
        </w:rPr>
        <w:t>Fourth Report and Order</w:t>
      </w:r>
      <w:r w:rsidR="00572243">
        <w:t xml:space="preserve"> (the “Appendix A Markets”)</w:t>
      </w:r>
      <w:r>
        <w:t>.</w:t>
      </w:r>
      <w:r>
        <w:rPr>
          <w:rStyle w:val="FootnoteReference"/>
        </w:rPr>
        <w:footnoteReference w:id="4"/>
      </w:r>
      <w:r w:rsidR="000741D3">
        <w:t xml:space="preserve">  (As indicated in the </w:t>
      </w:r>
      <w:r w:rsidR="000741D3" w:rsidRPr="00077A5E">
        <w:rPr>
          <w:i/>
        </w:rPr>
        <w:t>Fifth Order</w:t>
      </w:r>
      <w:r w:rsidR="000741D3">
        <w:t xml:space="preserve">, an Application is </w:t>
      </w:r>
      <w:r w:rsidR="000741D3">
        <w:lastRenderedPageBreak/>
        <w:t>considered to be in an Appendix A Market if it specifies a proposed transmitter site within the boundaries of the Arbitron Metro market.</w:t>
      </w:r>
      <w:r w:rsidR="000741D3">
        <w:rPr>
          <w:rStyle w:val="FootnoteReference"/>
        </w:rPr>
        <w:footnoteReference w:id="5"/>
      </w:r>
      <w:r w:rsidR="000741D3">
        <w:t>)</w:t>
      </w:r>
      <w:r>
        <w:t xml:space="preserve">  </w:t>
      </w:r>
      <w:r w:rsidR="00261501">
        <w:t>For any applicant proposing to prosecute 5</w:t>
      </w:r>
      <w:r w:rsidR="00F6185F">
        <w:t>1</w:t>
      </w:r>
      <w:r w:rsidR="00261501">
        <w:t xml:space="preserve">-70 </w:t>
      </w:r>
      <w:r>
        <w:t>Applications</w:t>
      </w:r>
      <w:r w:rsidR="00261501">
        <w:t xml:space="preserve"> nationally, those Applications</w:t>
      </w:r>
      <w:r>
        <w:t xml:space="preserve"> that </w:t>
      </w:r>
      <w:r w:rsidR="000741D3">
        <w:t>are</w:t>
      </w:r>
      <w:r w:rsidR="00261501">
        <w:t xml:space="preserve"> </w:t>
      </w:r>
      <w:r w:rsidR="00572243">
        <w:t>outside the Appendix A Markets</w:t>
      </w:r>
      <w:r w:rsidR="005575CC">
        <w:rPr>
          <w:rStyle w:val="FootnoteReference"/>
        </w:rPr>
        <w:footnoteReference w:id="6"/>
      </w:r>
      <w:r w:rsidR="00572243">
        <w:t xml:space="preserve"> will be subject to the </w:t>
      </w:r>
      <w:r w:rsidR="00A73DD2">
        <w:t>following conditions (collectively, the “</w:t>
      </w:r>
      <w:r w:rsidR="00572243">
        <w:t>National Cap Conditions</w:t>
      </w:r>
      <w:r w:rsidR="00A73DD2">
        <w:t>”):</w:t>
      </w:r>
    </w:p>
    <w:p w:rsidR="00A73DD2" w:rsidRDefault="00A73DD2" w:rsidP="0063582C">
      <w:pPr>
        <w:ind w:firstLine="720"/>
      </w:pPr>
    </w:p>
    <w:p w:rsidR="00D51090" w:rsidRDefault="00A73DD2" w:rsidP="00A73DD2">
      <w:pPr>
        <w:numPr>
          <w:ilvl w:val="0"/>
          <w:numId w:val="3"/>
        </w:numPr>
      </w:pPr>
      <w:r>
        <w:t>The applicant must show that the protected (60 dBu) contour (calculated in accordance with 47 C.F.R. § 74.1204(b)</w:t>
      </w:r>
      <w:r w:rsidR="006B30E2">
        <w:t xml:space="preserve"> (the “Standard Prediction Method”</w:t>
      </w:r>
      <w:r>
        <w:t>)</w:t>
      </w:r>
      <w:r w:rsidR="006B30E2">
        <w:t>)</w:t>
      </w:r>
      <w:r>
        <w:t xml:space="preserve"> proposed in the Application</w:t>
      </w:r>
      <w:r w:rsidR="006B30E2">
        <w:t xml:space="preserve"> does not overlap with the protected (60 dBu) contour (also calculated in accordance with the Standard Prediction Method) of any other pending FM translator application by that applicant or FM translator authorization held by that applicant as of December 4, 2012</w:t>
      </w:r>
      <w:r w:rsidR="0003046B">
        <w:t xml:space="preserve"> (a “No Overlap Showing”)</w:t>
      </w:r>
      <w:r w:rsidR="006B30E2">
        <w:t>.</w:t>
      </w:r>
      <w:r w:rsidR="00BB03A1">
        <w:rPr>
          <w:rStyle w:val="FootnoteReference"/>
        </w:rPr>
        <w:footnoteReference w:id="7"/>
      </w:r>
    </w:p>
    <w:p w:rsidR="00AE2A94" w:rsidRDefault="00AE2A94" w:rsidP="00AE2A94">
      <w:pPr>
        <w:ind w:left="1548"/>
      </w:pPr>
    </w:p>
    <w:p w:rsidR="00AE2A94" w:rsidRDefault="006B30E2" w:rsidP="00A73DD2">
      <w:pPr>
        <w:numPr>
          <w:ilvl w:val="0"/>
          <w:numId w:val="3"/>
        </w:numPr>
      </w:pPr>
      <w:r>
        <w:t>The applicant must show that</w:t>
      </w:r>
      <w:r w:rsidR="004C5EE7">
        <w:t xml:space="preserve"> at least one low power FM (“LPFM”) licensing opportunity will remain at the proposed site if the Application is granted</w:t>
      </w:r>
      <w:r w:rsidR="00A11A42">
        <w:t>.</w:t>
      </w:r>
      <w:r w:rsidR="005575CC">
        <w:rPr>
          <w:rStyle w:val="FootnoteReference"/>
        </w:rPr>
        <w:footnoteReference w:id="8"/>
      </w:r>
    </w:p>
    <w:p w:rsidR="00A96F74" w:rsidRDefault="00A96F74" w:rsidP="00683FFD"/>
    <w:p w:rsidR="006B30E2" w:rsidRDefault="00683FFD" w:rsidP="00683FFD">
      <w:r>
        <w:rPr>
          <w:b/>
        </w:rPr>
        <w:t xml:space="preserve">Note:  </w:t>
      </w:r>
      <w:r w:rsidR="003D550D">
        <w:t>If granted, e</w:t>
      </w:r>
      <w:r w:rsidR="00961156">
        <w:t xml:space="preserve">ach </w:t>
      </w:r>
      <w:r w:rsidR="00B069C7">
        <w:t>A</w:t>
      </w:r>
      <w:r w:rsidR="003D550D">
        <w:t>pplication that specifies a transmitter site t</w:t>
      </w:r>
      <w:r w:rsidR="00961156">
        <w:t xml:space="preserve">hat </w:t>
      </w:r>
      <w:r w:rsidR="000741D3">
        <w:t>is</w:t>
      </w:r>
      <w:r w:rsidR="00961156">
        <w:t xml:space="preserve"> outside the Appendix A Markets will have a condition stating that for the first four years of operation, the station cannot be moved to a site from which (calculated in accordance with the Standard Prediction Method) there is no 60 dBu contour overlap with the 60 dBu contour proposed in the Application as of December 4, 2012. </w:t>
      </w:r>
      <w:r w:rsidR="003D550D">
        <w:t xml:space="preserve"> That is, any modification during the first four years of operation must maintain </w:t>
      </w:r>
      <w:r w:rsidR="00FF794A">
        <w:t xml:space="preserve">60 dBu contour </w:t>
      </w:r>
      <w:r w:rsidR="003D550D">
        <w:t xml:space="preserve">overlap </w:t>
      </w:r>
      <w:r w:rsidR="00FF794A">
        <w:t>with</w:t>
      </w:r>
      <w:r w:rsidR="003D550D">
        <w:t xml:space="preserve"> the pr</w:t>
      </w:r>
      <w:r w:rsidR="00B069C7">
        <w:t>o</w:t>
      </w:r>
      <w:r w:rsidR="003D550D">
        <w:t xml:space="preserve">posed 60 dBu contour </w:t>
      </w:r>
      <w:r w:rsidR="00FF794A">
        <w:t>in</w:t>
      </w:r>
      <w:r w:rsidR="003D550D">
        <w:t xml:space="preserve"> the Application as of December 4, 2012.  </w:t>
      </w:r>
      <w:r w:rsidR="00B069C7">
        <w:t xml:space="preserve">Periods of silence will not count for purposes of this condition.  </w:t>
      </w:r>
      <w:r w:rsidR="003D550D">
        <w:t xml:space="preserve"> No showing</w:t>
      </w:r>
      <w:r w:rsidR="00A669E2">
        <w:t xml:space="preserve"> is required for this condition at this time.</w:t>
      </w:r>
    </w:p>
    <w:p w:rsidR="00D51090" w:rsidRDefault="00D51090" w:rsidP="0063582C">
      <w:pPr>
        <w:ind w:firstLine="720"/>
      </w:pPr>
    </w:p>
    <w:p w:rsidR="00D51090" w:rsidRDefault="00D51090" w:rsidP="00D51090">
      <w:pPr>
        <w:numPr>
          <w:ilvl w:val="0"/>
          <w:numId w:val="2"/>
        </w:numPr>
        <w:rPr>
          <w:b/>
        </w:rPr>
      </w:pPr>
      <w:r>
        <w:rPr>
          <w:b/>
        </w:rPr>
        <w:t>The Appendix A Market Caps</w:t>
      </w:r>
    </w:p>
    <w:p w:rsidR="00D51090" w:rsidRPr="00D51090" w:rsidRDefault="00D51090" w:rsidP="00D51090">
      <w:pPr>
        <w:ind w:left="1080"/>
        <w:rPr>
          <w:b/>
        </w:rPr>
      </w:pPr>
    </w:p>
    <w:p w:rsidR="00832F48" w:rsidRDefault="00572243" w:rsidP="0063582C">
      <w:pPr>
        <w:ind w:firstLine="720"/>
      </w:pPr>
      <w:r>
        <w:t xml:space="preserve">The </w:t>
      </w:r>
      <w:r w:rsidR="005829CE">
        <w:t>Appendix A Market Caps</w:t>
      </w:r>
      <w:r>
        <w:t xml:space="preserve"> allow each applicant to prosecute up to three </w:t>
      </w:r>
      <w:r w:rsidR="00261501">
        <w:t>A</w:t>
      </w:r>
      <w:r>
        <w:t xml:space="preserve">pplications in each Appendix A market, provided that </w:t>
      </w:r>
      <w:r w:rsidR="006729C1">
        <w:t>each A</w:t>
      </w:r>
      <w:r>
        <w:t>pplication</w:t>
      </w:r>
      <w:r w:rsidR="006729C1">
        <w:t xml:space="preserve"> in an Appendix A Market where the applicant is prosecuting two or three Applications</w:t>
      </w:r>
      <w:r>
        <w:t xml:space="preserve"> </w:t>
      </w:r>
      <w:r w:rsidR="006729C1">
        <w:t>will be</w:t>
      </w:r>
      <w:r>
        <w:t xml:space="preserve"> subject to the </w:t>
      </w:r>
      <w:r w:rsidR="006729C1">
        <w:t>following conditions (collectively, the  “</w:t>
      </w:r>
      <w:r>
        <w:t>Local Cap Conditions</w:t>
      </w:r>
      <w:r w:rsidR="006729C1">
        <w:t>”):</w:t>
      </w:r>
      <w:r w:rsidR="00261501">
        <w:rPr>
          <w:rStyle w:val="FootnoteReference"/>
        </w:rPr>
        <w:footnoteReference w:id="9"/>
      </w:r>
    </w:p>
    <w:p w:rsidR="00832F48" w:rsidRDefault="00832F48" w:rsidP="0063582C">
      <w:pPr>
        <w:ind w:firstLine="720"/>
      </w:pPr>
    </w:p>
    <w:p w:rsidR="006729C1" w:rsidRDefault="006729C1" w:rsidP="006729C1">
      <w:pPr>
        <w:numPr>
          <w:ilvl w:val="0"/>
          <w:numId w:val="3"/>
        </w:numPr>
      </w:pPr>
      <w:r>
        <w:t>The applicant must submit a No Overlap Showing for each Application.</w:t>
      </w:r>
      <w:r w:rsidR="00FF3CDB">
        <w:rPr>
          <w:rStyle w:val="FootnoteReference"/>
        </w:rPr>
        <w:footnoteReference w:id="10"/>
      </w:r>
    </w:p>
    <w:p w:rsidR="00AE2A94" w:rsidRDefault="00AE2A94" w:rsidP="00AE2A94">
      <w:pPr>
        <w:ind w:left="1548"/>
      </w:pPr>
    </w:p>
    <w:p w:rsidR="00331C29" w:rsidRDefault="006729C1" w:rsidP="006729C1">
      <w:pPr>
        <w:numPr>
          <w:ilvl w:val="0"/>
          <w:numId w:val="3"/>
        </w:numPr>
      </w:pPr>
      <w:r>
        <w:lastRenderedPageBreak/>
        <w:t>The applicant must show that grant of the Application would not preclude</w:t>
      </w:r>
      <w:r w:rsidR="00851FC0">
        <w:t xml:space="preserve"> any</w:t>
      </w:r>
      <w:r>
        <w:t xml:space="preserve"> future LPFM </w:t>
      </w:r>
      <w:r w:rsidR="00851FC0">
        <w:t>licensing opportunities within</w:t>
      </w:r>
      <w:r>
        <w:t xml:space="preserve"> the grid for that market, under the processing policy delineated in Section II.B of the </w:t>
      </w:r>
      <w:r w:rsidRPr="00324654">
        <w:rPr>
          <w:i/>
        </w:rPr>
        <w:t>Fourth Report and Order</w:t>
      </w:r>
      <w:r>
        <w:t>,</w:t>
      </w:r>
      <w:r>
        <w:rPr>
          <w:rStyle w:val="FootnoteReference"/>
        </w:rPr>
        <w:footnoteReference w:id="11"/>
      </w:r>
      <w:r>
        <w:t xml:space="preserve"> or </w:t>
      </w:r>
      <w:r w:rsidR="00BB528B">
        <w:t xml:space="preserve">the sole available LPFM channel </w:t>
      </w:r>
      <w:r>
        <w:t>at the proposed out of grid transmitter site</w:t>
      </w:r>
      <w:r w:rsidR="00324654">
        <w:t>.</w:t>
      </w:r>
      <w:r w:rsidR="00B94A46">
        <w:rPr>
          <w:rStyle w:val="FootnoteReference"/>
        </w:rPr>
        <w:footnoteReference w:id="12"/>
      </w:r>
    </w:p>
    <w:p w:rsidR="00AE2A94" w:rsidRDefault="00AE2A94" w:rsidP="00AE2A94"/>
    <w:p w:rsidR="0063582C" w:rsidRDefault="00104D84" w:rsidP="00104D84">
      <w:pPr>
        <w:numPr>
          <w:ilvl w:val="0"/>
          <w:numId w:val="2"/>
        </w:numPr>
      </w:pPr>
      <w:r>
        <w:rPr>
          <w:b/>
        </w:rPr>
        <w:t xml:space="preserve">Showings Required For Applicants </w:t>
      </w:r>
      <w:r w:rsidR="00851FC0">
        <w:rPr>
          <w:b/>
        </w:rPr>
        <w:t>Electing to Process More Than 50 Applications and/or More Than One Application</w:t>
      </w:r>
      <w:r w:rsidR="00CD6949">
        <w:rPr>
          <w:b/>
        </w:rPr>
        <w:t xml:space="preserve"> in Any Appendix A Market</w:t>
      </w:r>
    </w:p>
    <w:p w:rsidR="00104D84" w:rsidRDefault="00104D84" w:rsidP="00104D84">
      <w:pPr>
        <w:ind w:left="1080"/>
      </w:pPr>
    </w:p>
    <w:p w:rsidR="00104D84" w:rsidRDefault="00104D84" w:rsidP="00104D84">
      <w:pPr>
        <w:ind w:firstLine="720"/>
      </w:pPr>
      <w:r>
        <w:t>Each applicant that wishes to prosecute 5</w:t>
      </w:r>
      <w:r w:rsidR="004624D9">
        <w:t>1-70</w:t>
      </w:r>
      <w:r>
        <w:t xml:space="preserve"> Applications nationally </w:t>
      </w:r>
      <w:r w:rsidR="00BB528B">
        <w:t>and/</w:t>
      </w:r>
      <w:r>
        <w:t xml:space="preserve">or </w:t>
      </w:r>
      <w:r w:rsidR="004624D9">
        <w:t>two or three</w:t>
      </w:r>
      <w:r>
        <w:t xml:space="preserve"> Application</w:t>
      </w:r>
      <w:r w:rsidR="004624D9">
        <w:t>s</w:t>
      </w:r>
      <w:r>
        <w:t xml:space="preserve"> in an</w:t>
      </w:r>
      <w:r w:rsidR="003B21FD">
        <w:t>y</w:t>
      </w:r>
      <w:r>
        <w:t xml:space="preserve"> Appendix A </w:t>
      </w:r>
      <w:r w:rsidR="000741D3">
        <w:t>M</w:t>
      </w:r>
      <w:r>
        <w:t xml:space="preserve">arket must provide the Commission with the following information </w:t>
      </w:r>
      <w:r w:rsidR="004657D9">
        <w:t xml:space="preserve">on or after January 10, 2013, but </w:t>
      </w:r>
      <w:r>
        <w:t>by the Caps Deadline:</w:t>
      </w:r>
    </w:p>
    <w:p w:rsidR="00104D84" w:rsidRDefault="00104D84" w:rsidP="00104D84">
      <w:pPr>
        <w:ind w:firstLine="720"/>
      </w:pPr>
    </w:p>
    <w:p w:rsidR="00104D84" w:rsidRDefault="00104D84" w:rsidP="00104D84">
      <w:pPr>
        <w:numPr>
          <w:ilvl w:val="0"/>
          <w:numId w:val="3"/>
        </w:numPr>
      </w:pPr>
      <w:r>
        <w:t xml:space="preserve">A </w:t>
      </w:r>
      <w:r w:rsidR="00BB528B">
        <w:t>Selection List</w:t>
      </w:r>
      <w:r w:rsidR="001E5710">
        <w:t xml:space="preserve"> identifying Applications for further processing</w:t>
      </w:r>
      <w:r w:rsidR="00833688">
        <w:t xml:space="preserve"> and/or dismissal</w:t>
      </w:r>
      <w:r w:rsidR="0006354D">
        <w:t>;</w:t>
      </w:r>
      <w:r>
        <w:rPr>
          <w:rStyle w:val="FootnoteReference"/>
        </w:rPr>
        <w:footnoteReference w:id="13"/>
      </w:r>
    </w:p>
    <w:p w:rsidR="00AE2A94" w:rsidRDefault="00AE2A94" w:rsidP="00AE2A94">
      <w:pPr>
        <w:ind w:left="1548"/>
      </w:pPr>
    </w:p>
    <w:p w:rsidR="004624D9" w:rsidRDefault="004624D9" w:rsidP="00104D84">
      <w:pPr>
        <w:numPr>
          <w:ilvl w:val="0"/>
          <w:numId w:val="3"/>
        </w:numPr>
      </w:pPr>
      <w:r>
        <w:t xml:space="preserve">For any applicant that wishes to prosecute 51-70 Applications nationally, a </w:t>
      </w:r>
      <w:r w:rsidR="00A42E6E">
        <w:t>Cap</w:t>
      </w:r>
      <w:r w:rsidR="003954DA">
        <w:t>s</w:t>
      </w:r>
      <w:r w:rsidR="00A42E6E">
        <w:t xml:space="preserve"> S</w:t>
      </w:r>
      <w:r>
        <w:t xml:space="preserve">howing that </w:t>
      </w:r>
      <w:r w:rsidR="00BB528B">
        <w:t xml:space="preserve">each of </w:t>
      </w:r>
      <w:r>
        <w:t>the Applications selected that are outside the Appendix A Markets compl</w:t>
      </w:r>
      <w:r w:rsidR="00BB528B">
        <w:t>ies</w:t>
      </w:r>
      <w:r>
        <w:t xml:space="preserve"> w</w:t>
      </w:r>
      <w:r w:rsidR="0006354D">
        <w:t xml:space="preserve">ith the National Cap Conditions; and </w:t>
      </w:r>
    </w:p>
    <w:p w:rsidR="00AE2A94" w:rsidRDefault="00AE2A94" w:rsidP="00AE2A94"/>
    <w:p w:rsidR="004624D9" w:rsidRDefault="004624D9" w:rsidP="00104D84">
      <w:pPr>
        <w:numPr>
          <w:ilvl w:val="0"/>
          <w:numId w:val="3"/>
        </w:numPr>
      </w:pPr>
      <w:r>
        <w:t>For any applicant that wishes to prosecute two or three Applications in an</w:t>
      </w:r>
      <w:r w:rsidR="003B21FD">
        <w:t>y</w:t>
      </w:r>
      <w:r>
        <w:t xml:space="preserve"> Appendix A Market, a </w:t>
      </w:r>
      <w:r w:rsidR="00A42E6E">
        <w:t>Cap</w:t>
      </w:r>
      <w:r w:rsidR="003954DA">
        <w:t>s</w:t>
      </w:r>
      <w:r w:rsidR="00A42E6E">
        <w:t xml:space="preserve"> S</w:t>
      </w:r>
      <w:r>
        <w:t>howing that</w:t>
      </w:r>
      <w:r w:rsidR="003B21FD">
        <w:t>, in each Appendix A Market,</w:t>
      </w:r>
      <w:r>
        <w:t xml:space="preserve"> </w:t>
      </w:r>
      <w:r w:rsidR="00BB528B">
        <w:t>each</w:t>
      </w:r>
      <w:r>
        <w:t xml:space="preserve"> Application selected compl</w:t>
      </w:r>
      <w:r w:rsidR="00BB528B">
        <w:t>ies</w:t>
      </w:r>
      <w:r>
        <w:t xml:space="preserve"> with the Local Cap Conditions.</w:t>
      </w:r>
    </w:p>
    <w:p w:rsidR="004624D9" w:rsidRDefault="004624D9" w:rsidP="004624D9">
      <w:pPr>
        <w:ind w:left="1548"/>
      </w:pPr>
    </w:p>
    <w:p w:rsidR="003B21FD" w:rsidRDefault="00BC1CFE" w:rsidP="003B21FD">
      <w:pPr>
        <w:ind w:firstLine="720"/>
      </w:pPr>
      <w:r>
        <w:t xml:space="preserve">If an applicant does not comply with these requirements </w:t>
      </w:r>
      <w:r w:rsidR="0006354D">
        <w:t xml:space="preserve">by the Caps Deadline </w:t>
      </w:r>
      <w:r>
        <w:t>or submits a deficient showing,</w:t>
      </w:r>
      <w:r>
        <w:rPr>
          <w:rStyle w:val="FootnoteReference"/>
        </w:rPr>
        <w:footnoteReference w:id="14"/>
      </w:r>
      <w:r>
        <w:t xml:space="preserve"> </w:t>
      </w:r>
      <w:r w:rsidR="00CD6949">
        <w:t>the Bureau</w:t>
      </w:r>
      <w:r>
        <w:t xml:space="preserve"> will:</w:t>
      </w:r>
    </w:p>
    <w:p w:rsidR="007E6572" w:rsidRDefault="007E6572" w:rsidP="003B21FD">
      <w:pPr>
        <w:ind w:firstLine="720"/>
      </w:pPr>
    </w:p>
    <w:p w:rsidR="00AE2A94" w:rsidRDefault="0006354D" w:rsidP="00BC1CFE">
      <w:pPr>
        <w:numPr>
          <w:ilvl w:val="0"/>
          <w:numId w:val="3"/>
        </w:numPr>
      </w:pPr>
      <w:r>
        <w:t xml:space="preserve">First apply the </w:t>
      </w:r>
      <w:r w:rsidR="005829CE">
        <w:t>N</w:t>
      </w:r>
      <w:r>
        <w:t xml:space="preserve">ational </w:t>
      </w:r>
      <w:r w:rsidR="005829CE">
        <w:t>C</w:t>
      </w:r>
      <w:r>
        <w:t xml:space="preserve">ap, retaining on file the first 70 filed Applications </w:t>
      </w:r>
      <w:r w:rsidR="00FF3CDB">
        <w:t xml:space="preserve">(by file number) </w:t>
      </w:r>
      <w:r>
        <w:t xml:space="preserve">and </w:t>
      </w:r>
      <w:r w:rsidR="00FF794A">
        <w:t xml:space="preserve">then </w:t>
      </w:r>
      <w:r>
        <w:t xml:space="preserve">dismissing </w:t>
      </w:r>
      <w:r w:rsidR="00FF3CDB">
        <w:t xml:space="preserve">(1) any </w:t>
      </w:r>
      <w:r w:rsidR="005829CE">
        <w:t>A</w:t>
      </w:r>
      <w:r w:rsidR="00FF3CDB">
        <w:t xml:space="preserve">pplications beyond the first 70 filed, </w:t>
      </w:r>
      <w:r>
        <w:t>(</w:t>
      </w:r>
      <w:r w:rsidR="00FF3CDB">
        <w:t>2</w:t>
      </w:r>
      <w:r>
        <w:t>) those Applications in Appendix A Markets within those 70 Applications that were filed after the first 50 Applications in Appendix A Markets, and (</w:t>
      </w:r>
      <w:r w:rsidR="00FF3CDB">
        <w:t>3</w:t>
      </w:r>
      <w:r>
        <w:t>) those Applications outside the Appendix A Markets for which an adequate showing of compliance with the National Cap Conditions has not been submitted; and</w:t>
      </w:r>
    </w:p>
    <w:p w:rsidR="00BC1CFE" w:rsidRDefault="0006354D" w:rsidP="00AE2A94">
      <w:pPr>
        <w:ind w:left="1548"/>
      </w:pPr>
      <w:r>
        <w:t xml:space="preserve"> </w:t>
      </w:r>
    </w:p>
    <w:p w:rsidR="0006354D" w:rsidRDefault="0006354D" w:rsidP="0006354D">
      <w:pPr>
        <w:numPr>
          <w:ilvl w:val="0"/>
          <w:numId w:val="3"/>
        </w:numPr>
      </w:pPr>
      <w:r>
        <w:t xml:space="preserve">Then apply the Appendix A </w:t>
      </w:r>
      <w:r w:rsidR="005829CE">
        <w:t xml:space="preserve">Market </w:t>
      </w:r>
      <w:r>
        <w:t>Caps, dismissing all but the first filed Application by that applicant in each Appendix A Market.</w:t>
      </w:r>
    </w:p>
    <w:p w:rsidR="00A94B76" w:rsidRDefault="00A94B76">
      <w:r>
        <w:br w:type="page"/>
      </w:r>
    </w:p>
    <w:p w:rsidR="007E6572" w:rsidRPr="00077A5E" w:rsidRDefault="007E6572" w:rsidP="00A05FC6">
      <w:pPr>
        <w:numPr>
          <w:ilvl w:val="0"/>
          <w:numId w:val="2"/>
        </w:numPr>
        <w:rPr>
          <w:b/>
        </w:rPr>
      </w:pPr>
      <w:r>
        <w:rPr>
          <w:b/>
        </w:rPr>
        <w:lastRenderedPageBreak/>
        <w:t xml:space="preserve">The Anti-Collusion Rule Remains In Effect For Auction 83 </w:t>
      </w:r>
      <w:r w:rsidR="00A42E6E">
        <w:rPr>
          <w:b/>
        </w:rPr>
        <w:t>Applicants</w:t>
      </w:r>
    </w:p>
    <w:p w:rsidR="007E6572" w:rsidRDefault="007E6572" w:rsidP="00077A5E">
      <w:pPr>
        <w:ind w:left="1080"/>
      </w:pPr>
    </w:p>
    <w:p w:rsidR="007E6572" w:rsidRDefault="007E6572" w:rsidP="00613BD3">
      <w:pPr>
        <w:ind w:firstLine="720"/>
      </w:pPr>
      <w:r>
        <w:t xml:space="preserve">As stated in the </w:t>
      </w:r>
      <w:r w:rsidRPr="007E6572">
        <w:rPr>
          <w:i/>
        </w:rPr>
        <w:t>Fourth Report and Order</w:t>
      </w:r>
      <w:r>
        <w:t>, the auctions anti-collusion rule will remain in effect during the caps selection process.</w:t>
      </w:r>
      <w:r>
        <w:rPr>
          <w:rStyle w:val="FootnoteReference"/>
        </w:rPr>
        <w:footnoteReference w:id="15"/>
      </w:r>
      <w:r w:rsidR="005D5773">
        <w:t xml:space="preserve">  We caution Auction 83 applicants against engaging in communications prohibited by 47 C.F.R. § 1.2105(c) at any point in the caps selection process.</w:t>
      </w:r>
    </w:p>
    <w:p w:rsidR="007E6572" w:rsidRDefault="007E6572" w:rsidP="00077A5E">
      <w:pPr>
        <w:ind w:firstLine="720"/>
      </w:pPr>
    </w:p>
    <w:p w:rsidR="0006354D" w:rsidRPr="00A05FC6" w:rsidRDefault="00A05FC6" w:rsidP="00A05FC6">
      <w:pPr>
        <w:numPr>
          <w:ilvl w:val="0"/>
          <w:numId w:val="2"/>
        </w:numPr>
        <w:rPr>
          <w:b/>
        </w:rPr>
      </w:pPr>
      <w:r>
        <w:rPr>
          <w:b/>
        </w:rPr>
        <w:t xml:space="preserve">How To Submit </w:t>
      </w:r>
      <w:r w:rsidR="008547C2">
        <w:rPr>
          <w:b/>
        </w:rPr>
        <w:t>Selection Lists and Cap</w:t>
      </w:r>
      <w:r w:rsidR="003954DA">
        <w:rPr>
          <w:b/>
        </w:rPr>
        <w:t>s</w:t>
      </w:r>
      <w:r w:rsidR="008547C2">
        <w:rPr>
          <w:b/>
        </w:rPr>
        <w:t xml:space="preserve"> </w:t>
      </w:r>
      <w:r>
        <w:rPr>
          <w:b/>
        </w:rPr>
        <w:t>Showings</w:t>
      </w:r>
    </w:p>
    <w:p w:rsidR="00A05FC6" w:rsidRDefault="00A05FC6" w:rsidP="0063582C">
      <w:pPr>
        <w:ind w:firstLine="720"/>
      </w:pPr>
    </w:p>
    <w:p w:rsidR="00613BD3" w:rsidRDefault="00256702" w:rsidP="0063582C">
      <w:pPr>
        <w:ind w:firstLine="720"/>
      </w:pPr>
      <w:r>
        <w:t xml:space="preserve">Applicants are cautioned to review their </w:t>
      </w:r>
      <w:r w:rsidR="008547C2">
        <w:t>Selection L</w:t>
      </w:r>
      <w:r>
        <w:t xml:space="preserve">ists </w:t>
      </w:r>
      <w:r w:rsidR="003954DA">
        <w:t xml:space="preserve">and Caps Showings </w:t>
      </w:r>
      <w:r>
        <w:t>thoroughly before submission.</w:t>
      </w:r>
      <w:r w:rsidR="00376042">
        <w:rPr>
          <w:rStyle w:val="FootnoteReference"/>
        </w:rPr>
        <w:footnoteReference w:id="16"/>
      </w:r>
      <w:r>
        <w:t xml:space="preserve">   </w:t>
      </w:r>
      <w:r w:rsidR="003954DA">
        <w:t>Amendments</w:t>
      </w:r>
      <w:r w:rsidR="00C506ED">
        <w:t xml:space="preserve"> to Selection Lists </w:t>
      </w:r>
      <w:r w:rsidR="003954DA">
        <w:t xml:space="preserve">and/or Caps Showings </w:t>
      </w:r>
      <w:r w:rsidR="00C506ED">
        <w:t xml:space="preserve">will be permitted during the window.  </w:t>
      </w:r>
      <w:r w:rsidR="003954DA">
        <w:t xml:space="preserve">However, any amendment must be a complete substitute for the prior-filed Selection List and/or Caps Showings.  That is, if a Selection List and/or a Caps Showings is amended, staff will consider ONLY the last-filed amendment to assess compliance with the National Cap and the Appendix A Market Cap.  </w:t>
      </w:r>
      <w:r w:rsidR="00C506ED" w:rsidRPr="00832F48">
        <w:rPr>
          <w:b/>
        </w:rPr>
        <w:t>Selection</w:t>
      </w:r>
      <w:r w:rsidR="00C506ED">
        <w:t xml:space="preserve"> </w:t>
      </w:r>
      <w:r w:rsidRPr="00613BD3">
        <w:rPr>
          <w:b/>
        </w:rPr>
        <w:t xml:space="preserve">Lists </w:t>
      </w:r>
      <w:r w:rsidR="00613BD3" w:rsidRPr="00613BD3">
        <w:rPr>
          <w:b/>
        </w:rPr>
        <w:t>and</w:t>
      </w:r>
      <w:r w:rsidR="00C506ED">
        <w:rPr>
          <w:b/>
        </w:rPr>
        <w:t xml:space="preserve"> Cap</w:t>
      </w:r>
      <w:r w:rsidR="00D77BB1">
        <w:rPr>
          <w:b/>
        </w:rPr>
        <w:t>s</w:t>
      </w:r>
      <w:r w:rsidR="00613BD3" w:rsidRPr="00613BD3">
        <w:rPr>
          <w:b/>
        </w:rPr>
        <w:t xml:space="preserve"> </w:t>
      </w:r>
      <w:r w:rsidR="00C506ED">
        <w:rPr>
          <w:b/>
        </w:rPr>
        <w:t>S</w:t>
      </w:r>
      <w:r w:rsidR="00613BD3" w:rsidRPr="00613BD3">
        <w:rPr>
          <w:b/>
        </w:rPr>
        <w:t xml:space="preserve">howings </w:t>
      </w:r>
      <w:r w:rsidRPr="00613BD3">
        <w:rPr>
          <w:b/>
        </w:rPr>
        <w:t xml:space="preserve">may not be </w:t>
      </w:r>
      <w:r w:rsidR="00FF794A">
        <w:rPr>
          <w:b/>
        </w:rPr>
        <w:t xml:space="preserve">submitted, </w:t>
      </w:r>
      <w:r w:rsidR="00613BD3" w:rsidRPr="00613BD3">
        <w:rPr>
          <w:b/>
        </w:rPr>
        <w:t xml:space="preserve">amended, </w:t>
      </w:r>
      <w:r w:rsidRPr="00613BD3">
        <w:rPr>
          <w:b/>
        </w:rPr>
        <w:t xml:space="preserve">corrected or resubmitted for further consideration after the Caps </w:t>
      </w:r>
      <w:r w:rsidR="00613BD3" w:rsidRPr="00613BD3">
        <w:rPr>
          <w:b/>
        </w:rPr>
        <w:t>D</w:t>
      </w:r>
      <w:r w:rsidRPr="00613BD3">
        <w:rPr>
          <w:b/>
        </w:rPr>
        <w:t>eadline.</w:t>
      </w:r>
      <w:r w:rsidR="00613BD3" w:rsidRPr="00613BD3">
        <w:rPr>
          <w:b/>
        </w:rPr>
        <w:t xml:space="preserve">  Neither a </w:t>
      </w:r>
      <w:r w:rsidR="00C506ED">
        <w:rPr>
          <w:b/>
        </w:rPr>
        <w:t>Selection L</w:t>
      </w:r>
      <w:r w:rsidR="00613BD3" w:rsidRPr="00613BD3">
        <w:rPr>
          <w:b/>
        </w:rPr>
        <w:t xml:space="preserve">ist nor a </w:t>
      </w:r>
      <w:r w:rsidR="00C506ED">
        <w:rPr>
          <w:b/>
        </w:rPr>
        <w:t>Cap</w:t>
      </w:r>
      <w:r w:rsidR="00D77BB1">
        <w:rPr>
          <w:b/>
        </w:rPr>
        <w:t>s</w:t>
      </w:r>
      <w:r w:rsidR="00C506ED">
        <w:rPr>
          <w:b/>
        </w:rPr>
        <w:t xml:space="preserve"> S</w:t>
      </w:r>
      <w:r w:rsidR="00613BD3" w:rsidRPr="00613BD3">
        <w:rPr>
          <w:b/>
        </w:rPr>
        <w:t>howing will be treated as a matter subject to amendment, correction or completion pursuant to 47 C.F.R. § 73.3522(a).</w:t>
      </w:r>
    </w:p>
    <w:p w:rsidR="00613BD3" w:rsidRDefault="00613BD3" w:rsidP="0063582C">
      <w:pPr>
        <w:ind w:firstLine="720"/>
      </w:pPr>
    </w:p>
    <w:p w:rsidR="00256702" w:rsidRDefault="00734C10" w:rsidP="0063582C">
      <w:pPr>
        <w:ind w:firstLine="720"/>
      </w:pPr>
      <w:r w:rsidRPr="00F17606">
        <w:rPr>
          <w:b/>
        </w:rPr>
        <w:t xml:space="preserve">Applicants may submit their showings </w:t>
      </w:r>
      <w:r w:rsidRPr="007C0540">
        <w:rPr>
          <w:b/>
        </w:rPr>
        <w:t>by email</w:t>
      </w:r>
      <w:r>
        <w:t xml:space="preserve"> to the following address: </w:t>
      </w:r>
      <w:hyperlink r:id="rId8" w:history="1">
        <w:r w:rsidR="00832F48" w:rsidRPr="006575AC">
          <w:rPr>
            <w:rStyle w:val="Hyperlink"/>
          </w:rPr>
          <w:t>FXshowings@fcc.gov</w:t>
        </w:r>
      </w:hyperlink>
      <w:r w:rsidR="00832F48">
        <w:t xml:space="preserve">.  </w:t>
      </w:r>
      <w:r w:rsidR="00256702">
        <w:t xml:space="preserve">Please note that the Commission’s e-mail system will not accept attachments </w:t>
      </w:r>
      <w:r w:rsidR="007F440D">
        <w:t xml:space="preserve">larger than </w:t>
      </w:r>
      <w:r w:rsidR="00256702">
        <w:t xml:space="preserve">10 MB, so files beyond that size should </w:t>
      </w:r>
      <w:r w:rsidR="00A669E2">
        <w:t>divided</w:t>
      </w:r>
      <w:r w:rsidR="00256702">
        <w:t xml:space="preserve"> into multiple sub-10 MB documents and sent via separate e-mails.</w:t>
      </w:r>
    </w:p>
    <w:p w:rsidR="00256702" w:rsidRDefault="00256702" w:rsidP="0063582C">
      <w:pPr>
        <w:ind w:firstLine="720"/>
      </w:pPr>
    </w:p>
    <w:p w:rsidR="00A05FC6" w:rsidRDefault="00734C10" w:rsidP="0063582C">
      <w:pPr>
        <w:ind w:firstLine="720"/>
      </w:pPr>
      <w:r>
        <w:t xml:space="preserve">Alternatively, </w:t>
      </w:r>
      <w:r w:rsidR="00BB3B5B">
        <w:t>applicants</w:t>
      </w:r>
      <w:r>
        <w:t xml:space="preserve"> may submit hard copies </w:t>
      </w:r>
      <w:r w:rsidR="00EC7C5C">
        <w:t>(original plus one copy</w:t>
      </w:r>
      <w:r w:rsidR="00BB3B5B">
        <w:t>, signed by a person authorized to act for the applicant pursuant to 47 C.F.R. § 73.3513</w:t>
      </w:r>
      <w:r w:rsidR="00EC7C5C">
        <w:t>)</w:t>
      </w:r>
      <w:r w:rsidR="00BB3B5B">
        <w:t xml:space="preserve"> </w:t>
      </w:r>
      <w:r w:rsidR="007C0540">
        <w:t>as follows:</w:t>
      </w:r>
      <w:r w:rsidR="00EC7C5C">
        <w:rPr>
          <w:rStyle w:val="FootnoteReference"/>
        </w:rPr>
        <w:footnoteReference w:id="17"/>
      </w:r>
    </w:p>
    <w:p w:rsidR="007C0540" w:rsidRDefault="007C0540" w:rsidP="0063582C">
      <w:pPr>
        <w:ind w:firstLine="720"/>
      </w:pPr>
    </w:p>
    <w:p w:rsidR="007C0540" w:rsidRDefault="007C0540" w:rsidP="007C0540">
      <w:pPr>
        <w:numPr>
          <w:ilvl w:val="0"/>
          <w:numId w:val="3"/>
        </w:numPr>
        <w:rPr>
          <w:b/>
        </w:rPr>
      </w:pPr>
      <w:r w:rsidRPr="007C0540">
        <w:rPr>
          <w:b/>
        </w:rPr>
        <w:t>B</w:t>
      </w:r>
      <w:r w:rsidR="00613BD3">
        <w:rPr>
          <w:b/>
        </w:rPr>
        <w:t>y</w:t>
      </w:r>
      <w:r w:rsidRPr="007C0540">
        <w:rPr>
          <w:b/>
        </w:rPr>
        <w:t xml:space="preserve"> H</w:t>
      </w:r>
      <w:r w:rsidR="00613BD3">
        <w:rPr>
          <w:b/>
        </w:rPr>
        <w:t>and</w:t>
      </w:r>
      <w:r w:rsidRPr="007C0540">
        <w:rPr>
          <w:b/>
        </w:rPr>
        <w:t xml:space="preserve"> (8:00 a.m. – 7:00 p.m. only)</w:t>
      </w:r>
    </w:p>
    <w:p w:rsidR="007C0540" w:rsidRPr="007C0540" w:rsidRDefault="007C0540" w:rsidP="007C0540">
      <w:pPr>
        <w:ind w:left="1548"/>
        <w:rPr>
          <w:b/>
        </w:rPr>
      </w:pPr>
    </w:p>
    <w:p w:rsidR="007C0540" w:rsidRDefault="007C0540" w:rsidP="007C0540">
      <w:pPr>
        <w:ind w:left="2160"/>
      </w:pPr>
      <w:r>
        <w:t>Audio Division (James Bradshaw, 2-A267)</w:t>
      </w:r>
    </w:p>
    <w:p w:rsidR="007C0540" w:rsidRDefault="007C0540" w:rsidP="007C0540">
      <w:pPr>
        <w:ind w:left="2160"/>
      </w:pPr>
      <w:r>
        <w:t>c/o Office of the Secretary</w:t>
      </w:r>
    </w:p>
    <w:p w:rsidR="007C0540" w:rsidRDefault="007C0540" w:rsidP="007C0540">
      <w:pPr>
        <w:ind w:left="2160"/>
      </w:pPr>
      <w:r>
        <w:t>Federal Communications Commission</w:t>
      </w:r>
    </w:p>
    <w:p w:rsidR="007C0540" w:rsidRDefault="007C0540" w:rsidP="007C0540">
      <w:pPr>
        <w:ind w:left="2160"/>
      </w:pPr>
      <w:r>
        <w:t>445 12</w:t>
      </w:r>
      <w:r w:rsidRPr="007C0540">
        <w:rPr>
          <w:vertAlign w:val="superscript"/>
        </w:rPr>
        <w:t>th</w:t>
      </w:r>
      <w:r>
        <w:t xml:space="preserve"> Street, S.W.</w:t>
      </w:r>
    </w:p>
    <w:p w:rsidR="007C0540" w:rsidRDefault="007C0540" w:rsidP="007C0540">
      <w:pPr>
        <w:ind w:left="2160"/>
      </w:pPr>
      <w:r>
        <w:t>Room TW-A325</w:t>
      </w:r>
    </w:p>
    <w:p w:rsidR="007C0540" w:rsidRDefault="007C0540" w:rsidP="007C0540">
      <w:pPr>
        <w:ind w:left="2160"/>
      </w:pPr>
      <w:r>
        <w:t>Washington, DC 20554</w:t>
      </w:r>
    </w:p>
    <w:p w:rsidR="007C0540" w:rsidRDefault="007C0540" w:rsidP="007C0540">
      <w:pPr>
        <w:ind w:left="1548"/>
      </w:pPr>
    </w:p>
    <w:p w:rsidR="007C0540" w:rsidRPr="007C0540" w:rsidRDefault="007C0540" w:rsidP="007C0540">
      <w:pPr>
        <w:numPr>
          <w:ilvl w:val="0"/>
          <w:numId w:val="3"/>
        </w:numPr>
        <w:rPr>
          <w:b/>
        </w:rPr>
      </w:pPr>
      <w:r>
        <w:rPr>
          <w:b/>
        </w:rPr>
        <w:t>Commercial Overnight Mail (E</w:t>
      </w:r>
      <w:r w:rsidR="00FF794A">
        <w:rPr>
          <w:b/>
        </w:rPr>
        <w:t>xcept</w:t>
      </w:r>
      <w:r>
        <w:rPr>
          <w:b/>
        </w:rPr>
        <w:t xml:space="preserve"> USPS)</w:t>
      </w:r>
    </w:p>
    <w:p w:rsidR="00A05FC6" w:rsidRDefault="00A05FC6" w:rsidP="0063582C">
      <w:pPr>
        <w:ind w:firstLine="720"/>
      </w:pPr>
    </w:p>
    <w:p w:rsidR="00A05FC6" w:rsidRDefault="007C0540" w:rsidP="007C0540">
      <w:pPr>
        <w:ind w:left="2160"/>
      </w:pPr>
      <w:r>
        <w:t>Audio Division (James Bradshaw, 2-A267)</w:t>
      </w:r>
    </w:p>
    <w:p w:rsidR="007C0540" w:rsidRDefault="007C0540" w:rsidP="007C0540">
      <w:pPr>
        <w:ind w:left="2160"/>
      </w:pPr>
      <w:r>
        <w:t>c/o Office of the Secretary</w:t>
      </w:r>
    </w:p>
    <w:p w:rsidR="007C0540" w:rsidRDefault="007C0540" w:rsidP="007C0540">
      <w:pPr>
        <w:ind w:left="2160"/>
      </w:pPr>
      <w:r>
        <w:t>Federal Communications Commission</w:t>
      </w:r>
    </w:p>
    <w:p w:rsidR="007C0540" w:rsidRDefault="007C0540" w:rsidP="007C0540">
      <w:pPr>
        <w:ind w:left="2160"/>
      </w:pPr>
      <w:r>
        <w:t>9300 East Hampton Drive</w:t>
      </w:r>
    </w:p>
    <w:p w:rsidR="00CB51A7" w:rsidRDefault="007C0540" w:rsidP="007C0540">
      <w:pPr>
        <w:ind w:left="2160"/>
      </w:pPr>
      <w:r>
        <w:t>Capitol Heights, MD 20743</w:t>
      </w:r>
    </w:p>
    <w:p w:rsidR="007C0540" w:rsidRPr="00EC7C5C" w:rsidRDefault="00CB51A7" w:rsidP="00583A53">
      <w:pPr>
        <w:rPr>
          <w:b/>
        </w:rPr>
      </w:pPr>
      <w:r>
        <w:br w:type="page"/>
      </w:r>
      <w:r w:rsidR="007C0540">
        <w:rPr>
          <w:b/>
        </w:rPr>
        <w:lastRenderedPageBreak/>
        <w:t>All Other Mail (Including USPS Express Mail, Priority Mail, and First Class Mail)</w:t>
      </w:r>
    </w:p>
    <w:p w:rsidR="00EC7C5C" w:rsidRDefault="00EC7C5C" w:rsidP="00EC7C5C">
      <w:pPr>
        <w:ind w:left="1548"/>
      </w:pPr>
    </w:p>
    <w:p w:rsidR="00EC7C5C" w:rsidRDefault="00EC7C5C" w:rsidP="00EC7C5C">
      <w:pPr>
        <w:ind w:left="2160"/>
      </w:pPr>
      <w:r>
        <w:t>Audio Division (James Bradshaw, 2-A267)</w:t>
      </w:r>
    </w:p>
    <w:p w:rsidR="00EC7C5C" w:rsidRDefault="00EC7C5C" w:rsidP="00EC7C5C">
      <w:pPr>
        <w:ind w:left="2160"/>
      </w:pPr>
      <w:r>
        <w:t>c/o Office of the Secretary</w:t>
      </w:r>
    </w:p>
    <w:p w:rsidR="00EC7C5C" w:rsidRDefault="00EC7C5C" w:rsidP="00EC7C5C">
      <w:pPr>
        <w:ind w:left="2160"/>
      </w:pPr>
      <w:r>
        <w:t>Federal Communications Commission</w:t>
      </w:r>
    </w:p>
    <w:p w:rsidR="00EC7C5C" w:rsidRDefault="00EC7C5C" w:rsidP="00EC7C5C">
      <w:pPr>
        <w:ind w:left="2160"/>
      </w:pPr>
      <w:r>
        <w:t>445 12</w:t>
      </w:r>
      <w:r w:rsidRPr="00EC7C5C">
        <w:rPr>
          <w:vertAlign w:val="superscript"/>
        </w:rPr>
        <w:t>th</w:t>
      </w:r>
      <w:r>
        <w:t xml:space="preserve"> Street, S.W.</w:t>
      </w:r>
    </w:p>
    <w:p w:rsidR="00EC7C5C" w:rsidRDefault="00EC7C5C" w:rsidP="00EC7C5C">
      <w:pPr>
        <w:ind w:left="2160"/>
      </w:pPr>
      <w:r>
        <w:t>Washington, DC 20554</w:t>
      </w:r>
    </w:p>
    <w:p w:rsidR="00EC7C5C" w:rsidRPr="00EC7C5C" w:rsidRDefault="00EC7C5C" w:rsidP="00EC7C5C">
      <w:pPr>
        <w:ind w:left="2160"/>
      </w:pPr>
    </w:p>
    <w:p w:rsidR="0063582C" w:rsidRDefault="0063582C" w:rsidP="0063582C">
      <w:pPr>
        <w:ind w:firstLine="720"/>
      </w:pPr>
      <w:r>
        <w:t>For additional information, contact James Bradshaw</w:t>
      </w:r>
      <w:r w:rsidR="00583A53">
        <w:t xml:space="preserve"> (James.B</w:t>
      </w:r>
      <w:r w:rsidR="00A94B76">
        <w:t>radshaw@fcc.gov)</w:t>
      </w:r>
      <w:r w:rsidR="00256702">
        <w:t xml:space="preserve">, </w:t>
      </w:r>
      <w:r w:rsidR="00D51090">
        <w:t>Robert Gates</w:t>
      </w:r>
      <w:r w:rsidR="00583A53">
        <w:t xml:space="preserve"> (Robert.Gates@fcc.gov)</w:t>
      </w:r>
      <w:r>
        <w:t xml:space="preserve">, </w:t>
      </w:r>
      <w:r w:rsidR="00256702">
        <w:t>or Larry Hannif-Ali</w:t>
      </w:r>
      <w:r w:rsidR="00583A53">
        <w:t xml:space="preserve"> (Larry.Hannif-Ali@fcc.gov)</w:t>
      </w:r>
      <w:r w:rsidR="00256702">
        <w:t xml:space="preserve">, </w:t>
      </w:r>
      <w:r>
        <w:t xml:space="preserve">Audio Division, Media Bureau at (202) 418-2700.  </w:t>
      </w:r>
      <w:r w:rsidR="005D5773">
        <w:t>For press inquiries, contact Janice Wise at (202) 418-8165 or janice.wise@fcc.gov.</w:t>
      </w:r>
    </w:p>
    <w:p w:rsidR="0063582C" w:rsidRDefault="0063582C" w:rsidP="0063582C">
      <w:pPr>
        <w:ind w:firstLine="720"/>
      </w:pPr>
    </w:p>
    <w:p w:rsidR="0063582C" w:rsidRDefault="0063582C" w:rsidP="0063582C">
      <w:pPr>
        <w:ind w:firstLine="720"/>
      </w:pPr>
      <w:r>
        <w:t>By:  Chief, Media Bureau</w:t>
      </w:r>
    </w:p>
    <w:p w:rsidR="0063582C" w:rsidRDefault="0063582C" w:rsidP="0063582C">
      <w:pPr>
        <w:ind w:firstLine="720"/>
      </w:pPr>
    </w:p>
    <w:p w:rsidR="0063582C" w:rsidRDefault="0063582C" w:rsidP="0063582C">
      <w:pPr>
        <w:ind w:firstLine="720"/>
      </w:pPr>
    </w:p>
    <w:p w:rsidR="00645F3C" w:rsidRDefault="0063582C" w:rsidP="0063582C">
      <w:pPr>
        <w:ind w:firstLine="720"/>
        <w:jc w:val="center"/>
        <w:rPr>
          <w:b/>
        </w:rPr>
        <w:sectPr w:rsidR="00645F3C" w:rsidSect="007B30F9">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start="1"/>
          <w:cols w:space="720"/>
          <w:titlePg/>
        </w:sectPr>
      </w:pPr>
      <w:r w:rsidRPr="00006F1A">
        <w:rPr>
          <w:b/>
        </w:rPr>
        <w:t>-FCC-</w:t>
      </w:r>
    </w:p>
    <w:p w:rsidR="00540A32" w:rsidRPr="00A2540D" w:rsidRDefault="00540A32" w:rsidP="00540A32">
      <w:pPr>
        <w:spacing w:after="200"/>
        <w:jc w:val="center"/>
        <w:rPr>
          <w:b/>
        </w:rPr>
      </w:pPr>
      <w:r w:rsidRPr="00A2540D">
        <w:rPr>
          <w:b/>
        </w:rPr>
        <w:lastRenderedPageBreak/>
        <w:t>Appendix</w:t>
      </w:r>
    </w:p>
    <w:p w:rsidR="00540A32" w:rsidRPr="00A2540D" w:rsidRDefault="00540A32" w:rsidP="00540A32">
      <w:pPr>
        <w:spacing w:after="200"/>
        <w:jc w:val="center"/>
        <w:rPr>
          <w:b/>
        </w:rPr>
      </w:pPr>
      <w:r w:rsidRPr="00A2540D">
        <w:rPr>
          <w:b/>
        </w:rPr>
        <w:t>Preclusion Studies for Translator Caps</w:t>
      </w:r>
    </w:p>
    <w:p w:rsidR="00540A32" w:rsidRPr="00A2540D" w:rsidRDefault="00540A32" w:rsidP="00540A32">
      <w:pPr>
        <w:pStyle w:val="FootnoteText"/>
        <w:rPr>
          <w:sz w:val="22"/>
          <w:szCs w:val="22"/>
        </w:rPr>
      </w:pPr>
      <w:r w:rsidRPr="00A2540D">
        <w:rPr>
          <w:sz w:val="22"/>
          <w:szCs w:val="22"/>
        </w:rPr>
        <w:t>A preclusion study that addresses compliance with the National Cap by a party prosecuting 51-70 Applications involves a</w:t>
      </w:r>
      <w:r>
        <w:rPr>
          <w:sz w:val="22"/>
          <w:szCs w:val="22"/>
        </w:rPr>
        <w:t xml:space="preserve"> study at the proposed transmitter site</w:t>
      </w:r>
      <w:r w:rsidRPr="00A2540D">
        <w:rPr>
          <w:sz w:val="22"/>
          <w:szCs w:val="22"/>
        </w:rPr>
        <w:t xml:space="preserve"> for each Application outside the Appendix A Markets.  A preclusion study that addresses compliance with the Appendix A Market Caps by a party prosecuting two or three Applications in an Appendix A Market may involve a “grid” test and a</w:t>
      </w:r>
      <w:r>
        <w:rPr>
          <w:sz w:val="22"/>
          <w:szCs w:val="22"/>
        </w:rPr>
        <w:t xml:space="preserve"> transmitter site</w:t>
      </w:r>
      <w:r w:rsidRPr="00A2540D">
        <w:rPr>
          <w:sz w:val="22"/>
          <w:szCs w:val="22"/>
        </w:rPr>
        <w:t xml:space="preserve"> test.  These tests are described below.</w:t>
      </w:r>
    </w:p>
    <w:p w:rsidR="00540A32" w:rsidRPr="00A2540D" w:rsidRDefault="00540A32" w:rsidP="00540A32">
      <w:pPr>
        <w:pStyle w:val="FootnoteText"/>
        <w:rPr>
          <w:sz w:val="22"/>
          <w:szCs w:val="22"/>
        </w:rPr>
      </w:pPr>
      <w:r w:rsidRPr="00A2540D">
        <w:rPr>
          <w:sz w:val="22"/>
          <w:szCs w:val="22"/>
        </w:rPr>
        <w:t>The Bureau recently released an updated version of the LPFM grid tool.</w:t>
      </w:r>
      <w:r w:rsidRPr="00A2540D">
        <w:rPr>
          <w:rStyle w:val="FootnoteReference"/>
          <w:szCs w:val="22"/>
        </w:rPr>
        <w:footnoteReference w:id="18"/>
      </w:r>
      <w:r w:rsidRPr="00A2540D">
        <w:rPr>
          <w:sz w:val="22"/>
          <w:szCs w:val="22"/>
        </w:rPr>
        <w:t xml:space="preserve">  The files provided in that release can be used </w:t>
      </w:r>
      <w:r>
        <w:rPr>
          <w:sz w:val="22"/>
          <w:szCs w:val="22"/>
        </w:rPr>
        <w:t xml:space="preserve">in conjunction with the “grid test” </w:t>
      </w:r>
      <w:r w:rsidRPr="00A2540D">
        <w:rPr>
          <w:sz w:val="22"/>
          <w:szCs w:val="22"/>
        </w:rPr>
        <w:t xml:space="preserve">to identify the appropriate coordinates to use for the center of the grid for each </w:t>
      </w:r>
      <w:r>
        <w:rPr>
          <w:sz w:val="22"/>
          <w:szCs w:val="22"/>
        </w:rPr>
        <w:t>Appendix A M</w:t>
      </w:r>
      <w:r w:rsidRPr="00A2540D">
        <w:rPr>
          <w:sz w:val="22"/>
          <w:szCs w:val="22"/>
        </w:rPr>
        <w:t>arket.  The LPFM grid tool can be used to identify the LPFM channel/point combinations that are available within the relevant grid for each market</w:t>
      </w:r>
      <w:r>
        <w:rPr>
          <w:sz w:val="22"/>
          <w:szCs w:val="22"/>
        </w:rPr>
        <w:t xml:space="preserve"> for future LPFM licensing</w:t>
      </w:r>
      <w:r w:rsidRPr="00A2540D">
        <w:rPr>
          <w:sz w:val="22"/>
          <w:szCs w:val="22"/>
        </w:rPr>
        <w:t xml:space="preserve">.  Appendix A and Appendix B to the </w:t>
      </w:r>
      <w:r w:rsidRPr="00A2540D">
        <w:rPr>
          <w:i/>
          <w:sz w:val="22"/>
          <w:szCs w:val="22"/>
        </w:rPr>
        <w:t>Fourth Report and Order</w:t>
      </w:r>
      <w:r w:rsidRPr="00A2540D">
        <w:rPr>
          <w:sz w:val="22"/>
          <w:szCs w:val="22"/>
        </w:rPr>
        <w:t xml:space="preserve"> collectively identify each Appendix A Market as either “Spectrum Available” or “Spectrum Limited.”</w:t>
      </w:r>
      <w:r>
        <w:rPr>
          <w:rStyle w:val="FootnoteReference"/>
          <w:szCs w:val="22"/>
        </w:rPr>
        <w:footnoteReference w:id="19"/>
      </w:r>
      <w:r w:rsidRPr="00A2540D">
        <w:rPr>
          <w:sz w:val="22"/>
          <w:szCs w:val="22"/>
        </w:rPr>
        <w:t xml:space="preserve">  All markets identified on Appendix A as “Spectrum Limited” used a 30x30 minute grid.  All other Appendix A Markets used a grid size of either 30x30 minutes or 20x20 minutes, as shown in the far right column of Appendix B.</w:t>
      </w:r>
    </w:p>
    <w:p w:rsidR="00540A32" w:rsidRDefault="00540A32" w:rsidP="00540A32">
      <w:pPr>
        <w:spacing w:after="200"/>
      </w:pPr>
      <w:r>
        <w:t>For purposes of preclusion studies required to be submitted by the Caps Deadline, a</w:t>
      </w:r>
      <w:r w:rsidRPr="00A2540D">
        <w:t>pplicants submitting required showings for either the National Cap or the Appendix A Market Caps will be protected from showings filed on subsequent business days.</w:t>
      </w:r>
    </w:p>
    <w:p w:rsidR="00540A32" w:rsidRPr="00A2540D" w:rsidRDefault="00540A32" w:rsidP="00540A32">
      <w:pPr>
        <w:spacing w:after="200"/>
      </w:pPr>
      <w:r>
        <w:t>This Appendix only addresses preclusion studies.  The No Overlap Showings described in the Public Notice also must be submitted by the Caps Deadline.</w:t>
      </w:r>
      <w:r w:rsidRPr="00A2540D">
        <w:t xml:space="preserve">  </w:t>
      </w:r>
    </w:p>
    <w:p w:rsidR="00540A32" w:rsidRPr="00A2540D" w:rsidRDefault="00540A32" w:rsidP="00540A32">
      <w:pPr>
        <w:spacing w:after="200"/>
        <w:rPr>
          <w:b/>
        </w:rPr>
      </w:pPr>
      <w:r w:rsidRPr="00A2540D">
        <w:rPr>
          <w:b/>
        </w:rPr>
        <w:t>A.</w:t>
      </w:r>
      <w:r w:rsidRPr="00A2540D">
        <w:rPr>
          <w:b/>
        </w:rPr>
        <w:tab/>
        <w:t xml:space="preserve">National Cap:  </w:t>
      </w:r>
      <w:r>
        <w:rPr>
          <w:b/>
        </w:rPr>
        <w:t>Transmitter Site T</w:t>
      </w:r>
      <w:r w:rsidRPr="00A2540D">
        <w:rPr>
          <w:b/>
        </w:rPr>
        <w:t>est</w:t>
      </w:r>
    </w:p>
    <w:p w:rsidR="00540A32" w:rsidRPr="00E9446D" w:rsidRDefault="00540A32" w:rsidP="00540A32">
      <w:pPr>
        <w:pStyle w:val="FootnoteText"/>
        <w:rPr>
          <w:sz w:val="22"/>
          <w:szCs w:val="22"/>
        </w:rPr>
      </w:pPr>
      <w:r w:rsidRPr="00E9446D">
        <w:rPr>
          <w:sz w:val="22"/>
          <w:szCs w:val="22"/>
        </w:rPr>
        <w:t xml:space="preserve">This applies to all </w:t>
      </w:r>
      <w:r w:rsidRPr="00A2540D">
        <w:rPr>
          <w:sz w:val="22"/>
          <w:szCs w:val="22"/>
        </w:rPr>
        <w:t>Applications</w:t>
      </w:r>
      <w:r w:rsidRPr="00E9446D">
        <w:rPr>
          <w:sz w:val="22"/>
          <w:szCs w:val="22"/>
        </w:rPr>
        <w:t xml:space="preserve"> proposing transmitter sites outside Appendix A Market boundaries by parties proposing to prosecute 51-70 </w:t>
      </w:r>
      <w:r w:rsidRPr="00A2540D">
        <w:rPr>
          <w:sz w:val="22"/>
          <w:szCs w:val="22"/>
        </w:rPr>
        <w:t>Applications</w:t>
      </w:r>
      <w:r w:rsidRPr="00E9446D">
        <w:rPr>
          <w:sz w:val="22"/>
          <w:szCs w:val="22"/>
        </w:rPr>
        <w:t xml:space="preserve"> nationally.</w:t>
      </w:r>
    </w:p>
    <w:p w:rsidR="00540A32" w:rsidRPr="00E9446D" w:rsidRDefault="00540A32" w:rsidP="00540A32">
      <w:pPr>
        <w:pStyle w:val="FootnoteText"/>
        <w:rPr>
          <w:sz w:val="22"/>
          <w:szCs w:val="22"/>
        </w:rPr>
      </w:pPr>
      <w:r w:rsidRPr="00E9446D">
        <w:rPr>
          <w:sz w:val="22"/>
          <w:szCs w:val="22"/>
        </w:rPr>
        <w:t xml:space="preserve">The applicant must show </w:t>
      </w:r>
      <w:r w:rsidR="00D77BB1">
        <w:rPr>
          <w:sz w:val="22"/>
          <w:szCs w:val="22"/>
        </w:rPr>
        <w:t xml:space="preserve">– ignoring the subject Application -- </w:t>
      </w:r>
      <w:r w:rsidRPr="00E9446D">
        <w:rPr>
          <w:sz w:val="22"/>
          <w:szCs w:val="22"/>
        </w:rPr>
        <w:t xml:space="preserve">that </w:t>
      </w:r>
      <w:r w:rsidR="00D77BB1">
        <w:rPr>
          <w:sz w:val="22"/>
          <w:szCs w:val="22"/>
        </w:rPr>
        <w:t xml:space="preserve">no LPFM channels are available or –assuming grant of the subject Application – that at least one LPFM channel remains </w:t>
      </w:r>
      <w:r w:rsidRPr="00E9446D">
        <w:rPr>
          <w:sz w:val="22"/>
          <w:szCs w:val="22"/>
        </w:rPr>
        <w:t xml:space="preserve"> available at the transmitter site proposed in the </w:t>
      </w:r>
      <w:r w:rsidR="00D77BB1">
        <w:rPr>
          <w:sz w:val="22"/>
          <w:szCs w:val="22"/>
        </w:rPr>
        <w:t xml:space="preserve">subject </w:t>
      </w:r>
      <w:r w:rsidRPr="00E9446D">
        <w:rPr>
          <w:sz w:val="22"/>
          <w:szCs w:val="22"/>
        </w:rPr>
        <w:t>Application.  When determining available LPFM channels, studies must protect all authorizations and applications on co- and first-adjacent channels, including all pending Auction 83 Applications other than the subject Application.</w:t>
      </w:r>
      <w:r w:rsidRPr="00A2540D">
        <w:rPr>
          <w:rStyle w:val="FootnoteReference"/>
          <w:szCs w:val="22"/>
        </w:rPr>
        <w:footnoteReference w:id="20"/>
      </w:r>
      <w:r w:rsidRPr="00E9446D">
        <w:rPr>
          <w:sz w:val="22"/>
          <w:szCs w:val="22"/>
        </w:rPr>
        <w:t xml:space="preserve">  The study should </w:t>
      </w:r>
      <w:r>
        <w:rPr>
          <w:sz w:val="22"/>
          <w:szCs w:val="22"/>
        </w:rPr>
        <w:t>ignore</w:t>
      </w:r>
      <w:r w:rsidRPr="00E9446D">
        <w:rPr>
          <w:sz w:val="22"/>
          <w:szCs w:val="22"/>
        </w:rPr>
        <w:t xml:space="preserve"> second-adjacent and intermediate-frequency station </w:t>
      </w:r>
      <w:r>
        <w:rPr>
          <w:sz w:val="22"/>
          <w:szCs w:val="22"/>
        </w:rPr>
        <w:t>protection requirements</w:t>
      </w:r>
      <w:r w:rsidRPr="00E9446D">
        <w:rPr>
          <w:sz w:val="22"/>
          <w:szCs w:val="22"/>
        </w:rPr>
        <w:t xml:space="preserve"> but otherwise </w:t>
      </w:r>
      <w:r>
        <w:rPr>
          <w:sz w:val="22"/>
          <w:szCs w:val="22"/>
        </w:rPr>
        <w:t xml:space="preserve">should apply </w:t>
      </w:r>
      <w:r w:rsidRPr="00E9446D">
        <w:rPr>
          <w:sz w:val="22"/>
          <w:szCs w:val="22"/>
        </w:rPr>
        <w:t xml:space="preserve">all </w:t>
      </w:r>
      <w:r>
        <w:rPr>
          <w:sz w:val="22"/>
          <w:szCs w:val="22"/>
        </w:rPr>
        <w:t xml:space="preserve">other </w:t>
      </w:r>
      <w:r w:rsidRPr="00E9446D">
        <w:rPr>
          <w:sz w:val="22"/>
          <w:szCs w:val="22"/>
        </w:rPr>
        <w:t>LPFM spacing requirements.</w:t>
      </w:r>
    </w:p>
    <w:p w:rsidR="00540A32" w:rsidRDefault="00540A32" w:rsidP="00540A32">
      <w:pPr>
        <w:pStyle w:val="FootnoteText"/>
        <w:rPr>
          <w:sz w:val="22"/>
          <w:szCs w:val="22"/>
        </w:rPr>
      </w:pPr>
      <w:r w:rsidRPr="00E9446D">
        <w:rPr>
          <w:sz w:val="22"/>
          <w:szCs w:val="22"/>
        </w:rPr>
        <w:t xml:space="preserve">An </w:t>
      </w:r>
      <w:r w:rsidRPr="00A2540D">
        <w:rPr>
          <w:sz w:val="22"/>
          <w:szCs w:val="22"/>
        </w:rPr>
        <w:t>Application</w:t>
      </w:r>
      <w:r w:rsidRPr="00E9446D">
        <w:rPr>
          <w:sz w:val="22"/>
          <w:szCs w:val="22"/>
        </w:rPr>
        <w:t xml:space="preserve"> fails this test if there is only one LPFM channel available </w:t>
      </w:r>
      <w:r>
        <w:rPr>
          <w:sz w:val="22"/>
          <w:szCs w:val="22"/>
        </w:rPr>
        <w:t xml:space="preserve">at the proposed transmitter site </w:t>
      </w:r>
      <w:r w:rsidRPr="00E9446D">
        <w:rPr>
          <w:sz w:val="22"/>
          <w:szCs w:val="22"/>
        </w:rPr>
        <w:t>and it would be precluded by the subject Application.</w:t>
      </w:r>
    </w:p>
    <w:p w:rsidR="00540A32" w:rsidRDefault="00540A32" w:rsidP="00540A32">
      <w:pPr>
        <w:pStyle w:val="FootnoteText"/>
        <w:rPr>
          <w:sz w:val="22"/>
          <w:szCs w:val="22"/>
        </w:rPr>
      </w:pPr>
    </w:p>
    <w:p w:rsidR="00A42E6E" w:rsidRDefault="00540A32" w:rsidP="00540A32">
      <w:pPr>
        <w:rPr>
          <w:b/>
        </w:rPr>
      </w:pPr>
      <w:r w:rsidRPr="00A2540D">
        <w:rPr>
          <w:b/>
        </w:rPr>
        <w:t>B.</w:t>
      </w:r>
      <w:r w:rsidRPr="00A2540D">
        <w:rPr>
          <w:b/>
        </w:rPr>
        <w:tab/>
        <w:t>Appendix A Market Caps</w:t>
      </w:r>
    </w:p>
    <w:p w:rsidR="00540A32" w:rsidRPr="00A2540D" w:rsidRDefault="00540A32" w:rsidP="00540A32">
      <w:pPr>
        <w:rPr>
          <w:b/>
        </w:rPr>
      </w:pPr>
      <w:r w:rsidRPr="00A2540D">
        <w:rPr>
          <w:b/>
        </w:rPr>
        <w:t xml:space="preserve">  </w:t>
      </w:r>
    </w:p>
    <w:p w:rsidR="00540A32" w:rsidRPr="00BA110E" w:rsidRDefault="00540A32" w:rsidP="00540A32">
      <w:pPr>
        <w:pStyle w:val="ListParagraph"/>
        <w:numPr>
          <w:ilvl w:val="0"/>
          <w:numId w:val="4"/>
        </w:numPr>
        <w:spacing w:after="200" w:line="276" w:lineRule="auto"/>
        <w:rPr>
          <w:b/>
        </w:rPr>
      </w:pPr>
      <w:r>
        <w:rPr>
          <w:b/>
        </w:rPr>
        <w:t>Transmitter Site</w:t>
      </w:r>
      <w:r w:rsidRPr="00BA110E">
        <w:rPr>
          <w:b/>
        </w:rPr>
        <w:t xml:space="preserve"> </w:t>
      </w:r>
      <w:r>
        <w:rPr>
          <w:b/>
        </w:rPr>
        <w:t>T</w:t>
      </w:r>
      <w:r w:rsidRPr="00BA110E">
        <w:rPr>
          <w:b/>
        </w:rPr>
        <w:t>est</w:t>
      </w:r>
    </w:p>
    <w:p w:rsidR="00540A32" w:rsidRPr="00E9446D" w:rsidRDefault="00540A32" w:rsidP="00540A32">
      <w:pPr>
        <w:pStyle w:val="FootnoteText"/>
        <w:rPr>
          <w:sz w:val="22"/>
          <w:szCs w:val="22"/>
        </w:rPr>
      </w:pPr>
      <w:r w:rsidRPr="00E9446D">
        <w:rPr>
          <w:sz w:val="22"/>
          <w:szCs w:val="22"/>
        </w:rPr>
        <w:t xml:space="preserve">This applies to all groups of two-three Applications by the same applicant that specify transmitter sites in the same Appendix A Market, one </w:t>
      </w:r>
      <w:r w:rsidRPr="00A2540D">
        <w:rPr>
          <w:sz w:val="22"/>
          <w:szCs w:val="22"/>
        </w:rPr>
        <w:t>or</w:t>
      </w:r>
      <w:r w:rsidRPr="00E9446D">
        <w:rPr>
          <w:sz w:val="22"/>
          <w:szCs w:val="22"/>
        </w:rPr>
        <w:t xml:space="preserve"> more of which are located outside the relevant grid for that market.</w:t>
      </w:r>
    </w:p>
    <w:p w:rsidR="00540A32" w:rsidRPr="00E9446D" w:rsidRDefault="00540A32" w:rsidP="00540A32">
      <w:pPr>
        <w:pStyle w:val="FootnoteText"/>
      </w:pPr>
      <w:r w:rsidRPr="00A2540D">
        <w:rPr>
          <w:sz w:val="22"/>
          <w:szCs w:val="22"/>
        </w:rPr>
        <w:t xml:space="preserve">In order to submit a successful test, the applicant must show </w:t>
      </w:r>
      <w:r w:rsidR="00D77BB1">
        <w:rPr>
          <w:sz w:val="22"/>
          <w:szCs w:val="22"/>
        </w:rPr>
        <w:t xml:space="preserve">–ignoring the subject Application -- </w:t>
      </w:r>
      <w:r w:rsidRPr="00A2540D">
        <w:rPr>
          <w:sz w:val="22"/>
          <w:szCs w:val="22"/>
        </w:rPr>
        <w:t xml:space="preserve">that </w:t>
      </w:r>
      <w:r w:rsidR="00D77BB1">
        <w:rPr>
          <w:sz w:val="22"/>
          <w:szCs w:val="22"/>
        </w:rPr>
        <w:t xml:space="preserve">no LPFM channels are available or – assuming the grant of the subject Application – that at least one LPFM channel remains </w:t>
      </w:r>
      <w:r w:rsidRPr="00A2540D">
        <w:rPr>
          <w:sz w:val="22"/>
          <w:szCs w:val="22"/>
        </w:rPr>
        <w:t xml:space="preserve">available at the </w:t>
      </w:r>
      <w:r w:rsidR="00D77BB1">
        <w:rPr>
          <w:sz w:val="22"/>
          <w:szCs w:val="22"/>
        </w:rPr>
        <w:t xml:space="preserve">out of grid </w:t>
      </w:r>
      <w:r w:rsidRPr="00A2540D">
        <w:rPr>
          <w:sz w:val="22"/>
          <w:szCs w:val="22"/>
        </w:rPr>
        <w:t xml:space="preserve">transmitter site proposed in </w:t>
      </w:r>
      <w:r w:rsidRPr="00E9446D">
        <w:rPr>
          <w:sz w:val="22"/>
          <w:szCs w:val="22"/>
        </w:rPr>
        <w:t xml:space="preserve">each Application.  Studies must protect all authorizations and applications on co- and first-adjacent channels, including all pending Auction 83 Applications other than the subject Application.  The study should </w:t>
      </w:r>
      <w:r>
        <w:rPr>
          <w:sz w:val="22"/>
          <w:szCs w:val="22"/>
        </w:rPr>
        <w:t xml:space="preserve">ignore </w:t>
      </w:r>
      <w:r w:rsidRPr="00E9446D">
        <w:rPr>
          <w:sz w:val="22"/>
          <w:szCs w:val="22"/>
        </w:rPr>
        <w:t xml:space="preserve">second-adjacent and intermediate-frequency </w:t>
      </w:r>
      <w:r>
        <w:rPr>
          <w:sz w:val="22"/>
          <w:szCs w:val="22"/>
        </w:rPr>
        <w:t>protection requirements</w:t>
      </w:r>
      <w:r w:rsidRPr="00E9446D">
        <w:rPr>
          <w:sz w:val="22"/>
          <w:szCs w:val="22"/>
        </w:rPr>
        <w:t xml:space="preserve"> but otherwise </w:t>
      </w:r>
      <w:r>
        <w:rPr>
          <w:sz w:val="22"/>
          <w:szCs w:val="22"/>
        </w:rPr>
        <w:t xml:space="preserve">should apply </w:t>
      </w:r>
      <w:r w:rsidRPr="00E9446D">
        <w:rPr>
          <w:sz w:val="22"/>
          <w:szCs w:val="22"/>
        </w:rPr>
        <w:t xml:space="preserve">all </w:t>
      </w:r>
      <w:r>
        <w:rPr>
          <w:sz w:val="22"/>
          <w:szCs w:val="22"/>
        </w:rPr>
        <w:t xml:space="preserve">other </w:t>
      </w:r>
      <w:r w:rsidRPr="00E9446D">
        <w:rPr>
          <w:sz w:val="22"/>
          <w:szCs w:val="22"/>
        </w:rPr>
        <w:t xml:space="preserve">LPFM spacing requirements.  </w:t>
      </w:r>
    </w:p>
    <w:p w:rsidR="00540A32" w:rsidRPr="00E9446D" w:rsidRDefault="00540A32" w:rsidP="00540A32">
      <w:pPr>
        <w:pStyle w:val="FootnoteText"/>
      </w:pPr>
      <w:r w:rsidRPr="00A2540D">
        <w:rPr>
          <w:sz w:val="22"/>
          <w:szCs w:val="22"/>
        </w:rPr>
        <w:t>An Application</w:t>
      </w:r>
      <w:r w:rsidRPr="00E9446D">
        <w:rPr>
          <w:sz w:val="22"/>
          <w:szCs w:val="22"/>
        </w:rPr>
        <w:t xml:space="preserve"> fails this test if there is only one LPFM channel available and it is precluded by the subject Application.</w:t>
      </w:r>
    </w:p>
    <w:p w:rsidR="00540A32" w:rsidRPr="00A2540D" w:rsidRDefault="00540A32" w:rsidP="00540A32">
      <w:pPr>
        <w:pStyle w:val="ListParagraph"/>
        <w:numPr>
          <w:ilvl w:val="0"/>
          <w:numId w:val="4"/>
        </w:numPr>
        <w:spacing w:after="200" w:line="276" w:lineRule="auto"/>
        <w:rPr>
          <w:b/>
        </w:rPr>
      </w:pPr>
      <w:r w:rsidRPr="00A2540D">
        <w:rPr>
          <w:b/>
        </w:rPr>
        <w:t xml:space="preserve">“Grid” </w:t>
      </w:r>
      <w:r>
        <w:rPr>
          <w:b/>
        </w:rPr>
        <w:t>T</w:t>
      </w:r>
      <w:r w:rsidRPr="00A2540D">
        <w:rPr>
          <w:b/>
        </w:rPr>
        <w:t>est for Spectrum Limited Appendix A Markets</w:t>
      </w:r>
    </w:p>
    <w:p w:rsidR="00540A32" w:rsidRPr="00A2540D" w:rsidRDefault="00540A32" w:rsidP="00540A32">
      <w:pPr>
        <w:pStyle w:val="FootnoteText"/>
      </w:pPr>
      <w:r w:rsidRPr="00E9446D">
        <w:rPr>
          <w:sz w:val="22"/>
          <w:szCs w:val="22"/>
        </w:rPr>
        <w:t>This applies to all applicants that are proposing to prosecute two or three Applications in the same Appendix A Market, where (1) the market is Spectrum Limited, and (2) one or more Applications specify transmitter sites within 39 kilometers of the relevant grid for that market.</w:t>
      </w:r>
      <w:r w:rsidRPr="00A2540D">
        <w:rPr>
          <w:rStyle w:val="FootnoteReference"/>
          <w:szCs w:val="22"/>
        </w:rPr>
        <w:footnoteReference w:id="21"/>
      </w:r>
      <w:r w:rsidRPr="00A2540D">
        <w:rPr>
          <w:sz w:val="22"/>
          <w:szCs w:val="22"/>
        </w:rPr>
        <w:t xml:space="preserve">  </w:t>
      </w:r>
    </w:p>
    <w:p w:rsidR="00540A32" w:rsidRPr="00A2540D" w:rsidRDefault="00540A32" w:rsidP="00540A32">
      <w:pPr>
        <w:pStyle w:val="FootnoteText"/>
      </w:pPr>
      <w:r w:rsidRPr="00A2540D">
        <w:rPr>
          <w:sz w:val="22"/>
          <w:szCs w:val="22"/>
        </w:rPr>
        <w:t xml:space="preserve">When determining available LPFM channel/point combinations in Spectrum Limited markets, studies must protect all authorizations and applications on co- and first-adjacent channels, </w:t>
      </w:r>
      <w:r w:rsidRPr="00A2540D">
        <w:rPr>
          <w:i/>
          <w:sz w:val="22"/>
          <w:szCs w:val="22"/>
        </w:rPr>
        <w:t>excluding</w:t>
      </w:r>
      <w:r w:rsidRPr="00A2540D">
        <w:rPr>
          <w:sz w:val="22"/>
          <w:szCs w:val="22"/>
        </w:rPr>
        <w:t xml:space="preserve"> all pending Auction 83 </w:t>
      </w:r>
      <w:r w:rsidRPr="00E9446D">
        <w:rPr>
          <w:sz w:val="22"/>
          <w:szCs w:val="22"/>
        </w:rPr>
        <w:t>Applications.</w:t>
      </w:r>
      <w:r w:rsidRPr="00A2540D">
        <w:rPr>
          <w:rStyle w:val="FootnoteReference"/>
          <w:szCs w:val="22"/>
        </w:rPr>
        <w:footnoteReference w:id="22"/>
      </w:r>
      <w:r w:rsidRPr="00A2540D">
        <w:rPr>
          <w:sz w:val="22"/>
          <w:szCs w:val="22"/>
        </w:rPr>
        <w:t xml:space="preserve">  The study should </w:t>
      </w:r>
      <w:r>
        <w:rPr>
          <w:sz w:val="22"/>
          <w:szCs w:val="22"/>
        </w:rPr>
        <w:t xml:space="preserve">ignore </w:t>
      </w:r>
      <w:r w:rsidRPr="00A2540D">
        <w:rPr>
          <w:sz w:val="22"/>
          <w:szCs w:val="22"/>
        </w:rPr>
        <w:t xml:space="preserve">second-adjacent and intermediate-frequency </w:t>
      </w:r>
      <w:r>
        <w:rPr>
          <w:sz w:val="22"/>
          <w:szCs w:val="22"/>
        </w:rPr>
        <w:t>protection requirements</w:t>
      </w:r>
      <w:r w:rsidRPr="00A2540D">
        <w:rPr>
          <w:sz w:val="22"/>
          <w:szCs w:val="22"/>
        </w:rPr>
        <w:t xml:space="preserve"> but otherwise </w:t>
      </w:r>
      <w:r>
        <w:rPr>
          <w:sz w:val="22"/>
          <w:szCs w:val="22"/>
        </w:rPr>
        <w:t xml:space="preserve">should apply </w:t>
      </w:r>
      <w:r w:rsidRPr="00A2540D">
        <w:rPr>
          <w:sz w:val="22"/>
          <w:szCs w:val="22"/>
        </w:rPr>
        <w:t xml:space="preserve">all </w:t>
      </w:r>
      <w:r>
        <w:rPr>
          <w:sz w:val="22"/>
          <w:szCs w:val="22"/>
        </w:rPr>
        <w:t xml:space="preserve">other </w:t>
      </w:r>
      <w:r w:rsidRPr="00A2540D">
        <w:rPr>
          <w:sz w:val="22"/>
          <w:szCs w:val="22"/>
        </w:rPr>
        <w:t>LPFM spacing requirements.</w:t>
      </w:r>
    </w:p>
    <w:p w:rsidR="00540A32" w:rsidRPr="00A2540D" w:rsidRDefault="00540A32" w:rsidP="00540A32">
      <w:pPr>
        <w:pStyle w:val="FootnoteText"/>
      </w:pPr>
      <w:r w:rsidRPr="00A2540D">
        <w:rPr>
          <w:sz w:val="22"/>
          <w:szCs w:val="22"/>
        </w:rPr>
        <w:t xml:space="preserve">An Application fails this test if it precludes </w:t>
      </w:r>
      <w:r>
        <w:rPr>
          <w:sz w:val="22"/>
          <w:szCs w:val="22"/>
        </w:rPr>
        <w:t>any identified channel/point licensing opportunity within the grid for a future LPFM station</w:t>
      </w:r>
      <w:r w:rsidRPr="00A2540D">
        <w:rPr>
          <w:sz w:val="22"/>
          <w:szCs w:val="22"/>
        </w:rPr>
        <w:t xml:space="preserve">.  </w:t>
      </w:r>
    </w:p>
    <w:p w:rsidR="00540A32" w:rsidRPr="00A2540D" w:rsidRDefault="00540A32" w:rsidP="00540A32"/>
    <w:p w:rsidR="00645F3C" w:rsidRPr="00A2540D" w:rsidRDefault="00645F3C" w:rsidP="00645F3C"/>
    <w:p w:rsidR="0063582C" w:rsidRPr="00006F1A" w:rsidRDefault="0063582C" w:rsidP="0063582C">
      <w:pPr>
        <w:ind w:firstLine="720"/>
        <w:jc w:val="center"/>
        <w:rPr>
          <w:b/>
        </w:rPr>
      </w:pPr>
    </w:p>
    <w:sectPr w:rsidR="0063582C" w:rsidRPr="00006F1A" w:rsidSect="00645F3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D61" w:rsidRDefault="00151D61">
      <w:r>
        <w:separator/>
      </w:r>
    </w:p>
  </w:endnote>
  <w:endnote w:type="continuationSeparator" w:id="0">
    <w:p w:rsidR="00151D61" w:rsidRDefault="0015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8A" w:rsidRDefault="00CD0D8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045120"/>
      <w:docPartObj>
        <w:docPartGallery w:val="Page Numbers (Bottom of Page)"/>
        <w:docPartUnique/>
      </w:docPartObj>
    </w:sdtPr>
    <w:sdtEndPr>
      <w:rPr>
        <w:noProof/>
      </w:rPr>
    </w:sdtEndPr>
    <w:sdtContent>
      <w:p w:rsidR="00151D61" w:rsidRDefault="00151D61" w:rsidP="00F17606">
        <w:pPr>
          <w:pStyle w:val="Footer"/>
          <w:jc w:val="center"/>
        </w:pPr>
        <w:r>
          <w:fldChar w:fldCharType="begin"/>
        </w:r>
        <w:r>
          <w:instrText xml:space="preserve"> PAGE   \* MERGEFORMAT </w:instrText>
        </w:r>
        <w:r>
          <w:fldChar w:fldCharType="separate"/>
        </w:r>
        <w:r w:rsidR="0023402A">
          <w:rPr>
            <w:noProof/>
          </w:rPr>
          <w:t>5</w:t>
        </w:r>
        <w:r>
          <w:rPr>
            <w:noProof/>
          </w:rPr>
          <w:fldChar w:fldCharType="end"/>
        </w:r>
      </w:p>
    </w:sdtContent>
  </w:sdt>
  <w:p w:rsidR="00151D61" w:rsidRDefault="00151D6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8A" w:rsidRDefault="00CD0D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D61" w:rsidRDefault="00151D61">
      <w:r>
        <w:separator/>
      </w:r>
    </w:p>
  </w:footnote>
  <w:footnote w:type="continuationSeparator" w:id="0">
    <w:p w:rsidR="00151D61" w:rsidRDefault="00151D61">
      <w:r>
        <w:continuationSeparator/>
      </w:r>
    </w:p>
  </w:footnote>
  <w:footnote w:id="1">
    <w:p w:rsidR="00151D61" w:rsidRPr="00324654" w:rsidRDefault="00151D61" w:rsidP="00F17606">
      <w:pPr>
        <w:pStyle w:val="FootnoteText"/>
        <w:spacing w:after="120"/>
      </w:pPr>
      <w:r w:rsidRPr="00324654">
        <w:rPr>
          <w:rStyle w:val="FootnoteReference"/>
          <w:sz w:val="20"/>
        </w:rPr>
        <w:footnoteRef/>
      </w:r>
      <w:r w:rsidRPr="00324654">
        <w:t xml:space="preserve"> </w:t>
      </w:r>
      <w:r w:rsidRPr="00324654">
        <w:rPr>
          <w:i/>
        </w:rPr>
        <w:t>See Creation of a Low Power Radio Service</w:t>
      </w:r>
      <w:r w:rsidRPr="00324654">
        <w:t>, Fifth Order on Reconsideration and Sixth Report and Order, FCC 12-144 (rel. Dec. 4, 2012) (“</w:t>
      </w:r>
      <w:r w:rsidRPr="00324654">
        <w:rPr>
          <w:i/>
        </w:rPr>
        <w:t>Fifth Order</w:t>
      </w:r>
      <w:r w:rsidRPr="00324654">
        <w:t>”).</w:t>
      </w:r>
    </w:p>
  </w:footnote>
  <w:footnote w:id="2">
    <w:p w:rsidR="00151D61" w:rsidRPr="00324654" w:rsidRDefault="00151D61" w:rsidP="00F17606">
      <w:pPr>
        <w:pStyle w:val="FootnoteText"/>
        <w:spacing w:after="120"/>
      </w:pPr>
      <w:r w:rsidRPr="00324654">
        <w:rPr>
          <w:rStyle w:val="FootnoteReference"/>
          <w:sz w:val="20"/>
        </w:rPr>
        <w:footnoteRef/>
      </w:r>
      <w:r w:rsidRPr="00324654">
        <w:t xml:space="preserve"> </w:t>
      </w:r>
      <w:r w:rsidRPr="00324654">
        <w:rPr>
          <w:i/>
        </w:rPr>
        <w:t>See Creation of a Low Power Radio Service</w:t>
      </w:r>
      <w:r w:rsidRPr="00324654">
        <w:t>, Fourth Report and Order and Third Order on Reconsideration, 27 FCC Rcd 3364 (2012) (“</w:t>
      </w:r>
      <w:r w:rsidRPr="00324654">
        <w:rPr>
          <w:i/>
        </w:rPr>
        <w:t>Fourth Report and Order</w:t>
      </w:r>
      <w:r w:rsidRPr="00324654">
        <w:t>”).</w:t>
      </w:r>
    </w:p>
  </w:footnote>
  <w:footnote w:id="3">
    <w:p w:rsidR="00151D61" w:rsidRPr="00324654" w:rsidRDefault="00151D61" w:rsidP="00F17606">
      <w:pPr>
        <w:pStyle w:val="FootnoteText"/>
        <w:spacing w:after="120"/>
      </w:pPr>
      <w:r w:rsidRPr="00324654">
        <w:rPr>
          <w:rStyle w:val="FootnoteReference"/>
          <w:sz w:val="20"/>
        </w:rPr>
        <w:footnoteRef/>
      </w:r>
      <w:r w:rsidRPr="00324654">
        <w:t xml:space="preserve"> This includes short-form and long-form Applications.  For purposes of this Public Notice, “short-form” refers to any pending </w:t>
      </w:r>
      <w:r>
        <w:t xml:space="preserve">Application submitted as an </w:t>
      </w:r>
      <w:r w:rsidRPr="00324654">
        <w:t xml:space="preserve">engineering proposal filed in the March 2003 FM translator Auction 83 filing window.  “Long-form” refers to any pending Application for a new </w:t>
      </w:r>
      <w:r>
        <w:t xml:space="preserve">translator </w:t>
      </w:r>
      <w:r w:rsidRPr="00324654">
        <w:t>station or a major modification filed on FCC Form 349, during July or August of 2003, or May, June, or July of 2008.  Each long-form has a previously filed short-form associated with it.</w:t>
      </w:r>
    </w:p>
  </w:footnote>
  <w:footnote w:id="4">
    <w:p w:rsidR="00151D61" w:rsidRPr="00324654" w:rsidRDefault="00151D61" w:rsidP="00F17606">
      <w:pPr>
        <w:pStyle w:val="FootnoteText"/>
        <w:spacing w:after="120"/>
      </w:pPr>
      <w:r w:rsidRPr="00324654">
        <w:rPr>
          <w:rStyle w:val="FootnoteReference"/>
          <w:sz w:val="20"/>
        </w:rPr>
        <w:footnoteRef/>
      </w:r>
      <w:r w:rsidRPr="00324654">
        <w:t xml:space="preserve"> </w:t>
      </w:r>
      <w:r w:rsidRPr="00324654">
        <w:rPr>
          <w:i/>
        </w:rPr>
        <w:t>Id.</w:t>
      </w:r>
      <w:r w:rsidRPr="00324654">
        <w:t xml:space="preserve">, 27 FCC Rcd at 3398-3402.   Any applicant that cannot or elects not to comply with the National Cap Conditions may prosecute up to 50 Applications without complying with those conditions.  </w:t>
      </w:r>
      <w:r w:rsidRPr="00324654">
        <w:rPr>
          <w:i/>
        </w:rPr>
        <w:t>See Fifth Order</w:t>
      </w:r>
      <w:r w:rsidRPr="00324654">
        <w:t xml:space="preserve"> at p. 14 n. 83.</w:t>
      </w:r>
    </w:p>
  </w:footnote>
  <w:footnote w:id="5">
    <w:p w:rsidR="00151D61" w:rsidRPr="00324654" w:rsidRDefault="00151D61" w:rsidP="00F17606">
      <w:pPr>
        <w:pStyle w:val="FootnoteText"/>
        <w:spacing w:after="120"/>
      </w:pPr>
      <w:r w:rsidRPr="00324654">
        <w:rPr>
          <w:rStyle w:val="FootnoteReference"/>
          <w:sz w:val="20"/>
        </w:rPr>
        <w:footnoteRef/>
      </w:r>
      <w:r w:rsidRPr="00324654">
        <w:t xml:space="preserve"> </w:t>
      </w:r>
      <w:r w:rsidRPr="00324654">
        <w:rPr>
          <w:i/>
        </w:rPr>
        <w:t>Fifth Order</w:t>
      </w:r>
      <w:r w:rsidRPr="00324654">
        <w:t xml:space="preserve">, p. 10 ¶ 28.  For “embedded” Arbitron Metro markets, the </w:t>
      </w:r>
      <w:r w:rsidRPr="00324654">
        <w:rPr>
          <w:i/>
        </w:rPr>
        <w:t>Fifth Report</w:t>
      </w:r>
      <w:r w:rsidRPr="00324654">
        <w:t xml:space="preserve"> clarifies how the Appendix A Market </w:t>
      </w:r>
      <w:r>
        <w:t>C</w:t>
      </w:r>
      <w:r w:rsidRPr="00324654">
        <w:t xml:space="preserve">aps apply to those markets.  </w:t>
      </w:r>
      <w:r w:rsidRPr="00324654">
        <w:rPr>
          <w:i/>
        </w:rPr>
        <w:t>Id.</w:t>
      </w:r>
      <w:r w:rsidRPr="00324654">
        <w:t xml:space="preserve"> at pp. 10-11, ¶¶ 29-30.</w:t>
      </w:r>
    </w:p>
  </w:footnote>
  <w:footnote w:id="6">
    <w:p w:rsidR="00151D61" w:rsidRPr="00324654" w:rsidRDefault="00151D61" w:rsidP="00F17606">
      <w:pPr>
        <w:pStyle w:val="FootnoteText"/>
        <w:spacing w:after="120"/>
      </w:pPr>
      <w:r w:rsidRPr="00324654">
        <w:rPr>
          <w:rStyle w:val="FootnoteReference"/>
          <w:sz w:val="20"/>
        </w:rPr>
        <w:footnoteRef/>
      </w:r>
      <w:r w:rsidRPr="00324654">
        <w:t xml:space="preserve"> Those applicants with long</w:t>
      </w:r>
      <w:r>
        <w:t>-</w:t>
      </w:r>
      <w:r w:rsidRPr="00324654">
        <w:t>form</w:t>
      </w:r>
      <w:r>
        <w:t xml:space="preserve"> Applications</w:t>
      </w:r>
      <w:r w:rsidRPr="00324654">
        <w:t xml:space="preserve"> pending may use either the short</w:t>
      </w:r>
      <w:r>
        <w:t>-</w:t>
      </w:r>
      <w:r w:rsidRPr="00324654">
        <w:t>form or long</w:t>
      </w:r>
      <w:r>
        <w:t>-</w:t>
      </w:r>
      <w:r w:rsidRPr="00324654">
        <w:t>form facilities to demonstrate compliance with these conditions.</w:t>
      </w:r>
    </w:p>
  </w:footnote>
  <w:footnote w:id="7">
    <w:p w:rsidR="00151D61" w:rsidRPr="00324654" w:rsidRDefault="00151D61" w:rsidP="00F17606">
      <w:pPr>
        <w:pStyle w:val="FootnoteText"/>
        <w:spacing w:after="120"/>
      </w:pPr>
      <w:r w:rsidRPr="00324654">
        <w:rPr>
          <w:rStyle w:val="FootnoteReference"/>
          <w:sz w:val="20"/>
        </w:rPr>
        <w:footnoteRef/>
      </w:r>
      <w:r w:rsidRPr="00324654">
        <w:t xml:space="preserve"> </w:t>
      </w:r>
      <w:r w:rsidRPr="008547C2">
        <w:rPr>
          <w:i/>
        </w:rPr>
        <w:t>See also</w:t>
      </w:r>
      <w:r>
        <w:t xml:space="preserve"> n. 10 below (contour overlap analysis does not apply across radio markets).  </w:t>
      </w:r>
      <w:r w:rsidRPr="00324654">
        <w:t xml:space="preserve">When there is a minor variation in an applicant name but it is clear that the applicant is the same person or entity, this condition applies to all the Applications and </w:t>
      </w:r>
      <w:r>
        <w:t xml:space="preserve">FM translator </w:t>
      </w:r>
      <w:r w:rsidRPr="00324654">
        <w:t xml:space="preserve">authorizations of that person or entity, regardless of the name variation.  </w:t>
      </w:r>
      <w:r w:rsidRPr="00324654">
        <w:rPr>
          <w:i/>
        </w:rPr>
        <w:t>See Fifth Order</w:t>
      </w:r>
      <w:r w:rsidRPr="00324654">
        <w:t xml:space="preserve"> at p. 20 n. 113.  However, this condition otherwise does not apply to applicant entities under common control or connected by attributable interests.  </w:t>
      </w:r>
      <w:r w:rsidRPr="00324654">
        <w:rPr>
          <w:i/>
        </w:rPr>
        <w:t>Id.</w:t>
      </w:r>
      <w:r w:rsidRPr="00324654">
        <w:t xml:space="preserve"> at p. 20 ¶ 58.  This practice will also be applied to the Appendix A Market </w:t>
      </w:r>
      <w:r>
        <w:t>C</w:t>
      </w:r>
      <w:r w:rsidRPr="00324654">
        <w:t>aps.</w:t>
      </w:r>
    </w:p>
  </w:footnote>
  <w:footnote w:id="8">
    <w:p w:rsidR="00151D61" w:rsidRPr="00324654" w:rsidRDefault="00151D61" w:rsidP="00F17606">
      <w:pPr>
        <w:pStyle w:val="FootnoteText"/>
        <w:spacing w:after="120"/>
      </w:pPr>
      <w:r w:rsidRPr="00324654">
        <w:rPr>
          <w:rStyle w:val="FootnoteReference"/>
          <w:sz w:val="20"/>
        </w:rPr>
        <w:footnoteRef/>
      </w:r>
      <w:r w:rsidRPr="00324654">
        <w:t xml:space="preserve"> </w:t>
      </w:r>
      <w:r w:rsidRPr="00B94A46">
        <w:rPr>
          <w:i/>
        </w:rPr>
        <w:t>See</w:t>
      </w:r>
      <w:r>
        <w:t xml:space="preserve"> the attached Appendix explaining preclusion studies.</w:t>
      </w:r>
    </w:p>
  </w:footnote>
  <w:footnote w:id="9">
    <w:p w:rsidR="00151D61" w:rsidRPr="00324654" w:rsidRDefault="00151D61" w:rsidP="00F17606">
      <w:pPr>
        <w:pStyle w:val="FootnoteText"/>
        <w:spacing w:after="120"/>
      </w:pPr>
      <w:r w:rsidRPr="00324654">
        <w:rPr>
          <w:rStyle w:val="FootnoteReference"/>
          <w:sz w:val="20"/>
        </w:rPr>
        <w:footnoteRef/>
      </w:r>
      <w:r w:rsidRPr="00324654">
        <w:t xml:space="preserve">  </w:t>
      </w:r>
      <w:r w:rsidRPr="00324654">
        <w:rPr>
          <w:i/>
        </w:rPr>
        <w:t>See Fifth Order</w:t>
      </w:r>
      <w:r w:rsidRPr="00324654">
        <w:t xml:space="preserve"> at p. 18 ¶ 54.  Any applicant that cannot or elects not to comply with the Local Cap Conditions for any Appendix A Market may prosecute a single Application in such a market without complying with those conditions.  </w:t>
      </w:r>
      <w:r w:rsidRPr="00324654">
        <w:rPr>
          <w:i/>
        </w:rPr>
        <w:t>Id.</w:t>
      </w:r>
      <w:r w:rsidRPr="00324654">
        <w:t xml:space="preserve"> at p. 21 ¶ 61.</w:t>
      </w:r>
    </w:p>
  </w:footnote>
  <w:footnote w:id="10">
    <w:p w:rsidR="00151D61" w:rsidRPr="00324654" w:rsidRDefault="00151D61" w:rsidP="00F17606">
      <w:pPr>
        <w:pStyle w:val="FootnoteText"/>
        <w:spacing w:after="120"/>
      </w:pPr>
      <w:r w:rsidRPr="00324654">
        <w:rPr>
          <w:rStyle w:val="FootnoteReference"/>
          <w:sz w:val="20"/>
        </w:rPr>
        <w:footnoteRef/>
      </w:r>
      <w:r w:rsidRPr="00324654">
        <w:t xml:space="preserve"> This contour overlap analysis does not apply from one market to another.  Therefore, applicants are free to pursue two or more </w:t>
      </w:r>
      <w:r>
        <w:t>A</w:t>
      </w:r>
      <w:r w:rsidRPr="00324654">
        <w:t xml:space="preserve">pplications with contour overlap, </w:t>
      </w:r>
      <w:r>
        <w:t>provided that</w:t>
      </w:r>
      <w:r w:rsidRPr="00324654">
        <w:t xml:space="preserve"> their transmitter sites are in different Appendix A </w:t>
      </w:r>
      <w:r>
        <w:t>M</w:t>
      </w:r>
      <w:r w:rsidRPr="00324654">
        <w:t xml:space="preserve">arkets, or one is in an Appendix A </w:t>
      </w:r>
      <w:r>
        <w:t>M</w:t>
      </w:r>
      <w:r w:rsidRPr="00324654">
        <w:t xml:space="preserve">arket and one is not.  </w:t>
      </w:r>
      <w:r w:rsidRPr="00324654">
        <w:rPr>
          <w:i/>
        </w:rPr>
        <w:t>See Fifth Order</w:t>
      </w:r>
      <w:r w:rsidRPr="00324654">
        <w:t xml:space="preserve"> at p. 20 n. 112.</w:t>
      </w:r>
    </w:p>
  </w:footnote>
  <w:footnote w:id="11">
    <w:p w:rsidR="00151D61" w:rsidRPr="00324654" w:rsidRDefault="00151D61" w:rsidP="00F17606">
      <w:pPr>
        <w:pStyle w:val="FootnoteText"/>
        <w:spacing w:after="120"/>
      </w:pPr>
      <w:r w:rsidRPr="00324654">
        <w:rPr>
          <w:rStyle w:val="FootnoteReference"/>
          <w:sz w:val="20"/>
        </w:rPr>
        <w:footnoteRef/>
      </w:r>
      <w:r w:rsidRPr="00324654">
        <w:t xml:space="preserve"> </w:t>
      </w:r>
      <w:r w:rsidRPr="00324654">
        <w:rPr>
          <w:i/>
        </w:rPr>
        <w:t>Fourth Report and Order</w:t>
      </w:r>
      <w:r w:rsidRPr="00324654">
        <w:t>, 27 FCC Rcd at 3376-88 ¶¶ 28-49.</w:t>
      </w:r>
    </w:p>
  </w:footnote>
  <w:footnote w:id="12">
    <w:p w:rsidR="00151D61" w:rsidRDefault="00151D61" w:rsidP="00F17606">
      <w:pPr>
        <w:pStyle w:val="FootnoteText"/>
        <w:spacing w:after="120"/>
      </w:pPr>
      <w:r>
        <w:rPr>
          <w:rStyle w:val="FootnoteReference"/>
        </w:rPr>
        <w:footnoteRef/>
      </w:r>
      <w:r>
        <w:t xml:space="preserve"> </w:t>
      </w:r>
      <w:r w:rsidRPr="00B94A46">
        <w:rPr>
          <w:i/>
        </w:rPr>
        <w:t>See</w:t>
      </w:r>
      <w:r>
        <w:t xml:space="preserve"> the attached Appendix explaining preclusion studies.</w:t>
      </w:r>
    </w:p>
  </w:footnote>
  <w:footnote w:id="13">
    <w:p w:rsidR="00151D61" w:rsidRPr="00324654" w:rsidRDefault="00151D61" w:rsidP="00F17606">
      <w:pPr>
        <w:spacing w:after="120"/>
        <w:rPr>
          <w:sz w:val="20"/>
        </w:rPr>
      </w:pPr>
      <w:r w:rsidRPr="00324654">
        <w:rPr>
          <w:rStyle w:val="FootnoteReference"/>
          <w:sz w:val="20"/>
        </w:rPr>
        <w:footnoteRef/>
      </w:r>
      <w:r w:rsidRPr="00324654">
        <w:rPr>
          <w:sz w:val="20"/>
        </w:rPr>
        <w:t xml:space="preserve"> In the event </w:t>
      </w:r>
      <w:r>
        <w:rPr>
          <w:sz w:val="20"/>
        </w:rPr>
        <w:t>an applicant includes both “prosecute” and “dismiss” Applications in its Selection List,  and there is</w:t>
      </w:r>
      <w:r w:rsidRPr="00324654">
        <w:rPr>
          <w:sz w:val="20"/>
        </w:rPr>
        <w:t xml:space="preserve"> a conflict between an applicant’s two lists, </w:t>
      </w:r>
      <w:r>
        <w:rPr>
          <w:sz w:val="20"/>
        </w:rPr>
        <w:t>the Bureau</w:t>
      </w:r>
      <w:r w:rsidRPr="00324654">
        <w:rPr>
          <w:sz w:val="20"/>
        </w:rPr>
        <w:t xml:space="preserve"> will (1) act first on the </w:t>
      </w:r>
      <w:r>
        <w:rPr>
          <w:sz w:val="20"/>
        </w:rPr>
        <w:t>“</w:t>
      </w:r>
      <w:r w:rsidRPr="00324654">
        <w:rPr>
          <w:sz w:val="20"/>
        </w:rPr>
        <w:t>dismissal</w:t>
      </w:r>
      <w:r>
        <w:rPr>
          <w:sz w:val="20"/>
        </w:rPr>
        <w:t>”</w:t>
      </w:r>
      <w:r w:rsidRPr="00324654">
        <w:rPr>
          <w:sz w:val="20"/>
        </w:rPr>
        <w:t xml:space="preserve"> list, and (2) retain those </w:t>
      </w:r>
      <w:r>
        <w:rPr>
          <w:sz w:val="20"/>
        </w:rPr>
        <w:t>A</w:t>
      </w:r>
      <w:r w:rsidRPr="00324654">
        <w:rPr>
          <w:sz w:val="20"/>
        </w:rPr>
        <w:t xml:space="preserve">pplications identified on the “prosecute” list.  If doing so </w:t>
      </w:r>
      <w:r>
        <w:rPr>
          <w:sz w:val="20"/>
        </w:rPr>
        <w:t xml:space="preserve">results in an applicant’s noncompliance </w:t>
      </w:r>
      <w:r w:rsidRPr="00324654">
        <w:rPr>
          <w:sz w:val="20"/>
        </w:rPr>
        <w:t xml:space="preserve">with the </w:t>
      </w:r>
      <w:r>
        <w:rPr>
          <w:sz w:val="20"/>
        </w:rPr>
        <w:t>N</w:t>
      </w:r>
      <w:r w:rsidRPr="00324654">
        <w:rPr>
          <w:sz w:val="20"/>
        </w:rPr>
        <w:t>ational</w:t>
      </w:r>
      <w:r>
        <w:rPr>
          <w:sz w:val="20"/>
        </w:rPr>
        <w:t xml:space="preserve"> Cap and/or</w:t>
      </w:r>
      <w:r w:rsidRPr="00324654">
        <w:rPr>
          <w:sz w:val="20"/>
        </w:rPr>
        <w:t xml:space="preserve"> Appendix A Market </w:t>
      </w:r>
      <w:r>
        <w:rPr>
          <w:sz w:val="20"/>
        </w:rPr>
        <w:t>C</w:t>
      </w:r>
      <w:r w:rsidRPr="00324654">
        <w:rPr>
          <w:sz w:val="20"/>
        </w:rPr>
        <w:t>ap</w:t>
      </w:r>
      <w:r>
        <w:rPr>
          <w:sz w:val="20"/>
        </w:rPr>
        <w:t>(s)</w:t>
      </w:r>
      <w:r w:rsidRPr="00324654">
        <w:rPr>
          <w:sz w:val="20"/>
        </w:rPr>
        <w:t xml:space="preserve">, we will dismiss Applications </w:t>
      </w:r>
      <w:r>
        <w:rPr>
          <w:sz w:val="20"/>
        </w:rPr>
        <w:t xml:space="preserve">in accordance with the procedures set forth in </w:t>
      </w:r>
      <w:r w:rsidRPr="00324654">
        <w:rPr>
          <w:sz w:val="20"/>
        </w:rPr>
        <w:t xml:space="preserve">this Public Notice.   </w:t>
      </w:r>
    </w:p>
  </w:footnote>
  <w:footnote w:id="14">
    <w:p w:rsidR="00151D61" w:rsidRPr="00324654" w:rsidRDefault="00151D61" w:rsidP="00F17606">
      <w:pPr>
        <w:pStyle w:val="FootnoteText"/>
        <w:spacing w:after="120"/>
      </w:pPr>
      <w:r w:rsidRPr="00324654">
        <w:rPr>
          <w:rStyle w:val="FootnoteReference"/>
          <w:sz w:val="20"/>
        </w:rPr>
        <w:footnoteRef/>
      </w:r>
      <w:r w:rsidRPr="00324654">
        <w:t xml:space="preserve"> Examples of deficient showings by applicants subject to the National Cap and/or the Appendix A Market Caps appear in the </w:t>
      </w:r>
      <w:r w:rsidRPr="00324654">
        <w:rPr>
          <w:i/>
        </w:rPr>
        <w:t>Fifth Order</w:t>
      </w:r>
      <w:r w:rsidRPr="00324654">
        <w:t xml:space="preserve"> at p. 18 n. 106.  We strongly recommend that applicants that need any guidance about these showings seek it, well before the Caps Deadline, from one of the Media Bureau representatives listed below.</w:t>
      </w:r>
    </w:p>
  </w:footnote>
  <w:footnote w:id="15">
    <w:p w:rsidR="00151D61" w:rsidRPr="00324654" w:rsidRDefault="00151D61" w:rsidP="00F17606">
      <w:pPr>
        <w:pStyle w:val="FootnoteText"/>
        <w:spacing w:after="120"/>
      </w:pPr>
      <w:r w:rsidRPr="00324654">
        <w:rPr>
          <w:rStyle w:val="FootnoteReference"/>
          <w:sz w:val="20"/>
        </w:rPr>
        <w:footnoteRef/>
      </w:r>
      <w:r w:rsidRPr="00324654">
        <w:t xml:space="preserve"> </w:t>
      </w:r>
      <w:r w:rsidRPr="00324654">
        <w:rPr>
          <w:i/>
        </w:rPr>
        <w:t>See Fourth Report and Order</w:t>
      </w:r>
      <w:r w:rsidRPr="00324654">
        <w:t>, 27 FCC Rcd at 3386 ¶ 47 (citing 47 C.F.R. § 1.2105(c).</w:t>
      </w:r>
    </w:p>
  </w:footnote>
  <w:footnote w:id="16">
    <w:p w:rsidR="00151D61" w:rsidRPr="00324654" w:rsidRDefault="00151D61" w:rsidP="00F17606">
      <w:pPr>
        <w:pStyle w:val="FootnoteText"/>
        <w:spacing w:after="120"/>
      </w:pPr>
      <w:r w:rsidRPr="00324654">
        <w:rPr>
          <w:rStyle w:val="FootnoteReference"/>
          <w:sz w:val="20"/>
        </w:rPr>
        <w:footnoteRef/>
      </w:r>
      <w:r w:rsidRPr="00324654">
        <w:t xml:space="preserve"> We also note that </w:t>
      </w:r>
      <w:r>
        <w:t>parties with</w:t>
      </w:r>
      <w:r w:rsidRPr="00324654">
        <w:t xml:space="preserve"> </w:t>
      </w:r>
      <w:r>
        <w:t>A</w:t>
      </w:r>
      <w:r w:rsidRPr="00324654">
        <w:t xml:space="preserve">pplications within 39 </w:t>
      </w:r>
      <w:r>
        <w:t>kilometers</w:t>
      </w:r>
      <w:r w:rsidRPr="00324654">
        <w:t xml:space="preserve"> of a grid centered in a </w:t>
      </w:r>
      <w:r>
        <w:t xml:space="preserve">market listed in Appendix A or B to the </w:t>
      </w:r>
      <w:r w:rsidRPr="00613BD3">
        <w:rPr>
          <w:i/>
        </w:rPr>
        <w:t>Fourth Report and Order</w:t>
      </w:r>
      <w:r>
        <w:t xml:space="preserve"> as a </w:t>
      </w:r>
      <w:r w:rsidRPr="00324654">
        <w:t xml:space="preserve">Spectrum Limited market </w:t>
      </w:r>
      <w:r>
        <w:t xml:space="preserve">and parties proposing technical amendments to certain Applications in Spectrum Available markets </w:t>
      </w:r>
      <w:r w:rsidRPr="00324654">
        <w:t xml:space="preserve">will also be required to submit a non-preclusion showing at a future date, as </w:t>
      </w:r>
      <w:r>
        <w:t>described</w:t>
      </w:r>
      <w:r w:rsidRPr="00324654">
        <w:t xml:space="preserve"> in the </w:t>
      </w:r>
      <w:r w:rsidRPr="00324654">
        <w:rPr>
          <w:i/>
        </w:rPr>
        <w:t>Fourth Report and Order</w:t>
      </w:r>
      <w:r w:rsidRPr="00324654">
        <w:t>, 27 FCC Rcd at 338</w:t>
      </w:r>
      <w:r>
        <w:t>5-88 ¶¶ 45-49</w:t>
      </w:r>
      <w:r w:rsidRPr="00324654">
        <w:t xml:space="preserve">.  Applicants are cautioned to consider this future filing requirement </w:t>
      </w:r>
      <w:r>
        <w:t>before submitting their Selection List</w:t>
      </w:r>
      <w:r w:rsidRPr="00324654">
        <w:t>.</w:t>
      </w:r>
    </w:p>
  </w:footnote>
  <w:footnote w:id="17">
    <w:p w:rsidR="00151D61" w:rsidRPr="00324654" w:rsidRDefault="00151D61" w:rsidP="00F17606">
      <w:pPr>
        <w:pStyle w:val="FootnoteText"/>
        <w:spacing w:after="120"/>
      </w:pPr>
      <w:r w:rsidRPr="00324654">
        <w:rPr>
          <w:rStyle w:val="FootnoteReference"/>
          <w:sz w:val="20"/>
        </w:rPr>
        <w:footnoteRef/>
      </w:r>
      <w:r w:rsidRPr="00324654">
        <w:t xml:space="preserve"> Compliance with the Caps Deadline will be assessed based on when </w:t>
      </w:r>
      <w:r>
        <w:t>a filing is</w:t>
      </w:r>
      <w:r w:rsidRPr="00324654">
        <w:t xml:space="preserve"> received by the Commission, not by when </w:t>
      </w:r>
      <w:r>
        <w:t>it is</w:t>
      </w:r>
      <w:r w:rsidRPr="00324654">
        <w:t xml:space="preserve"> sent.  </w:t>
      </w:r>
      <w:r w:rsidRPr="00324654">
        <w:rPr>
          <w:i/>
        </w:rPr>
        <w:t>See</w:t>
      </w:r>
      <w:r w:rsidRPr="00324654">
        <w:t xml:space="preserve"> 47 C.F.R. § 1.7.</w:t>
      </w:r>
    </w:p>
  </w:footnote>
  <w:footnote w:id="18">
    <w:p w:rsidR="00151D61" w:rsidRPr="004F2F54" w:rsidRDefault="00151D61" w:rsidP="00540A32">
      <w:pPr>
        <w:pStyle w:val="FootnoteText"/>
      </w:pPr>
      <w:r w:rsidRPr="004F2F54">
        <w:rPr>
          <w:rStyle w:val="FootnoteReference"/>
        </w:rPr>
        <w:footnoteRef/>
      </w:r>
      <w:r w:rsidRPr="004F2F54">
        <w:t xml:space="preserve"> Public Notice, “Media Bureau Releases Updated Low Power FM Spectrum Availability Data Files,” DA 12-1987 (rel. </w:t>
      </w:r>
      <w:smartTag w:uri="urn:schemas-microsoft-com:office:smarttags" w:element="date">
        <w:smartTagPr>
          <w:attr w:name="ls" w:val="trans"/>
          <w:attr w:name="Month" w:val="12"/>
          <w:attr w:name="Day" w:val="10"/>
          <w:attr w:name="Year" w:val="2012"/>
        </w:smartTagPr>
        <w:r w:rsidRPr="004F2F54">
          <w:t>Dec. 10, 2012</w:t>
        </w:r>
      </w:smartTag>
      <w:r w:rsidRPr="004F2F54">
        <w:t>) (</w:t>
      </w:r>
      <w:hyperlink r:id="rId1" w:history="1">
        <w:r w:rsidRPr="004F2F54">
          <w:rPr>
            <w:rStyle w:val="Hyperlink"/>
          </w:rPr>
          <w:t>http://hraunfoss.fcc.gov/edocs_public/attachmatch/DA-12-1987A1.docx</w:t>
        </w:r>
      </w:hyperlink>
      <w:r w:rsidRPr="004F2F54">
        <w:t>).</w:t>
      </w:r>
    </w:p>
  </w:footnote>
  <w:footnote w:id="19">
    <w:p w:rsidR="00151D61" w:rsidRDefault="00151D61" w:rsidP="00540A32">
      <w:pPr>
        <w:pStyle w:val="FootnoteText"/>
      </w:pPr>
      <w:r>
        <w:rPr>
          <w:rStyle w:val="FootnoteReference"/>
        </w:rPr>
        <w:footnoteRef/>
      </w:r>
      <w:r>
        <w:t xml:space="preserve"> </w:t>
      </w:r>
      <w:r>
        <w:rPr>
          <w:i/>
        </w:rPr>
        <w:t>Fourth Report and Order</w:t>
      </w:r>
      <w:r>
        <w:t>, 27 FCC Rcd at 3398-3406.</w:t>
      </w:r>
      <w:r w:rsidRPr="004F2F54">
        <w:t xml:space="preserve">  No “grid</w:t>
      </w:r>
      <w:r>
        <w:t>”</w:t>
      </w:r>
      <w:r w:rsidRPr="004F2F54">
        <w:t xml:space="preserve"> test is required in Spectrum Available markets at this time because Spectrum Available market floors assume the pendency of all Applications.</w:t>
      </w:r>
    </w:p>
  </w:footnote>
  <w:footnote w:id="20">
    <w:p w:rsidR="00151D61" w:rsidRPr="004F2F54" w:rsidRDefault="00151D61" w:rsidP="00540A32">
      <w:pPr>
        <w:pStyle w:val="FootnoteText"/>
      </w:pPr>
      <w:r w:rsidRPr="004F2F54">
        <w:rPr>
          <w:rStyle w:val="FootnoteReference"/>
        </w:rPr>
        <w:footnoteRef/>
      </w:r>
      <w:r w:rsidRPr="004F2F54">
        <w:t xml:space="preserve"> </w:t>
      </w:r>
      <w:r w:rsidRPr="004F2F54">
        <w:rPr>
          <w:i/>
        </w:rPr>
        <w:t>See Fifth Order</w:t>
      </w:r>
      <w:r w:rsidRPr="004F2F54">
        <w:t xml:space="preserve"> at p. 15 n. 84.</w:t>
      </w:r>
    </w:p>
  </w:footnote>
  <w:footnote w:id="21">
    <w:p w:rsidR="00151D61" w:rsidRDefault="00151D61" w:rsidP="00540A32">
      <w:pPr>
        <w:pStyle w:val="FootnoteText"/>
      </w:pPr>
      <w:r>
        <w:rPr>
          <w:rStyle w:val="FootnoteReference"/>
        </w:rPr>
        <w:footnoteRef/>
      </w:r>
      <w:r>
        <w:t xml:space="preserve"> Thirty-nine kilometers is the largest LPFM to FM translator required spacing specified in 47 C.F.R. § 73.807(d)(1).  Thus, in a Spectrum Limited market, an Application that is outside the grid by 39 kilometers or less is subject to both the “grid” test and the transmitter site test.</w:t>
      </w:r>
    </w:p>
  </w:footnote>
  <w:footnote w:id="22">
    <w:p w:rsidR="00151D61" w:rsidRPr="004F2F54" w:rsidRDefault="00151D61" w:rsidP="00540A32">
      <w:pPr>
        <w:pStyle w:val="FootnoteText"/>
      </w:pPr>
      <w:r w:rsidRPr="004F2F54">
        <w:rPr>
          <w:rStyle w:val="FootnoteReference"/>
        </w:rPr>
        <w:footnoteRef/>
      </w:r>
      <w:r w:rsidRPr="004F2F54">
        <w:t xml:space="preserve"> </w:t>
      </w:r>
      <w:r>
        <w:rPr>
          <w:i/>
        </w:rPr>
        <w:t>Fourth Report and Order</w:t>
      </w:r>
      <w:r>
        <w:t>, 27 FCC Rcd</w:t>
      </w:r>
      <w:r w:rsidRPr="004F2F54">
        <w:t xml:space="preserve"> at 3387-88</w:t>
      </w:r>
      <w:r>
        <w:t xml:space="preserve"> (explaining the exclusion of pending Auction 83 Applications from this type of preclusion study)</w:t>
      </w:r>
      <w:r w:rsidRPr="004F2F54">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8A" w:rsidRDefault="00CD0D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8A" w:rsidRDefault="00CD0D8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D8A" w:rsidRDefault="00CD0D8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DA2"/>
    <w:multiLevelType w:val="hybridMultilevel"/>
    <w:tmpl w:val="4CB09436"/>
    <w:lvl w:ilvl="0" w:tplc="BDAAD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5856C24"/>
    <w:multiLevelType w:val="hybridMultilevel"/>
    <w:tmpl w:val="C1AA146C"/>
    <w:lvl w:ilvl="0" w:tplc="04090001">
      <w:start w:val="1"/>
      <w:numFmt w:val="bullet"/>
      <w:lvlText w:val=""/>
      <w:lvlJc w:val="left"/>
      <w:pPr>
        <w:ind w:left="1548" w:hanging="360"/>
      </w:pPr>
      <w:rPr>
        <w:rFonts w:ascii="Symbol" w:hAnsi="Symbol" w:hint="default"/>
      </w:rPr>
    </w:lvl>
    <w:lvl w:ilvl="1" w:tplc="04090003" w:tentative="1">
      <w:start w:val="1"/>
      <w:numFmt w:val="bullet"/>
      <w:lvlText w:val="o"/>
      <w:lvlJc w:val="left"/>
      <w:pPr>
        <w:ind w:left="2268" w:hanging="360"/>
      </w:pPr>
      <w:rPr>
        <w:rFonts w:ascii="Courier New" w:hAnsi="Courier New" w:cs="Courier New" w:hint="default"/>
      </w:rPr>
    </w:lvl>
    <w:lvl w:ilvl="2" w:tplc="04090005" w:tentative="1">
      <w:start w:val="1"/>
      <w:numFmt w:val="bullet"/>
      <w:lvlText w:val=""/>
      <w:lvlJc w:val="left"/>
      <w:pPr>
        <w:ind w:left="2988" w:hanging="360"/>
      </w:pPr>
      <w:rPr>
        <w:rFonts w:ascii="Wingdings" w:hAnsi="Wingdings" w:hint="default"/>
      </w:rPr>
    </w:lvl>
    <w:lvl w:ilvl="3" w:tplc="04090001" w:tentative="1">
      <w:start w:val="1"/>
      <w:numFmt w:val="bullet"/>
      <w:lvlText w:val=""/>
      <w:lvlJc w:val="left"/>
      <w:pPr>
        <w:ind w:left="3708" w:hanging="360"/>
      </w:pPr>
      <w:rPr>
        <w:rFonts w:ascii="Symbol" w:hAnsi="Symbol" w:hint="default"/>
      </w:rPr>
    </w:lvl>
    <w:lvl w:ilvl="4" w:tplc="04090003" w:tentative="1">
      <w:start w:val="1"/>
      <w:numFmt w:val="bullet"/>
      <w:lvlText w:val="o"/>
      <w:lvlJc w:val="left"/>
      <w:pPr>
        <w:ind w:left="4428" w:hanging="360"/>
      </w:pPr>
      <w:rPr>
        <w:rFonts w:ascii="Courier New" w:hAnsi="Courier New" w:cs="Courier New" w:hint="default"/>
      </w:rPr>
    </w:lvl>
    <w:lvl w:ilvl="5" w:tplc="04090005" w:tentative="1">
      <w:start w:val="1"/>
      <w:numFmt w:val="bullet"/>
      <w:lvlText w:val=""/>
      <w:lvlJc w:val="left"/>
      <w:pPr>
        <w:ind w:left="5148" w:hanging="360"/>
      </w:pPr>
      <w:rPr>
        <w:rFonts w:ascii="Wingdings" w:hAnsi="Wingdings" w:hint="default"/>
      </w:rPr>
    </w:lvl>
    <w:lvl w:ilvl="6" w:tplc="04090001" w:tentative="1">
      <w:start w:val="1"/>
      <w:numFmt w:val="bullet"/>
      <w:lvlText w:val=""/>
      <w:lvlJc w:val="left"/>
      <w:pPr>
        <w:ind w:left="5868" w:hanging="360"/>
      </w:pPr>
      <w:rPr>
        <w:rFonts w:ascii="Symbol" w:hAnsi="Symbol" w:hint="default"/>
      </w:rPr>
    </w:lvl>
    <w:lvl w:ilvl="7" w:tplc="04090003" w:tentative="1">
      <w:start w:val="1"/>
      <w:numFmt w:val="bullet"/>
      <w:lvlText w:val="o"/>
      <w:lvlJc w:val="left"/>
      <w:pPr>
        <w:ind w:left="6588" w:hanging="360"/>
      </w:pPr>
      <w:rPr>
        <w:rFonts w:ascii="Courier New" w:hAnsi="Courier New" w:cs="Courier New" w:hint="default"/>
      </w:rPr>
    </w:lvl>
    <w:lvl w:ilvl="8" w:tplc="04090005" w:tentative="1">
      <w:start w:val="1"/>
      <w:numFmt w:val="bullet"/>
      <w:lvlText w:val=""/>
      <w:lvlJc w:val="left"/>
      <w:pPr>
        <w:ind w:left="7308" w:hanging="360"/>
      </w:pPr>
      <w:rPr>
        <w:rFonts w:ascii="Wingdings" w:hAnsi="Wingdings" w:hint="default"/>
      </w:rPr>
    </w:lvl>
  </w:abstractNum>
  <w:abstractNum w:abstractNumId="2">
    <w:nsid w:val="0715698C"/>
    <w:multiLevelType w:val="hybridMultilevel"/>
    <w:tmpl w:val="D76AB692"/>
    <w:lvl w:ilvl="0" w:tplc="04090001">
      <w:start w:val="1"/>
      <w:numFmt w:val="bullet"/>
      <w:lvlText w:val=""/>
      <w:lvlJc w:val="left"/>
      <w:pPr>
        <w:tabs>
          <w:tab w:val="num" w:pos="1500"/>
        </w:tabs>
        <w:ind w:left="150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
    <w:nsid w:val="508B35DC"/>
    <w:multiLevelType w:val="hybridMultilevel"/>
    <w:tmpl w:val="2FB6A5CC"/>
    <w:lvl w:ilvl="0" w:tplc="F446E04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odso/>
  </w:mailMerge>
  <w:doNotTrackFormatting/>
  <w:defaultTabStop w:val="720"/>
  <w:displayHorizontalDrawingGridEvery w:val="0"/>
  <w:displayVerticalDrawingGridEvery w:val="0"/>
  <w:doNotUseMarginsForDrawingGridOrigin/>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006"/>
    <w:rsid w:val="00000794"/>
    <w:rsid w:val="00006F1A"/>
    <w:rsid w:val="00011D00"/>
    <w:rsid w:val="00012C6F"/>
    <w:rsid w:val="0003046B"/>
    <w:rsid w:val="000322F0"/>
    <w:rsid w:val="000360FF"/>
    <w:rsid w:val="00060622"/>
    <w:rsid w:val="0006354D"/>
    <w:rsid w:val="00063ED7"/>
    <w:rsid w:val="000741D3"/>
    <w:rsid w:val="0007766B"/>
    <w:rsid w:val="00077A5E"/>
    <w:rsid w:val="00084997"/>
    <w:rsid w:val="00086527"/>
    <w:rsid w:val="000A62C0"/>
    <w:rsid w:val="000B0BB1"/>
    <w:rsid w:val="000C17BE"/>
    <w:rsid w:val="000D43CB"/>
    <w:rsid w:val="000D5A99"/>
    <w:rsid w:val="000E595C"/>
    <w:rsid w:val="00104D84"/>
    <w:rsid w:val="00113B19"/>
    <w:rsid w:val="00113B40"/>
    <w:rsid w:val="001425CC"/>
    <w:rsid w:val="00143D72"/>
    <w:rsid w:val="00150105"/>
    <w:rsid w:val="00151D61"/>
    <w:rsid w:val="00162395"/>
    <w:rsid w:val="0017413A"/>
    <w:rsid w:val="00182AF7"/>
    <w:rsid w:val="0018376D"/>
    <w:rsid w:val="00187ACB"/>
    <w:rsid w:val="001A25C6"/>
    <w:rsid w:val="001A3978"/>
    <w:rsid w:val="001A3B62"/>
    <w:rsid w:val="001B103F"/>
    <w:rsid w:val="001B34E5"/>
    <w:rsid w:val="001C3756"/>
    <w:rsid w:val="001E5710"/>
    <w:rsid w:val="001F1286"/>
    <w:rsid w:val="001F552A"/>
    <w:rsid w:val="00201BD1"/>
    <w:rsid w:val="00213F3B"/>
    <w:rsid w:val="002151EC"/>
    <w:rsid w:val="002217AC"/>
    <w:rsid w:val="0023402A"/>
    <w:rsid w:val="00236FE3"/>
    <w:rsid w:val="0023703A"/>
    <w:rsid w:val="0024728E"/>
    <w:rsid w:val="002479F8"/>
    <w:rsid w:val="00252F92"/>
    <w:rsid w:val="00256702"/>
    <w:rsid w:val="00261501"/>
    <w:rsid w:val="00266BEA"/>
    <w:rsid w:val="00286D9F"/>
    <w:rsid w:val="00295CC8"/>
    <w:rsid w:val="002A0159"/>
    <w:rsid w:val="002B6FE8"/>
    <w:rsid w:val="002C7432"/>
    <w:rsid w:val="002F4BFD"/>
    <w:rsid w:val="0030506C"/>
    <w:rsid w:val="003057D0"/>
    <w:rsid w:val="0031757D"/>
    <w:rsid w:val="00324654"/>
    <w:rsid w:val="0032593B"/>
    <w:rsid w:val="00325FE8"/>
    <w:rsid w:val="0032725E"/>
    <w:rsid w:val="00331C29"/>
    <w:rsid w:val="00336554"/>
    <w:rsid w:val="003442CA"/>
    <w:rsid w:val="00356CF3"/>
    <w:rsid w:val="00376042"/>
    <w:rsid w:val="003954DA"/>
    <w:rsid w:val="00395C2E"/>
    <w:rsid w:val="003A6EBF"/>
    <w:rsid w:val="003B1E56"/>
    <w:rsid w:val="003B21FD"/>
    <w:rsid w:val="003B2734"/>
    <w:rsid w:val="003B47F2"/>
    <w:rsid w:val="003C2B77"/>
    <w:rsid w:val="003D550D"/>
    <w:rsid w:val="003E7FF0"/>
    <w:rsid w:val="003F56D0"/>
    <w:rsid w:val="004007AC"/>
    <w:rsid w:val="004135EA"/>
    <w:rsid w:val="004159EE"/>
    <w:rsid w:val="00455FB0"/>
    <w:rsid w:val="004624D9"/>
    <w:rsid w:val="0046375D"/>
    <w:rsid w:val="004657D9"/>
    <w:rsid w:val="00475E3D"/>
    <w:rsid w:val="00490081"/>
    <w:rsid w:val="00492AD9"/>
    <w:rsid w:val="004A0E9F"/>
    <w:rsid w:val="004C3D10"/>
    <w:rsid w:val="004C51BD"/>
    <w:rsid w:val="004C5EE7"/>
    <w:rsid w:val="004D23DF"/>
    <w:rsid w:val="004D334D"/>
    <w:rsid w:val="004D5068"/>
    <w:rsid w:val="004D5351"/>
    <w:rsid w:val="004E45DD"/>
    <w:rsid w:val="004F3D74"/>
    <w:rsid w:val="004F45E3"/>
    <w:rsid w:val="00502E7B"/>
    <w:rsid w:val="005149A0"/>
    <w:rsid w:val="00516085"/>
    <w:rsid w:val="00540A32"/>
    <w:rsid w:val="00546B24"/>
    <w:rsid w:val="00551485"/>
    <w:rsid w:val="005575CC"/>
    <w:rsid w:val="00564B5A"/>
    <w:rsid w:val="00572243"/>
    <w:rsid w:val="00580D4F"/>
    <w:rsid w:val="005829CE"/>
    <w:rsid w:val="00583A53"/>
    <w:rsid w:val="00597143"/>
    <w:rsid w:val="005C143F"/>
    <w:rsid w:val="005C152E"/>
    <w:rsid w:val="005C5206"/>
    <w:rsid w:val="005D5773"/>
    <w:rsid w:val="005E6D80"/>
    <w:rsid w:val="005F2600"/>
    <w:rsid w:val="005F68A0"/>
    <w:rsid w:val="0060164E"/>
    <w:rsid w:val="00604785"/>
    <w:rsid w:val="006067DD"/>
    <w:rsid w:val="00606FC2"/>
    <w:rsid w:val="00612C4E"/>
    <w:rsid w:val="00613BD3"/>
    <w:rsid w:val="00621414"/>
    <w:rsid w:val="00621C86"/>
    <w:rsid w:val="006332D3"/>
    <w:rsid w:val="0063582C"/>
    <w:rsid w:val="00640C0B"/>
    <w:rsid w:val="00645F3C"/>
    <w:rsid w:val="00656EEA"/>
    <w:rsid w:val="00660B2A"/>
    <w:rsid w:val="00663EC0"/>
    <w:rsid w:val="00670DE2"/>
    <w:rsid w:val="006729C1"/>
    <w:rsid w:val="006746D1"/>
    <w:rsid w:val="006746F4"/>
    <w:rsid w:val="00683987"/>
    <w:rsid w:val="00683FFD"/>
    <w:rsid w:val="006A3AB9"/>
    <w:rsid w:val="006B30E2"/>
    <w:rsid w:val="006C4901"/>
    <w:rsid w:val="006D4F82"/>
    <w:rsid w:val="006E0921"/>
    <w:rsid w:val="006E1437"/>
    <w:rsid w:val="006E3B6A"/>
    <w:rsid w:val="006F4E3E"/>
    <w:rsid w:val="00702376"/>
    <w:rsid w:val="00720885"/>
    <w:rsid w:val="007240DB"/>
    <w:rsid w:val="00730467"/>
    <w:rsid w:val="00734C10"/>
    <w:rsid w:val="00734D80"/>
    <w:rsid w:val="00735006"/>
    <w:rsid w:val="007350F9"/>
    <w:rsid w:val="00752B8B"/>
    <w:rsid w:val="00762F27"/>
    <w:rsid w:val="00766808"/>
    <w:rsid w:val="0076691E"/>
    <w:rsid w:val="00773437"/>
    <w:rsid w:val="007772F9"/>
    <w:rsid w:val="00783566"/>
    <w:rsid w:val="0079134A"/>
    <w:rsid w:val="007944CA"/>
    <w:rsid w:val="007950C8"/>
    <w:rsid w:val="007A0DCF"/>
    <w:rsid w:val="007A35AE"/>
    <w:rsid w:val="007A5CD7"/>
    <w:rsid w:val="007B30F9"/>
    <w:rsid w:val="007B5787"/>
    <w:rsid w:val="007C0540"/>
    <w:rsid w:val="007C222B"/>
    <w:rsid w:val="007C28F3"/>
    <w:rsid w:val="007C5A2A"/>
    <w:rsid w:val="007C64A1"/>
    <w:rsid w:val="007E5AAC"/>
    <w:rsid w:val="007E6572"/>
    <w:rsid w:val="007F4282"/>
    <w:rsid w:val="007F440D"/>
    <w:rsid w:val="00802573"/>
    <w:rsid w:val="00804A58"/>
    <w:rsid w:val="00832F48"/>
    <w:rsid w:val="00833688"/>
    <w:rsid w:val="008455AF"/>
    <w:rsid w:val="00851FC0"/>
    <w:rsid w:val="0085310E"/>
    <w:rsid w:val="00853552"/>
    <w:rsid w:val="008547C2"/>
    <w:rsid w:val="008649DF"/>
    <w:rsid w:val="008652F7"/>
    <w:rsid w:val="008734D1"/>
    <w:rsid w:val="00896C70"/>
    <w:rsid w:val="008A3A57"/>
    <w:rsid w:val="008C1CBC"/>
    <w:rsid w:val="008C6E03"/>
    <w:rsid w:val="008D59E8"/>
    <w:rsid w:val="008E704E"/>
    <w:rsid w:val="008F6B64"/>
    <w:rsid w:val="00903331"/>
    <w:rsid w:val="00903E7A"/>
    <w:rsid w:val="00907872"/>
    <w:rsid w:val="0091254C"/>
    <w:rsid w:val="00913213"/>
    <w:rsid w:val="009151C4"/>
    <w:rsid w:val="009228A7"/>
    <w:rsid w:val="009237FA"/>
    <w:rsid w:val="00940102"/>
    <w:rsid w:val="00940651"/>
    <w:rsid w:val="00947A4B"/>
    <w:rsid w:val="00953EAA"/>
    <w:rsid w:val="00961156"/>
    <w:rsid w:val="00967591"/>
    <w:rsid w:val="00970E53"/>
    <w:rsid w:val="00971FB9"/>
    <w:rsid w:val="00985D32"/>
    <w:rsid w:val="009926FF"/>
    <w:rsid w:val="009933DF"/>
    <w:rsid w:val="009A0A22"/>
    <w:rsid w:val="009A156D"/>
    <w:rsid w:val="009A4CEC"/>
    <w:rsid w:val="009C45E1"/>
    <w:rsid w:val="009C611F"/>
    <w:rsid w:val="009E7EAB"/>
    <w:rsid w:val="00A05FC6"/>
    <w:rsid w:val="00A11A42"/>
    <w:rsid w:val="00A2090A"/>
    <w:rsid w:val="00A20C83"/>
    <w:rsid w:val="00A22354"/>
    <w:rsid w:val="00A23D59"/>
    <w:rsid w:val="00A24536"/>
    <w:rsid w:val="00A35604"/>
    <w:rsid w:val="00A42E6E"/>
    <w:rsid w:val="00A44553"/>
    <w:rsid w:val="00A57A32"/>
    <w:rsid w:val="00A669E2"/>
    <w:rsid w:val="00A679BA"/>
    <w:rsid w:val="00A73DD2"/>
    <w:rsid w:val="00A76F39"/>
    <w:rsid w:val="00A82B9C"/>
    <w:rsid w:val="00A86FE6"/>
    <w:rsid w:val="00A91549"/>
    <w:rsid w:val="00A94B76"/>
    <w:rsid w:val="00A951C9"/>
    <w:rsid w:val="00A96F74"/>
    <w:rsid w:val="00AA1521"/>
    <w:rsid w:val="00AA39F8"/>
    <w:rsid w:val="00AB1096"/>
    <w:rsid w:val="00AC79F4"/>
    <w:rsid w:val="00AD2177"/>
    <w:rsid w:val="00AD34FC"/>
    <w:rsid w:val="00AD3FF3"/>
    <w:rsid w:val="00AD4E00"/>
    <w:rsid w:val="00AD5E39"/>
    <w:rsid w:val="00AD67FA"/>
    <w:rsid w:val="00AE0E79"/>
    <w:rsid w:val="00AE2A94"/>
    <w:rsid w:val="00AF1FA1"/>
    <w:rsid w:val="00B069C7"/>
    <w:rsid w:val="00B13D6B"/>
    <w:rsid w:val="00B14151"/>
    <w:rsid w:val="00B3469C"/>
    <w:rsid w:val="00B442F5"/>
    <w:rsid w:val="00B451E1"/>
    <w:rsid w:val="00B508EE"/>
    <w:rsid w:val="00B51AA9"/>
    <w:rsid w:val="00B52BD9"/>
    <w:rsid w:val="00B53BA0"/>
    <w:rsid w:val="00B6615E"/>
    <w:rsid w:val="00B831E4"/>
    <w:rsid w:val="00B87C78"/>
    <w:rsid w:val="00B90C4C"/>
    <w:rsid w:val="00B949A7"/>
    <w:rsid w:val="00B94A46"/>
    <w:rsid w:val="00B953CE"/>
    <w:rsid w:val="00BB03A1"/>
    <w:rsid w:val="00BB1945"/>
    <w:rsid w:val="00BB3AE4"/>
    <w:rsid w:val="00BB3B5B"/>
    <w:rsid w:val="00BB528B"/>
    <w:rsid w:val="00BB5CEF"/>
    <w:rsid w:val="00BC1A83"/>
    <w:rsid w:val="00BC1CFE"/>
    <w:rsid w:val="00BD4042"/>
    <w:rsid w:val="00BE0DC7"/>
    <w:rsid w:val="00BE29B9"/>
    <w:rsid w:val="00BF27C2"/>
    <w:rsid w:val="00BF58AB"/>
    <w:rsid w:val="00BF5A56"/>
    <w:rsid w:val="00C13711"/>
    <w:rsid w:val="00C13C64"/>
    <w:rsid w:val="00C219CA"/>
    <w:rsid w:val="00C3751C"/>
    <w:rsid w:val="00C44798"/>
    <w:rsid w:val="00C47649"/>
    <w:rsid w:val="00C47E33"/>
    <w:rsid w:val="00C506ED"/>
    <w:rsid w:val="00C53FB6"/>
    <w:rsid w:val="00C825BC"/>
    <w:rsid w:val="00C830FB"/>
    <w:rsid w:val="00CB51A7"/>
    <w:rsid w:val="00CC0F89"/>
    <w:rsid w:val="00CC2697"/>
    <w:rsid w:val="00CD0D8A"/>
    <w:rsid w:val="00CD1F4C"/>
    <w:rsid w:val="00CD3A92"/>
    <w:rsid w:val="00CD6949"/>
    <w:rsid w:val="00CF2CF4"/>
    <w:rsid w:val="00D053C3"/>
    <w:rsid w:val="00D10CE3"/>
    <w:rsid w:val="00D14152"/>
    <w:rsid w:val="00D16B38"/>
    <w:rsid w:val="00D2359B"/>
    <w:rsid w:val="00D26142"/>
    <w:rsid w:val="00D26451"/>
    <w:rsid w:val="00D30CE7"/>
    <w:rsid w:val="00D3238A"/>
    <w:rsid w:val="00D51090"/>
    <w:rsid w:val="00D555C7"/>
    <w:rsid w:val="00D6099B"/>
    <w:rsid w:val="00D714B4"/>
    <w:rsid w:val="00D7156B"/>
    <w:rsid w:val="00D72072"/>
    <w:rsid w:val="00D74F1A"/>
    <w:rsid w:val="00D77BB1"/>
    <w:rsid w:val="00D83928"/>
    <w:rsid w:val="00D85461"/>
    <w:rsid w:val="00D86EA4"/>
    <w:rsid w:val="00D95E48"/>
    <w:rsid w:val="00DA3C42"/>
    <w:rsid w:val="00DA58E0"/>
    <w:rsid w:val="00DB23F9"/>
    <w:rsid w:val="00DC0C55"/>
    <w:rsid w:val="00DC1371"/>
    <w:rsid w:val="00DC67E5"/>
    <w:rsid w:val="00DD5CD2"/>
    <w:rsid w:val="00E02B8E"/>
    <w:rsid w:val="00E038D4"/>
    <w:rsid w:val="00E03AB3"/>
    <w:rsid w:val="00E064A3"/>
    <w:rsid w:val="00E114CD"/>
    <w:rsid w:val="00E167C9"/>
    <w:rsid w:val="00E16D81"/>
    <w:rsid w:val="00E1747A"/>
    <w:rsid w:val="00E374D7"/>
    <w:rsid w:val="00E414A4"/>
    <w:rsid w:val="00E442FD"/>
    <w:rsid w:val="00E536C0"/>
    <w:rsid w:val="00E53E6B"/>
    <w:rsid w:val="00E56676"/>
    <w:rsid w:val="00E62D41"/>
    <w:rsid w:val="00E70925"/>
    <w:rsid w:val="00E90460"/>
    <w:rsid w:val="00E91D9A"/>
    <w:rsid w:val="00E95F68"/>
    <w:rsid w:val="00EA5A95"/>
    <w:rsid w:val="00EC0BDC"/>
    <w:rsid w:val="00EC59BF"/>
    <w:rsid w:val="00EC7C5C"/>
    <w:rsid w:val="00EE17B1"/>
    <w:rsid w:val="00EE4031"/>
    <w:rsid w:val="00EE628D"/>
    <w:rsid w:val="00EF6626"/>
    <w:rsid w:val="00F13271"/>
    <w:rsid w:val="00F17606"/>
    <w:rsid w:val="00F17900"/>
    <w:rsid w:val="00F31194"/>
    <w:rsid w:val="00F429C1"/>
    <w:rsid w:val="00F43513"/>
    <w:rsid w:val="00F51CC4"/>
    <w:rsid w:val="00F5722D"/>
    <w:rsid w:val="00F6185F"/>
    <w:rsid w:val="00F65FD4"/>
    <w:rsid w:val="00F71D2D"/>
    <w:rsid w:val="00F73DC8"/>
    <w:rsid w:val="00F855BE"/>
    <w:rsid w:val="00F9361C"/>
    <w:rsid w:val="00F9643C"/>
    <w:rsid w:val="00FA08E2"/>
    <w:rsid w:val="00FB6DF3"/>
    <w:rsid w:val="00FC067B"/>
    <w:rsid w:val="00FC0FCE"/>
    <w:rsid w:val="00FD72BA"/>
    <w:rsid w:val="00FE221D"/>
    <w:rsid w:val="00FF3CDB"/>
    <w:rsid w:val="00FF3DD7"/>
    <w:rsid w:val="00FF3EAA"/>
    <w:rsid w:val="00FF479B"/>
    <w:rsid w:val="00FF55E7"/>
    <w:rsid w:val="00FF7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tabs>
        <w:tab w:val="left" w:pos="-720"/>
      </w:tabs>
      <w:suppressAutoHyphens/>
      <w:spacing w:line="287" w:lineRule="auto"/>
      <w:outlineLvl w:val="0"/>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character" w:styleId="Hyperlink">
    <w:name w:val="Hyperlink"/>
    <w:rPr>
      <w:color w:val="0000FF"/>
      <w:u w:val="single"/>
    </w:rPr>
  </w:style>
  <w:style w:type="paragraph" w:styleId="BodyText">
    <w:name w:val="Body Text"/>
    <w:basedOn w:val="Normal"/>
    <w:pPr>
      <w:jc w:val="center"/>
    </w:pPr>
    <w:rPr>
      <w:sz w:val="24"/>
    </w:rPr>
  </w:style>
  <w:style w:type="paragraph" w:styleId="BalloonText">
    <w:name w:val="Balloon Text"/>
    <w:basedOn w:val="Normal"/>
    <w:semiHidden/>
    <w:rsid w:val="008F6B64"/>
    <w:rPr>
      <w:rFonts w:ascii="Tahoma" w:hAnsi="Tahoma" w:cs="Tahoma"/>
      <w:sz w:val="16"/>
      <w:szCs w:val="16"/>
    </w:rPr>
  </w:style>
  <w:style w:type="paragraph" w:styleId="Header">
    <w:name w:val="header"/>
    <w:basedOn w:val="Normal"/>
    <w:rsid w:val="004A0E9F"/>
    <w:pPr>
      <w:tabs>
        <w:tab w:val="center" w:pos="4320"/>
        <w:tab w:val="right" w:pos="8640"/>
      </w:tabs>
    </w:pPr>
  </w:style>
  <w:style w:type="paragraph" w:styleId="Footer">
    <w:name w:val="footer"/>
    <w:basedOn w:val="Normal"/>
    <w:link w:val="FooterChar"/>
    <w:uiPriority w:val="99"/>
    <w:rsid w:val="004A0E9F"/>
    <w:pPr>
      <w:tabs>
        <w:tab w:val="center" w:pos="4320"/>
        <w:tab w:val="right" w:pos="8640"/>
      </w:tabs>
    </w:pPr>
  </w:style>
  <w:style w:type="character" w:styleId="CommentReference">
    <w:name w:val="annotation reference"/>
    <w:uiPriority w:val="99"/>
    <w:semiHidden/>
    <w:rsid w:val="009A156D"/>
    <w:rPr>
      <w:sz w:val="16"/>
      <w:szCs w:val="16"/>
    </w:rPr>
  </w:style>
  <w:style w:type="paragraph" w:styleId="CommentText">
    <w:name w:val="annotation text"/>
    <w:basedOn w:val="Normal"/>
    <w:link w:val="CommentTextChar"/>
    <w:uiPriority w:val="99"/>
    <w:semiHidden/>
    <w:rsid w:val="009A156D"/>
    <w:rPr>
      <w:sz w:val="20"/>
    </w:rPr>
  </w:style>
  <w:style w:type="paragraph" w:styleId="CommentSubject">
    <w:name w:val="annotation subject"/>
    <w:basedOn w:val="CommentText"/>
    <w:next w:val="CommentText"/>
    <w:semiHidden/>
    <w:rsid w:val="009A156D"/>
    <w:rPr>
      <w:b/>
      <w:bCs/>
    </w:rPr>
  </w:style>
  <w:style w:type="paragraph" w:styleId="ListParagraph">
    <w:name w:val="List Paragraph"/>
    <w:basedOn w:val="Normal"/>
    <w:uiPriority w:val="34"/>
    <w:qFormat/>
    <w:rsid w:val="00AE2A94"/>
    <w:pPr>
      <w:ind w:left="720"/>
      <w:contextualSpacing/>
    </w:pPr>
  </w:style>
  <w:style w:type="character" w:customStyle="1" w:styleId="FooterChar">
    <w:name w:val="Footer Char"/>
    <w:basedOn w:val="DefaultParagraphFont"/>
    <w:link w:val="Footer"/>
    <w:uiPriority w:val="99"/>
    <w:rsid w:val="00F17606"/>
    <w:rPr>
      <w:sz w:val="22"/>
    </w:rPr>
  </w:style>
  <w:style w:type="character" w:customStyle="1" w:styleId="FootnoteTextChar">
    <w:name w:val="Footnote Text Char"/>
    <w:basedOn w:val="DefaultParagraphFont"/>
    <w:link w:val="FootnoteText"/>
    <w:semiHidden/>
    <w:rsid w:val="00645F3C"/>
  </w:style>
  <w:style w:type="character" w:customStyle="1" w:styleId="CommentTextChar">
    <w:name w:val="Comment Text Char"/>
    <w:basedOn w:val="DefaultParagraphFont"/>
    <w:link w:val="CommentText"/>
    <w:uiPriority w:val="99"/>
    <w:semiHidden/>
    <w:rsid w:val="00645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rPr>
  </w:style>
  <w:style w:type="paragraph" w:styleId="Heading1">
    <w:name w:val="heading 1"/>
    <w:basedOn w:val="Normal"/>
    <w:next w:val="Normal"/>
    <w:qFormat/>
    <w:pPr>
      <w:keepNext/>
      <w:widowControl w:val="0"/>
      <w:tabs>
        <w:tab w:val="left" w:pos="-720"/>
      </w:tabs>
      <w:suppressAutoHyphens/>
      <w:spacing w:line="287" w:lineRule="auto"/>
      <w:outlineLvl w:val="0"/>
    </w:pPr>
    <w:rPr>
      <w:rFonts w:ascii="Arial" w:hAnsi="Arial"/>
      <w:b/>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link w:val="FootnoteTextChar"/>
    <w:semiHidden/>
    <w:pPr>
      <w:tabs>
        <w:tab w:val="left" w:pos="720"/>
        <w:tab w:val="left" w:pos="1440"/>
      </w:tabs>
      <w:spacing w:after="200"/>
      <w:ind w:right="144"/>
    </w:pPr>
  </w:style>
  <w:style w:type="character" w:styleId="FootnoteReference">
    <w:name w:val="footnote reference"/>
    <w:semiHidden/>
    <w:rPr>
      <w:rFonts w:ascii="Times New Roman" w:hAnsi="Times New Roman"/>
      <w:dstrike w:val="0"/>
      <w:color w:val="auto"/>
      <w:sz w:val="22"/>
      <w:vertAlign w:val="superscript"/>
    </w:rPr>
  </w:style>
  <w:style w:type="character" w:styleId="Hyperlink">
    <w:name w:val="Hyperlink"/>
    <w:rPr>
      <w:color w:val="0000FF"/>
      <w:u w:val="single"/>
    </w:rPr>
  </w:style>
  <w:style w:type="paragraph" w:styleId="BodyText">
    <w:name w:val="Body Text"/>
    <w:basedOn w:val="Normal"/>
    <w:pPr>
      <w:jc w:val="center"/>
    </w:pPr>
    <w:rPr>
      <w:sz w:val="24"/>
    </w:rPr>
  </w:style>
  <w:style w:type="paragraph" w:styleId="BalloonText">
    <w:name w:val="Balloon Text"/>
    <w:basedOn w:val="Normal"/>
    <w:semiHidden/>
    <w:rsid w:val="008F6B64"/>
    <w:rPr>
      <w:rFonts w:ascii="Tahoma" w:hAnsi="Tahoma" w:cs="Tahoma"/>
      <w:sz w:val="16"/>
      <w:szCs w:val="16"/>
    </w:rPr>
  </w:style>
  <w:style w:type="paragraph" w:styleId="Header">
    <w:name w:val="header"/>
    <w:basedOn w:val="Normal"/>
    <w:rsid w:val="004A0E9F"/>
    <w:pPr>
      <w:tabs>
        <w:tab w:val="center" w:pos="4320"/>
        <w:tab w:val="right" w:pos="8640"/>
      </w:tabs>
    </w:pPr>
  </w:style>
  <w:style w:type="paragraph" w:styleId="Footer">
    <w:name w:val="footer"/>
    <w:basedOn w:val="Normal"/>
    <w:link w:val="FooterChar"/>
    <w:uiPriority w:val="99"/>
    <w:rsid w:val="004A0E9F"/>
    <w:pPr>
      <w:tabs>
        <w:tab w:val="center" w:pos="4320"/>
        <w:tab w:val="right" w:pos="8640"/>
      </w:tabs>
    </w:pPr>
  </w:style>
  <w:style w:type="character" w:styleId="CommentReference">
    <w:name w:val="annotation reference"/>
    <w:uiPriority w:val="99"/>
    <w:semiHidden/>
    <w:rsid w:val="009A156D"/>
    <w:rPr>
      <w:sz w:val="16"/>
      <w:szCs w:val="16"/>
    </w:rPr>
  </w:style>
  <w:style w:type="paragraph" w:styleId="CommentText">
    <w:name w:val="annotation text"/>
    <w:basedOn w:val="Normal"/>
    <w:link w:val="CommentTextChar"/>
    <w:uiPriority w:val="99"/>
    <w:semiHidden/>
    <w:rsid w:val="009A156D"/>
    <w:rPr>
      <w:sz w:val="20"/>
    </w:rPr>
  </w:style>
  <w:style w:type="paragraph" w:styleId="CommentSubject">
    <w:name w:val="annotation subject"/>
    <w:basedOn w:val="CommentText"/>
    <w:next w:val="CommentText"/>
    <w:semiHidden/>
    <w:rsid w:val="009A156D"/>
    <w:rPr>
      <w:b/>
      <w:bCs/>
    </w:rPr>
  </w:style>
  <w:style w:type="paragraph" w:styleId="ListParagraph">
    <w:name w:val="List Paragraph"/>
    <w:basedOn w:val="Normal"/>
    <w:uiPriority w:val="34"/>
    <w:qFormat/>
    <w:rsid w:val="00AE2A94"/>
    <w:pPr>
      <w:ind w:left="720"/>
      <w:contextualSpacing/>
    </w:pPr>
  </w:style>
  <w:style w:type="character" w:customStyle="1" w:styleId="FooterChar">
    <w:name w:val="Footer Char"/>
    <w:basedOn w:val="DefaultParagraphFont"/>
    <w:link w:val="Footer"/>
    <w:uiPriority w:val="99"/>
    <w:rsid w:val="00F17606"/>
    <w:rPr>
      <w:sz w:val="22"/>
    </w:rPr>
  </w:style>
  <w:style w:type="character" w:customStyle="1" w:styleId="FootnoteTextChar">
    <w:name w:val="Footnote Text Char"/>
    <w:basedOn w:val="DefaultParagraphFont"/>
    <w:link w:val="FootnoteText"/>
    <w:semiHidden/>
    <w:rsid w:val="00645F3C"/>
  </w:style>
  <w:style w:type="character" w:customStyle="1" w:styleId="CommentTextChar">
    <w:name w:val="Comment Text Char"/>
    <w:basedOn w:val="DefaultParagraphFont"/>
    <w:link w:val="CommentText"/>
    <w:uiPriority w:val="99"/>
    <w:semiHidden/>
    <w:rsid w:val="00645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Xshowings@fcc.gov"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notes.xml.rels><?xml version="1.0" encoding="UTF-8" standalone="yes"?>
<Relationships xmlns="http://schemas.openxmlformats.org/package/2006/relationships"><Relationship Id="rId1" Type="http://schemas.openxmlformats.org/officeDocument/2006/relationships/hyperlink" Target="http://hraunfoss.fcc.gov/edocs_public/attachmatch/DA-12-1987A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2070</Words>
  <Characters>11453</Characters>
  <Application>Microsoft Office Word</Application>
  <DocSecurity>0</DocSecurity>
  <Lines>225</Lines>
  <Paragraphs>72</Paragraphs>
  <ScaleCrop>false</ScaleCrop>
  <HeadingPairs>
    <vt:vector size="2" baseType="variant">
      <vt:variant>
        <vt:lpstr>Title</vt:lpstr>
      </vt:variant>
      <vt:variant>
        <vt:i4>1</vt:i4>
      </vt:variant>
    </vt:vector>
  </HeadingPairs>
  <TitlesOfParts>
    <vt:vector size="1" baseType="lpstr">
      <vt:lpstr>PUBLIC NOTICE</vt:lpstr>
    </vt:vector>
  </TitlesOfParts>
  <Manager/>
  <Company/>
  <LinksUpToDate>false</LinksUpToDate>
  <CharactersWithSpaces>13686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2012-12-20T16:48:00Z</cp:lastPrinted>
  <dcterms:created xsi:type="dcterms:W3CDTF">2012-12-21T14:04:00Z</dcterms:created>
  <dcterms:modified xsi:type="dcterms:W3CDTF">2012-12-21T14:04:00Z</dcterms:modified>
  <cp:category> </cp:category>
  <cp:contentStatus> </cp:contentStatus>
</cp:coreProperties>
</file>