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36D4" w:rsidRDefault="000B3D0B">
      <w:pPr>
        <w:jc w:val="center"/>
        <w:rPr>
          <w:b/>
        </w:rPr>
      </w:pPr>
      <w:bookmarkStart w:id="0" w:name="_GoBack"/>
      <w:bookmarkEnd w:id="0"/>
      <w:r>
        <w:rPr>
          <w:b/>
        </w:rPr>
        <w:t>Before the</w:t>
      </w:r>
    </w:p>
    <w:p w:rsidR="009836D4" w:rsidRDefault="000B3D0B">
      <w:pPr>
        <w:jc w:val="center"/>
        <w:rPr>
          <w:b/>
        </w:rPr>
      </w:pPr>
      <w:r>
        <w:rPr>
          <w:b/>
        </w:rPr>
        <w:t>Federal Communications Commission</w:t>
      </w:r>
    </w:p>
    <w:p w:rsidR="009836D4" w:rsidRDefault="000B3D0B">
      <w:pPr>
        <w:jc w:val="center"/>
        <w:rPr>
          <w:b/>
        </w:rPr>
      </w:pPr>
      <w:r>
        <w:rPr>
          <w:b/>
        </w:rPr>
        <w:t>Washington, D.C. 20554</w:t>
      </w:r>
    </w:p>
    <w:p w:rsidR="009836D4" w:rsidRDefault="009836D4"/>
    <w:p w:rsidR="009836D4" w:rsidRDefault="009836D4"/>
    <w:p w:rsidR="009836D4" w:rsidRDefault="009836D4"/>
    <w:tbl>
      <w:tblPr>
        <w:tblW w:w="0" w:type="auto"/>
        <w:tblLayout w:type="fixed"/>
        <w:tblLook w:val="0000" w:firstRow="0" w:lastRow="0" w:firstColumn="0" w:lastColumn="0" w:noHBand="0" w:noVBand="0"/>
      </w:tblPr>
      <w:tblGrid>
        <w:gridCol w:w="4698"/>
        <w:gridCol w:w="720"/>
        <w:gridCol w:w="4230"/>
      </w:tblGrid>
      <w:tr w:rsidR="009836D4">
        <w:tc>
          <w:tcPr>
            <w:tcW w:w="4698" w:type="dxa"/>
          </w:tcPr>
          <w:p w:rsidR="009836D4" w:rsidRDefault="000B3D0B">
            <w:pPr>
              <w:ind w:right="-18"/>
            </w:pPr>
            <w:r>
              <w:t>In the Matter of</w:t>
            </w:r>
          </w:p>
          <w:p w:rsidR="009836D4" w:rsidRDefault="009836D4">
            <w:pPr>
              <w:ind w:right="-18"/>
            </w:pPr>
          </w:p>
          <w:p w:rsidR="009836D4" w:rsidRDefault="000B3D0B">
            <w:pPr>
              <w:ind w:right="-18"/>
            </w:pPr>
            <w:r>
              <w:t>Clarity, A Division of Plantronics, Inc.</w:t>
            </w:r>
          </w:p>
          <w:p w:rsidR="009836D4" w:rsidRDefault="000B3D0B">
            <w:pPr>
              <w:ind w:right="-18"/>
            </w:pPr>
            <w:r>
              <w:t xml:space="preserve">Request For Waiver of Volume Control Reset, </w:t>
            </w:r>
          </w:p>
          <w:p w:rsidR="009836D4" w:rsidRDefault="000B3D0B">
            <w:pPr>
              <w:ind w:right="-18"/>
            </w:pPr>
            <w:r>
              <w:t>47 C.F.R. § 68.317(f)</w:t>
            </w:r>
          </w:p>
        </w:tc>
        <w:tc>
          <w:tcPr>
            <w:tcW w:w="720" w:type="dxa"/>
          </w:tcPr>
          <w:p w:rsidR="009836D4" w:rsidRDefault="000B3D0B">
            <w:pPr>
              <w:rPr>
                <w:b/>
              </w:rPr>
            </w:pPr>
            <w:r>
              <w:rPr>
                <w:b/>
              </w:rPr>
              <w:t>)</w:t>
            </w:r>
          </w:p>
          <w:p w:rsidR="009836D4" w:rsidRDefault="000B3D0B">
            <w:pPr>
              <w:rPr>
                <w:b/>
              </w:rPr>
            </w:pPr>
            <w:r>
              <w:rPr>
                <w:b/>
              </w:rPr>
              <w:t>)</w:t>
            </w:r>
          </w:p>
          <w:p w:rsidR="009836D4" w:rsidRDefault="000B3D0B">
            <w:pPr>
              <w:rPr>
                <w:b/>
              </w:rPr>
            </w:pPr>
            <w:r>
              <w:rPr>
                <w:b/>
              </w:rPr>
              <w:t>)</w:t>
            </w:r>
          </w:p>
          <w:p w:rsidR="009836D4" w:rsidRDefault="000B3D0B">
            <w:pPr>
              <w:rPr>
                <w:b/>
              </w:rPr>
            </w:pPr>
            <w:r>
              <w:rPr>
                <w:b/>
              </w:rPr>
              <w:t>)</w:t>
            </w:r>
          </w:p>
          <w:p w:rsidR="009836D4" w:rsidRDefault="000B3D0B">
            <w:pPr>
              <w:rPr>
                <w:b/>
              </w:rPr>
            </w:pPr>
            <w:r>
              <w:rPr>
                <w:b/>
              </w:rPr>
              <w:t>)</w:t>
            </w:r>
          </w:p>
          <w:p w:rsidR="009836D4" w:rsidRDefault="009836D4">
            <w:pPr>
              <w:rPr>
                <w:b/>
              </w:rPr>
            </w:pPr>
          </w:p>
        </w:tc>
        <w:tc>
          <w:tcPr>
            <w:tcW w:w="4230" w:type="dxa"/>
          </w:tcPr>
          <w:p w:rsidR="009836D4" w:rsidRDefault="009836D4"/>
          <w:p w:rsidR="009836D4" w:rsidRDefault="009836D4"/>
          <w:p w:rsidR="009836D4" w:rsidRDefault="009836D4"/>
          <w:p w:rsidR="009836D4" w:rsidRDefault="009836D4"/>
        </w:tc>
      </w:tr>
    </w:tbl>
    <w:p w:rsidR="009836D4" w:rsidRDefault="009836D4">
      <w:pPr>
        <w:jc w:val="center"/>
        <w:rPr>
          <w:b/>
        </w:rPr>
      </w:pPr>
    </w:p>
    <w:p w:rsidR="009836D4" w:rsidRDefault="000B3D0B">
      <w:pPr>
        <w:jc w:val="center"/>
        <w:rPr>
          <w:b/>
        </w:rPr>
      </w:pPr>
      <w:r>
        <w:rPr>
          <w:b/>
        </w:rPr>
        <w:t>ORDER</w:t>
      </w:r>
    </w:p>
    <w:p w:rsidR="009836D4" w:rsidRDefault="009836D4">
      <w:pPr>
        <w:tabs>
          <w:tab w:val="left" w:pos="5760"/>
        </w:tabs>
        <w:rPr>
          <w:b/>
        </w:rPr>
      </w:pPr>
    </w:p>
    <w:p w:rsidR="009836D4" w:rsidRDefault="00590D84">
      <w:pPr>
        <w:tabs>
          <w:tab w:val="left" w:pos="5760"/>
        </w:tabs>
        <w:rPr>
          <w:b/>
        </w:rPr>
      </w:pPr>
      <w:r>
        <w:rPr>
          <w:b/>
        </w:rPr>
        <w:t xml:space="preserve">Adopted:  December </w:t>
      </w:r>
      <w:r w:rsidR="004805D3">
        <w:rPr>
          <w:b/>
        </w:rPr>
        <w:t>27</w:t>
      </w:r>
      <w:r w:rsidR="000B3D0B">
        <w:rPr>
          <w:b/>
        </w:rPr>
        <w:t>, 2012                                                                 Released:  December</w:t>
      </w:r>
      <w:r w:rsidR="004805D3">
        <w:rPr>
          <w:b/>
        </w:rPr>
        <w:t xml:space="preserve"> 27</w:t>
      </w:r>
      <w:r w:rsidR="000B3D0B">
        <w:rPr>
          <w:b/>
        </w:rPr>
        <w:t>, 2012</w:t>
      </w:r>
    </w:p>
    <w:p w:rsidR="009836D4" w:rsidRDefault="009836D4">
      <w:pPr>
        <w:tabs>
          <w:tab w:val="left" w:pos="5760"/>
        </w:tabs>
      </w:pPr>
    </w:p>
    <w:p w:rsidR="009836D4" w:rsidRDefault="009836D4">
      <w:pPr>
        <w:tabs>
          <w:tab w:val="left" w:pos="5760"/>
        </w:tabs>
      </w:pPr>
    </w:p>
    <w:p w:rsidR="009836D4" w:rsidRDefault="000B3D0B">
      <w:pPr>
        <w:tabs>
          <w:tab w:val="left" w:pos="5760"/>
        </w:tabs>
      </w:pPr>
      <w:r>
        <w:t xml:space="preserve">By the </w:t>
      </w:r>
      <w:r>
        <w:rPr>
          <w:spacing w:val="-2"/>
        </w:rPr>
        <w:t>Chief, Disability Rights Office, Consumer and Governmental Affairs Bureau:</w:t>
      </w:r>
    </w:p>
    <w:p w:rsidR="009836D4" w:rsidRDefault="009836D4">
      <w:pPr>
        <w:pStyle w:val="ParaNum"/>
        <w:numPr>
          <w:ilvl w:val="0"/>
          <w:numId w:val="0"/>
        </w:numPr>
        <w:jc w:val="left"/>
      </w:pPr>
    </w:p>
    <w:p w:rsidR="009836D4" w:rsidRDefault="000B3D0B">
      <w:pPr>
        <w:pStyle w:val="ParaNum"/>
        <w:jc w:val="left"/>
      </w:pPr>
      <w:r>
        <w:t xml:space="preserve">In this </w:t>
      </w:r>
      <w:r>
        <w:rPr>
          <w:i/>
        </w:rPr>
        <w:t>Order</w:t>
      </w:r>
      <w:r>
        <w:rPr>
          <w:iCs/>
        </w:rPr>
        <w:t xml:space="preserve">, </w:t>
      </w:r>
      <w:r>
        <w:t>we grant a petition for waiver of 47 C.F.R. § 68.317(f) of the Commission’s rules filed by Clarity, A Division of Plantronic</w:t>
      </w:r>
      <w:r w:rsidR="00590D84">
        <w:t>s, Inc. (Clarity), on December 2</w:t>
      </w:r>
      <w:r>
        <w:t>0, 2012.  Section 68.317(f) requires that telephones with amplification greater than 18 dB (designed for persons with hearing disabilities) must reset to a volume no greater than 18 dB once the telephone is returned to an on-hook position.  Clarity seeks a waiver of Section 68.317(f) pursuant to the Commission’s streamlined waiver procedures</w:t>
      </w:r>
      <w:r>
        <w:rPr>
          <w:rStyle w:val="FootnoteReference"/>
        </w:rPr>
        <w:footnoteReference w:id="2"/>
      </w:r>
      <w:r>
        <w:t xml:space="preserve"> for certain telephone devices, </w:t>
      </w:r>
      <w:r>
        <w:rPr>
          <w:u w:val="single"/>
        </w:rPr>
        <w:t>Model</w:t>
      </w:r>
      <w:r w:rsidR="00590D84">
        <w:rPr>
          <w:u w:val="single"/>
        </w:rPr>
        <w:t>s</w:t>
      </w:r>
      <w:r>
        <w:rPr>
          <w:u w:val="single"/>
        </w:rPr>
        <w:t xml:space="preserve"> </w:t>
      </w:r>
      <w:r w:rsidR="00FC32D7">
        <w:rPr>
          <w:u w:val="single"/>
        </w:rPr>
        <w:t>Alto Plus and Alto</w:t>
      </w:r>
      <w:r>
        <w:rPr>
          <w:u w:val="single"/>
        </w:rPr>
        <w:t>,</w:t>
      </w:r>
      <w:r w:rsidR="00590D84">
        <w:t xml:space="preserve"> that include</w:t>
      </w:r>
      <w:r>
        <w:t xml:space="preserve"> a volume control override switch so that persons with hearing disabilities can use the telephone without having to turn the volume back up each time. </w:t>
      </w:r>
    </w:p>
    <w:p w:rsidR="009836D4" w:rsidRDefault="000B3D0B">
      <w:pPr>
        <w:pStyle w:val="ParaNum"/>
        <w:jc w:val="left"/>
      </w:pPr>
      <w:r>
        <w:rPr>
          <w:i/>
        </w:rPr>
        <w:t>Background: Part 68 Registration Process</w:t>
      </w:r>
      <w:r>
        <w:t>.  All terminal equipment manufactured in, or imported into, the United States and connected to the public switched telephone network (PSTN) must conform to the requirements of Part 68 of the Commission’s rules.</w:t>
      </w:r>
      <w:r>
        <w:rPr>
          <w:rStyle w:val="FootnoteReference"/>
        </w:rPr>
        <w:footnoteReference w:id="3"/>
      </w:r>
      <w:r>
        <w:t xml:space="preserve">  To that end, Part 68 requires either that terminal equipment be tested by a Telecommunications Certification Body (TCB)</w:t>
      </w:r>
      <w:r>
        <w:rPr>
          <w:rStyle w:val="FootnoteReference"/>
        </w:rPr>
        <w:footnoteReference w:id="4"/>
      </w:r>
      <w:r>
        <w:t xml:space="preserve"> or that the responsible party follow the procedures for a Supplier’s Declaration of Conformity (SDOC).</w:t>
      </w:r>
      <w:r>
        <w:rPr>
          <w:rStyle w:val="FootnoteReference"/>
        </w:rPr>
        <w:footnoteReference w:id="5"/>
      </w:r>
      <w:r>
        <w:t xml:space="preserve">  A waiver of section 68.317(f) allows the petitioner to request testing from a TCB, or to file its SDOC pursuant to </w:t>
      </w:r>
      <w:r>
        <w:lastRenderedPageBreak/>
        <w:t xml:space="preserve">the Part 68 equipment approval requirements, despite the fact that the device does not meet the technical standards of section 68.317(f). </w:t>
      </w:r>
    </w:p>
    <w:p w:rsidR="009836D4" w:rsidRDefault="000B3D0B">
      <w:pPr>
        <w:pStyle w:val="ParaNum"/>
        <w:jc w:val="left"/>
      </w:pPr>
      <w:r>
        <w:rPr>
          <w:i/>
        </w:rPr>
        <w:t>Streamlined Volume Reset Switch Waiver Process</w:t>
      </w:r>
      <w:r>
        <w:t>.  On March 5, 2001, the Commission’s Common Carrier Bureau, Network Services Division, released an order adopting a streamlined waiver process for deciding section 68.317(f) waiver petitions.</w:t>
      </w:r>
      <w:r>
        <w:rPr>
          <w:rStyle w:val="FootnoteReference"/>
        </w:rPr>
        <w:footnoteReference w:id="6"/>
      </w:r>
      <w:r>
        <w:t xml:space="preserve">  The Bureau identified five safety conditions that, if met, would allow for the grant of a waiver.  Those conditions are:   </w:t>
      </w:r>
    </w:p>
    <w:p w:rsidR="009836D4" w:rsidRDefault="000B3D0B">
      <w:pPr>
        <w:pStyle w:val="ParaNum"/>
        <w:numPr>
          <w:ilvl w:val="0"/>
          <w:numId w:val="0"/>
        </w:numPr>
        <w:ind w:left="720"/>
        <w:jc w:val="left"/>
      </w:pPr>
      <w:r>
        <w:t xml:space="preserve">(1) the volume reset override switch shall be labeled as such and located on the telephone in such a way as not to be accessible to accidental engagement; </w:t>
      </w:r>
    </w:p>
    <w:p w:rsidR="009836D4" w:rsidRDefault="000B3D0B">
      <w:pPr>
        <w:pStyle w:val="ParaNum"/>
        <w:numPr>
          <w:ilvl w:val="0"/>
          <w:numId w:val="0"/>
        </w:numPr>
        <w:ind w:left="720"/>
        <w:jc w:val="left"/>
      </w:pPr>
      <w:r>
        <w:t xml:space="preserve">(2) a bright indicator light shall be prominently displayed on the front of the telephone and shall light up when the override is engaged and the telephone is placed in an off-hook condition; </w:t>
      </w:r>
    </w:p>
    <w:p w:rsidR="009836D4" w:rsidRDefault="000B3D0B">
      <w:pPr>
        <w:pStyle w:val="ParaNum"/>
        <w:numPr>
          <w:ilvl w:val="0"/>
          <w:numId w:val="0"/>
        </w:numPr>
        <w:ind w:left="720"/>
        <w:jc w:val="left"/>
      </w:pPr>
      <w:r>
        <w:t>(3) next to the light shall be a warning that the amplification is at a high level;</w:t>
      </w:r>
    </w:p>
    <w:p w:rsidR="009836D4" w:rsidRDefault="000B3D0B">
      <w:pPr>
        <w:pStyle w:val="ParaNum"/>
        <w:numPr>
          <w:ilvl w:val="0"/>
          <w:numId w:val="0"/>
        </w:numPr>
        <w:ind w:left="720"/>
        <w:jc w:val="left"/>
      </w:pPr>
      <w:r>
        <w:t xml:space="preserve">(4) a caution on the use of the volume reset override switch shall be included in the users’ manual; and </w:t>
      </w:r>
    </w:p>
    <w:p w:rsidR="009836D4" w:rsidRDefault="000B3D0B">
      <w:pPr>
        <w:pStyle w:val="ParaNum"/>
        <w:numPr>
          <w:ilvl w:val="0"/>
          <w:numId w:val="0"/>
        </w:numPr>
        <w:ind w:left="720"/>
        <w:jc w:val="left"/>
      </w:pPr>
      <w:r>
        <w:t xml:space="preserve">(5) the telephone shall include a warning printed in Braille that can be securely attached to the back of the handset, or, if the telephone has only a headset, above the dial buttons, to indicate that a high volume setting may be engaged.  </w:t>
      </w:r>
    </w:p>
    <w:p w:rsidR="009836D4" w:rsidRDefault="000B3D0B">
      <w:pPr>
        <w:pStyle w:val="ParaNum"/>
        <w:numPr>
          <w:ilvl w:val="0"/>
          <w:numId w:val="0"/>
        </w:numPr>
        <w:jc w:val="left"/>
      </w:pPr>
      <w:r>
        <w:t>With this streamlined waiver process, the Commission eliminated the usual public notice and comment procedures for petitions for waivers of Commission rules.</w:t>
      </w:r>
      <w:r>
        <w:rPr>
          <w:rStyle w:val="FootnoteReference"/>
        </w:rPr>
        <w:footnoteReference w:id="7"/>
      </w:r>
      <w:r>
        <w:t xml:space="preserve">  </w:t>
      </w:r>
    </w:p>
    <w:p w:rsidR="009836D4" w:rsidRDefault="000B3D0B">
      <w:pPr>
        <w:pStyle w:val="ParaNum"/>
        <w:jc w:val="left"/>
      </w:pPr>
      <w:r>
        <w:t xml:space="preserve">Accordingly, a party may request waiver of section 68.317(f) by submitting a letter certifying that the equipment for which the waiver is requested complies with the five safety conditions set forth in </w:t>
      </w:r>
      <w:r>
        <w:rPr>
          <w:i/>
        </w:rPr>
        <w:t>Tandy Corporation</w:t>
      </w:r>
      <w:r>
        <w:t>.</w:t>
      </w:r>
      <w:r>
        <w:rPr>
          <w:rStyle w:val="FootnoteReference"/>
        </w:rPr>
        <w:footnoteReference w:id="8"/>
      </w:r>
      <w:r>
        <w:t xml:space="preserve">  The letter (waiver request) must be signed “by a company representative or other officer responsible for its truthfulness.”</w:t>
      </w:r>
      <w:r>
        <w:rPr>
          <w:rStyle w:val="FootnoteReference"/>
        </w:rPr>
        <w:footnoteReference w:id="9"/>
      </w:r>
      <w:r>
        <w:t xml:space="preserve">  “If the request is in order and if no other issues are present that preclude a grant, the [Commission] will issue an order granting the waiver request.”</w:t>
      </w:r>
      <w:r>
        <w:rPr>
          <w:rStyle w:val="FootnoteReference"/>
        </w:rPr>
        <w:footnoteReference w:id="10"/>
      </w:r>
      <w:r>
        <w:t xml:space="preserve">  The party receiving such a waiver may then pursue equipment approval under the applicable Part 68 rules.</w:t>
      </w:r>
      <w:r>
        <w:rPr>
          <w:rStyle w:val="FootnoteReference"/>
        </w:rPr>
        <w:footnoteReference w:id="11"/>
      </w:r>
    </w:p>
    <w:p w:rsidR="009836D4" w:rsidRDefault="000B3D0B">
      <w:pPr>
        <w:pStyle w:val="ParaNum"/>
        <w:jc w:val="left"/>
      </w:pPr>
      <w:r>
        <w:rPr>
          <w:i/>
        </w:rPr>
        <w:t>Discussion</w:t>
      </w:r>
      <w:r>
        <w:t xml:space="preserve">.  Clarity has provided a letter dated </w:t>
      </w:r>
      <w:r w:rsidR="004805D3">
        <w:t>December 20</w:t>
      </w:r>
      <w:r>
        <w:t xml:space="preserve">, 2012, certifying that its telephone devices, </w:t>
      </w:r>
      <w:r w:rsidR="00B90F2C">
        <w:rPr>
          <w:u w:val="single"/>
        </w:rPr>
        <w:t xml:space="preserve">Models </w:t>
      </w:r>
      <w:r w:rsidR="00FC32D7">
        <w:rPr>
          <w:u w:val="single"/>
        </w:rPr>
        <w:t>Alto Plus and Alto</w:t>
      </w:r>
      <w:r w:rsidR="00B90F2C">
        <w:t>, comply</w:t>
      </w:r>
      <w:r>
        <w:t xml:space="preserve"> with the five safety conditions specified in </w:t>
      </w:r>
      <w:r>
        <w:rPr>
          <w:i/>
        </w:rPr>
        <w:t>Tandy Corporation</w:t>
      </w:r>
      <w:r>
        <w:t>.  Its statement of certification is signed by John Lowe, the Sup</w:t>
      </w:r>
      <w:r w:rsidR="00B90F2C">
        <w:t xml:space="preserve">ply Chain and QA Manager of </w:t>
      </w:r>
      <w:r>
        <w:t xml:space="preserve">Clarity.  Based on this letter, we conclude that it is appropriate to grant the requested waiver.  This </w:t>
      </w:r>
      <w:r>
        <w:rPr>
          <w:i/>
        </w:rPr>
        <w:t>Order</w:t>
      </w:r>
      <w:r>
        <w:t xml:space="preserve"> therefore grants Clarity’s waiver request.  Clarity may therefore proceed with either TCB certification or a Self-Declaration of Conformity pursuant to Part 68 of the Commission’s rules.</w:t>
      </w:r>
    </w:p>
    <w:p w:rsidR="009836D4" w:rsidRDefault="000B3D0B">
      <w:pPr>
        <w:pStyle w:val="ParaNum"/>
        <w:jc w:val="left"/>
      </w:pPr>
      <w:r>
        <w:t xml:space="preserve">Accordingly, IT IS ORDERED that, pursuant to authority delegated in sections 0.141 and 0.361 of the Commission’s rules, 47 C.F.R. §§ 0.141, 0.361, and section 1.3 of the Commission’s rules, 47 C.F.R. § 1.3, the request for waiver of section 68.317(f) for </w:t>
      </w:r>
      <w:r w:rsidR="00B90F2C">
        <w:rPr>
          <w:u w:val="single"/>
        </w:rPr>
        <w:t xml:space="preserve">Models </w:t>
      </w:r>
      <w:r w:rsidR="00FC32D7">
        <w:rPr>
          <w:u w:val="single"/>
        </w:rPr>
        <w:t>Alto Plus and Alto</w:t>
      </w:r>
      <w:r>
        <w:t>, filed by Clarity, A Division of Plantronics, Inc., IS GRANTED SUBJECT TO THE FOLLOWING CONDITIONS:  (1) the volume reset override switch shall be labeled as such and located on the telephone in such a way as to not be accessible to accidental engagement; (2) a bright indicator light shall be prominently displayed on the front of the telephone and shall light up when the override is engaged and the telephone is placed in an off-hook condition; (3) next to the light shall be a warning that the amplification is at a high level; (4) a caution on the use of the volume reset override switch shall be included in the users’ manual; and (5) the telephone includes a warning printed in Braille that can be securely attached to the back of the handset, or, if the telephone has only a headset, above the dial buttons, to indicate that a high volume setting may be engaged.</w:t>
      </w:r>
    </w:p>
    <w:p w:rsidR="009836D4" w:rsidRDefault="000B3D0B">
      <w:pPr>
        <w:pStyle w:val="ParaNum"/>
        <w:jc w:val="left"/>
      </w:pPr>
      <w:r>
        <w:t xml:space="preserve">To request materials in accessible formats for people with disabilities (Braille, large print, electronic files, audio format), send an e-mail to fcc504@fcc.gov or call the Consumer &amp; Governmental Affairs Bureau at (202) 418-0530 (voice), (202) 418-0432 (TTY).  This </w:t>
      </w:r>
      <w:r>
        <w:rPr>
          <w:i/>
        </w:rPr>
        <w:t>Order</w:t>
      </w:r>
      <w:r>
        <w:t xml:space="preserve"> can also be downloaded in Word or Portable Document Format (PDF) at:  </w:t>
      </w:r>
      <w:r w:rsidR="008417AA">
        <w:fldChar w:fldCharType="begin"/>
      </w:r>
      <w:ins w:id="1" w:author="_" w:date="2012-12-27T15:12:00Z">
        <w:r w:rsidR="00356984">
          <w:instrText>HYPERLINK "http://www.fcc.gov/cgb/dro/hearing.html"</w:instrText>
        </w:r>
      </w:ins>
      <w:ins w:id="2" w:author="Author">
        <w:del w:id="3" w:author="_" w:date="2012-12-27T15:12:00Z">
          <w:r w:rsidR="008417AA" w:rsidDel="00356984">
            <w:delInstrText>HYPERLINK "http://www.fcc.gov/cgb/dro/hearing.html"</w:delInstrText>
          </w:r>
        </w:del>
      </w:ins>
      <w:del w:id="4" w:author="_" w:date="2012-12-27T15:12:00Z">
        <w:r w:rsidR="008417AA" w:rsidDel="00356984">
          <w:delInstrText xml:space="preserve"> HYPERLINK "http://www.fcc.gov/cgb/dro/hearing.html" </w:delInstrText>
        </w:r>
      </w:del>
      <w:ins w:id="5" w:author="_" w:date="2012-12-27T15:12:00Z"/>
      <w:r w:rsidR="008417AA">
        <w:fldChar w:fldCharType="separate"/>
      </w:r>
      <w:r>
        <w:rPr>
          <w:rStyle w:val="Hyperlink"/>
        </w:rPr>
        <w:t>http://www.fcc.gov/cgb/dro/hearing.html</w:t>
      </w:r>
      <w:r w:rsidR="008417AA">
        <w:rPr>
          <w:rStyle w:val="Hyperlink"/>
        </w:rPr>
        <w:fldChar w:fldCharType="end"/>
      </w:r>
      <w:r>
        <w:t xml:space="preserve">. </w:t>
      </w:r>
    </w:p>
    <w:p w:rsidR="009836D4" w:rsidRDefault="009836D4">
      <w:pPr>
        <w:pStyle w:val="ParaNum"/>
        <w:numPr>
          <w:ilvl w:val="0"/>
          <w:numId w:val="0"/>
        </w:numPr>
        <w:ind w:left="3600"/>
        <w:jc w:val="left"/>
      </w:pPr>
    </w:p>
    <w:p w:rsidR="009836D4" w:rsidRDefault="000B3D0B">
      <w:pPr>
        <w:pStyle w:val="ParaNum"/>
        <w:numPr>
          <w:ilvl w:val="0"/>
          <w:numId w:val="0"/>
        </w:numPr>
        <w:ind w:left="3600"/>
        <w:jc w:val="left"/>
      </w:pPr>
      <w:r>
        <w:t>FEDERAL COMMUNICATIONS COMMISSION</w:t>
      </w:r>
    </w:p>
    <w:p w:rsidR="009836D4" w:rsidRDefault="009836D4">
      <w:pPr>
        <w:pStyle w:val="ParaNum"/>
        <w:numPr>
          <w:ilvl w:val="0"/>
          <w:numId w:val="0"/>
        </w:numPr>
        <w:ind w:left="3600"/>
        <w:jc w:val="left"/>
      </w:pPr>
    </w:p>
    <w:p w:rsidR="009836D4" w:rsidRDefault="009836D4">
      <w:pPr>
        <w:pStyle w:val="ParaNum"/>
        <w:numPr>
          <w:ilvl w:val="0"/>
          <w:numId w:val="0"/>
        </w:numPr>
        <w:ind w:left="3600"/>
        <w:jc w:val="left"/>
      </w:pPr>
    </w:p>
    <w:p w:rsidR="009836D4" w:rsidRDefault="000B3D0B">
      <w:r>
        <w:tab/>
      </w:r>
      <w:r>
        <w:tab/>
      </w:r>
      <w:r>
        <w:tab/>
      </w:r>
      <w:r>
        <w:tab/>
      </w:r>
      <w:r>
        <w:tab/>
        <w:t xml:space="preserve"> Gregory Hlibok</w:t>
      </w:r>
    </w:p>
    <w:p w:rsidR="009836D4" w:rsidRDefault="000B3D0B">
      <w:r>
        <w:tab/>
      </w:r>
      <w:r>
        <w:tab/>
      </w:r>
      <w:r>
        <w:tab/>
      </w:r>
      <w:r>
        <w:tab/>
      </w:r>
      <w:r>
        <w:tab/>
        <w:t xml:space="preserve"> Chief, Disability Rights Office</w:t>
      </w:r>
    </w:p>
    <w:p w:rsidR="009836D4" w:rsidRDefault="000B3D0B">
      <w:r>
        <w:t xml:space="preserve">                            </w:t>
      </w:r>
      <w:r>
        <w:tab/>
      </w:r>
      <w:r>
        <w:tab/>
      </w:r>
      <w:r>
        <w:tab/>
        <w:t xml:space="preserve"> </w:t>
      </w:r>
      <w:r>
        <w:rPr>
          <w:spacing w:val="-2"/>
        </w:rPr>
        <w:t>Consumer and Governmental Affairs Bureau</w:t>
      </w:r>
    </w:p>
    <w:sectPr w:rsidR="009836D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72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0078" w:rsidRDefault="00BE0078">
      <w:r>
        <w:separator/>
      </w:r>
    </w:p>
  </w:endnote>
  <w:endnote w:type="continuationSeparator" w:id="0">
    <w:p w:rsidR="00BE0078" w:rsidRDefault="00BE00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7AA" w:rsidRDefault="008417A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6D4" w:rsidRDefault="000B3D0B">
    <w:pPr>
      <w:pStyle w:val="Footer"/>
      <w:jc w:val="center"/>
    </w:pPr>
    <w:r>
      <w:rPr>
        <w:rStyle w:val="PageNumber"/>
      </w:rPr>
      <w:fldChar w:fldCharType="begin"/>
    </w:r>
    <w:r>
      <w:rPr>
        <w:rStyle w:val="PageNumber"/>
      </w:rPr>
      <w:instrText xml:space="preserve"> PAGE </w:instrText>
    </w:r>
    <w:r>
      <w:rPr>
        <w:rStyle w:val="PageNumber"/>
      </w:rPr>
      <w:fldChar w:fldCharType="separate"/>
    </w:r>
    <w:r w:rsidR="008417AA">
      <w:rPr>
        <w:rStyle w:val="PageNumber"/>
        <w:noProof/>
      </w:rPr>
      <w:t>3</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7AA" w:rsidRDefault="008417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0078" w:rsidRDefault="00BE0078">
      <w:pPr>
        <w:rPr>
          <w:sz w:val="20"/>
        </w:rPr>
      </w:pPr>
      <w:r>
        <w:rPr>
          <w:sz w:val="20"/>
        </w:rPr>
        <w:separator/>
      </w:r>
    </w:p>
  </w:footnote>
  <w:footnote w:type="continuationSeparator" w:id="0">
    <w:p w:rsidR="00BE0078" w:rsidRDefault="00BE0078">
      <w:pPr>
        <w:rPr>
          <w:sz w:val="20"/>
        </w:rPr>
      </w:pPr>
      <w:r>
        <w:rPr>
          <w:sz w:val="20"/>
        </w:rPr>
        <w:separator/>
      </w:r>
    </w:p>
    <w:p w:rsidR="00BE0078" w:rsidRDefault="00BE0078">
      <w:pPr>
        <w:rPr>
          <w:sz w:val="20"/>
        </w:rPr>
      </w:pPr>
      <w:r>
        <w:rPr>
          <w:sz w:val="20"/>
        </w:rPr>
        <w:t>(...continued from previous page)</w:t>
      </w:r>
    </w:p>
  </w:footnote>
  <w:footnote w:type="continuationNotice" w:id="1">
    <w:p w:rsidR="00BE0078" w:rsidRDefault="00BE0078">
      <w:pPr>
        <w:jc w:val="right"/>
        <w:rPr>
          <w:sz w:val="20"/>
        </w:rPr>
      </w:pPr>
      <w:r>
        <w:rPr>
          <w:sz w:val="20"/>
        </w:rPr>
        <w:t>(continued....)</w:t>
      </w:r>
    </w:p>
  </w:footnote>
  <w:footnote w:id="2">
    <w:p w:rsidR="009836D4" w:rsidRDefault="000B3D0B">
      <w:pPr>
        <w:pStyle w:val="FootnoteText"/>
        <w:jc w:val="left"/>
        <w:rPr>
          <w:spacing w:val="-2"/>
        </w:rPr>
      </w:pPr>
      <w:r>
        <w:rPr>
          <w:rStyle w:val="FootnoteReference"/>
        </w:rPr>
        <w:footnoteRef/>
      </w:r>
      <w:r>
        <w:t xml:space="preserve"> </w:t>
      </w:r>
      <w:r>
        <w:rPr>
          <w:i/>
        </w:rPr>
        <w:t>See Tandy Corporation, Walker Equipment Company, Ameriphone, Inc., and Ultratec, Inc., Request for Waiver of Volume Control Reset, 47 C.F.R. § 68.317(f)</w:t>
      </w:r>
      <w:r>
        <w:t xml:space="preserve">, </w:t>
      </w:r>
      <w:r>
        <w:rPr>
          <w:spacing w:val="-2"/>
        </w:rPr>
        <w:t>NSD-L-00-17, NSD-L-00-22,  NSD-L-00-63, NSD-L-00-193, DA 01-578, 16 FCC Rcd 5253 (Com. Car. Bur. 2001) (</w:t>
      </w:r>
      <w:r>
        <w:rPr>
          <w:i/>
          <w:spacing w:val="-2"/>
        </w:rPr>
        <w:t>Tandy Corporation</w:t>
      </w:r>
      <w:r>
        <w:rPr>
          <w:spacing w:val="-2"/>
        </w:rPr>
        <w:t xml:space="preserve">).  </w:t>
      </w:r>
    </w:p>
  </w:footnote>
  <w:footnote w:id="3">
    <w:p w:rsidR="009836D4" w:rsidRDefault="000B3D0B">
      <w:pPr>
        <w:pStyle w:val="FootnoteText"/>
        <w:jc w:val="left"/>
      </w:pPr>
      <w:r>
        <w:rPr>
          <w:rStyle w:val="FootnoteReference"/>
        </w:rPr>
        <w:footnoteRef/>
      </w:r>
      <w:r>
        <w:t xml:space="preserve">   Part 68 is intended to prevent harm to the PSTN from the connection of terminal equipment and associated wiring. 47 C.F.R. § 68.1.  Pursuant to Part 68, all terminal equipment that may be connected to the telephone network must meet the technical requirements of both Part 68 and those published by the Administrative Council for Terminal Attachments (ACTA) as required in sections 68.7, 68.102, and subpart C of Part 68 of the Commission’s rules.  </w:t>
      </w:r>
      <w:r>
        <w:rPr>
          <w:i/>
        </w:rPr>
        <w:t xml:space="preserve">See </w:t>
      </w:r>
      <w:r>
        <w:t>47 C.F.R. §§ 68.7, 68.102; 47 C.F.R. Subpart C.</w:t>
      </w:r>
    </w:p>
  </w:footnote>
  <w:footnote w:id="4">
    <w:p w:rsidR="009836D4" w:rsidRDefault="000B3D0B">
      <w:pPr>
        <w:pStyle w:val="FootnoteText"/>
        <w:jc w:val="left"/>
      </w:pPr>
      <w:r>
        <w:rPr>
          <w:rStyle w:val="FootnoteReference"/>
        </w:rPr>
        <w:footnoteRef/>
      </w:r>
      <w:r>
        <w:t xml:space="preserve">  TCBs are equipment test laboratories certified by the Commission pursuant to sections 68.160 and 68.162 of the Commission’s rules to approve terminal equipment for connection to the telephone network.  Each TCB has its own application procedure and operates independently of the Commission.  In addition, bodies outside the </w:t>
      </w:r>
      <w:smartTag w:uri="urn:schemas-microsoft-com:office:smarttags" w:element="place">
        <w:smartTag w:uri="urn:schemas-microsoft-com:office:smarttags" w:element="country-region">
          <w:r>
            <w:t>United States</w:t>
          </w:r>
        </w:smartTag>
      </w:smartTag>
      <w:r>
        <w:t xml:space="preserve"> are also permitted to approve equipment.   </w:t>
      </w:r>
      <w:r>
        <w:rPr>
          <w:i/>
        </w:rPr>
        <w:t xml:space="preserve">See </w:t>
      </w:r>
      <w:r>
        <w:t xml:space="preserve">47 C.F.R. §§ 68.160(c), 162.  </w:t>
      </w:r>
    </w:p>
  </w:footnote>
  <w:footnote w:id="5">
    <w:p w:rsidR="009836D4" w:rsidRDefault="000B3D0B">
      <w:pPr>
        <w:pStyle w:val="FootnoteText"/>
        <w:jc w:val="left"/>
      </w:pPr>
      <w:r>
        <w:rPr>
          <w:rStyle w:val="FootnoteReference"/>
        </w:rPr>
        <w:footnoteRef/>
      </w:r>
      <w:r>
        <w:t xml:space="preserve">  SDOC procedures are set forth in sections 68.320 – 68.353 of the Commission’s rules.  47 C.F.R. §§ 68.320 – 68.353.  </w:t>
      </w:r>
    </w:p>
  </w:footnote>
  <w:footnote w:id="6">
    <w:p w:rsidR="009836D4" w:rsidRDefault="000B3D0B">
      <w:pPr>
        <w:pStyle w:val="FootnoteText"/>
        <w:jc w:val="left"/>
      </w:pPr>
      <w:r>
        <w:rPr>
          <w:rStyle w:val="FootnoteReference"/>
        </w:rPr>
        <w:footnoteRef/>
      </w:r>
      <w:r>
        <w:t xml:space="preserve">  </w:t>
      </w:r>
      <w:r>
        <w:rPr>
          <w:i/>
          <w:spacing w:val="-2"/>
        </w:rPr>
        <w:t xml:space="preserve">Tandy Corporation </w:t>
      </w:r>
      <w:r>
        <w:rPr>
          <w:spacing w:val="-2"/>
        </w:rPr>
        <w:t xml:space="preserve">at </w:t>
      </w:r>
      <w:r>
        <w:t>¶¶ 13-15.</w:t>
      </w:r>
    </w:p>
  </w:footnote>
  <w:footnote w:id="7">
    <w:p w:rsidR="009836D4" w:rsidRDefault="000B3D0B">
      <w:pPr>
        <w:pStyle w:val="FootnoteText"/>
        <w:jc w:val="left"/>
      </w:pPr>
      <w:r>
        <w:rPr>
          <w:rStyle w:val="FootnoteReference"/>
        </w:rPr>
        <w:footnoteRef/>
      </w:r>
      <w:r>
        <w:t xml:space="preserve">  </w:t>
      </w:r>
      <w:r>
        <w:rPr>
          <w:i/>
        </w:rPr>
        <w:t xml:space="preserve">Id. </w:t>
      </w:r>
      <w:r>
        <w:t>at ¶ 15.</w:t>
      </w:r>
    </w:p>
  </w:footnote>
  <w:footnote w:id="8">
    <w:p w:rsidR="009836D4" w:rsidRDefault="000B3D0B">
      <w:pPr>
        <w:pStyle w:val="FootnoteText"/>
        <w:jc w:val="left"/>
      </w:pPr>
      <w:r>
        <w:rPr>
          <w:rStyle w:val="FootnoteReference"/>
        </w:rPr>
        <w:footnoteRef/>
      </w:r>
      <w:r>
        <w:t xml:space="preserve">  </w:t>
      </w:r>
      <w:r>
        <w:rPr>
          <w:i/>
        </w:rPr>
        <w:t>Id</w:t>
      </w:r>
      <w:r>
        <w:t>. at ¶ 17.</w:t>
      </w:r>
    </w:p>
  </w:footnote>
  <w:footnote w:id="9">
    <w:p w:rsidR="009836D4" w:rsidRDefault="000B3D0B">
      <w:pPr>
        <w:pStyle w:val="FootnoteText"/>
        <w:jc w:val="left"/>
      </w:pPr>
      <w:r>
        <w:rPr>
          <w:rStyle w:val="FootnoteReference"/>
        </w:rPr>
        <w:footnoteRef/>
      </w:r>
      <w:r>
        <w:t xml:space="preserve">  </w:t>
      </w:r>
      <w:r>
        <w:rPr>
          <w:i/>
        </w:rPr>
        <w:t xml:space="preserve">Id. </w:t>
      </w:r>
      <w:r>
        <w:t>at ¶ 15.</w:t>
      </w:r>
    </w:p>
  </w:footnote>
  <w:footnote w:id="10">
    <w:p w:rsidR="009836D4" w:rsidRDefault="000B3D0B">
      <w:pPr>
        <w:pStyle w:val="FootnoteText"/>
        <w:jc w:val="left"/>
        <w:rPr>
          <w:i/>
        </w:rPr>
      </w:pPr>
      <w:r>
        <w:rPr>
          <w:rStyle w:val="FootnoteReference"/>
        </w:rPr>
        <w:footnoteRef/>
      </w:r>
      <w:r>
        <w:t xml:space="preserve">  </w:t>
      </w:r>
      <w:smartTag w:uri="urn:schemas-microsoft-com:office:smarttags" w:element="place">
        <w:smartTag w:uri="urn:schemas-microsoft-com:office:smarttags" w:element="State">
          <w:r>
            <w:rPr>
              <w:i/>
            </w:rPr>
            <w:t>Id.</w:t>
          </w:r>
        </w:smartTag>
      </w:smartTag>
    </w:p>
  </w:footnote>
  <w:footnote w:id="11">
    <w:p w:rsidR="009836D4" w:rsidRDefault="000B3D0B">
      <w:pPr>
        <w:pStyle w:val="FootnoteText"/>
        <w:jc w:val="left"/>
      </w:pPr>
      <w:r>
        <w:rPr>
          <w:rStyle w:val="FootnoteReference"/>
        </w:rPr>
        <w:footnoteRef/>
      </w:r>
      <w:r>
        <w:t xml:space="preserve">  </w:t>
      </w:r>
      <w:r>
        <w:rPr>
          <w:i/>
        </w:rPr>
        <w:t>Id.</w:t>
      </w:r>
      <w:r>
        <w:t xml:space="preserve"> at ¶ 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7AA" w:rsidRDefault="008417A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6D4" w:rsidRDefault="000B3D0B">
    <w:pPr>
      <w:pStyle w:val="Header"/>
      <w:tabs>
        <w:tab w:val="clear" w:pos="4320"/>
        <w:tab w:val="clear" w:pos="8640"/>
        <w:tab w:val="center" w:pos="4680"/>
        <w:tab w:val="right" w:pos="9360"/>
      </w:tabs>
      <w:rPr>
        <w:b/>
      </w:rPr>
    </w:pPr>
    <w:r>
      <w:rPr>
        <w:b/>
      </w:rPr>
      <w:tab/>
      <w:t>Federal Communications Commission</w:t>
    </w:r>
    <w:r>
      <w:rPr>
        <w:b/>
      </w:rPr>
      <w:tab/>
      <w:t>DA 12-</w:t>
    </w:r>
    <w:r w:rsidR="00ED5D11">
      <w:rPr>
        <w:b/>
      </w:rPr>
      <w:t xml:space="preserve">2094 </w:t>
    </w:r>
  </w:p>
  <w:p w:rsidR="009836D4" w:rsidRDefault="00590D84">
    <w:pPr>
      <w:pStyle w:val="Header"/>
      <w:tabs>
        <w:tab w:val="clear" w:pos="8640"/>
        <w:tab w:val="right" w:pos="9360"/>
      </w:tabs>
    </w:pPr>
    <w:r>
      <w:rPr>
        <w:noProof/>
      </w:rPr>
      <mc:AlternateContent>
        <mc:Choice Requires="wps">
          <w:drawing>
            <wp:anchor distT="0" distB="0" distL="114300" distR="114300" simplePos="0" relativeHeight="251658240" behindDoc="0" locked="0" layoutInCell="0" allowOverlap="1" wp14:anchorId="5039130E" wp14:editId="389CD19C">
              <wp:simplePos x="0" y="0"/>
              <wp:positionH relativeFrom="column">
                <wp:posOffset>0</wp:posOffset>
              </wp:positionH>
              <wp:positionV relativeFrom="paragraph">
                <wp:posOffset>22225</wp:posOffset>
              </wp:positionV>
              <wp:extent cx="594360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S7R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J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FrpLtESAgAA&#10;KQQAAA4AAAAAAAAAAAAAAAAALgIAAGRycy9lMm9Eb2MueG1sUEsBAi0AFAAGAAgAAAAhAO4pKK7Y&#10;AAAABAEAAA8AAAAAAAAAAAAAAAAAbAQAAGRycy9kb3ducmV2LnhtbFBLBQYAAAAABAAEAPMAAABx&#10;BQAAAAA=&#10;" o:allowincell="f" strokeweight="1.5pt"/>
          </w:pict>
        </mc:Fallback>
      </mc:AlternateContent>
    </w:r>
  </w:p>
  <w:p w:rsidR="009836D4" w:rsidRDefault="009836D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6D4" w:rsidRDefault="000B3D0B">
    <w:pPr>
      <w:pStyle w:val="Header"/>
      <w:tabs>
        <w:tab w:val="clear" w:pos="4320"/>
        <w:tab w:val="clear" w:pos="8640"/>
        <w:tab w:val="center" w:pos="4680"/>
        <w:tab w:val="right" w:pos="9360"/>
      </w:tabs>
      <w:rPr>
        <w:b/>
      </w:rPr>
    </w:pPr>
    <w:r>
      <w:rPr>
        <w:b/>
      </w:rPr>
      <w:tab/>
      <w:t>Federal Communications Commission</w:t>
    </w:r>
    <w:r>
      <w:rPr>
        <w:b/>
      </w:rPr>
      <w:tab/>
      <w:t>DA 12-</w:t>
    </w:r>
    <w:r w:rsidR="00ED5D11">
      <w:rPr>
        <w:b/>
      </w:rPr>
      <w:t xml:space="preserve">2094 </w:t>
    </w:r>
  </w:p>
  <w:p w:rsidR="009836D4" w:rsidRDefault="00590D84">
    <w:pPr>
      <w:pStyle w:val="Header"/>
      <w:tabs>
        <w:tab w:val="clear" w:pos="8640"/>
        <w:tab w:val="right" w:pos="9360"/>
      </w:tabs>
    </w:pPr>
    <w:r>
      <w:rPr>
        <w:noProof/>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22225</wp:posOffset>
              </wp:positionV>
              <wp:extent cx="594360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hrmEg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SJ/mqVgGr2fJaS4Bxrr/AeuOxQmJZagORKT09Z5kA7QOyTco/RGSBnN&#10;lgr1oHaRTtMY4bQULJwGnLOHfSUtOpHQL/ELhQC2B5jVR8UiW8sJW9/mngh5nQNeqsAHuYCe2+za&#10;EN8W6WI9X8/zUT6ZrUd5Wtej95sqH8022btp/VRXVZ19D9KyvGgFY1wFdffmzPK/M//2TK5tNbTn&#10;UIfkkT2mCGLv/yg6mhn8u3bCXrPLzoZqBF+hHyP49nZCw/+6jqifL3z1Aw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OeqGuYSAgAA&#10;KQQAAA4AAAAAAAAAAAAAAAAALgIAAGRycy9lMm9Eb2MueG1sUEsBAi0AFAAGAAgAAAAhAO4pKK7Y&#10;AAAABAEAAA8AAAAAAAAAAAAAAAAAbAQAAGRycy9kb3ducmV2LnhtbFBLBQYAAAAABAAEAPMAAABx&#10;BQAAAAA=&#10;" o:allowincell="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A783C"/>
    <w:multiLevelType w:val="singleLevel"/>
    <w:tmpl w:val="A52053E0"/>
    <w:lvl w:ilvl="0">
      <w:start w:val="1"/>
      <w:numFmt w:val="decimal"/>
      <w:pStyle w:val="Docutechnumbering"/>
      <w:lvlText w:val="%1."/>
      <w:lvlJc w:val="left"/>
      <w:pPr>
        <w:tabs>
          <w:tab w:val="num" w:pos="1080"/>
        </w:tabs>
        <w:ind w:left="0" w:firstLine="720"/>
      </w:pPr>
      <w:rPr>
        <w:b w:val="0"/>
        <w:i w:val="0"/>
      </w:rPr>
    </w:lvl>
  </w:abstractNum>
  <w:abstractNum w:abstractNumId="1">
    <w:nsid w:val="0A89591F"/>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2">
    <w:nsid w:val="1AA72553"/>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1C30232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4">
    <w:nsid w:val="1F09508A"/>
    <w:multiLevelType w:val="multilevel"/>
    <w:tmpl w:val="7D5A78C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5">
    <w:nsid w:val="2A9009E5"/>
    <w:multiLevelType w:val="multilevel"/>
    <w:tmpl w:val="37E49B74"/>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6">
    <w:nsid w:val="2B0355C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7">
    <w:nsid w:val="2C77136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8">
    <w:nsid w:val="31AD0280"/>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nsid w:val="31E25FD5"/>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nsid w:val="345E437F"/>
    <w:multiLevelType w:val="singleLevel"/>
    <w:tmpl w:val="50EE1B60"/>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nsid w:val="3C344BD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2">
    <w:nsid w:val="3D0F1B3D"/>
    <w:multiLevelType w:val="singleLevel"/>
    <w:tmpl w:val="4DCCE696"/>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nsid w:val="43D27EFD"/>
    <w:multiLevelType w:val="singleLevel"/>
    <w:tmpl w:val="42701C86"/>
    <w:lvl w:ilvl="0">
      <w:start w:val="1"/>
      <w:numFmt w:val="decimal"/>
      <w:lvlText w:val="%1."/>
      <w:lvlJc w:val="left"/>
      <w:pPr>
        <w:tabs>
          <w:tab w:val="num" w:pos="1440"/>
        </w:tabs>
        <w:ind w:left="1440" w:hanging="720"/>
      </w:pPr>
    </w:lvl>
  </w:abstractNum>
  <w:abstractNum w:abstractNumId="14">
    <w:nsid w:val="45DC3A3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5">
    <w:nsid w:val="496B4275"/>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6">
    <w:nsid w:val="5341241F"/>
    <w:multiLevelType w:val="singleLevel"/>
    <w:tmpl w:val="4C62BFF4"/>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7">
    <w:nsid w:val="541F6B38"/>
    <w:multiLevelType w:val="multilevel"/>
    <w:tmpl w:val="D892E404"/>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8">
    <w:nsid w:val="54FB72DB"/>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9">
    <w:nsid w:val="59BA0F8A"/>
    <w:multiLevelType w:val="singleLevel"/>
    <w:tmpl w:val="5E322D42"/>
    <w:lvl w:ilvl="0">
      <w:start w:val="1"/>
      <w:numFmt w:val="bullet"/>
      <w:pStyle w:val="Bullet"/>
      <w:lvlText w:val=""/>
      <w:lvlJc w:val="left"/>
      <w:pPr>
        <w:tabs>
          <w:tab w:val="num" w:pos="2520"/>
        </w:tabs>
        <w:ind w:left="2520" w:hanging="360"/>
      </w:pPr>
      <w:rPr>
        <w:rFonts w:ascii="Symbol" w:hAnsi="Symbol" w:hint="default"/>
      </w:rPr>
    </w:lvl>
  </w:abstractNum>
  <w:abstractNum w:abstractNumId="20">
    <w:nsid w:val="5D2B06DD"/>
    <w:multiLevelType w:val="multilevel"/>
    <w:tmpl w:val="5636CE50"/>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21">
    <w:nsid w:val="6496261D"/>
    <w:multiLevelType w:val="singleLevel"/>
    <w:tmpl w:val="459AAAC2"/>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nsid w:val="76FA2B00"/>
    <w:multiLevelType w:val="multilevel"/>
    <w:tmpl w:val="66C40B3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num w:numId="1">
    <w:abstractNumId w:val="21"/>
  </w:num>
  <w:num w:numId="2">
    <w:abstractNumId w:val="22"/>
  </w:num>
  <w:num w:numId="3">
    <w:abstractNumId w:val="4"/>
  </w:num>
  <w:num w:numId="4">
    <w:abstractNumId w:val="17"/>
  </w:num>
  <w:num w:numId="5">
    <w:abstractNumId w:val="5"/>
  </w:num>
  <w:num w:numId="6">
    <w:abstractNumId w:val="20"/>
  </w:num>
  <w:num w:numId="7">
    <w:abstractNumId w:val="14"/>
  </w:num>
  <w:num w:numId="8">
    <w:abstractNumId w:val="6"/>
  </w:num>
  <w:num w:numId="9">
    <w:abstractNumId w:val="19"/>
  </w:num>
  <w:num w:numId="10">
    <w:abstractNumId w:val="11"/>
  </w:num>
  <w:num w:numId="11">
    <w:abstractNumId w:val="10"/>
  </w:num>
  <w:num w:numId="12">
    <w:abstractNumId w:val="7"/>
  </w:num>
  <w:num w:numId="13">
    <w:abstractNumId w:val="12"/>
  </w:num>
  <w:num w:numId="14">
    <w:abstractNumId w:val="18"/>
  </w:num>
  <w:num w:numId="15">
    <w:abstractNumId w:val="2"/>
  </w:num>
  <w:num w:numId="16">
    <w:abstractNumId w:val="3"/>
  </w:num>
  <w:num w:numId="17">
    <w:abstractNumId w:val="8"/>
  </w:num>
  <w:num w:numId="18">
    <w:abstractNumId w:val="1"/>
  </w:num>
  <w:num w:numId="19">
    <w:abstractNumId w:val="9"/>
  </w:num>
  <w:num w:numId="20">
    <w:abstractNumId w:val="15"/>
  </w:num>
  <w:num w:numId="21">
    <w:abstractNumId w:val="16"/>
  </w:num>
  <w:num w:numId="22">
    <w:abstractNumId w:val="13"/>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122"/>
    <w:rsid w:val="000B3D0B"/>
    <w:rsid w:val="00356984"/>
    <w:rsid w:val="004805D3"/>
    <w:rsid w:val="00590D84"/>
    <w:rsid w:val="00682E18"/>
    <w:rsid w:val="008417AA"/>
    <w:rsid w:val="009836D4"/>
    <w:rsid w:val="009B519D"/>
    <w:rsid w:val="00B67AD8"/>
    <w:rsid w:val="00B90F2C"/>
    <w:rsid w:val="00BE0078"/>
    <w:rsid w:val="00ED5D11"/>
    <w:rsid w:val="00EF1122"/>
    <w:rsid w:val="00FC32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ParaNum"/>
    <w:qFormat/>
    <w:pPr>
      <w:keepNext/>
      <w:widowControl w:val="0"/>
      <w:numPr>
        <w:numId w:val="4"/>
      </w:numPr>
      <w:suppressAutoHyphens/>
      <w:spacing w:after="220"/>
      <w:jc w:val="both"/>
      <w:outlineLvl w:val="0"/>
    </w:pPr>
    <w:rPr>
      <w:b/>
      <w:caps/>
    </w:rPr>
  </w:style>
  <w:style w:type="paragraph" w:styleId="Heading2">
    <w:name w:val="heading 2"/>
    <w:basedOn w:val="Normal"/>
    <w:next w:val="ParaNum"/>
    <w:qFormat/>
    <w:pPr>
      <w:keepNext/>
      <w:widowControl w:val="0"/>
      <w:numPr>
        <w:ilvl w:val="1"/>
        <w:numId w:val="4"/>
      </w:numPr>
      <w:spacing w:after="220"/>
      <w:jc w:val="both"/>
      <w:outlineLvl w:val="1"/>
    </w:pPr>
    <w:rPr>
      <w:b/>
    </w:rPr>
  </w:style>
  <w:style w:type="paragraph" w:styleId="Heading3">
    <w:name w:val="heading 3"/>
    <w:basedOn w:val="Normal"/>
    <w:next w:val="ParaNum"/>
    <w:qFormat/>
    <w:pPr>
      <w:keepNext/>
      <w:widowControl w:val="0"/>
      <w:numPr>
        <w:ilvl w:val="2"/>
        <w:numId w:val="4"/>
      </w:numPr>
      <w:spacing w:after="220"/>
      <w:jc w:val="both"/>
      <w:outlineLvl w:val="2"/>
    </w:pPr>
    <w:rPr>
      <w:b/>
    </w:rPr>
  </w:style>
  <w:style w:type="paragraph" w:styleId="Heading4">
    <w:name w:val="heading 4"/>
    <w:basedOn w:val="Normal"/>
    <w:next w:val="ParaNum"/>
    <w:qFormat/>
    <w:pPr>
      <w:keepNext/>
      <w:widowControl w:val="0"/>
      <w:numPr>
        <w:ilvl w:val="3"/>
        <w:numId w:val="4"/>
      </w:numPr>
      <w:spacing w:after="220"/>
      <w:jc w:val="both"/>
      <w:outlineLvl w:val="3"/>
    </w:pPr>
    <w:rPr>
      <w:b/>
    </w:rPr>
  </w:style>
  <w:style w:type="paragraph" w:styleId="Heading5">
    <w:name w:val="heading 5"/>
    <w:basedOn w:val="Normal"/>
    <w:next w:val="ParaNum"/>
    <w:qFormat/>
    <w:pPr>
      <w:keepNext/>
      <w:widowControl w:val="0"/>
      <w:numPr>
        <w:ilvl w:val="4"/>
        <w:numId w:val="4"/>
      </w:numPr>
      <w:suppressAutoHyphens/>
      <w:spacing w:after="220"/>
      <w:jc w:val="both"/>
      <w:outlineLvl w:val="4"/>
    </w:pPr>
    <w:rPr>
      <w:b/>
    </w:rPr>
  </w:style>
  <w:style w:type="paragraph" w:styleId="Heading6">
    <w:name w:val="heading 6"/>
    <w:basedOn w:val="Normal"/>
    <w:next w:val="ParaNum"/>
    <w:qFormat/>
    <w:pPr>
      <w:widowControl w:val="0"/>
      <w:numPr>
        <w:ilvl w:val="5"/>
        <w:numId w:val="4"/>
      </w:numPr>
      <w:spacing w:after="220"/>
      <w:jc w:val="both"/>
      <w:outlineLvl w:val="5"/>
    </w:pPr>
    <w:rPr>
      <w:b/>
    </w:rPr>
  </w:style>
  <w:style w:type="paragraph" w:styleId="Heading7">
    <w:name w:val="heading 7"/>
    <w:basedOn w:val="Normal"/>
    <w:next w:val="ParaNum"/>
    <w:qFormat/>
    <w:pPr>
      <w:widowControl w:val="0"/>
      <w:numPr>
        <w:ilvl w:val="6"/>
        <w:numId w:val="4"/>
      </w:numPr>
      <w:spacing w:after="220"/>
      <w:jc w:val="both"/>
      <w:outlineLvl w:val="6"/>
    </w:pPr>
    <w:rPr>
      <w:b/>
    </w:rPr>
  </w:style>
  <w:style w:type="paragraph" w:styleId="Heading8">
    <w:name w:val="heading 8"/>
    <w:basedOn w:val="Normal"/>
    <w:next w:val="ParaNum"/>
    <w:qFormat/>
    <w:pPr>
      <w:widowControl w:val="0"/>
      <w:numPr>
        <w:ilvl w:val="7"/>
        <w:numId w:val="4"/>
      </w:numPr>
      <w:spacing w:after="220"/>
      <w:jc w:val="both"/>
      <w:outlineLvl w:val="7"/>
    </w:pPr>
    <w:rPr>
      <w:b/>
    </w:rPr>
  </w:style>
  <w:style w:type="paragraph" w:styleId="Heading9">
    <w:name w:val="heading 9"/>
    <w:basedOn w:val="Normal"/>
    <w:next w:val="ParaNum"/>
    <w:qFormat/>
    <w:pPr>
      <w:widowControl w:val="0"/>
      <w:numPr>
        <w:ilvl w:val="8"/>
        <w:numId w:val="4"/>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paragraph" w:customStyle="1" w:styleId="ParaNum">
    <w:name w:val="ParaNum"/>
    <w:basedOn w:val="Normal"/>
    <w:pPr>
      <w:widowControl w:val="0"/>
      <w:numPr>
        <w:numId w:val="13"/>
      </w:numPr>
      <w:tabs>
        <w:tab w:val="clear" w:pos="1080"/>
        <w:tab w:val="left" w:pos="1440"/>
      </w:tabs>
      <w:spacing w:after="220"/>
      <w:jc w:val="both"/>
    </w:pPr>
  </w:style>
  <w:style w:type="paragraph" w:styleId="FootnoteText">
    <w:name w:val="footnote text"/>
    <w:basedOn w:val="Normal"/>
    <w:semiHidden/>
    <w:pPr>
      <w:tabs>
        <w:tab w:val="left" w:pos="180"/>
        <w:tab w:val="left" w:pos="720"/>
        <w:tab w:val="left" w:pos="1440"/>
        <w:tab w:val="left" w:pos="2160"/>
      </w:tabs>
      <w:spacing w:after="120"/>
      <w:jc w:val="both"/>
    </w:pPr>
    <w:rPr>
      <w:sz w:val="20"/>
    </w:rPr>
  </w:style>
  <w:style w:type="paragraph" w:customStyle="1" w:styleId="Bullet">
    <w:name w:val="Bullet"/>
    <w:basedOn w:val="Normal"/>
    <w:pPr>
      <w:widowControl w:val="0"/>
      <w:numPr>
        <w:numId w:val="9"/>
      </w:numPr>
      <w:tabs>
        <w:tab w:val="clear" w:pos="2520"/>
      </w:tabs>
      <w:spacing w:after="220"/>
      <w:ind w:left="2160" w:hanging="720"/>
      <w:jc w:val="both"/>
    </w:pPr>
  </w:style>
  <w:style w:type="paragraph" w:styleId="BlockText">
    <w:name w:val="Block Text"/>
    <w:basedOn w:val="Normal"/>
    <w:pPr>
      <w:widowControl w:val="0"/>
      <w:spacing w:after="220"/>
      <w:ind w:left="1440" w:right="1440"/>
      <w:jc w:val="both"/>
    </w:pPr>
  </w:style>
  <w:style w:type="paragraph" w:customStyle="1" w:styleId="TableFormat">
    <w:name w:val="TableFormat"/>
    <w:basedOn w:val="Normal"/>
    <w:pPr>
      <w:widowControl w:val="0"/>
      <w:tabs>
        <w:tab w:val="left" w:pos="5040"/>
      </w:tabs>
      <w:spacing w:after="220"/>
      <w:ind w:left="5040" w:hanging="3600"/>
      <w:jc w:val="both"/>
    </w:pPr>
  </w:style>
  <w:style w:type="character" w:styleId="FootnoteReference">
    <w:name w:val="footnote reference"/>
    <w:basedOn w:val="DefaultParagraphFont"/>
    <w:semiHidden/>
    <w:rPr>
      <w:vertAlign w:val="superscript"/>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OC2">
    <w:name w:val="toc 2"/>
    <w:basedOn w:val="Normal"/>
    <w:next w:val="Normal"/>
    <w:semiHidden/>
    <w:pPr>
      <w:widowControl w:val="0"/>
      <w:tabs>
        <w:tab w:val="left" w:pos="1440"/>
        <w:tab w:val="right" w:leader="dot" w:pos="9360"/>
      </w:tabs>
      <w:suppressAutoHyphens/>
      <w:spacing w:before="220"/>
      <w:ind w:left="1440" w:right="720" w:hanging="720"/>
      <w:jc w:val="both"/>
    </w:pPr>
  </w:style>
  <w:style w:type="paragraph" w:customStyle="1" w:styleId="NumberedList">
    <w:name w:val="Numbered List"/>
    <w:basedOn w:val="Normal"/>
    <w:pPr>
      <w:numPr>
        <w:numId w:val="21"/>
      </w:numPr>
      <w:tabs>
        <w:tab w:val="clear" w:pos="1080"/>
      </w:tabs>
      <w:spacing w:after="220"/>
      <w:ind w:firstLine="0"/>
    </w:pPr>
  </w:style>
  <w:style w:type="paragraph" w:styleId="TOC1">
    <w:name w:val="toc 1"/>
    <w:basedOn w:val="Normal"/>
    <w:next w:val="Normal"/>
    <w:semiHidden/>
    <w:pPr>
      <w:widowControl w:val="0"/>
      <w:tabs>
        <w:tab w:val="right" w:leader="dot" w:pos="9360"/>
      </w:tabs>
      <w:suppressAutoHyphens/>
      <w:spacing w:before="220"/>
      <w:ind w:left="720" w:right="720" w:hanging="720"/>
      <w:jc w:val="both"/>
    </w:pPr>
    <w:rPr>
      <w:caps/>
    </w:rPr>
  </w:style>
  <w:style w:type="paragraph" w:styleId="TOC3">
    <w:name w:val="toc 3"/>
    <w:basedOn w:val="Normal"/>
    <w:next w:val="Normal"/>
    <w:semiHidden/>
    <w:pPr>
      <w:widowControl w:val="0"/>
      <w:tabs>
        <w:tab w:val="left" w:pos="2160"/>
        <w:tab w:val="right" w:leader="dot" w:pos="9360"/>
      </w:tabs>
      <w:suppressAutoHyphens/>
      <w:ind w:left="2160" w:right="720" w:hanging="720"/>
      <w:jc w:val="both"/>
    </w:pPr>
  </w:style>
  <w:style w:type="paragraph" w:styleId="TOC4">
    <w:name w:val="toc 4"/>
    <w:basedOn w:val="Normal"/>
    <w:next w:val="Normal"/>
    <w:semiHidden/>
    <w:pPr>
      <w:widowControl w:val="0"/>
      <w:tabs>
        <w:tab w:val="left" w:pos="2880"/>
        <w:tab w:val="right" w:leader="dot" w:pos="9360"/>
      </w:tabs>
      <w:suppressAutoHyphens/>
      <w:ind w:left="2880" w:right="720" w:hanging="720"/>
      <w:jc w:val="both"/>
    </w:pPr>
  </w:style>
  <w:style w:type="paragraph" w:styleId="TOC5">
    <w:name w:val="toc 5"/>
    <w:basedOn w:val="Normal"/>
    <w:next w:val="Normal"/>
    <w:semiHidden/>
    <w:pPr>
      <w:widowControl w:val="0"/>
      <w:tabs>
        <w:tab w:val="left" w:pos="3600"/>
        <w:tab w:val="right" w:leader="dot" w:pos="9360"/>
      </w:tabs>
      <w:suppressAutoHyphens/>
      <w:ind w:left="3600" w:right="720" w:hanging="720"/>
      <w:jc w:val="both"/>
    </w:pPr>
  </w:style>
  <w:style w:type="paragraph" w:styleId="TOC6">
    <w:name w:val="toc 6"/>
    <w:basedOn w:val="Normal"/>
    <w:next w:val="Normal"/>
    <w:semiHidden/>
    <w:pPr>
      <w:widowControl w:val="0"/>
      <w:tabs>
        <w:tab w:val="left" w:leader="dot" w:pos="9360"/>
      </w:tabs>
      <w:suppressAutoHyphens/>
      <w:ind w:left="720" w:hanging="720"/>
      <w:jc w:val="both"/>
    </w:pPr>
  </w:style>
  <w:style w:type="paragraph" w:styleId="TOC7">
    <w:name w:val="toc 7"/>
    <w:basedOn w:val="Normal"/>
    <w:next w:val="Normal"/>
    <w:semiHidden/>
    <w:pPr>
      <w:widowControl w:val="0"/>
      <w:tabs>
        <w:tab w:val="left" w:leader="dot" w:pos="9360"/>
      </w:tabs>
      <w:suppressAutoHyphens/>
      <w:ind w:left="720" w:hanging="720"/>
      <w:jc w:val="both"/>
    </w:pPr>
  </w:style>
  <w:style w:type="paragraph" w:styleId="TOC8">
    <w:name w:val="toc 8"/>
    <w:basedOn w:val="Normal"/>
    <w:next w:val="Normal"/>
    <w:semiHidden/>
    <w:pPr>
      <w:widowControl w:val="0"/>
      <w:tabs>
        <w:tab w:val="left" w:leader="dot" w:pos="9360"/>
      </w:tabs>
      <w:suppressAutoHyphens/>
      <w:ind w:left="720" w:hanging="720"/>
      <w:jc w:val="both"/>
    </w:pPr>
  </w:style>
  <w:style w:type="paragraph" w:styleId="TOC9">
    <w:name w:val="toc 9"/>
    <w:basedOn w:val="Normal"/>
    <w:next w:val="Normal"/>
    <w:semiHidden/>
    <w:pPr>
      <w:tabs>
        <w:tab w:val="left" w:leader="dot" w:pos="9360"/>
      </w:tabs>
      <w:ind w:left="720" w:hanging="720"/>
      <w:jc w:val="both"/>
    </w:pPr>
  </w:style>
  <w:style w:type="character" w:styleId="PageNumber">
    <w:name w:val="page number"/>
    <w:basedOn w:val="DefaultParagraphFont"/>
  </w:style>
  <w:style w:type="paragraph" w:styleId="Title">
    <w:name w:val="Title"/>
    <w:basedOn w:val="Normal"/>
    <w:qFormat/>
    <w:pPr>
      <w:jc w:val="center"/>
    </w:pPr>
    <w:rPr>
      <w:b/>
    </w:rPr>
  </w:style>
  <w:style w:type="paragraph" w:customStyle="1" w:styleId="Docutechnumbering">
    <w:name w:val="Docutech numbering"/>
    <w:basedOn w:val="Normal"/>
    <w:pPr>
      <w:widowControl w:val="0"/>
      <w:numPr>
        <w:numId w:val="23"/>
      </w:numPr>
      <w:spacing w:after="120"/>
      <w:jc w:val="both"/>
      <w:outlineLvl w:val="0"/>
    </w:pPr>
    <w:rPr>
      <w:snapToGrid w:val="0"/>
    </w:rPr>
  </w:style>
  <w:style w:type="character" w:styleId="Hyperlink">
    <w:name w:val="Hyperlink"/>
    <w:basedOn w:val="DefaultParagraphFont"/>
    <w:rPr>
      <w:color w:val="0000FF"/>
      <w:u w:val="single"/>
    </w:rPr>
  </w:style>
  <w:style w:type="paragraph" w:styleId="BalloonText">
    <w:name w:val="Balloon Text"/>
    <w:basedOn w:val="Normal"/>
    <w:semiHidden/>
    <w:rPr>
      <w:rFonts w:ascii="Tahoma" w:hAnsi="Tahoma" w:cs="Tahoma"/>
      <w:sz w:val="16"/>
      <w:szCs w:val="16"/>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character" w:styleId="FollowedHyperlink">
    <w:name w:val="FollowedHyperlink"/>
    <w:basedOn w:val="DefaultParagraphFont"/>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ParaNum"/>
    <w:qFormat/>
    <w:pPr>
      <w:keepNext/>
      <w:widowControl w:val="0"/>
      <w:numPr>
        <w:numId w:val="4"/>
      </w:numPr>
      <w:suppressAutoHyphens/>
      <w:spacing w:after="220"/>
      <w:jc w:val="both"/>
      <w:outlineLvl w:val="0"/>
    </w:pPr>
    <w:rPr>
      <w:b/>
      <w:caps/>
    </w:rPr>
  </w:style>
  <w:style w:type="paragraph" w:styleId="Heading2">
    <w:name w:val="heading 2"/>
    <w:basedOn w:val="Normal"/>
    <w:next w:val="ParaNum"/>
    <w:qFormat/>
    <w:pPr>
      <w:keepNext/>
      <w:widowControl w:val="0"/>
      <w:numPr>
        <w:ilvl w:val="1"/>
        <w:numId w:val="4"/>
      </w:numPr>
      <w:spacing w:after="220"/>
      <w:jc w:val="both"/>
      <w:outlineLvl w:val="1"/>
    </w:pPr>
    <w:rPr>
      <w:b/>
    </w:rPr>
  </w:style>
  <w:style w:type="paragraph" w:styleId="Heading3">
    <w:name w:val="heading 3"/>
    <w:basedOn w:val="Normal"/>
    <w:next w:val="ParaNum"/>
    <w:qFormat/>
    <w:pPr>
      <w:keepNext/>
      <w:widowControl w:val="0"/>
      <w:numPr>
        <w:ilvl w:val="2"/>
        <w:numId w:val="4"/>
      </w:numPr>
      <w:spacing w:after="220"/>
      <w:jc w:val="both"/>
      <w:outlineLvl w:val="2"/>
    </w:pPr>
    <w:rPr>
      <w:b/>
    </w:rPr>
  </w:style>
  <w:style w:type="paragraph" w:styleId="Heading4">
    <w:name w:val="heading 4"/>
    <w:basedOn w:val="Normal"/>
    <w:next w:val="ParaNum"/>
    <w:qFormat/>
    <w:pPr>
      <w:keepNext/>
      <w:widowControl w:val="0"/>
      <w:numPr>
        <w:ilvl w:val="3"/>
        <w:numId w:val="4"/>
      </w:numPr>
      <w:spacing w:after="220"/>
      <w:jc w:val="both"/>
      <w:outlineLvl w:val="3"/>
    </w:pPr>
    <w:rPr>
      <w:b/>
    </w:rPr>
  </w:style>
  <w:style w:type="paragraph" w:styleId="Heading5">
    <w:name w:val="heading 5"/>
    <w:basedOn w:val="Normal"/>
    <w:next w:val="ParaNum"/>
    <w:qFormat/>
    <w:pPr>
      <w:keepNext/>
      <w:widowControl w:val="0"/>
      <w:numPr>
        <w:ilvl w:val="4"/>
        <w:numId w:val="4"/>
      </w:numPr>
      <w:suppressAutoHyphens/>
      <w:spacing w:after="220"/>
      <w:jc w:val="both"/>
      <w:outlineLvl w:val="4"/>
    </w:pPr>
    <w:rPr>
      <w:b/>
    </w:rPr>
  </w:style>
  <w:style w:type="paragraph" w:styleId="Heading6">
    <w:name w:val="heading 6"/>
    <w:basedOn w:val="Normal"/>
    <w:next w:val="ParaNum"/>
    <w:qFormat/>
    <w:pPr>
      <w:widowControl w:val="0"/>
      <w:numPr>
        <w:ilvl w:val="5"/>
        <w:numId w:val="4"/>
      </w:numPr>
      <w:spacing w:after="220"/>
      <w:jc w:val="both"/>
      <w:outlineLvl w:val="5"/>
    </w:pPr>
    <w:rPr>
      <w:b/>
    </w:rPr>
  </w:style>
  <w:style w:type="paragraph" w:styleId="Heading7">
    <w:name w:val="heading 7"/>
    <w:basedOn w:val="Normal"/>
    <w:next w:val="ParaNum"/>
    <w:qFormat/>
    <w:pPr>
      <w:widowControl w:val="0"/>
      <w:numPr>
        <w:ilvl w:val="6"/>
        <w:numId w:val="4"/>
      </w:numPr>
      <w:spacing w:after="220"/>
      <w:jc w:val="both"/>
      <w:outlineLvl w:val="6"/>
    </w:pPr>
    <w:rPr>
      <w:b/>
    </w:rPr>
  </w:style>
  <w:style w:type="paragraph" w:styleId="Heading8">
    <w:name w:val="heading 8"/>
    <w:basedOn w:val="Normal"/>
    <w:next w:val="ParaNum"/>
    <w:qFormat/>
    <w:pPr>
      <w:widowControl w:val="0"/>
      <w:numPr>
        <w:ilvl w:val="7"/>
        <w:numId w:val="4"/>
      </w:numPr>
      <w:spacing w:after="220"/>
      <w:jc w:val="both"/>
      <w:outlineLvl w:val="7"/>
    </w:pPr>
    <w:rPr>
      <w:b/>
    </w:rPr>
  </w:style>
  <w:style w:type="paragraph" w:styleId="Heading9">
    <w:name w:val="heading 9"/>
    <w:basedOn w:val="Normal"/>
    <w:next w:val="ParaNum"/>
    <w:qFormat/>
    <w:pPr>
      <w:widowControl w:val="0"/>
      <w:numPr>
        <w:ilvl w:val="8"/>
        <w:numId w:val="4"/>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paragraph" w:customStyle="1" w:styleId="ParaNum">
    <w:name w:val="ParaNum"/>
    <w:basedOn w:val="Normal"/>
    <w:pPr>
      <w:widowControl w:val="0"/>
      <w:numPr>
        <w:numId w:val="13"/>
      </w:numPr>
      <w:tabs>
        <w:tab w:val="clear" w:pos="1080"/>
        <w:tab w:val="left" w:pos="1440"/>
      </w:tabs>
      <w:spacing w:after="220"/>
      <w:jc w:val="both"/>
    </w:pPr>
  </w:style>
  <w:style w:type="paragraph" w:styleId="FootnoteText">
    <w:name w:val="footnote text"/>
    <w:basedOn w:val="Normal"/>
    <w:semiHidden/>
    <w:pPr>
      <w:tabs>
        <w:tab w:val="left" w:pos="180"/>
        <w:tab w:val="left" w:pos="720"/>
        <w:tab w:val="left" w:pos="1440"/>
        <w:tab w:val="left" w:pos="2160"/>
      </w:tabs>
      <w:spacing w:after="120"/>
      <w:jc w:val="both"/>
    </w:pPr>
    <w:rPr>
      <w:sz w:val="20"/>
    </w:rPr>
  </w:style>
  <w:style w:type="paragraph" w:customStyle="1" w:styleId="Bullet">
    <w:name w:val="Bullet"/>
    <w:basedOn w:val="Normal"/>
    <w:pPr>
      <w:widowControl w:val="0"/>
      <w:numPr>
        <w:numId w:val="9"/>
      </w:numPr>
      <w:tabs>
        <w:tab w:val="clear" w:pos="2520"/>
      </w:tabs>
      <w:spacing w:after="220"/>
      <w:ind w:left="2160" w:hanging="720"/>
      <w:jc w:val="both"/>
    </w:pPr>
  </w:style>
  <w:style w:type="paragraph" w:styleId="BlockText">
    <w:name w:val="Block Text"/>
    <w:basedOn w:val="Normal"/>
    <w:pPr>
      <w:widowControl w:val="0"/>
      <w:spacing w:after="220"/>
      <w:ind w:left="1440" w:right="1440"/>
      <w:jc w:val="both"/>
    </w:pPr>
  </w:style>
  <w:style w:type="paragraph" w:customStyle="1" w:styleId="TableFormat">
    <w:name w:val="TableFormat"/>
    <w:basedOn w:val="Normal"/>
    <w:pPr>
      <w:widowControl w:val="0"/>
      <w:tabs>
        <w:tab w:val="left" w:pos="5040"/>
      </w:tabs>
      <w:spacing w:after="220"/>
      <w:ind w:left="5040" w:hanging="3600"/>
      <w:jc w:val="both"/>
    </w:pPr>
  </w:style>
  <w:style w:type="character" w:styleId="FootnoteReference">
    <w:name w:val="footnote reference"/>
    <w:basedOn w:val="DefaultParagraphFont"/>
    <w:semiHidden/>
    <w:rPr>
      <w:vertAlign w:val="superscript"/>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OC2">
    <w:name w:val="toc 2"/>
    <w:basedOn w:val="Normal"/>
    <w:next w:val="Normal"/>
    <w:semiHidden/>
    <w:pPr>
      <w:widowControl w:val="0"/>
      <w:tabs>
        <w:tab w:val="left" w:pos="1440"/>
        <w:tab w:val="right" w:leader="dot" w:pos="9360"/>
      </w:tabs>
      <w:suppressAutoHyphens/>
      <w:spacing w:before="220"/>
      <w:ind w:left="1440" w:right="720" w:hanging="720"/>
      <w:jc w:val="both"/>
    </w:pPr>
  </w:style>
  <w:style w:type="paragraph" w:customStyle="1" w:styleId="NumberedList">
    <w:name w:val="Numbered List"/>
    <w:basedOn w:val="Normal"/>
    <w:pPr>
      <w:numPr>
        <w:numId w:val="21"/>
      </w:numPr>
      <w:tabs>
        <w:tab w:val="clear" w:pos="1080"/>
      </w:tabs>
      <w:spacing w:after="220"/>
      <w:ind w:firstLine="0"/>
    </w:pPr>
  </w:style>
  <w:style w:type="paragraph" w:styleId="TOC1">
    <w:name w:val="toc 1"/>
    <w:basedOn w:val="Normal"/>
    <w:next w:val="Normal"/>
    <w:semiHidden/>
    <w:pPr>
      <w:widowControl w:val="0"/>
      <w:tabs>
        <w:tab w:val="right" w:leader="dot" w:pos="9360"/>
      </w:tabs>
      <w:suppressAutoHyphens/>
      <w:spacing w:before="220"/>
      <w:ind w:left="720" w:right="720" w:hanging="720"/>
      <w:jc w:val="both"/>
    </w:pPr>
    <w:rPr>
      <w:caps/>
    </w:rPr>
  </w:style>
  <w:style w:type="paragraph" w:styleId="TOC3">
    <w:name w:val="toc 3"/>
    <w:basedOn w:val="Normal"/>
    <w:next w:val="Normal"/>
    <w:semiHidden/>
    <w:pPr>
      <w:widowControl w:val="0"/>
      <w:tabs>
        <w:tab w:val="left" w:pos="2160"/>
        <w:tab w:val="right" w:leader="dot" w:pos="9360"/>
      </w:tabs>
      <w:suppressAutoHyphens/>
      <w:ind w:left="2160" w:right="720" w:hanging="720"/>
      <w:jc w:val="both"/>
    </w:pPr>
  </w:style>
  <w:style w:type="paragraph" w:styleId="TOC4">
    <w:name w:val="toc 4"/>
    <w:basedOn w:val="Normal"/>
    <w:next w:val="Normal"/>
    <w:semiHidden/>
    <w:pPr>
      <w:widowControl w:val="0"/>
      <w:tabs>
        <w:tab w:val="left" w:pos="2880"/>
        <w:tab w:val="right" w:leader="dot" w:pos="9360"/>
      </w:tabs>
      <w:suppressAutoHyphens/>
      <w:ind w:left="2880" w:right="720" w:hanging="720"/>
      <w:jc w:val="both"/>
    </w:pPr>
  </w:style>
  <w:style w:type="paragraph" w:styleId="TOC5">
    <w:name w:val="toc 5"/>
    <w:basedOn w:val="Normal"/>
    <w:next w:val="Normal"/>
    <w:semiHidden/>
    <w:pPr>
      <w:widowControl w:val="0"/>
      <w:tabs>
        <w:tab w:val="left" w:pos="3600"/>
        <w:tab w:val="right" w:leader="dot" w:pos="9360"/>
      </w:tabs>
      <w:suppressAutoHyphens/>
      <w:ind w:left="3600" w:right="720" w:hanging="720"/>
      <w:jc w:val="both"/>
    </w:pPr>
  </w:style>
  <w:style w:type="paragraph" w:styleId="TOC6">
    <w:name w:val="toc 6"/>
    <w:basedOn w:val="Normal"/>
    <w:next w:val="Normal"/>
    <w:semiHidden/>
    <w:pPr>
      <w:widowControl w:val="0"/>
      <w:tabs>
        <w:tab w:val="left" w:leader="dot" w:pos="9360"/>
      </w:tabs>
      <w:suppressAutoHyphens/>
      <w:ind w:left="720" w:hanging="720"/>
      <w:jc w:val="both"/>
    </w:pPr>
  </w:style>
  <w:style w:type="paragraph" w:styleId="TOC7">
    <w:name w:val="toc 7"/>
    <w:basedOn w:val="Normal"/>
    <w:next w:val="Normal"/>
    <w:semiHidden/>
    <w:pPr>
      <w:widowControl w:val="0"/>
      <w:tabs>
        <w:tab w:val="left" w:leader="dot" w:pos="9360"/>
      </w:tabs>
      <w:suppressAutoHyphens/>
      <w:ind w:left="720" w:hanging="720"/>
      <w:jc w:val="both"/>
    </w:pPr>
  </w:style>
  <w:style w:type="paragraph" w:styleId="TOC8">
    <w:name w:val="toc 8"/>
    <w:basedOn w:val="Normal"/>
    <w:next w:val="Normal"/>
    <w:semiHidden/>
    <w:pPr>
      <w:widowControl w:val="0"/>
      <w:tabs>
        <w:tab w:val="left" w:leader="dot" w:pos="9360"/>
      </w:tabs>
      <w:suppressAutoHyphens/>
      <w:ind w:left="720" w:hanging="720"/>
      <w:jc w:val="both"/>
    </w:pPr>
  </w:style>
  <w:style w:type="paragraph" w:styleId="TOC9">
    <w:name w:val="toc 9"/>
    <w:basedOn w:val="Normal"/>
    <w:next w:val="Normal"/>
    <w:semiHidden/>
    <w:pPr>
      <w:tabs>
        <w:tab w:val="left" w:leader="dot" w:pos="9360"/>
      </w:tabs>
      <w:ind w:left="720" w:hanging="720"/>
      <w:jc w:val="both"/>
    </w:pPr>
  </w:style>
  <w:style w:type="character" w:styleId="PageNumber">
    <w:name w:val="page number"/>
    <w:basedOn w:val="DefaultParagraphFont"/>
  </w:style>
  <w:style w:type="paragraph" w:styleId="Title">
    <w:name w:val="Title"/>
    <w:basedOn w:val="Normal"/>
    <w:qFormat/>
    <w:pPr>
      <w:jc w:val="center"/>
    </w:pPr>
    <w:rPr>
      <w:b/>
    </w:rPr>
  </w:style>
  <w:style w:type="paragraph" w:customStyle="1" w:styleId="Docutechnumbering">
    <w:name w:val="Docutech numbering"/>
    <w:basedOn w:val="Normal"/>
    <w:pPr>
      <w:widowControl w:val="0"/>
      <w:numPr>
        <w:numId w:val="23"/>
      </w:numPr>
      <w:spacing w:after="120"/>
      <w:jc w:val="both"/>
      <w:outlineLvl w:val="0"/>
    </w:pPr>
    <w:rPr>
      <w:snapToGrid w:val="0"/>
    </w:rPr>
  </w:style>
  <w:style w:type="character" w:styleId="Hyperlink">
    <w:name w:val="Hyperlink"/>
    <w:basedOn w:val="DefaultParagraphFont"/>
    <w:rPr>
      <w:color w:val="0000FF"/>
      <w:u w:val="single"/>
    </w:rPr>
  </w:style>
  <w:style w:type="paragraph" w:styleId="BalloonText">
    <w:name w:val="Balloon Text"/>
    <w:basedOn w:val="Normal"/>
    <w:semiHidden/>
    <w:rPr>
      <w:rFonts w:ascii="Tahoma" w:hAnsi="Tahoma" w:cs="Tahoma"/>
      <w:sz w:val="16"/>
      <w:szCs w:val="16"/>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character" w:styleId="FollowedHyperlink">
    <w:name w:val="FollowedHyperlink"/>
    <w:basedOn w:val="DefaultParagraphFont"/>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1000</Words>
  <Characters>5221</Characters>
  <Application>Microsoft Office Word</Application>
  <DocSecurity>0</DocSecurity>
  <Lines>100</Lines>
  <Paragraphs>39</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6182</CharactersWithSpaces>
  <SharedDoc>false</SharedDoc>
  <HyperlinkBase> </HyperlinkBase>
  <HLinks>
    <vt:vector size="6" baseType="variant">
      <vt:variant>
        <vt:i4>3604587</vt:i4>
      </vt:variant>
      <vt:variant>
        <vt:i4>0</vt:i4>
      </vt:variant>
      <vt:variant>
        <vt:i4>0</vt:i4>
      </vt:variant>
      <vt:variant>
        <vt:i4>5</vt:i4>
      </vt:variant>
      <vt:variant>
        <vt:lpwstr>http://www.fcc.gov/cgb/dro/hearing.html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2012-03-16T19:55:00Z</cp:lastPrinted>
  <dcterms:created xsi:type="dcterms:W3CDTF">2012-12-27T20:12:00Z</dcterms:created>
  <dcterms:modified xsi:type="dcterms:W3CDTF">2012-12-27T20:12:00Z</dcterms:modified>
  <cp:category> </cp:category>
  <cp:contentStatus> </cp:contentStatus>
</cp:coreProperties>
</file>