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Default="006F0A85">
      <w:pPr>
        <w:jc w:val="right"/>
        <w:rPr>
          <w:b/>
          <w:szCs w:val="24"/>
        </w:rPr>
      </w:pPr>
      <w:bookmarkStart w:id="0" w:name="_GoBack"/>
      <w:bookmarkEnd w:id="0"/>
    </w:p>
    <w:p w:rsidR="004D5682" w:rsidRDefault="004D5682">
      <w:pPr>
        <w:jc w:val="right"/>
        <w:rPr>
          <w:b/>
          <w:szCs w:val="24"/>
        </w:rPr>
      </w:pPr>
      <w:r>
        <w:rPr>
          <w:b/>
          <w:szCs w:val="24"/>
        </w:rPr>
        <w:t xml:space="preserve">DA </w:t>
      </w:r>
      <w:r w:rsidR="006F0A85">
        <w:rPr>
          <w:b/>
          <w:szCs w:val="24"/>
        </w:rPr>
        <w:t>13-</w:t>
      </w:r>
      <w:r w:rsidR="00D50F31">
        <w:rPr>
          <w:b/>
          <w:szCs w:val="24"/>
        </w:rPr>
        <w:t>100</w:t>
      </w:r>
      <w:r w:rsidR="00433CD1">
        <w:rPr>
          <w:b/>
          <w:szCs w:val="24"/>
        </w:rPr>
        <w:t>2</w:t>
      </w:r>
    </w:p>
    <w:p w:rsidR="004D5682" w:rsidRDefault="004D5682">
      <w:pPr>
        <w:jc w:val="right"/>
        <w:rPr>
          <w:b/>
          <w:szCs w:val="24"/>
        </w:rPr>
      </w:pPr>
    </w:p>
    <w:p w:rsidR="004D5682" w:rsidRDefault="004D5682">
      <w:pPr>
        <w:jc w:val="right"/>
        <w:rPr>
          <w:b/>
          <w:szCs w:val="24"/>
        </w:rPr>
      </w:pPr>
    </w:p>
    <w:p w:rsidR="004D5682" w:rsidRDefault="004D5682">
      <w:pPr>
        <w:jc w:val="center"/>
        <w:rPr>
          <w:b/>
          <w:sz w:val="36"/>
          <w:szCs w:val="36"/>
        </w:rPr>
      </w:pPr>
      <w:r>
        <w:rPr>
          <w:b/>
          <w:sz w:val="36"/>
          <w:szCs w:val="36"/>
        </w:rPr>
        <w:t>Small Entity Compliance Guide</w:t>
      </w:r>
    </w:p>
    <w:p w:rsidR="004D5682" w:rsidRDefault="004D5682">
      <w:pPr>
        <w:jc w:val="center"/>
        <w:rPr>
          <w:b/>
          <w:szCs w:val="24"/>
        </w:rPr>
      </w:pPr>
    </w:p>
    <w:p w:rsidR="002131D9" w:rsidRPr="00321E3C" w:rsidRDefault="002131D9" w:rsidP="002131D9">
      <w:pPr>
        <w:autoSpaceDE w:val="0"/>
        <w:autoSpaceDN w:val="0"/>
        <w:adjustRightInd w:val="0"/>
        <w:spacing w:beforeLines="60" w:before="144" w:afterLines="60" w:after="144"/>
        <w:jc w:val="center"/>
        <w:rPr>
          <w:b/>
          <w:sz w:val="28"/>
          <w:szCs w:val="28"/>
        </w:rPr>
      </w:pPr>
      <w:bookmarkStart w:id="1" w:name="OLE_LINK1"/>
      <w:r w:rsidRPr="00321E3C">
        <w:rPr>
          <w:b/>
          <w:sz w:val="28"/>
          <w:szCs w:val="28"/>
        </w:rPr>
        <w:t>Implementation of the Commercial Advertisement Loudness Mitigation (CALM) Act</w:t>
      </w:r>
    </w:p>
    <w:p w:rsidR="00321E3C" w:rsidRPr="002131D9" w:rsidRDefault="00321E3C" w:rsidP="002131D9">
      <w:pPr>
        <w:autoSpaceDE w:val="0"/>
        <w:autoSpaceDN w:val="0"/>
        <w:adjustRightInd w:val="0"/>
        <w:spacing w:beforeLines="60" w:before="144" w:afterLines="60" w:after="144"/>
        <w:jc w:val="center"/>
        <w:rPr>
          <w:b/>
          <w:sz w:val="28"/>
          <w:szCs w:val="28"/>
        </w:rPr>
      </w:pPr>
    </w:p>
    <w:p w:rsidR="002131D9" w:rsidRPr="00321E3C" w:rsidRDefault="002131D9" w:rsidP="002131D9">
      <w:pPr>
        <w:autoSpaceDE w:val="0"/>
        <w:autoSpaceDN w:val="0"/>
        <w:adjustRightInd w:val="0"/>
        <w:spacing w:beforeLines="60" w:before="144" w:afterLines="60" w:after="144"/>
        <w:jc w:val="center"/>
        <w:rPr>
          <w:b/>
          <w:szCs w:val="24"/>
        </w:rPr>
      </w:pPr>
      <w:r w:rsidRPr="00321E3C">
        <w:rPr>
          <w:b/>
          <w:szCs w:val="24"/>
        </w:rPr>
        <w:t>MB Docket No. 11-93</w:t>
      </w:r>
    </w:p>
    <w:p w:rsidR="006F0A85" w:rsidRDefault="004D5682" w:rsidP="006F0A85">
      <w:pPr>
        <w:tabs>
          <w:tab w:val="left" w:pos="360"/>
        </w:tabs>
        <w:ind w:left="1080" w:right="648"/>
        <w:jc w:val="both"/>
        <w:rPr>
          <w:b/>
          <w:sz w:val="22"/>
          <w:szCs w:val="22"/>
        </w:rPr>
      </w:pPr>
      <w:r>
        <w:rPr>
          <w:b/>
          <w:sz w:val="22"/>
          <w:szCs w:val="22"/>
        </w:rPr>
        <w:br/>
      </w:r>
      <w:bookmarkEnd w:id="1"/>
      <w:r w:rsidR="006F0A85">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F0A85" w:rsidRDefault="006F0A85" w:rsidP="006F0A85">
      <w:pPr>
        <w:tabs>
          <w:tab w:val="left" w:pos="360"/>
        </w:tabs>
        <w:ind w:left="1080" w:right="720"/>
        <w:jc w:val="both"/>
        <w:rPr>
          <w:b/>
          <w:sz w:val="22"/>
          <w:szCs w:val="22"/>
        </w:rPr>
      </w:pPr>
    </w:p>
    <w:p w:rsidR="006F0A85" w:rsidRDefault="006F0A85" w:rsidP="006F0A85">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6F0A85" w:rsidRDefault="006F0A85" w:rsidP="006F0A85">
      <w:pPr>
        <w:rPr>
          <w:b/>
          <w:sz w:val="22"/>
          <w:szCs w:val="22"/>
        </w:rPr>
      </w:pPr>
    </w:p>
    <w:p w:rsidR="006F0A85" w:rsidRDefault="006F0A85" w:rsidP="006F0A85">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D5682" w:rsidRDefault="0073221E" w:rsidP="006F0A85">
      <w:pPr>
        <w:tabs>
          <w:tab w:val="left" w:pos="360"/>
        </w:tabs>
        <w:ind w:left="1080" w:right="720"/>
        <w:jc w:val="center"/>
        <w:rPr>
          <w:rStyle w:val="Hyperlink"/>
          <w:b/>
          <w:sz w:val="22"/>
          <w:szCs w:val="22"/>
        </w:rPr>
      </w:pPr>
      <w:hyperlink r:id="rId8" w:history="1">
        <w:r w:rsidR="006F0A85">
          <w:rPr>
            <w:rStyle w:val="Hyperlink"/>
            <w:b/>
            <w:sz w:val="22"/>
            <w:szCs w:val="22"/>
          </w:rPr>
          <w:t>fccinfo@fcc.gov</w:t>
        </w:r>
      </w:hyperlink>
    </w:p>
    <w:p w:rsidR="00010F84" w:rsidRDefault="004D5682" w:rsidP="00010F84">
      <w:pPr>
        <w:autoSpaceDE w:val="0"/>
        <w:autoSpaceDN w:val="0"/>
        <w:adjustRightInd w:val="0"/>
        <w:spacing w:beforeLines="60" w:before="144" w:afterLines="60" w:after="144"/>
        <w:ind w:left="936" w:right="936"/>
        <w:jc w:val="both"/>
        <w:rPr>
          <w:b/>
          <w:bCs/>
          <w:color w:val="000000"/>
          <w:sz w:val="22"/>
          <w:szCs w:val="22"/>
        </w:rPr>
      </w:pPr>
      <w:r>
        <w:rPr>
          <w:b/>
          <w:color w:val="000000"/>
          <w:sz w:val="22"/>
          <w:szCs w:val="22"/>
        </w:rPr>
        <w:br w:type="page"/>
      </w:r>
    </w:p>
    <w:p w:rsidR="00010F84" w:rsidRDefault="00010F84" w:rsidP="00010F84">
      <w:pPr>
        <w:numPr>
          <w:ilvl w:val="0"/>
          <w:numId w:val="9"/>
        </w:numPr>
        <w:spacing w:beforeLines="60" w:before="144" w:afterLines="60" w:after="144"/>
        <w:rPr>
          <w:b/>
          <w:bCs/>
          <w:color w:val="000000"/>
          <w:sz w:val="22"/>
          <w:szCs w:val="22"/>
          <w:u w:val="single"/>
        </w:rPr>
      </w:pPr>
      <w:r w:rsidRPr="0013529D">
        <w:rPr>
          <w:b/>
          <w:bCs/>
          <w:color w:val="000000"/>
          <w:sz w:val="22"/>
          <w:szCs w:val="22"/>
          <w:u w:val="single"/>
        </w:rPr>
        <w:lastRenderedPageBreak/>
        <w:t>Web Links to Key Documents</w:t>
      </w:r>
    </w:p>
    <w:p w:rsidR="00010F84" w:rsidRDefault="00010F84" w:rsidP="00010F84">
      <w:pPr>
        <w:pStyle w:val="ListParagraph"/>
        <w:numPr>
          <w:ilvl w:val="0"/>
          <w:numId w:val="6"/>
        </w:numPr>
        <w:spacing w:beforeLines="60" w:before="144" w:afterLines="60" w:after="144"/>
        <w:rPr>
          <w:bCs/>
          <w:color w:val="000000"/>
          <w:sz w:val="22"/>
          <w:szCs w:val="22"/>
        </w:rPr>
      </w:pPr>
      <w:r w:rsidRPr="0013529D">
        <w:rPr>
          <w:bCs/>
          <w:color w:val="000000"/>
          <w:sz w:val="22"/>
          <w:szCs w:val="22"/>
          <w:u w:val="single"/>
        </w:rPr>
        <w:t>Decision Document</w:t>
      </w:r>
      <w:r w:rsidRPr="0013529D">
        <w:rPr>
          <w:bCs/>
          <w:color w:val="000000"/>
          <w:sz w:val="22"/>
          <w:szCs w:val="22"/>
        </w:rPr>
        <w:t>:  The Report and Order,</w:t>
      </w:r>
      <w:r>
        <w:rPr>
          <w:rStyle w:val="FootnoteReference"/>
          <w:bCs/>
          <w:szCs w:val="22"/>
        </w:rPr>
        <w:footnoteReference w:id="1"/>
      </w:r>
      <w:r w:rsidRPr="0013529D">
        <w:rPr>
          <w:bCs/>
          <w:color w:val="000000"/>
          <w:sz w:val="22"/>
          <w:szCs w:val="22"/>
        </w:rPr>
        <w:t xml:space="preserve"> FCC 11-182, is available on the Commission’s website at </w:t>
      </w:r>
      <w:hyperlink r:id="rId9" w:history="1">
        <w:r w:rsidRPr="0013529D">
          <w:rPr>
            <w:rStyle w:val="Hyperlink"/>
            <w:bCs/>
            <w:sz w:val="22"/>
            <w:szCs w:val="22"/>
          </w:rPr>
          <w:t>http://transition.fcc.gov/Daily_Releases/Daily_Business/2012/db0217/FCC-11-182A1.doc</w:t>
        </w:r>
      </w:hyperlink>
      <w:r w:rsidRPr="0013529D">
        <w:rPr>
          <w:bCs/>
          <w:color w:val="000000"/>
          <w:sz w:val="22"/>
          <w:szCs w:val="22"/>
        </w:rPr>
        <w:t>.</w:t>
      </w:r>
    </w:p>
    <w:p w:rsidR="00010F84" w:rsidRDefault="00010F84" w:rsidP="00010F84">
      <w:pPr>
        <w:numPr>
          <w:ilvl w:val="0"/>
          <w:numId w:val="6"/>
        </w:numPr>
        <w:spacing w:beforeLines="60" w:before="144" w:afterLines="60" w:after="144"/>
        <w:rPr>
          <w:bCs/>
          <w:color w:val="000000"/>
          <w:sz w:val="22"/>
          <w:szCs w:val="22"/>
        </w:rPr>
      </w:pPr>
      <w:r w:rsidRPr="00D71C6F">
        <w:rPr>
          <w:bCs/>
          <w:color w:val="000000"/>
          <w:sz w:val="22"/>
          <w:szCs w:val="22"/>
          <w:u w:val="single"/>
        </w:rPr>
        <w:t>Technical Document</w:t>
      </w:r>
      <w:r w:rsidRPr="00D71C6F">
        <w:rPr>
          <w:bCs/>
          <w:color w:val="000000"/>
          <w:sz w:val="22"/>
          <w:szCs w:val="22"/>
        </w:rPr>
        <w:t xml:space="preserve">:  A/85: “ATSC Recommended Practice: Techniques for Establishing and Maintaining Audio Loudness for Digital Television,” (July 25, 2011) is </w:t>
      </w:r>
      <w:r w:rsidRPr="00D71C6F">
        <w:rPr>
          <w:sz w:val="22"/>
          <w:szCs w:val="22"/>
        </w:rPr>
        <w:t xml:space="preserve">available </w:t>
      </w:r>
      <w:r w:rsidRPr="00D71C6F">
        <w:rPr>
          <w:bCs/>
          <w:color w:val="000000"/>
          <w:sz w:val="22"/>
          <w:szCs w:val="22"/>
        </w:rPr>
        <w:t xml:space="preserve">on the Advanced Television Systems Committee’s (ATSC) website </w:t>
      </w:r>
      <w:r w:rsidRPr="00D71C6F">
        <w:rPr>
          <w:sz w:val="22"/>
          <w:szCs w:val="22"/>
        </w:rPr>
        <w:t xml:space="preserve">at </w:t>
      </w:r>
      <w:hyperlink r:id="rId10" w:history="1">
        <w:r w:rsidRPr="00D71C6F">
          <w:rPr>
            <w:rStyle w:val="Hyperlink"/>
            <w:sz w:val="22"/>
            <w:szCs w:val="22"/>
          </w:rPr>
          <w:t>http://www.atsc.org/cms/standards/a_85-2011a.pdf</w:t>
        </w:r>
      </w:hyperlink>
      <w:r w:rsidRPr="00D71C6F">
        <w:rPr>
          <w:bCs/>
          <w:color w:val="000000"/>
          <w:sz w:val="22"/>
          <w:szCs w:val="22"/>
        </w:rPr>
        <w:t>.</w:t>
      </w:r>
      <w:r>
        <w:rPr>
          <w:rStyle w:val="FootnoteReference"/>
          <w:bCs/>
          <w:szCs w:val="22"/>
        </w:rPr>
        <w:footnoteReference w:id="2"/>
      </w:r>
    </w:p>
    <w:p w:rsidR="00010F84" w:rsidRDefault="00010F84" w:rsidP="00010F84">
      <w:pPr>
        <w:spacing w:beforeLines="60" w:before="144" w:afterLines="60" w:after="144"/>
        <w:rPr>
          <w:bCs/>
          <w:color w:val="000000"/>
          <w:sz w:val="22"/>
          <w:szCs w:val="22"/>
        </w:rPr>
      </w:pPr>
    </w:p>
    <w:p w:rsidR="00010F84" w:rsidRDefault="00010F84" w:rsidP="00010F84">
      <w:pPr>
        <w:numPr>
          <w:ilvl w:val="0"/>
          <w:numId w:val="9"/>
        </w:numPr>
        <w:spacing w:beforeLines="60" w:before="144" w:afterLines="60" w:after="144"/>
        <w:rPr>
          <w:b/>
          <w:bCs/>
          <w:color w:val="000000"/>
          <w:sz w:val="22"/>
          <w:szCs w:val="22"/>
          <w:u w:val="single"/>
        </w:rPr>
      </w:pPr>
      <w:r w:rsidRPr="000A28F0">
        <w:rPr>
          <w:b/>
          <w:bCs/>
          <w:color w:val="000000"/>
          <w:sz w:val="22"/>
          <w:szCs w:val="22"/>
          <w:u w:val="single"/>
        </w:rPr>
        <w:t>Objective of Proceeding</w:t>
      </w:r>
    </w:p>
    <w:p w:rsidR="00010F84" w:rsidRDefault="00010F84" w:rsidP="00010F84">
      <w:pPr>
        <w:numPr>
          <w:ilvl w:val="0"/>
          <w:numId w:val="6"/>
        </w:numPr>
        <w:spacing w:beforeLines="60" w:before="144" w:afterLines="60" w:after="144"/>
        <w:rPr>
          <w:bCs/>
          <w:color w:val="000000"/>
          <w:sz w:val="22"/>
          <w:szCs w:val="22"/>
        </w:rPr>
      </w:pPr>
      <w:r>
        <w:rPr>
          <w:bCs/>
          <w:color w:val="000000"/>
          <w:sz w:val="22"/>
          <w:szCs w:val="22"/>
        </w:rPr>
        <w:t xml:space="preserve">Implement the </w:t>
      </w:r>
      <w:r w:rsidRPr="000A28F0">
        <w:rPr>
          <w:bCs/>
          <w:color w:val="000000"/>
          <w:sz w:val="22"/>
          <w:szCs w:val="22"/>
        </w:rPr>
        <w:t>Commercial Advertisement Loudness Mitigation (CALM) Act</w:t>
      </w:r>
      <w:r w:rsidRPr="003D2D52">
        <w:rPr>
          <w:bCs/>
          <w:color w:val="000000"/>
          <w:sz w:val="22"/>
          <w:szCs w:val="22"/>
        </w:rPr>
        <w:t xml:space="preserve">, Pub. L. No. 111-311, 124 Stat. 3294 (2010) </w:t>
      </w:r>
      <w:r>
        <w:rPr>
          <w:bCs/>
          <w:color w:val="000000"/>
          <w:sz w:val="22"/>
          <w:szCs w:val="22"/>
        </w:rPr>
        <w:t>(codified at 47 U.S.C. § 621).</w:t>
      </w:r>
      <w:r>
        <w:rPr>
          <w:rStyle w:val="FootnoteReference"/>
          <w:bCs/>
          <w:szCs w:val="22"/>
        </w:rPr>
        <w:footnoteReference w:id="3"/>
      </w:r>
    </w:p>
    <w:p w:rsidR="00010F84" w:rsidRDefault="00010F84" w:rsidP="00010F84">
      <w:pPr>
        <w:numPr>
          <w:ilvl w:val="1"/>
          <w:numId w:val="6"/>
        </w:numPr>
        <w:spacing w:beforeLines="60" w:before="144" w:afterLines="60" w:after="144"/>
        <w:rPr>
          <w:bCs/>
          <w:color w:val="000000"/>
          <w:sz w:val="22"/>
          <w:szCs w:val="22"/>
        </w:rPr>
      </w:pPr>
      <w:r>
        <w:rPr>
          <w:bCs/>
          <w:color w:val="000000"/>
          <w:sz w:val="22"/>
          <w:szCs w:val="22"/>
        </w:rPr>
        <w:t>In general, to p</w:t>
      </w:r>
      <w:r w:rsidRPr="003D2D52">
        <w:rPr>
          <w:bCs/>
          <w:color w:val="000000"/>
          <w:sz w:val="22"/>
          <w:szCs w:val="22"/>
        </w:rPr>
        <w:t>revent digital television commercial advertisements from being transmitted at louder volumes than the program material they accompany</w:t>
      </w:r>
      <w:r>
        <w:rPr>
          <w:bCs/>
          <w:color w:val="000000"/>
          <w:sz w:val="22"/>
          <w:szCs w:val="22"/>
        </w:rPr>
        <w:t>.</w:t>
      </w:r>
    </w:p>
    <w:p w:rsidR="00010F84" w:rsidRDefault="00010F84" w:rsidP="00010F84">
      <w:pPr>
        <w:numPr>
          <w:ilvl w:val="1"/>
          <w:numId w:val="6"/>
        </w:numPr>
        <w:spacing w:beforeLines="60" w:before="144" w:afterLines="60" w:after="144"/>
        <w:rPr>
          <w:bCs/>
          <w:color w:val="000000"/>
          <w:sz w:val="22"/>
          <w:szCs w:val="22"/>
        </w:rPr>
      </w:pPr>
      <w:r>
        <w:rPr>
          <w:bCs/>
          <w:color w:val="000000"/>
          <w:sz w:val="22"/>
          <w:szCs w:val="22"/>
        </w:rPr>
        <w:t>More specifically, to r</w:t>
      </w:r>
      <w:r w:rsidRPr="003C5BA2">
        <w:rPr>
          <w:bCs/>
          <w:color w:val="000000"/>
          <w:sz w:val="22"/>
          <w:szCs w:val="22"/>
        </w:rPr>
        <w:t>equire TV stations, cable operators, satellite TV providers or other multichannel video program distributors (MVPDs) to apply the Advanced Television Systems Committee</w:t>
      </w:r>
      <w:r>
        <w:rPr>
          <w:bCs/>
          <w:color w:val="000000"/>
          <w:sz w:val="22"/>
          <w:szCs w:val="22"/>
        </w:rPr>
        <w:t>’</w:t>
      </w:r>
      <w:r w:rsidRPr="003C5BA2">
        <w:rPr>
          <w:bCs/>
          <w:color w:val="000000"/>
          <w:sz w:val="22"/>
          <w:szCs w:val="22"/>
        </w:rPr>
        <w:t>s (ATSC) A/85 Recommended Practice (</w:t>
      </w:r>
      <w:r>
        <w:rPr>
          <w:bCs/>
          <w:color w:val="000000"/>
          <w:sz w:val="22"/>
          <w:szCs w:val="22"/>
        </w:rPr>
        <w:t>“</w:t>
      </w:r>
      <w:r w:rsidRPr="003C5BA2">
        <w:rPr>
          <w:bCs/>
          <w:color w:val="000000"/>
          <w:sz w:val="22"/>
          <w:szCs w:val="22"/>
        </w:rPr>
        <w:t>ATSC A/85 RP</w:t>
      </w:r>
      <w:r>
        <w:rPr>
          <w:bCs/>
          <w:color w:val="000000"/>
          <w:sz w:val="22"/>
          <w:szCs w:val="22"/>
        </w:rPr>
        <w:t>”</w:t>
      </w:r>
      <w:r w:rsidRPr="003C5BA2">
        <w:rPr>
          <w:bCs/>
          <w:color w:val="000000"/>
          <w:sz w:val="22"/>
          <w:szCs w:val="22"/>
        </w:rPr>
        <w:t xml:space="preserve">) to </w:t>
      </w:r>
      <w:r>
        <w:rPr>
          <w:bCs/>
          <w:color w:val="000000"/>
          <w:sz w:val="22"/>
          <w:szCs w:val="22"/>
        </w:rPr>
        <w:t xml:space="preserve">the </w:t>
      </w:r>
      <w:r w:rsidRPr="003C5BA2">
        <w:rPr>
          <w:bCs/>
          <w:color w:val="000000"/>
          <w:sz w:val="22"/>
          <w:szCs w:val="22"/>
        </w:rPr>
        <w:t>commercial advertisements they transmit to viewers.</w:t>
      </w:r>
    </w:p>
    <w:p w:rsidR="00010F84" w:rsidRDefault="00010F84" w:rsidP="00010F84">
      <w:pPr>
        <w:numPr>
          <w:ilvl w:val="1"/>
          <w:numId w:val="6"/>
        </w:numPr>
        <w:spacing w:beforeLines="60" w:before="144" w:afterLines="60" w:after="144"/>
        <w:rPr>
          <w:bCs/>
          <w:color w:val="000000"/>
          <w:sz w:val="22"/>
          <w:szCs w:val="22"/>
        </w:rPr>
      </w:pPr>
      <w:r>
        <w:rPr>
          <w:bCs/>
          <w:color w:val="000000"/>
          <w:sz w:val="22"/>
          <w:szCs w:val="22"/>
        </w:rPr>
        <w:t>To recognize the differences between the compliance methods appropriate for large and small entities and design ways for smaller entities to comply and demonstrate compliance consistent with the statutory requirements.</w:t>
      </w:r>
    </w:p>
    <w:p w:rsidR="00010F84" w:rsidRDefault="00010F84" w:rsidP="00010F84">
      <w:pPr>
        <w:spacing w:beforeLines="60" w:before="144" w:afterLines="60" w:after="144"/>
        <w:rPr>
          <w:bCs/>
          <w:color w:val="000000"/>
          <w:sz w:val="22"/>
          <w:szCs w:val="22"/>
        </w:rPr>
      </w:pPr>
    </w:p>
    <w:p w:rsidR="00010F84" w:rsidRDefault="00010F84" w:rsidP="00010F84">
      <w:pPr>
        <w:numPr>
          <w:ilvl w:val="0"/>
          <w:numId w:val="9"/>
        </w:numPr>
        <w:spacing w:beforeLines="60" w:before="144" w:afterLines="60" w:after="144"/>
        <w:rPr>
          <w:b/>
          <w:bCs/>
          <w:color w:val="000000"/>
          <w:sz w:val="22"/>
          <w:szCs w:val="22"/>
          <w:u w:val="single"/>
        </w:rPr>
      </w:pPr>
      <w:r w:rsidRPr="000A28F0">
        <w:rPr>
          <w:b/>
          <w:bCs/>
          <w:color w:val="000000"/>
          <w:sz w:val="22"/>
          <w:szCs w:val="22"/>
          <w:u w:val="single"/>
        </w:rPr>
        <w:t>Background</w:t>
      </w:r>
    </w:p>
    <w:p w:rsidR="00010F84" w:rsidRDefault="00010F84" w:rsidP="00010F84">
      <w:pPr>
        <w:numPr>
          <w:ilvl w:val="0"/>
          <w:numId w:val="6"/>
        </w:numPr>
        <w:spacing w:beforeLines="60" w:before="144" w:afterLines="60" w:after="144"/>
        <w:rPr>
          <w:bCs/>
          <w:color w:val="000000"/>
          <w:sz w:val="22"/>
          <w:szCs w:val="22"/>
        </w:rPr>
      </w:pPr>
      <w:r w:rsidRPr="000A28F0">
        <w:rPr>
          <w:bCs/>
          <w:color w:val="000000"/>
          <w:sz w:val="22"/>
          <w:szCs w:val="22"/>
        </w:rPr>
        <w:t xml:space="preserve">On December 13, 2011, the Commission </w:t>
      </w:r>
      <w:r>
        <w:rPr>
          <w:bCs/>
          <w:color w:val="000000"/>
          <w:sz w:val="22"/>
          <w:szCs w:val="22"/>
        </w:rPr>
        <w:t>released</w:t>
      </w:r>
      <w:r w:rsidRPr="000A28F0">
        <w:rPr>
          <w:bCs/>
          <w:color w:val="000000"/>
          <w:sz w:val="22"/>
          <w:szCs w:val="22"/>
        </w:rPr>
        <w:t xml:space="preserve"> a Report and Order </w:t>
      </w:r>
      <w:r>
        <w:rPr>
          <w:bCs/>
          <w:color w:val="000000"/>
          <w:sz w:val="22"/>
          <w:szCs w:val="22"/>
        </w:rPr>
        <w:t xml:space="preserve">(“R&amp;O”) </w:t>
      </w:r>
      <w:r w:rsidRPr="000A28F0">
        <w:rPr>
          <w:bCs/>
          <w:color w:val="000000"/>
          <w:sz w:val="22"/>
          <w:szCs w:val="22"/>
        </w:rPr>
        <w:t xml:space="preserve">adopting rules to implement the CALM Act.  </w:t>
      </w:r>
      <w:r w:rsidRPr="003D2D52">
        <w:rPr>
          <w:bCs/>
          <w:color w:val="000000"/>
          <w:sz w:val="22"/>
          <w:szCs w:val="22"/>
        </w:rPr>
        <w:t>Among other things, the CALM Act directs the Commission to incorporate into its rules by reference and make mandatory a technical standard, developed by an industry standards development body, that is designed to prevent digital television commercial advertisements from being transmitted at louder volumes than the program material they accompany.</w:t>
      </w:r>
    </w:p>
    <w:p w:rsidR="00010F84" w:rsidRDefault="00010F84" w:rsidP="00010F84">
      <w:pPr>
        <w:numPr>
          <w:ilvl w:val="0"/>
          <w:numId w:val="6"/>
        </w:numPr>
        <w:spacing w:beforeLines="60" w:before="144" w:afterLines="60" w:after="144"/>
        <w:rPr>
          <w:bCs/>
          <w:color w:val="000000"/>
          <w:sz w:val="22"/>
          <w:szCs w:val="22"/>
        </w:rPr>
      </w:pPr>
      <w:r>
        <w:rPr>
          <w:bCs/>
          <w:color w:val="000000"/>
          <w:sz w:val="22"/>
          <w:szCs w:val="22"/>
        </w:rPr>
        <w:t xml:space="preserve">Rules codified at 47 C.F.R. §§ 73.682(e) and </w:t>
      </w:r>
      <w:r w:rsidRPr="00660DD3">
        <w:rPr>
          <w:bCs/>
          <w:color w:val="000000"/>
          <w:sz w:val="22"/>
          <w:szCs w:val="22"/>
        </w:rPr>
        <w:t>76.607</w:t>
      </w:r>
      <w:r>
        <w:rPr>
          <w:bCs/>
          <w:color w:val="000000"/>
          <w:sz w:val="22"/>
          <w:szCs w:val="22"/>
        </w:rPr>
        <w:t>.</w:t>
      </w:r>
    </w:p>
    <w:p w:rsidR="005F4D4A" w:rsidRDefault="005F4D4A" w:rsidP="005F4D4A">
      <w:pPr>
        <w:spacing w:beforeLines="60" w:before="144" w:afterLines="60" w:after="144"/>
        <w:rPr>
          <w:bCs/>
          <w:color w:val="000000"/>
          <w:sz w:val="22"/>
          <w:szCs w:val="22"/>
        </w:rPr>
      </w:pPr>
    </w:p>
    <w:p w:rsidR="005F4D4A" w:rsidRDefault="005F4D4A" w:rsidP="005F4D4A">
      <w:pPr>
        <w:spacing w:beforeLines="60" w:before="144" w:afterLines="60" w:after="144"/>
        <w:rPr>
          <w:bCs/>
          <w:color w:val="000000"/>
          <w:sz w:val="22"/>
          <w:szCs w:val="22"/>
        </w:rPr>
      </w:pPr>
    </w:p>
    <w:p w:rsidR="00010F84" w:rsidRPr="006A5476" w:rsidRDefault="00010F84" w:rsidP="00010F84">
      <w:pPr>
        <w:keepNext/>
        <w:numPr>
          <w:ilvl w:val="0"/>
          <w:numId w:val="9"/>
        </w:numPr>
        <w:spacing w:beforeLines="60" w:before="144" w:afterLines="60" w:after="144"/>
        <w:rPr>
          <w:b/>
          <w:bCs/>
          <w:color w:val="000000"/>
          <w:sz w:val="22"/>
          <w:szCs w:val="22"/>
          <w:u w:val="single"/>
        </w:rPr>
      </w:pPr>
      <w:r>
        <w:rPr>
          <w:b/>
          <w:bCs/>
          <w:color w:val="000000"/>
          <w:sz w:val="22"/>
          <w:szCs w:val="22"/>
          <w:u w:val="single"/>
        </w:rPr>
        <w:lastRenderedPageBreak/>
        <w:t xml:space="preserve">Definitions </w:t>
      </w:r>
    </w:p>
    <w:p w:rsidR="00010F84" w:rsidRPr="00F852B0" w:rsidRDefault="00010F84" w:rsidP="00010F84">
      <w:pPr>
        <w:pStyle w:val="ListParagraph"/>
        <w:numPr>
          <w:ilvl w:val="0"/>
          <w:numId w:val="10"/>
        </w:numPr>
        <w:spacing w:before="360" w:after="144"/>
        <w:contextualSpacing w:val="0"/>
        <w:rPr>
          <w:sz w:val="22"/>
        </w:rPr>
      </w:pPr>
      <w:r w:rsidRPr="00D571F9">
        <w:rPr>
          <w:b/>
          <w:sz w:val="22"/>
        </w:rPr>
        <w:t>“Certified programming”</w:t>
      </w:r>
      <w:r>
        <w:rPr>
          <w:sz w:val="22"/>
        </w:rPr>
        <w:t xml:space="preserve"> means programming for which a programmer has certified in writing that all commercials embedded in the programming delivered to distributors complies with the ATSC A/85 RP and that the programmer has made this</w:t>
      </w:r>
      <w:r w:rsidRPr="00A73B26">
        <w:rPr>
          <w:sz w:val="22"/>
        </w:rPr>
        <w:t xml:space="preserve"> certification </w:t>
      </w:r>
      <w:r>
        <w:rPr>
          <w:sz w:val="22"/>
        </w:rPr>
        <w:t xml:space="preserve">widely </w:t>
      </w:r>
      <w:r w:rsidRPr="00A73B26">
        <w:rPr>
          <w:sz w:val="22"/>
        </w:rPr>
        <w:t>available to all distributors.</w:t>
      </w:r>
    </w:p>
    <w:p w:rsidR="00010F84" w:rsidRPr="00F852B0" w:rsidRDefault="00010F84" w:rsidP="00010F84">
      <w:pPr>
        <w:pStyle w:val="ListParagraph"/>
        <w:numPr>
          <w:ilvl w:val="0"/>
          <w:numId w:val="10"/>
        </w:numPr>
        <w:spacing w:before="360" w:after="144"/>
        <w:contextualSpacing w:val="0"/>
        <w:rPr>
          <w:sz w:val="22"/>
        </w:rPr>
      </w:pPr>
      <w:r w:rsidRPr="00A0783D">
        <w:rPr>
          <w:b/>
          <w:sz w:val="22"/>
          <w:szCs w:val="22"/>
        </w:rPr>
        <w:t>“Dialnorm”</w:t>
      </w:r>
      <w:r w:rsidRPr="00C11105">
        <w:rPr>
          <w:sz w:val="22"/>
          <w:szCs w:val="22"/>
        </w:rPr>
        <w:t xml:space="preserve"> (short for “Dialog Normalization”) is a numerical value that indicates</w:t>
      </w:r>
      <w:r w:rsidRPr="00F852B0">
        <w:rPr>
          <w:sz w:val="22"/>
        </w:rPr>
        <w:t xml:space="preserve"> the </w:t>
      </w:r>
      <w:r w:rsidRPr="00C11105">
        <w:rPr>
          <w:sz w:val="22"/>
          <w:szCs w:val="22"/>
        </w:rPr>
        <w:t>perceived loudness of the content measured in units of “LKFS” by averaging the loudness of audio signals in all channels over the duration of the content.  The dialnorm value is encoded as metadata into the audio stream required for digital broadcast television.  Stations/MVPDs transmit the dialnorm to the consumer’s reception equipment.</w:t>
      </w:r>
      <w:r>
        <w:rPr>
          <w:sz w:val="22"/>
          <w:szCs w:val="22"/>
        </w:rPr>
        <w:t xml:space="preserve">  See also </w:t>
      </w:r>
      <w:r w:rsidRPr="002C189A">
        <w:rPr>
          <w:sz w:val="22"/>
          <w:szCs w:val="22"/>
        </w:rPr>
        <w:t>ATSC A/85 RP</w:t>
      </w:r>
      <w:r>
        <w:rPr>
          <w:sz w:val="22"/>
          <w:szCs w:val="22"/>
        </w:rPr>
        <w:t xml:space="preserve"> § 3.4.</w:t>
      </w:r>
    </w:p>
    <w:p w:rsidR="00010F84" w:rsidRPr="00C11105" w:rsidRDefault="00010F84" w:rsidP="00010F84">
      <w:pPr>
        <w:pStyle w:val="ListParagraph"/>
        <w:numPr>
          <w:ilvl w:val="0"/>
          <w:numId w:val="10"/>
        </w:numPr>
        <w:spacing w:before="120" w:after="120"/>
        <w:contextualSpacing w:val="0"/>
        <w:rPr>
          <w:sz w:val="22"/>
          <w:szCs w:val="22"/>
        </w:rPr>
      </w:pPr>
      <w:r w:rsidRPr="006102D2">
        <w:rPr>
          <w:b/>
          <w:sz w:val="22"/>
          <w:szCs w:val="22"/>
        </w:rPr>
        <w:t>“Embedded” commercials</w:t>
      </w:r>
      <w:r>
        <w:rPr>
          <w:sz w:val="22"/>
          <w:szCs w:val="22"/>
        </w:rPr>
        <w:t xml:space="preserve"> are </w:t>
      </w:r>
      <w:r w:rsidRPr="006102D2">
        <w:rPr>
          <w:sz w:val="22"/>
          <w:szCs w:val="22"/>
        </w:rPr>
        <w:t xml:space="preserve">commercials </w:t>
      </w:r>
      <w:r>
        <w:rPr>
          <w:sz w:val="22"/>
          <w:szCs w:val="22"/>
        </w:rPr>
        <w:t xml:space="preserve">already </w:t>
      </w:r>
      <w:r w:rsidRPr="006102D2">
        <w:rPr>
          <w:sz w:val="22"/>
          <w:szCs w:val="22"/>
        </w:rPr>
        <w:t>placed into the programming stream by a third party, such as a broadcast network or cable programmer, and passed through by the station or MVPD to viewers.</w:t>
      </w:r>
    </w:p>
    <w:p w:rsidR="00010F84" w:rsidRPr="002C189A" w:rsidRDefault="00010F84" w:rsidP="00010F84">
      <w:pPr>
        <w:pStyle w:val="ListParagraph"/>
        <w:numPr>
          <w:ilvl w:val="0"/>
          <w:numId w:val="10"/>
        </w:numPr>
        <w:spacing w:before="120" w:after="120"/>
        <w:contextualSpacing w:val="0"/>
        <w:rPr>
          <w:sz w:val="22"/>
          <w:szCs w:val="22"/>
        </w:rPr>
      </w:pPr>
      <w:r w:rsidRPr="002C189A">
        <w:rPr>
          <w:b/>
          <w:sz w:val="22"/>
          <w:szCs w:val="22"/>
        </w:rPr>
        <w:t>“LKFS”</w:t>
      </w:r>
      <w:r w:rsidRPr="002C189A">
        <w:rPr>
          <w:sz w:val="22"/>
          <w:szCs w:val="22"/>
        </w:rPr>
        <w:t xml:space="preserve"> </w:t>
      </w:r>
      <w:r>
        <w:rPr>
          <w:sz w:val="22"/>
          <w:szCs w:val="22"/>
        </w:rPr>
        <w:t>or</w:t>
      </w:r>
      <w:r w:rsidRPr="002C189A">
        <w:rPr>
          <w:sz w:val="22"/>
          <w:szCs w:val="22"/>
        </w:rPr>
        <w:t xml:space="preserve"> loudness, K-weighted, relative to full scale, is </w:t>
      </w:r>
      <w:r>
        <w:rPr>
          <w:sz w:val="22"/>
          <w:szCs w:val="22"/>
        </w:rPr>
        <w:t>the</w:t>
      </w:r>
      <w:r w:rsidRPr="002C189A">
        <w:rPr>
          <w:sz w:val="22"/>
          <w:szCs w:val="22"/>
        </w:rPr>
        <w:t xml:space="preserve"> loudness standard</w:t>
      </w:r>
      <w:r>
        <w:rPr>
          <w:sz w:val="22"/>
          <w:szCs w:val="22"/>
        </w:rPr>
        <w:t xml:space="preserve"> used in the </w:t>
      </w:r>
      <w:r w:rsidRPr="002C189A">
        <w:rPr>
          <w:sz w:val="22"/>
          <w:szCs w:val="22"/>
        </w:rPr>
        <w:t>ATSC A/85 RP.</w:t>
      </w:r>
      <w:r>
        <w:rPr>
          <w:sz w:val="22"/>
          <w:szCs w:val="22"/>
        </w:rPr>
        <w:t xml:space="preserve">  </w:t>
      </w:r>
      <w:r w:rsidRPr="002C189A">
        <w:rPr>
          <w:sz w:val="22"/>
          <w:szCs w:val="22"/>
        </w:rPr>
        <w:t>A unit of LKFS is equivalent to a decibel.</w:t>
      </w:r>
      <w:r>
        <w:rPr>
          <w:sz w:val="22"/>
          <w:szCs w:val="22"/>
        </w:rPr>
        <w:t xml:space="preserve">  See also </w:t>
      </w:r>
      <w:r w:rsidRPr="002C189A">
        <w:rPr>
          <w:sz w:val="22"/>
          <w:szCs w:val="22"/>
        </w:rPr>
        <w:t>ATSC A/85 RP</w:t>
      </w:r>
      <w:r>
        <w:rPr>
          <w:sz w:val="22"/>
          <w:szCs w:val="22"/>
        </w:rPr>
        <w:t xml:space="preserve"> § 3.3.</w:t>
      </w:r>
    </w:p>
    <w:p w:rsidR="00010F84" w:rsidRPr="00C11105" w:rsidRDefault="00010F84" w:rsidP="00010F84">
      <w:pPr>
        <w:pStyle w:val="ListParagraph"/>
        <w:numPr>
          <w:ilvl w:val="0"/>
          <w:numId w:val="10"/>
        </w:numPr>
        <w:spacing w:before="120" w:after="120"/>
        <w:contextualSpacing w:val="0"/>
        <w:rPr>
          <w:sz w:val="22"/>
          <w:szCs w:val="22"/>
        </w:rPr>
      </w:pPr>
      <w:r w:rsidRPr="006102D2">
        <w:rPr>
          <w:b/>
          <w:sz w:val="22"/>
          <w:szCs w:val="22"/>
        </w:rPr>
        <w:t>“Locally inserted” commercials</w:t>
      </w:r>
      <w:r>
        <w:rPr>
          <w:sz w:val="22"/>
          <w:szCs w:val="22"/>
        </w:rPr>
        <w:t xml:space="preserve"> are </w:t>
      </w:r>
      <w:r w:rsidRPr="006102D2">
        <w:rPr>
          <w:sz w:val="22"/>
          <w:szCs w:val="22"/>
        </w:rPr>
        <w:t xml:space="preserve">commercials added to a programming stream by a </w:t>
      </w:r>
      <w:r>
        <w:rPr>
          <w:sz w:val="22"/>
          <w:szCs w:val="22"/>
        </w:rPr>
        <w:t xml:space="preserve">TV </w:t>
      </w:r>
      <w:r w:rsidRPr="006102D2">
        <w:rPr>
          <w:sz w:val="22"/>
          <w:szCs w:val="22"/>
        </w:rPr>
        <w:t>station or MVPD, itself, prior to</w:t>
      </w:r>
      <w:r>
        <w:rPr>
          <w:sz w:val="22"/>
          <w:szCs w:val="22"/>
        </w:rPr>
        <w:t>,</w:t>
      </w:r>
      <w:r w:rsidRPr="006102D2">
        <w:rPr>
          <w:sz w:val="22"/>
          <w:szCs w:val="22"/>
        </w:rPr>
        <w:t xml:space="preserve"> or at the time of</w:t>
      </w:r>
      <w:r>
        <w:rPr>
          <w:sz w:val="22"/>
          <w:szCs w:val="22"/>
        </w:rPr>
        <w:t>,</w:t>
      </w:r>
      <w:r w:rsidRPr="006102D2">
        <w:rPr>
          <w:sz w:val="22"/>
          <w:szCs w:val="22"/>
        </w:rPr>
        <w:t xml:space="preserve"> transmission to viewers.</w:t>
      </w:r>
    </w:p>
    <w:p w:rsidR="00010F84" w:rsidRPr="00C11105" w:rsidRDefault="00010F84" w:rsidP="00010F84">
      <w:pPr>
        <w:pStyle w:val="ListParagraph"/>
        <w:numPr>
          <w:ilvl w:val="0"/>
          <w:numId w:val="10"/>
        </w:numPr>
        <w:spacing w:before="120" w:after="120"/>
        <w:contextualSpacing w:val="0"/>
        <w:rPr>
          <w:sz w:val="22"/>
          <w:szCs w:val="22"/>
        </w:rPr>
      </w:pPr>
      <w:r w:rsidRPr="00656E7E">
        <w:rPr>
          <w:b/>
          <w:sz w:val="22"/>
          <w:szCs w:val="22"/>
        </w:rPr>
        <w:t>“</w:t>
      </w:r>
      <w:r>
        <w:rPr>
          <w:b/>
          <w:sz w:val="22"/>
          <w:szCs w:val="22"/>
        </w:rPr>
        <w:t>Programmer” (or “p</w:t>
      </w:r>
      <w:r w:rsidRPr="00656E7E">
        <w:rPr>
          <w:b/>
          <w:sz w:val="22"/>
          <w:szCs w:val="22"/>
        </w:rPr>
        <w:t>rogram provider”</w:t>
      </w:r>
      <w:r>
        <w:rPr>
          <w:b/>
          <w:sz w:val="22"/>
          <w:szCs w:val="22"/>
        </w:rPr>
        <w:t>)</w:t>
      </w:r>
      <w:r w:rsidRPr="00656E7E">
        <w:rPr>
          <w:sz w:val="22"/>
          <w:szCs w:val="22"/>
        </w:rPr>
        <w:t xml:space="preserve"> </w:t>
      </w:r>
      <w:r>
        <w:rPr>
          <w:sz w:val="22"/>
          <w:szCs w:val="22"/>
        </w:rPr>
        <w:t>is a broadcast or cable TV network (</w:t>
      </w:r>
      <w:r w:rsidRPr="002C189A">
        <w:rPr>
          <w:i/>
          <w:sz w:val="22"/>
          <w:szCs w:val="22"/>
        </w:rPr>
        <w:t>e.g.</w:t>
      </w:r>
      <w:r>
        <w:rPr>
          <w:sz w:val="22"/>
          <w:szCs w:val="22"/>
        </w:rPr>
        <w:t>, “ABC” or “CNN”), or any other provider of television content.</w:t>
      </w:r>
    </w:p>
    <w:p w:rsidR="00010F84" w:rsidRDefault="00010F84" w:rsidP="00010F84">
      <w:pPr>
        <w:pStyle w:val="ListParagraph"/>
        <w:numPr>
          <w:ilvl w:val="0"/>
          <w:numId w:val="10"/>
        </w:numPr>
        <w:spacing w:before="120" w:after="120"/>
        <w:contextualSpacing w:val="0"/>
        <w:rPr>
          <w:sz w:val="22"/>
          <w:szCs w:val="22"/>
        </w:rPr>
      </w:pPr>
      <w:r w:rsidRPr="00A0783D">
        <w:rPr>
          <w:b/>
          <w:sz w:val="22"/>
          <w:szCs w:val="22"/>
        </w:rPr>
        <w:t>“Real-time processor”</w:t>
      </w:r>
      <w:r>
        <w:rPr>
          <w:sz w:val="22"/>
          <w:szCs w:val="22"/>
        </w:rPr>
        <w:t xml:space="preserve"> is a</w:t>
      </w:r>
      <w:r w:rsidRPr="00B63191">
        <w:rPr>
          <w:sz w:val="22"/>
          <w:szCs w:val="22"/>
        </w:rPr>
        <w:t xml:space="preserve"> </w:t>
      </w:r>
      <w:r w:rsidRPr="00876551">
        <w:rPr>
          <w:sz w:val="22"/>
          <w:szCs w:val="22"/>
        </w:rPr>
        <w:t xml:space="preserve">device that limits the dynamic range of audio signals, rather than by setting the dialnorm or mixing to </w:t>
      </w:r>
      <w:r>
        <w:rPr>
          <w:sz w:val="22"/>
          <w:szCs w:val="22"/>
        </w:rPr>
        <w:t>a specific</w:t>
      </w:r>
      <w:r w:rsidRPr="00876551">
        <w:rPr>
          <w:sz w:val="22"/>
          <w:szCs w:val="22"/>
        </w:rPr>
        <w:t xml:space="preserve"> Target Loudness.  Real-time processing modifies the dynamic range of the decoded content by reducing the level of very loud portions of the content to avoid annoying the viewer and, in some cases, by raising the level of very quiet portions of the content so that they are better adapted to the listening environment.  With real-time processing, some combination of automatic gain control (AGC), compressors, and limiters are commonly used for loudness control.</w:t>
      </w:r>
    </w:p>
    <w:p w:rsidR="00010F84" w:rsidRPr="00C11105" w:rsidRDefault="00010F84" w:rsidP="00010F84">
      <w:pPr>
        <w:pStyle w:val="ListParagraph"/>
        <w:numPr>
          <w:ilvl w:val="0"/>
          <w:numId w:val="10"/>
        </w:numPr>
        <w:spacing w:before="120" w:after="120"/>
        <w:contextualSpacing w:val="0"/>
        <w:rPr>
          <w:sz w:val="22"/>
          <w:szCs w:val="22"/>
        </w:rPr>
      </w:pPr>
      <w:r w:rsidRPr="009E5C03">
        <w:rPr>
          <w:b/>
          <w:sz w:val="22"/>
          <w:szCs w:val="22"/>
        </w:rPr>
        <w:t>“RP”</w:t>
      </w:r>
      <w:r>
        <w:rPr>
          <w:sz w:val="22"/>
          <w:szCs w:val="22"/>
        </w:rPr>
        <w:t xml:space="preserve"> means Recommended Practice.  In the context of compliance with the CALM Act, RP means the ATSC A/85 Recommended Practice that is mandatory for stations and MVPDs with respect to television commercials.</w:t>
      </w:r>
    </w:p>
    <w:p w:rsidR="00010F84" w:rsidRPr="00726DC5" w:rsidRDefault="00010F84" w:rsidP="00010F84">
      <w:pPr>
        <w:pStyle w:val="ListParagraph"/>
        <w:numPr>
          <w:ilvl w:val="0"/>
          <w:numId w:val="10"/>
        </w:numPr>
        <w:spacing w:before="120" w:after="120"/>
        <w:contextualSpacing w:val="0"/>
        <w:rPr>
          <w:sz w:val="22"/>
          <w:szCs w:val="22"/>
        </w:rPr>
      </w:pPr>
      <w:r w:rsidRPr="00726DC5">
        <w:rPr>
          <w:b/>
          <w:sz w:val="22"/>
          <w:szCs w:val="22"/>
        </w:rPr>
        <w:t>“Spot check”</w:t>
      </w:r>
      <w:r w:rsidRPr="00726DC5">
        <w:rPr>
          <w:sz w:val="22"/>
          <w:szCs w:val="22"/>
        </w:rPr>
        <w:t xml:space="preserve"> </w:t>
      </w:r>
      <w:r>
        <w:rPr>
          <w:sz w:val="22"/>
          <w:szCs w:val="22"/>
        </w:rPr>
        <w:t>means</w:t>
      </w:r>
      <w:r w:rsidRPr="00726DC5">
        <w:rPr>
          <w:sz w:val="22"/>
          <w:szCs w:val="22"/>
        </w:rPr>
        <w:t xml:space="preserve"> monitoring 24 uninterrupted hours of programming with an audio loudness meter using the measurement techniques specified in the </w:t>
      </w:r>
      <w:r w:rsidRPr="00726DC5">
        <w:rPr>
          <w:bCs/>
          <w:color w:val="000000"/>
          <w:sz w:val="22"/>
          <w:szCs w:val="22"/>
        </w:rPr>
        <w:t>ATSC A/85 RP</w:t>
      </w:r>
      <w:r w:rsidRPr="00726DC5">
        <w:rPr>
          <w:sz w:val="22"/>
          <w:szCs w:val="22"/>
        </w:rPr>
        <w:t xml:space="preserve"> and reviewing the records from that monitoring to detect any commercials transmitted in violation of the RP.  (The</w:t>
      </w:r>
      <w:r>
        <w:rPr>
          <w:sz w:val="22"/>
          <w:szCs w:val="22"/>
        </w:rPr>
        <w:t xml:space="preserve"> </w:t>
      </w:r>
      <w:r w:rsidRPr="000A28F0">
        <w:rPr>
          <w:bCs/>
          <w:color w:val="000000"/>
          <w:sz w:val="22"/>
          <w:szCs w:val="22"/>
        </w:rPr>
        <w:t xml:space="preserve">Report and Order </w:t>
      </w:r>
      <w:r>
        <w:rPr>
          <w:bCs/>
          <w:color w:val="000000"/>
          <w:sz w:val="22"/>
          <w:szCs w:val="22"/>
        </w:rPr>
        <w:t>contains</w:t>
      </w:r>
      <w:r w:rsidRPr="001B1380">
        <w:rPr>
          <w:color w:val="000000"/>
          <w:sz w:val="22"/>
        </w:rPr>
        <w:t xml:space="preserve"> </w:t>
      </w:r>
      <w:r w:rsidRPr="00726DC5">
        <w:rPr>
          <w:sz w:val="22"/>
          <w:szCs w:val="22"/>
        </w:rPr>
        <w:t xml:space="preserve">an alternative method </w:t>
      </w:r>
      <w:r>
        <w:rPr>
          <w:sz w:val="22"/>
          <w:szCs w:val="22"/>
        </w:rPr>
        <w:t>if</w:t>
      </w:r>
      <w:r w:rsidRPr="00726DC5">
        <w:rPr>
          <w:sz w:val="22"/>
          <w:szCs w:val="22"/>
        </w:rPr>
        <w:t xml:space="preserve"> a single 24-hour period would not capture all program suppliers for the channel.</w:t>
      </w:r>
      <w:r>
        <w:rPr>
          <w:rStyle w:val="FootnoteReference"/>
          <w:szCs w:val="22"/>
        </w:rPr>
        <w:footnoteReference w:id="4"/>
      </w:r>
      <w:r w:rsidRPr="00726DC5">
        <w:rPr>
          <w:sz w:val="22"/>
          <w:szCs w:val="22"/>
        </w:rPr>
        <w:t>)</w:t>
      </w:r>
    </w:p>
    <w:p w:rsidR="00010F84" w:rsidRPr="00726DC5" w:rsidRDefault="00010F84" w:rsidP="00010F84">
      <w:pPr>
        <w:pStyle w:val="ListParagraph"/>
        <w:numPr>
          <w:ilvl w:val="1"/>
          <w:numId w:val="10"/>
        </w:numPr>
        <w:spacing w:before="120" w:after="120"/>
        <w:rPr>
          <w:sz w:val="22"/>
          <w:szCs w:val="22"/>
        </w:rPr>
      </w:pPr>
      <w:r w:rsidRPr="00726DC5">
        <w:rPr>
          <w:sz w:val="22"/>
          <w:szCs w:val="22"/>
        </w:rPr>
        <w:t>A spot-check does not require a person to monitor a channel in real-time.</w:t>
      </w:r>
    </w:p>
    <w:p w:rsidR="00010F84" w:rsidRPr="00726DC5" w:rsidRDefault="00010F84" w:rsidP="00010F84">
      <w:pPr>
        <w:pStyle w:val="ListParagraph"/>
        <w:numPr>
          <w:ilvl w:val="1"/>
          <w:numId w:val="10"/>
        </w:numPr>
        <w:spacing w:before="120" w:after="120"/>
        <w:rPr>
          <w:sz w:val="22"/>
          <w:szCs w:val="22"/>
        </w:rPr>
      </w:pPr>
      <w:r w:rsidRPr="00726DC5">
        <w:rPr>
          <w:sz w:val="22"/>
          <w:szCs w:val="22"/>
        </w:rPr>
        <w:t>For a spot check to be considered valid, a station or MVPD must be able to demonstrate appropriate maintenance records for the audio loudness meter, and to demonstrate, at the time of an</w:t>
      </w:r>
      <w:r>
        <w:rPr>
          <w:sz w:val="22"/>
          <w:szCs w:val="22"/>
        </w:rPr>
        <w:t xml:space="preserve"> FCC</w:t>
      </w:r>
      <w:r w:rsidRPr="00726DC5">
        <w:rPr>
          <w:sz w:val="22"/>
          <w:szCs w:val="22"/>
        </w:rPr>
        <w:t xml:space="preserve"> inquiry, that appropriate spot checks had been ongoing.  (The station/MVPD must not provide prior notice to the programmer of the timing of the spot check.)</w:t>
      </w:r>
    </w:p>
    <w:p w:rsidR="00010F84" w:rsidRPr="00C11105" w:rsidRDefault="00010F84" w:rsidP="00010F84">
      <w:pPr>
        <w:pStyle w:val="ListParagraph"/>
        <w:numPr>
          <w:ilvl w:val="1"/>
          <w:numId w:val="10"/>
        </w:numPr>
        <w:spacing w:before="120" w:after="120"/>
        <w:contextualSpacing w:val="0"/>
        <w:rPr>
          <w:sz w:val="22"/>
          <w:szCs w:val="22"/>
        </w:rPr>
      </w:pPr>
      <w:r w:rsidRPr="00726DC5">
        <w:rPr>
          <w:sz w:val="22"/>
          <w:szCs w:val="22"/>
          <w:u w:val="single"/>
        </w:rPr>
        <w:lastRenderedPageBreak/>
        <w:t>Example</w:t>
      </w:r>
      <w:r w:rsidRPr="00726DC5">
        <w:rPr>
          <w:sz w:val="22"/>
          <w:szCs w:val="22"/>
        </w:rPr>
        <w:t xml:space="preserve">:  A possible spot check procedure could be: (1) connect a loudness meter conforming to the RP to the output of a set-top box, measure the </w:t>
      </w:r>
      <w:r>
        <w:rPr>
          <w:sz w:val="22"/>
          <w:szCs w:val="22"/>
        </w:rPr>
        <w:t>long-term integrated or average</w:t>
      </w:r>
      <w:r w:rsidRPr="00726DC5">
        <w:rPr>
          <w:sz w:val="22"/>
          <w:szCs w:val="22"/>
        </w:rPr>
        <w:t xml:space="preserve"> loudness of all the elements of the soundtrack and log the loudness of content in 1 second intervals over a 24-hour period; (2) review the logs (which could be done with an automated process) to identify any potential violations of the RP (i.e., the average measured loudness exceeds the target loudness by more than 2 dB for the duration of a commercial); and (3) ascertain whether those potential violations occurred during a commercial (</w:t>
      </w:r>
      <w:r>
        <w:rPr>
          <w:sz w:val="22"/>
          <w:szCs w:val="22"/>
        </w:rPr>
        <w:t>for example</w:t>
      </w:r>
      <w:r w:rsidRPr="00726DC5">
        <w:rPr>
          <w:sz w:val="22"/>
          <w:szCs w:val="22"/>
        </w:rPr>
        <w:t>, by reviewing a recording of the monitored content or obtaining from the programmer a log of the commercials for the day that was monitored).</w:t>
      </w:r>
    </w:p>
    <w:p w:rsidR="00010F84" w:rsidRDefault="00010F84" w:rsidP="00010F84">
      <w:pPr>
        <w:pStyle w:val="ListParagraph"/>
        <w:numPr>
          <w:ilvl w:val="0"/>
          <w:numId w:val="10"/>
        </w:numPr>
        <w:spacing w:before="120" w:after="120"/>
        <w:contextualSpacing w:val="0"/>
        <w:rPr>
          <w:sz w:val="22"/>
          <w:szCs w:val="22"/>
        </w:rPr>
      </w:pPr>
      <w:r w:rsidRPr="00DB4AD9">
        <w:rPr>
          <w:b/>
          <w:sz w:val="22"/>
          <w:szCs w:val="22"/>
        </w:rPr>
        <w:t>“Target Loudness”</w:t>
      </w:r>
      <w:r w:rsidRPr="00DB4AD9">
        <w:rPr>
          <w:sz w:val="22"/>
          <w:szCs w:val="22"/>
        </w:rPr>
        <w:t xml:space="preserve"> is a specified value </w:t>
      </w:r>
      <w:r>
        <w:rPr>
          <w:sz w:val="22"/>
          <w:szCs w:val="22"/>
        </w:rPr>
        <w:t xml:space="preserve">in LKFS </w:t>
      </w:r>
      <w:r w:rsidRPr="00DB4AD9">
        <w:rPr>
          <w:sz w:val="22"/>
          <w:szCs w:val="22"/>
        </w:rPr>
        <w:t xml:space="preserve">established </w:t>
      </w:r>
      <w:r>
        <w:rPr>
          <w:sz w:val="22"/>
          <w:szCs w:val="22"/>
        </w:rPr>
        <w:t xml:space="preserve">by the station/MVPD for its content provider </w:t>
      </w:r>
      <w:r w:rsidRPr="00DB4AD9">
        <w:rPr>
          <w:sz w:val="22"/>
          <w:szCs w:val="22"/>
        </w:rPr>
        <w:t xml:space="preserve">to </w:t>
      </w:r>
      <w:r>
        <w:rPr>
          <w:sz w:val="22"/>
          <w:szCs w:val="22"/>
        </w:rPr>
        <w:t>ensure that the content provider</w:t>
      </w:r>
      <w:r w:rsidRPr="00DB4AD9">
        <w:rPr>
          <w:sz w:val="22"/>
          <w:szCs w:val="22"/>
        </w:rPr>
        <w:t xml:space="preserve"> </w:t>
      </w:r>
      <w:r>
        <w:rPr>
          <w:sz w:val="22"/>
          <w:szCs w:val="22"/>
        </w:rPr>
        <w:t>delivers the content at the appropriate loudness level</w:t>
      </w:r>
      <w:r w:rsidRPr="00DB4AD9">
        <w:rPr>
          <w:sz w:val="22"/>
          <w:szCs w:val="22"/>
        </w:rPr>
        <w:t>.</w:t>
      </w:r>
      <w:r>
        <w:rPr>
          <w:sz w:val="22"/>
          <w:szCs w:val="22"/>
        </w:rPr>
        <w:t xml:space="preserve">  </w:t>
      </w:r>
      <w:r w:rsidRPr="00D571F9">
        <w:rPr>
          <w:sz w:val="22"/>
          <w:szCs w:val="22"/>
        </w:rPr>
        <w:t>During final mixing of the content, all elements are balanced around this loudness reference point.</w:t>
      </w:r>
      <w:r>
        <w:rPr>
          <w:sz w:val="22"/>
          <w:szCs w:val="22"/>
        </w:rPr>
        <w:t xml:space="preserve">  See also </w:t>
      </w:r>
      <w:r w:rsidRPr="002C189A">
        <w:rPr>
          <w:sz w:val="22"/>
          <w:szCs w:val="22"/>
        </w:rPr>
        <w:t>ATSC A/85 RP</w:t>
      </w:r>
      <w:r>
        <w:rPr>
          <w:sz w:val="22"/>
          <w:szCs w:val="22"/>
        </w:rPr>
        <w:t xml:space="preserve"> § 3.4.</w:t>
      </w:r>
    </w:p>
    <w:p w:rsidR="00010F84" w:rsidRPr="00B9287A" w:rsidRDefault="00010F84" w:rsidP="00010F84">
      <w:pPr>
        <w:rPr>
          <w:sz w:val="22"/>
          <w:szCs w:val="22"/>
        </w:rPr>
      </w:pPr>
    </w:p>
    <w:p w:rsidR="00010F84" w:rsidRDefault="00010F84" w:rsidP="00010F84">
      <w:pPr>
        <w:numPr>
          <w:ilvl w:val="0"/>
          <w:numId w:val="9"/>
        </w:numPr>
        <w:spacing w:beforeLines="60" w:before="144" w:afterLines="60" w:after="144"/>
        <w:rPr>
          <w:rFonts w:ascii="Times New Roman Bold" w:hAnsi="Times New Roman Bold"/>
          <w:b/>
          <w:bCs/>
          <w:color w:val="000000"/>
          <w:sz w:val="22"/>
          <w:szCs w:val="22"/>
          <w:u w:val="single"/>
        </w:rPr>
      </w:pPr>
      <w:r w:rsidRPr="000A28F0">
        <w:rPr>
          <w:rFonts w:ascii="Times New Roman Bold" w:hAnsi="Times New Roman Bold"/>
          <w:b/>
          <w:bCs/>
          <w:color w:val="000000"/>
          <w:sz w:val="22"/>
          <w:szCs w:val="22"/>
          <w:u w:val="single"/>
        </w:rPr>
        <w:t xml:space="preserve">Key </w:t>
      </w:r>
      <w:r w:rsidRPr="00F852B0">
        <w:rPr>
          <w:b/>
          <w:color w:val="000000"/>
          <w:sz w:val="22"/>
          <w:u w:val="single"/>
        </w:rPr>
        <w:t>Compliance</w:t>
      </w:r>
      <w:r w:rsidRPr="000A28F0">
        <w:rPr>
          <w:rFonts w:ascii="Times New Roman Bold" w:hAnsi="Times New Roman Bold"/>
          <w:b/>
          <w:bCs/>
          <w:color w:val="000000"/>
          <w:sz w:val="22"/>
          <w:szCs w:val="22"/>
          <w:u w:val="single"/>
        </w:rPr>
        <w:t xml:space="preserve"> Requirements</w:t>
      </w:r>
    </w:p>
    <w:p w:rsidR="00010F84" w:rsidRDefault="00010F84" w:rsidP="00010F84">
      <w:pPr>
        <w:numPr>
          <w:ilvl w:val="0"/>
          <w:numId w:val="8"/>
        </w:numPr>
        <w:spacing w:beforeLines="60" w:before="144"/>
        <w:rPr>
          <w:sz w:val="22"/>
          <w:szCs w:val="22"/>
        </w:rPr>
      </w:pPr>
      <w:r w:rsidRPr="00517363">
        <w:rPr>
          <w:b/>
          <w:sz w:val="22"/>
          <w:szCs w:val="22"/>
          <w:u w:val="single"/>
        </w:rPr>
        <w:t xml:space="preserve">Mandatory </w:t>
      </w:r>
      <w:r>
        <w:rPr>
          <w:b/>
          <w:sz w:val="22"/>
          <w:szCs w:val="22"/>
          <w:u w:val="single"/>
        </w:rPr>
        <w:t>C</w:t>
      </w:r>
      <w:r w:rsidRPr="00517363">
        <w:rPr>
          <w:b/>
          <w:sz w:val="22"/>
          <w:szCs w:val="22"/>
          <w:u w:val="single"/>
        </w:rPr>
        <w:t>ompliance with the ATSC A/85 RP</w:t>
      </w:r>
      <w:r w:rsidRPr="00517363">
        <w:rPr>
          <w:b/>
          <w:sz w:val="22"/>
          <w:szCs w:val="22"/>
        </w:rPr>
        <w:t>.</w:t>
      </w:r>
      <w:r>
        <w:rPr>
          <w:sz w:val="22"/>
          <w:szCs w:val="22"/>
        </w:rPr>
        <w:t xml:space="preserve">  TV</w:t>
      </w:r>
      <w:r w:rsidRPr="000A28F0">
        <w:rPr>
          <w:sz w:val="22"/>
          <w:szCs w:val="22"/>
        </w:rPr>
        <w:t xml:space="preserve"> stations and MVPDs</w:t>
      </w:r>
      <w:r w:rsidRPr="006213EE">
        <w:rPr>
          <w:sz w:val="22"/>
          <w:szCs w:val="22"/>
        </w:rPr>
        <w:t xml:space="preserve"> </w:t>
      </w:r>
      <w:r>
        <w:rPr>
          <w:sz w:val="22"/>
          <w:szCs w:val="22"/>
        </w:rPr>
        <w:t xml:space="preserve">must apply the </w:t>
      </w:r>
      <w:r w:rsidRPr="006213EE">
        <w:rPr>
          <w:sz w:val="22"/>
          <w:szCs w:val="22"/>
        </w:rPr>
        <w:t xml:space="preserve">Advanced Television Systems Committee (ATSC) A/85: </w:t>
      </w:r>
      <w:r>
        <w:rPr>
          <w:sz w:val="22"/>
          <w:szCs w:val="22"/>
        </w:rPr>
        <w:t>“</w:t>
      </w:r>
      <w:r w:rsidRPr="006213EE">
        <w:rPr>
          <w:sz w:val="22"/>
          <w:szCs w:val="22"/>
        </w:rPr>
        <w:t>ATSC Recommended Practice: Techniques for Establishing and Maintaining Audio Loudness for Digital Television,</w:t>
      </w:r>
      <w:r>
        <w:rPr>
          <w:sz w:val="22"/>
          <w:szCs w:val="22"/>
        </w:rPr>
        <w:t>”</w:t>
      </w:r>
      <w:r w:rsidRPr="006213EE">
        <w:rPr>
          <w:sz w:val="22"/>
          <w:szCs w:val="22"/>
        </w:rPr>
        <w:t xml:space="preserve"> (July 25, 2011) (</w:t>
      </w:r>
      <w:r>
        <w:rPr>
          <w:sz w:val="22"/>
          <w:szCs w:val="22"/>
        </w:rPr>
        <w:t>“</w:t>
      </w:r>
      <w:r w:rsidRPr="006213EE">
        <w:rPr>
          <w:sz w:val="22"/>
          <w:szCs w:val="22"/>
        </w:rPr>
        <w:t>ATSC A/85 RP</w:t>
      </w:r>
      <w:r>
        <w:rPr>
          <w:sz w:val="22"/>
          <w:szCs w:val="22"/>
        </w:rPr>
        <w:t>” or “RP”</w:t>
      </w:r>
      <w:r w:rsidRPr="006213EE">
        <w:rPr>
          <w:sz w:val="22"/>
          <w:szCs w:val="22"/>
        </w:rPr>
        <w:t>)</w:t>
      </w:r>
      <w:r>
        <w:rPr>
          <w:sz w:val="22"/>
          <w:szCs w:val="22"/>
        </w:rPr>
        <w:t xml:space="preserve"> </w:t>
      </w:r>
      <w:r w:rsidRPr="003C5BA2">
        <w:rPr>
          <w:bCs/>
          <w:color w:val="000000"/>
          <w:sz w:val="22"/>
          <w:szCs w:val="22"/>
        </w:rPr>
        <w:t xml:space="preserve">to </w:t>
      </w:r>
      <w:r>
        <w:rPr>
          <w:bCs/>
          <w:color w:val="000000"/>
          <w:sz w:val="22"/>
          <w:szCs w:val="22"/>
        </w:rPr>
        <w:t xml:space="preserve">the </w:t>
      </w:r>
      <w:r w:rsidRPr="003C5BA2">
        <w:rPr>
          <w:bCs/>
          <w:color w:val="000000"/>
          <w:sz w:val="22"/>
          <w:szCs w:val="22"/>
        </w:rPr>
        <w:t>commercial</w:t>
      </w:r>
      <w:r>
        <w:rPr>
          <w:bCs/>
          <w:color w:val="000000"/>
          <w:sz w:val="22"/>
          <w:szCs w:val="22"/>
        </w:rPr>
        <w:t>s</w:t>
      </w:r>
      <w:r w:rsidRPr="003C5BA2">
        <w:rPr>
          <w:bCs/>
          <w:color w:val="000000"/>
          <w:sz w:val="22"/>
          <w:szCs w:val="22"/>
        </w:rPr>
        <w:t xml:space="preserve"> they transmit to viewers</w:t>
      </w:r>
      <w:r w:rsidRPr="006213EE">
        <w:rPr>
          <w:sz w:val="22"/>
          <w:szCs w:val="22"/>
        </w:rPr>
        <w:t>.</w:t>
      </w:r>
      <w:r>
        <w:rPr>
          <w:sz w:val="22"/>
          <w:szCs w:val="22"/>
        </w:rPr>
        <w:t xml:space="preserve">  </w:t>
      </w:r>
    </w:p>
    <w:p w:rsidR="00010F84" w:rsidRDefault="00010F84" w:rsidP="00010F84">
      <w:pPr>
        <w:numPr>
          <w:ilvl w:val="1"/>
          <w:numId w:val="8"/>
        </w:numPr>
        <w:spacing w:beforeLines="60" w:before="144"/>
        <w:rPr>
          <w:sz w:val="22"/>
          <w:szCs w:val="22"/>
        </w:rPr>
      </w:pPr>
      <w:r>
        <w:rPr>
          <w:sz w:val="22"/>
          <w:szCs w:val="22"/>
        </w:rPr>
        <w:t xml:space="preserve">The </w:t>
      </w:r>
      <w:r w:rsidRPr="006213EE">
        <w:rPr>
          <w:sz w:val="22"/>
          <w:szCs w:val="22"/>
        </w:rPr>
        <w:t>ATSC A/85 RP</w:t>
      </w:r>
      <w:r>
        <w:rPr>
          <w:sz w:val="22"/>
          <w:szCs w:val="22"/>
        </w:rPr>
        <w:t xml:space="preserve"> </w:t>
      </w:r>
      <w:r w:rsidRPr="00E70F7A">
        <w:rPr>
          <w:sz w:val="22"/>
          <w:szCs w:val="22"/>
        </w:rPr>
        <w:t xml:space="preserve">describes how the TV industry can monitor and control the audio of digital TV programming.  As a result of the CALM Act and the Commission’s rules, the industry’s “Recommended Practice” has become a required standard with which commercial </w:t>
      </w:r>
      <w:r>
        <w:rPr>
          <w:sz w:val="22"/>
          <w:szCs w:val="22"/>
        </w:rPr>
        <w:t>TV</w:t>
      </w:r>
      <w:r w:rsidRPr="000A28F0">
        <w:rPr>
          <w:sz w:val="22"/>
          <w:szCs w:val="22"/>
        </w:rPr>
        <w:t xml:space="preserve"> stations and MVPDs</w:t>
      </w:r>
      <w:r w:rsidRPr="006213EE">
        <w:rPr>
          <w:sz w:val="22"/>
          <w:szCs w:val="22"/>
        </w:rPr>
        <w:t xml:space="preserve"> </w:t>
      </w:r>
      <w:r w:rsidRPr="00E70F7A">
        <w:rPr>
          <w:sz w:val="22"/>
          <w:szCs w:val="22"/>
        </w:rPr>
        <w:t>must comply.</w:t>
      </w:r>
    </w:p>
    <w:p w:rsidR="00010F84" w:rsidRDefault="00010F84" w:rsidP="00010F84">
      <w:pPr>
        <w:numPr>
          <w:ilvl w:val="0"/>
          <w:numId w:val="8"/>
        </w:numPr>
        <w:spacing w:beforeLines="60" w:before="144" w:afterLines="60" w:after="144"/>
        <w:rPr>
          <w:bCs/>
          <w:color w:val="000000"/>
          <w:sz w:val="22"/>
          <w:szCs w:val="22"/>
        </w:rPr>
      </w:pPr>
      <w:r w:rsidRPr="00F852B0">
        <w:rPr>
          <w:b/>
          <w:color w:val="000000"/>
          <w:sz w:val="22"/>
          <w:u w:val="single"/>
        </w:rPr>
        <w:t>Effective Date</w:t>
      </w:r>
      <w:r>
        <w:rPr>
          <w:bCs/>
          <w:color w:val="000000"/>
          <w:sz w:val="22"/>
          <w:szCs w:val="22"/>
        </w:rPr>
        <w:t>:</w:t>
      </w:r>
      <w:r>
        <w:rPr>
          <w:bCs/>
          <w:color w:val="000000"/>
          <w:sz w:val="22"/>
          <w:szCs w:val="22"/>
        </w:rPr>
        <w:tab/>
      </w:r>
      <w:r w:rsidRPr="000A28F0">
        <w:rPr>
          <w:bCs/>
          <w:color w:val="000000"/>
          <w:sz w:val="22"/>
          <w:szCs w:val="22"/>
        </w:rPr>
        <w:t>December 13, 2012.</w:t>
      </w:r>
      <w:r>
        <w:rPr>
          <w:rStyle w:val="FootnoteReference"/>
          <w:bCs/>
          <w:szCs w:val="22"/>
        </w:rPr>
        <w:footnoteReference w:id="5"/>
      </w:r>
    </w:p>
    <w:p w:rsidR="00010F84" w:rsidRPr="009C30EE" w:rsidRDefault="00010F84" w:rsidP="00010F84">
      <w:pPr>
        <w:numPr>
          <w:ilvl w:val="0"/>
          <w:numId w:val="8"/>
        </w:numPr>
        <w:spacing w:beforeLines="60" w:before="144" w:afterLines="60" w:after="144"/>
        <w:rPr>
          <w:bCs/>
          <w:color w:val="000000"/>
          <w:sz w:val="22"/>
          <w:szCs w:val="22"/>
          <w:u w:val="single"/>
        </w:rPr>
      </w:pPr>
      <w:r w:rsidRPr="00676312">
        <w:rPr>
          <w:b/>
          <w:bCs/>
          <w:color w:val="000000"/>
          <w:sz w:val="22"/>
          <w:szCs w:val="22"/>
          <w:u w:val="single"/>
        </w:rPr>
        <w:t xml:space="preserve">Covered </w:t>
      </w:r>
      <w:r w:rsidRPr="00F852B0">
        <w:rPr>
          <w:b/>
          <w:color w:val="000000"/>
          <w:sz w:val="22"/>
          <w:u w:val="single"/>
        </w:rPr>
        <w:t>Entities</w:t>
      </w:r>
      <w:r w:rsidRPr="009C30EE">
        <w:rPr>
          <w:bCs/>
          <w:color w:val="000000"/>
          <w:sz w:val="22"/>
          <w:szCs w:val="22"/>
          <w:u w:val="single"/>
        </w:rPr>
        <w:t>:</w:t>
      </w:r>
      <w:r w:rsidRPr="009C30EE">
        <w:rPr>
          <w:bCs/>
          <w:color w:val="000000"/>
          <w:sz w:val="22"/>
          <w:szCs w:val="22"/>
        </w:rPr>
        <w:tab/>
      </w:r>
      <w:r>
        <w:rPr>
          <w:bCs/>
          <w:color w:val="000000"/>
          <w:sz w:val="22"/>
          <w:szCs w:val="22"/>
        </w:rPr>
        <w:t>The rules apply to:</w:t>
      </w:r>
    </w:p>
    <w:p w:rsidR="00010F84" w:rsidRPr="009C30EE" w:rsidRDefault="00010F84" w:rsidP="00010F84">
      <w:pPr>
        <w:numPr>
          <w:ilvl w:val="2"/>
          <w:numId w:val="8"/>
        </w:numPr>
        <w:spacing w:beforeLines="60" w:before="144" w:afterLines="60" w:after="144"/>
        <w:rPr>
          <w:bCs/>
          <w:color w:val="000000"/>
          <w:sz w:val="22"/>
          <w:szCs w:val="22"/>
        </w:rPr>
      </w:pPr>
      <w:r w:rsidRPr="009C30EE">
        <w:rPr>
          <w:bCs/>
          <w:color w:val="000000"/>
          <w:sz w:val="22"/>
          <w:szCs w:val="22"/>
        </w:rPr>
        <w:t>Digital TV broadcasters;</w:t>
      </w:r>
    </w:p>
    <w:p w:rsidR="00010F84" w:rsidRPr="009C30EE" w:rsidRDefault="00010F84" w:rsidP="00010F84">
      <w:pPr>
        <w:numPr>
          <w:ilvl w:val="2"/>
          <w:numId w:val="8"/>
        </w:numPr>
        <w:spacing w:beforeLines="60" w:before="144" w:afterLines="60" w:after="144"/>
        <w:rPr>
          <w:bCs/>
          <w:color w:val="000000"/>
          <w:sz w:val="22"/>
          <w:szCs w:val="22"/>
        </w:rPr>
      </w:pPr>
      <w:r w:rsidRPr="009C30EE">
        <w:rPr>
          <w:bCs/>
          <w:color w:val="000000"/>
          <w:sz w:val="22"/>
          <w:szCs w:val="22"/>
        </w:rPr>
        <w:t>Digital cable operators;</w:t>
      </w:r>
    </w:p>
    <w:p w:rsidR="00010F84" w:rsidRPr="009C30EE" w:rsidRDefault="00010F84" w:rsidP="00010F84">
      <w:pPr>
        <w:numPr>
          <w:ilvl w:val="2"/>
          <w:numId w:val="8"/>
        </w:numPr>
        <w:spacing w:beforeLines="60" w:before="144" w:afterLines="60" w:after="144"/>
        <w:rPr>
          <w:bCs/>
          <w:color w:val="000000"/>
          <w:sz w:val="22"/>
          <w:szCs w:val="22"/>
        </w:rPr>
      </w:pPr>
      <w:r w:rsidRPr="009C30EE">
        <w:rPr>
          <w:bCs/>
          <w:color w:val="000000"/>
          <w:sz w:val="22"/>
          <w:szCs w:val="22"/>
        </w:rPr>
        <w:t>Satellite carriers; and</w:t>
      </w:r>
    </w:p>
    <w:p w:rsidR="00010F84" w:rsidRPr="009C30EE" w:rsidRDefault="00010F84" w:rsidP="00010F84">
      <w:pPr>
        <w:numPr>
          <w:ilvl w:val="2"/>
          <w:numId w:val="8"/>
        </w:numPr>
        <w:spacing w:beforeLines="60" w:before="144" w:afterLines="60" w:after="144"/>
        <w:rPr>
          <w:bCs/>
          <w:color w:val="000000"/>
          <w:sz w:val="22"/>
          <w:szCs w:val="22"/>
        </w:rPr>
      </w:pPr>
      <w:r w:rsidRPr="009C30EE">
        <w:rPr>
          <w:bCs/>
          <w:color w:val="000000"/>
          <w:sz w:val="22"/>
          <w:szCs w:val="22"/>
        </w:rPr>
        <w:t>Other digital multichannel video programming distributors (</w:t>
      </w:r>
      <w:r>
        <w:rPr>
          <w:bCs/>
          <w:color w:val="000000"/>
          <w:sz w:val="22"/>
          <w:szCs w:val="22"/>
        </w:rPr>
        <w:t>“MVPDs”).</w:t>
      </w:r>
    </w:p>
    <w:p w:rsidR="00010F84" w:rsidRPr="009C30EE" w:rsidRDefault="00010F84" w:rsidP="00010F84">
      <w:pPr>
        <w:numPr>
          <w:ilvl w:val="1"/>
          <w:numId w:val="8"/>
        </w:numPr>
        <w:spacing w:beforeLines="60" w:before="144" w:afterLines="60" w:after="144"/>
        <w:rPr>
          <w:bCs/>
          <w:color w:val="000000"/>
          <w:sz w:val="22"/>
          <w:szCs w:val="22"/>
        </w:rPr>
      </w:pPr>
      <w:r>
        <w:rPr>
          <w:sz w:val="22"/>
          <w:szCs w:val="22"/>
        </w:rPr>
        <w:t>These entities are responsible for compliance under the statute</w:t>
      </w:r>
      <w:r w:rsidRPr="000A28F0">
        <w:rPr>
          <w:sz w:val="22"/>
          <w:szCs w:val="22"/>
        </w:rPr>
        <w:t xml:space="preserve">, regardless of </w:t>
      </w:r>
      <w:r>
        <w:rPr>
          <w:sz w:val="22"/>
          <w:szCs w:val="22"/>
        </w:rPr>
        <w:t xml:space="preserve">the </w:t>
      </w:r>
      <w:r w:rsidRPr="000A28F0">
        <w:rPr>
          <w:sz w:val="22"/>
          <w:szCs w:val="22"/>
        </w:rPr>
        <w:t xml:space="preserve">audio system used or whether the commercials are </w:t>
      </w:r>
      <w:r>
        <w:rPr>
          <w:sz w:val="22"/>
          <w:szCs w:val="22"/>
        </w:rPr>
        <w:t xml:space="preserve">“locally </w:t>
      </w:r>
      <w:r w:rsidRPr="000A28F0">
        <w:rPr>
          <w:sz w:val="22"/>
          <w:szCs w:val="22"/>
        </w:rPr>
        <w:t>inserted</w:t>
      </w:r>
      <w:r>
        <w:rPr>
          <w:sz w:val="22"/>
          <w:szCs w:val="22"/>
        </w:rPr>
        <w:t>”</w:t>
      </w:r>
      <w:r w:rsidRPr="000A28F0">
        <w:rPr>
          <w:sz w:val="22"/>
          <w:szCs w:val="22"/>
        </w:rPr>
        <w:t xml:space="preserve"> </w:t>
      </w:r>
      <w:r>
        <w:rPr>
          <w:sz w:val="22"/>
          <w:szCs w:val="22"/>
        </w:rPr>
        <w:t xml:space="preserve">by the station/MVPD </w:t>
      </w:r>
      <w:r w:rsidRPr="000A28F0">
        <w:rPr>
          <w:sz w:val="22"/>
          <w:szCs w:val="22"/>
        </w:rPr>
        <w:t xml:space="preserve">or </w:t>
      </w:r>
      <w:r>
        <w:rPr>
          <w:sz w:val="22"/>
          <w:szCs w:val="22"/>
        </w:rPr>
        <w:t>“</w:t>
      </w:r>
      <w:r w:rsidRPr="000A28F0">
        <w:rPr>
          <w:sz w:val="22"/>
          <w:szCs w:val="22"/>
        </w:rPr>
        <w:t>embedded</w:t>
      </w:r>
      <w:r>
        <w:rPr>
          <w:sz w:val="22"/>
          <w:szCs w:val="22"/>
        </w:rPr>
        <w:t>”</w:t>
      </w:r>
      <w:r w:rsidRPr="000A28F0">
        <w:rPr>
          <w:sz w:val="22"/>
          <w:szCs w:val="22"/>
        </w:rPr>
        <w:t xml:space="preserve"> in </w:t>
      </w:r>
      <w:r>
        <w:rPr>
          <w:sz w:val="22"/>
          <w:szCs w:val="22"/>
        </w:rPr>
        <w:t xml:space="preserve">the </w:t>
      </w:r>
      <w:r w:rsidRPr="000A28F0">
        <w:rPr>
          <w:sz w:val="22"/>
          <w:szCs w:val="22"/>
        </w:rPr>
        <w:t xml:space="preserve">programming </w:t>
      </w:r>
      <w:r>
        <w:rPr>
          <w:sz w:val="22"/>
          <w:szCs w:val="22"/>
        </w:rPr>
        <w:t xml:space="preserve">stream.  </w:t>
      </w:r>
    </w:p>
    <w:p w:rsidR="00010F84" w:rsidRDefault="00010F84" w:rsidP="00010F84">
      <w:pPr>
        <w:numPr>
          <w:ilvl w:val="1"/>
          <w:numId w:val="8"/>
        </w:numPr>
        <w:spacing w:beforeLines="60" w:before="144" w:afterLines="60" w:after="144"/>
        <w:rPr>
          <w:bCs/>
          <w:color w:val="000000"/>
          <w:sz w:val="22"/>
          <w:szCs w:val="22"/>
        </w:rPr>
      </w:pPr>
      <w:r>
        <w:rPr>
          <w:bCs/>
          <w:color w:val="000000"/>
          <w:sz w:val="22"/>
          <w:szCs w:val="22"/>
        </w:rPr>
        <w:t>N</w:t>
      </w:r>
      <w:r w:rsidRPr="00B51FCB">
        <w:rPr>
          <w:bCs/>
          <w:color w:val="000000"/>
          <w:sz w:val="22"/>
          <w:szCs w:val="22"/>
        </w:rPr>
        <w:t>on-commercial broadcast stations are excluded</w:t>
      </w:r>
      <w:r>
        <w:rPr>
          <w:bCs/>
          <w:color w:val="000000"/>
          <w:sz w:val="22"/>
          <w:szCs w:val="22"/>
        </w:rPr>
        <w:t xml:space="preserve"> from the statute,</w:t>
      </w:r>
      <w:r w:rsidRPr="00B51FCB">
        <w:rPr>
          <w:bCs/>
          <w:color w:val="000000"/>
          <w:sz w:val="22"/>
          <w:szCs w:val="22"/>
        </w:rPr>
        <w:t xml:space="preserve"> except to the extent they transmit commercial advertisements as part of an ancillary or supplementary service.</w:t>
      </w:r>
    </w:p>
    <w:p w:rsidR="00010F84" w:rsidRDefault="00010F84" w:rsidP="00010F84">
      <w:pPr>
        <w:numPr>
          <w:ilvl w:val="1"/>
          <w:numId w:val="8"/>
        </w:numPr>
        <w:spacing w:beforeLines="60" w:before="144" w:afterLines="60" w:after="144"/>
        <w:rPr>
          <w:bCs/>
          <w:color w:val="000000"/>
          <w:sz w:val="22"/>
          <w:szCs w:val="22"/>
        </w:rPr>
      </w:pPr>
      <w:r>
        <w:rPr>
          <w:bCs/>
          <w:color w:val="000000"/>
          <w:sz w:val="22"/>
          <w:szCs w:val="22"/>
        </w:rPr>
        <w:t xml:space="preserve">The rules apply </w:t>
      </w:r>
      <w:r w:rsidRPr="0036420A">
        <w:rPr>
          <w:bCs/>
          <w:color w:val="000000"/>
          <w:sz w:val="22"/>
          <w:szCs w:val="22"/>
        </w:rPr>
        <w:t xml:space="preserve">to </w:t>
      </w:r>
      <w:r>
        <w:rPr>
          <w:bCs/>
          <w:color w:val="000000"/>
          <w:sz w:val="22"/>
          <w:szCs w:val="22"/>
        </w:rPr>
        <w:t xml:space="preserve">all types of commercials, including </w:t>
      </w:r>
      <w:r w:rsidRPr="0036420A">
        <w:rPr>
          <w:bCs/>
          <w:color w:val="000000"/>
          <w:sz w:val="22"/>
          <w:szCs w:val="22"/>
        </w:rPr>
        <w:t>political advertisements and promotional announcements.</w:t>
      </w:r>
    </w:p>
    <w:p w:rsidR="00010F84" w:rsidRPr="00F852B0" w:rsidRDefault="00010F84" w:rsidP="00010F84">
      <w:pPr>
        <w:numPr>
          <w:ilvl w:val="1"/>
          <w:numId w:val="8"/>
        </w:numPr>
        <w:spacing w:beforeLines="60" w:before="144" w:afterLines="60" w:after="144"/>
        <w:rPr>
          <w:color w:val="000000"/>
          <w:sz w:val="22"/>
        </w:rPr>
      </w:pPr>
      <w:r w:rsidRPr="00676312">
        <w:rPr>
          <w:bCs/>
          <w:color w:val="000000"/>
          <w:sz w:val="22"/>
          <w:szCs w:val="22"/>
        </w:rPr>
        <w:lastRenderedPageBreak/>
        <w:t xml:space="preserve">Different rules apply </w:t>
      </w:r>
      <w:r w:rsidRPr="00F852B0">
        <w:rPr>
          <w:color w:val="000000"/>
          <w:sz w:val="22"/>
        </w:rPr>
        <w:t>depending on whether the station</w:t>
      </w:r>
      <w:r w:rsidRPr="00676312">
        <w:rPr>
          <w:bCs/>
          <w:color w:val="000000"/>
          <w:sz w:val="22"/>
          <w:szCs w:val="22"/>
        </w:rPr>
        <w:t>/</w:t>
      </w:r>
      <w:r w:rsidRPr="00F852B0">
        <w:rPr>
          <w:color w:val="000000"/>
          <w:sz w:val="22"/>
        </w:rPr>
        <w:t>MVPD is directly inserting a commercial</w:t>
      </w:r>
      <w:r w:rsidRPr="00676312">
        <w:rPr>
          <w:bCs/>
          <w:color w:val="000000"/>
          <w:sz w:val="22"/>
          <w:szCs w:val="22"/>
        </w:rPr>
        <w:t xml:space="preserve"> (</w:t>
      </w:r>
      <w:r w:rsidRPr="00676312">
        <w:rPr>
          <w:b/>
          <w:bCs/>
          <w:color w:val="000000"/>
          <w:sz w:val="22"/>
          <w:szCs w:val="22"/>
        </w:rPr>
        <w:t>Locally Inserted Commercials</w:t>
      </w:r>
      <w:r w:rsidRPr="00676312">
        <w:rPr>
          <w:bCs/>
          <w:color w:val="000000"/>
          <w:sz w:val="22"/>
          <w:szCs w:val="22"/>
        </w:rPr>
        <w:t>),</w:t>
      </w:r>
      <w:r w:rsidRPr="00F852B0">
        <w:rPr>
          <w:color w:val="000000"/>
          <w:sz w:val="22"/>
        </w:rPr>
        <w:t xml:space="preserve"> or if it is passing through commercials embedded in programming</w:t>
      </w:r>
      <w:r w:rsidRPr="00676312">
        <w:rPr>
          <w:bCs/>
          <w:color w:val="000000"/>
          <w:sz w:val="22"/>
          <w:szCs w:val="22"/>
        </w:rPr>
        <w:t xml:space="preserve"> (</w:t>
      </w:r>
      <w:r w:rsidRPr="00676312">
        <w:rPr>
          <w:b/>
          <w:bCs/>
          <w:color w:val="000000"/>
          <w:sz w:val="22"/>
          <w:szCs w:val="22"/>
        </w:rPr>
        <w:t>Embedded Commercials</w:t>
      </w:r>
      <w:r w:rsidRPr="00676312">
        <w:rPr>
          <w:bCs/>
          <w:color w:val="000000"/>
          <w:sz w:val="22"/>
          <w:szCs w:val="22"/>
        </w:rPr>
        <w:t>).</w:t>
      </w:r>
      <w:r>
        <w:rPr>
          <w:rStyle w:val="FootnoteReference"/>
          <w:bCs/>
          <w:szCs w:val="22"/>
        </w:rPr>
        <w:footnoteReference w:id="6"/>
      </w:r>
    </w:p>
    <w:p w:rsidR="00010F84" w:rsidRDefault="00010F84" w:rsidP="00010F84">
      <w:pPr>
        <w:spacing w:beforeLines="60" w:before="144" w:afterLines="60" w:after="144"/>
        <w:ind w:left="360"/>
        <w:rPr>
          <w:sz w:val="22"/>
          <w:szCs w:val="22"/>
        </w:rPr>
      </w:pPr>
    </w:p>
    <w:p w:rsidR="00010F84" w:rsidRPr="00AC6CA5" w:rsidRDefault="00010F84" w:rsidP="00010F84">
      <w:pPr>
        <w:keepNext/>
        <w:numPr>
          <w:ilvl w:val="0"/>
          <w:numId w:val="9"/>
        </w:numPr>
        <w:spacing w:beforeLines="60" w:before="144" w:afterLines="60" w:after="144"/>
        <w:rPr>
          <w:b/>
          <w:sz w:val="22"/>
          <w:szCs w:val="22"/>
          <w:u w:val="single"/>
        </w:rPr>
      </w:pPr>
      <w:r w:rsidRPr="00866470">
        <w:rPr>
          <w:b/>
          <w:sz w:val="22"/>
          <w:szCs w:val="22"/>
          <w:u w:val="single"/>
        </w:rPr>
        <w:t xml:space="preserve">Enforcement </w:t>
      </w:r>
      <w:r>
        <w:rPr>
          <w:b/>
          <w:sz w:val="22"/>
          <w:szCs w:val="22"/>
          <w:u w:val="single"/>
        </w:rPr>
        <w:t>and</w:t>
      </w:r>
      <w:r w:rsidRPr="00866470">
        <w:rPr>
          <w:b/>
          <w:sz w:val="22"/>
          <w:szCs w:val="22"/>
          <w:u w:val="single"/>
        </w:rPr>
        <w:t xml:space="preserve"> </w:t>
      </w:r>
      <w:r w:rsidRPr="0013529D">
        <w:rPr>
          <w:b/>
          <w:bCs/>
          <w:color w:val="000000"/>
          <w:sz w:val="22"/>
          <w:szCs w:val="22"/>
          <w:u w:val="single"/>
        </w:rPr>
        <w:t>Demonstrating</w:t>
      </w:r>
      <w:r>
        <w:rPr>
          <w:b/>
          <w:sz w:val="22"/>
          <w:szCs w:val="22"/>
          <w:u w:val="single"/>
        </w:rPr>
        <w:t xml:space="preserve"> </w:t>
      </w:r>
      <w:r w:rsidRPr="00866470">
        <w:rPr>
          <w:b/>
          <w:sz w:val="22"/>
          <w:szCs w:val="22"/>
          <w:u w:val="single"/>
        </w:rPr>
        <w:t>Compliance</w:t>
      </w:r>
    </w:p>
    <w:p w:rsidR="00010F84" w:rsidRDefault="00010F84" w:rsidP="00010F84">
      <w:pPr>
        <w:numPr>
          <w:ilvl w:val="0"/>
          <w:numId w:val="8"/>
        </w:numPr>
        <w:spacing w:beforeLines="60" w:before="144"/>
        <w:rPr>
          <w:sz w:val="22"/>
          <w:szCs w:val="22"/>
        </w:rPr>
      </w:pPr>
      <w:r w:rsidRPr="0087034E">
        <w:rPr>
          <w:sz w:val="22"/>
          <w:szCs w:val="22"/>
        </w:rPr>
        <w:t xml:space="preserve">Under the rules, the Enforcement Bureau will initiate an FCC investigation or inquiry </w:t>
      </w:r>
      <w:r>
        <w:rPr>
          <w:sz w:val="22"/>
          <w:szCs w:val="22"/>
        </w:rPr>
        <w:t xml:space="preserve">(“FCC inquiry”) </w:t>
      </w:r>
      <w:r w:rsidRPr="0087034E">
        <w:rPr>
          <w:sz w:val="22"/>
          <w:szCs w:val="22"/>
        </w:rPr>
        <w:t>when it detects a pattern or trend of consumer complaints</w:t>
      </w:r>
      <w:r>
        <w:rPr>
          <w:sz w:val="22"/>
          <w:szCs w:val="22"/>
        </w:rPr>
        <w:t xml:space="preserve"> that indicates </w:t>
      </w:r>
      <w:r w:rsidRPr="0087034E">
        <w:rPr>
          <w:sz w:val="22"/>
          <w:szCs w:val="22"/>
        </w:rPr>
        <w:t xml:space="preserve">potential noncompliance.  </w:t>
      </w:r>
    </w:p>
    <w:p w:rsidR="00010F84" w:rsidRPr="00F17834" w:rsidRDefault="00010F84" w:rsidP="00010F84">
      <w:pPr>
        <w:numPr>
          <w:ilvl w:val="0"/>
          <w:numId w:val="8"/>
        </w:numPr>
        <w:spacing w:beforeLines="60" w:before="144"/>
        <w:rPr>
          <w:sz w:val="22"/>
          <w:szCs w:val="22"/>
        </w:rPr>
      </w:pPr>
      <w:r w:rsidRPr="00F17834">
        <w:rPr>
          <w:sz w:val="22"/>
          <w:szCs w:val="22"/>
        </w:rPr>
        <w:t>The Enforcement Bureau will notify a station/MVPD in such an event and will require the station/MVPD to demonstrate compliance with the rules.</w:t>
      </w:r>
    </w:p>
    <w:p w:rsidR="00010F84" w:rsidRPr="00F17834" w:rsidRDefault="00010F84" w:rsidP="00010F84">
      <w:pPr>
        <w:numPr>
          <w:ilvl w:val="0"/>
          <w:numId w:val="8"/>
        </w:numPr>
        <w:spacing w:beforeLines="60" w:before="144"/>
        <w:rPr>
          <w:sz w:val="22"/>
          <w:szCs w:val="22"/>
        </w:rPr>
      </w:pPr>
      <w:r w:rsidRPr="00F17834">
        <w:rPr>
          <w:sz w:val="22"/>
          <w:szCs w:val="22"/>
        </w:rPr>
        <w:t>If the station/MVPD does not demonstrate actual or ongoing compliance in response to an FCC inquiry, the station/MVPD may be liable for forfeiture.</w:t>
      </w:r>
    </w:p>
    <w:p w:rsidR="00010F84" w:rsidRDefault="00010F84" w:rsidP="00010F84">
      <w:pPr>
        <w:numPr>
          <w:ilvl w:val="0"/>
          <w:numId w:val="8"/>
        </w:numPr>
        <w:spacing w:beforeLines="60" w:before="144"/>
        <w:rPr>
          <w:sz w:val="22"/>
          <w:szCs w:val="22"/>
        </w:rPr>
      </w:pPr>
      <w:r>
        <w:rPr>
          <w:sz w:val="22"/>
          <w:szCs w:val="22"/>
        </w:rPr>
        <w:t>Stations/MVPDs have two choices for demonstrating compliance:</w:t>
      </w:r>
    </w:p>
    <w:p w:rsidR="00010F84" w:rsidRDefault="00010F84" w:rsidP="00010F84">
      <w:pPr>
        <w:spacing w:beforeLines="60" w:before="144"/>
        <w:ind w:left="720"/>
        <w:rPr>
          <w:sz w:val="22"/>
          <w:szCs w:val="22"/>
        </w:rPr>
      </w:pPr>
      <w:r>
        <w:rPr>
          <w:b/>
          <w:sz w:val="22"/>
          <w:szCs w:val="22"/>
          <w:u w:val="single"/>
        </w:rPr>
        <w:t>A.</w:t>
      </w:r>
      <w:r>
        <w:rPr>
          <w:b/>
          <w:sz w:val="22"/>
          <w:szCs w:val="22"/>
          <w:u w:val="single"/>
        </w:rPr>
        <w:tab/>
      </w:r>
      <w:r w:rsidRPr="00A90A37">
        <w:rPr>
          <w:b/>
          <w:sz w:val="22"/>
          <w:szCs w:val="22"/>
          <w:u w:val="single"/>
        </w:rPr>
        <w:t>Actual Compliance</w:t>
      </w:r>
      <w:r>
        <w:rPr>
          <w:sz w:val="22"/>
          <w:szCs w:val="22"/>
        </w:rPr>
        <w:t xml:space="preserve">:  Stations/MVPDs may </w:t>
      </w:r>
      <w:r w:rsidRPr="006D0246">
        <w:rPr>
          <w:sz w:val="22"/>
          <w:szCs w:val="22"/>
        </w:rPr>
        <w:t>choose to demonstrate actual compliance with the RP in response to an FCC inquiry (that is, show that the specific commercial that is the subject of the complaints actually complies with the RP).</w:t>
      </w:r>
    </w:p>
    <w:p w:rsidR="00010F84" w:rsidRDefault="00010F84" w:rsidP="00010F84">
      <w:pPr>
        <w:spacing w:beforeLines="60" w:before="144"/>
        <w:ind w:left="720"/>
        <w:rPr>
          <w:sz w:val="22"/>
          <w:szCs w:val="22"/>
        </w:rPr>
      </w:pPr>
      <w:r>
        <w:rPr>
          <w:b/>
          <w:sz w:val="22"/>
          <w:szCs w:val="22"/>
          <w:u w:val="single"/>
        </w:rPr>
        <w:t>B.</w:t>
      </w:r>
      <w:r>
        <w:rPr>
          <w:b/>
          <w:sz w:val="22"/>
          <w:szCs w:val="22"/>
          <w:u w:val="single"/>
        </w:rPr>
        <w:tab/>
      </w:r>
      <w:r w:rsidRPr="00A90A37">
        <w:rPr>
          <w:b/>
          <w:sz w:val="22"/>
          <w:szCs w:val="22"/>
          <w:u w:val="single"/>
        </w:rPr>
        <w:t>Ongoing Compliance</w:t>
      </w:r>
      <w:r>
        <w:rPr>
          <w:sz w:val="22"/>
          <w:szCs w:val="22"/>
        </w:rPr>
        <w:t>:  Alternatively, b</w:t>
      </w:r>
      <w:r w:rsidRPr="006D0246">
        <w:rPr>
          <w:sz w:val="22"/>
          <w:szCs w:val="22"/>
        </w:rPr>
        <w:t xml:space="preserve">ecause it may be difficult for </w:t>
      </w:r>
      <w:r>
        <w:rPr>
          <w:sz w:val="22"/>
          <w:szCs w:val="22"/>
        </w:rPr>
        <w:t xml:space="preserve">a </w:t>
      </w:r>
      <w:r w:rsidRPr="006D0246">
        <w:rPr>
          <w:sz w:val="22"/>
          <w:szCs w:val="22"/>
        </w:rPr>
        <w:t xml:space="preserve">station/MVPD to retroactively demonstrate that a given commercial it transmitted complies with the RP, </w:t>
      </w:r>
      <w:r>
        <w:rPr>
          <w:sz w:val="22"/>
          <w:szCs w:val="22"/>
        </w:rPr>
        <w:t xml:space="preserve">a station/MVPD may choose </w:t>
      </w:r>
      <w:r w:rsidRPr="006D0246">
        <w:rPr>
          <w:sz w:val="22"/>
          <w:szCs w:val="22"/>
        </w:rPr>
        <w:t xml:space="preserve">to demonstrate </w:t>
      </w:r>
      <w:r>
        <w:rPr>
          <w:sz w:val="22"/>
          <w:szCs w:val="22"/>
        </w:rPr>
        <w:t>ongoing</w:t>
      </w:r>
      <w:r w:rsidRPr="006D0246">
        <w:rPr>
          <w:sz w:val="22"/>
          <w:szCs w:val="22"/>
        </w:rPr>
        <w:t xml:space="preserve"> compliance with </w:t>
      </w:r>
      <w:r>
        <w:rPr>
          <w:sz w:val="22"/>
          <w:szCs w:val="22"/>
        </w:rPr>
        <w:t>the RP by following certain</w:t>
      </w:r>
      <w:r w:rsidRPr="006D0246">
        <w:rPr>
          <w:sz w:val="22"/>
          <w:szCs w:val="22"/>
        </w:rPr>
        <w:t xml:space="preserve"> rules </w:t>
      </w:r>
      <w:r>
        <w:rPr>
          <w:sz w:val="22"/>
          <w:szCs w:val="22"/>
        </w:rPr>
        <w:t xml:space="preserve">and procedures through which the Commission can presume compliance with the RP. </w:t>
      </w:r>
    </w:p>
    <w:p w:rsidR="00010F84" w:rsidRDefault="00010F84" w:rsidP="00010F84">
      <w:pPr>
        <w:numPr>
          <w:ilvl w:val="2"/>
          <w:numId w:val="7"/>
        </w:numPr>
        <w:spacing w:beforeLines="60" w:before="144"/>
        <w:rPr>
          <w:sz w:val="22"/>
          <w:szCs w:val="22"/>
        </w:rPr>
      </w:pPr>
      <w:r>
        <w:rPr>
          <w:sz w:val="22"/>
          <w:szCs w:val="22"/>
        </w:rPr>
        <w:t xml:space="preserve">Stations/MVPDs demonstrating ongoing compliance (as described below) </w:t>
      </w:r>
      <w:r w:rsidRPr="001F799A">
        <w:rPr>
          <w:sz w:val="22"/>
          <w:szCs w:val="22"/>
        </w:rPr>
        <w:t xml:space="preserve">need not </w:t>
      </w:r>
      <w:r>
        <w:rPr>
          <w:sz w:val="22"/>
          <w:szCs w:val="22"/>
        </w:rPr>
        <w:t>show</w:t>
      </w:r>
      <w:r w:rsidRPr="001F799A">
        <w:rPr>
          <w:sz w:val="22"/>
          <w:szCs w:val="22"/>
        </w:rPr>
        <w:t xml:space="preserve">, in response to an FCC inquiry, that they complied with the RP with regard to the </w:t>
      </w:r>
      <w:r>
        <w:rPr>
          <w:sz w:val="22"/>
          <w:szCs w:val="22"/>
        </w:rPr>
        <w:t xml:space="preserve">specific, </w:t>
      </w:r>
      <w:r w:rsidRPr="001F799A">
        <w:rPr>
          <w:sz w:val="22"/>
          <w:szCs w:val="22"/>
        </w:rPr>
        <w:t>complained-of commercial or commercials, and they will not be held liable for noncompliant commercials that they previously transmitted.</w:t>
      </w:r>
    </w:p>
    <w:p w:rsidR="00010F84" w:rsidRDefault="00010F84" w:rsidP="00010F84">
      <w:pPr>
        <w:numPr>
          <w:ilvl w:val="2"/>
          <w:numId w:val="7"/>
        </w:numPr>
        <w:spacing w:beforeLines="60" w:before="144"/>
        <w:rPr>
          <w:sz w:val="22"/>
          <w:szCs w:val="22"/>
        </w:rPr>
      </w:pPr>
      <w:r>
        <w:rPr>
          <w:sz w:val="22"/>
          <w:szCs w:val="22"/>
        </w:rPr>
        <w:t>When</w:t>
      </w:r>
      <w:r w:rsidRPr="00CA5A55">
        <w:rPr>
          <w:sz w:val="22"/>
          <w:szCs w:val="22"/>
        </w:rPr>
        <w:t xml:space="preserve"> notified of a</w:t>
      </w:r>
      <w:r>
        <w:rPr>
          <w:sz w:val="22"/>
          <w:szCs w:val="22"/>
        </w:rPr>
        <w:t>n FCC inquiry</w:t>
      </w:r>
      <w:r w:rsidRPr="00CA5A55">
        <w:rPr>
          <w:sz w:val="22"/>
          <w:szCs w:val="22"/>
        </w:rPr>
        <w:t xml:space="preserve"> </w:t>
      </w:r>
      <w:r>
        <w:rPr>
          <w:sz w:val="22"/>
          <w:szCs w:val="22"/>
        </w:rPr>
        <w:t xml:space="preserve">(due to </w:t>
      </w:r>
      <w:r w:rsidRPr="00CA5A55">
        <w:rPr>
          <w:sz w:val="22"/>
          <w:szCs w:val="22"/>
        </w:rPr>
        <w:t>pattern or trend of complaints</w:t>
      </w:r>
      <w:r>
        <w:rPr>
          <w:sz w:val="22"/>
          <w:szCs w:val="22"/>
        </w:rPr>
        <w:t>)</w:t>
      </w:r>
      <w:r w:rsidRPr="00CA5A55">
        <w:rPr>
          <w:sz w:val="22"/>
          <w:szCs w:val="22"/>
        </w:rPr>
        <w:t xml:space="preserve">, </w:t>
      </w:r>
      <w:r>
        <w:rPr>
          <w:sz w:val="22"/>
          <w:szCs w:val="22"/>
        </w:rPr>
        <w:t>a station/</w:t>
      </w:r>
      <w:r w:rsidRPr="00CA5A55">
        <w:rPr>
          <w:sz w:val="22"/>
          <w:szCs w:val="22"/>
        </w:rPr>
        <w:t>MVPD must, within 30 days, perform a 24-hour spot check of the programming being transmitted on the channel or program stream at issue, to verify ongoing compliance.  This requirement applies to all station</w:t>
      </w:r>
      <w:r>
        <w:rPr>
          <w:sz w:val="22"/>
          <w:szCs w:val="22"/>
        </w:rPr>
        <w:t>s</w:t>
      </w:r>
      <w:r w:rsidRPr="00CA5A55">
        <w:rPr>
          <w:sz w:val="22"/>
          <w:szCs w:val="22"/>
        </w:rPr>
        <w:t xml:space="preserve"> and MVPDs, regardless of size, and applies to </w:t>
      </w:r>
      <w:r w:rsidRPr="00F852B0">
        <w:rPr>
          <w:sz w:val="22"/>
          <w:szCs w:val="22"/>
        </w:rPr>
        <w:t>certified</w:t>
      </w:r>
      <w:r w:rsidRPr="00CA5A55">
        <w:rPr>
          <w:sz w:val="22"/>
          <w:szCs w:val="22"/>
        </w:rPr>
        <w:t xml:space="preserve"> and noncertified programming.</w:t>
      </w:r>
    </w:p>
    <w:p w:rsidR="00010F84" w:rsidRPr="00CA5A55" w:rsidRDefault="00010F84" w:rsidP="00010F84">
      <w:pPr>
        <w:numPr>
          <w:ilvl w:val="3"/>
          <w:numId w:val="7"/>
        </w:numPr>
        <w:spacing w:beforeLines="60" w:before="144"/>
        <w:rPr>
          <w:sz w:val="22"/>
          <w:szCs w:val="22"/>
        </w:rPr>
      </w:pPr>
      <w:r w:rsidRPr="00CA5A55">
        <w:rPr>
          <w:sz w:val="22"/>
          <w:szCs w:val="22"/>
        </w:rPr>
        <w:t>If complaints implicate both large and small stations/MVPDs, the Commission would generally focus enforcement inquiries first on the larger entities to ascertain compliance, thus relieving smaller entities of the post-complaint spot check.  If complaints pertain largely to a small station or MVPD, however, it will be appropriate to focus on the entity named, regardless of size.</w:t>
      </w:r>
    </w:p>
    <w:p w:rsidR="00010F84" w:rsidRDefault="00010F84" w:rsidP="00010F84">
      <w:pPr>
        <w:spacing w:beforeLines="60" w:before="144"/>
        <w:rPr>
          <w:sz w:val="22"/>
          <w:szCs w:val="22"/>
        </w:rPr>
      </w:pPr>
    </w:p>
    <w:p w:rsidR="00010F84" w:rsidRPr="001B1380" w:rsidRDefault="00010F84" w:rsidP="00010F84">
      <w:pPr>
        <w:pStyle w:val="ListBullet2"/>
        <w:numPr>
          <w:ilvl w:val="0"/>
          <w:numId w:val="0"/>
        </w:numPr>
        <w:ind w:left="720"/>
        <w:rPr>
          <w:b/>
          <w:sz w:val="22"/>
        </w:rPr>
      </w:pPr>
      <w:r w:rsidRPr="009E5C03">
        <w:rPr>
          <w:b/>
          <w:sz w:val="22"/>
          <w:szCs w:val="22"/>
          <w:u w:val="single"/>
        </w:rPr>
        <w:t>C.</w:t>
      </w:r>
      <w:r w:rsidRPr="009E5C03">
        <w:rPr>
          <w:b/>
          <w:sz w:val="22"/>
          <w:szCs w:val="22"/>
          <w:u w:val="single"/>
        </w:rPr>
        <w:tab/>
        <w:t>Requirements</w:t>
      </w:r>
      <w:r w:rsidRPr="001B1380">
        <w:rPr>
          <w:b/>
          <w:sz w:val="22"/>
          <w:u w:val="single"/>
        </w:rPr>
        <w:t xml:space="preserve"> for </w:t>
      </w:r>
      <w:r w:rsidRPr="009E5C03">
        <w:rPr>
          <w:b/>
          <w:sz w:val="22"/>
          <w:szCs w:val="22"/>
          <w:u w:val="single"/>
        </w:rPr>
        <w:t>Demonstrating Ongoing Compliance</w:t>
      </w:r>
      <w:r>
        <w:rPr>
          <w:b/>
          <w:sz w:val="22"/>
          <w:szCs w:val="22"/>
        </w:rPr>
        <w:t>:</w:t>
      </w:r>
    </w:p>
    <w:p w:rsidR="00010F84" w:rsidRPr="00F852B0" w:rsidRDefault="00010F84" w:rsidP="00010F84">
      <w:pPr>
        <w:numPr>
          <w:ilvl w:val="1"/>
          <w:numId w:val="7"/>
        </w:numPr>
        <w:spacing w:beforeLines="60" w:before="144"/>
        <w:rPr>
          <w:color w:val="000000"/>
          <w:sz w:val="22"/>
        </w:rPr>
      </w:pPr>
      <w:r>
        <w:rPr>
          <w:bCs/>
          <w:color w:val="000000"/>
          <w:sz w:val="22"/>
          <w:szCs w:val="22"/>
        </w:rPr>
        <w:t>T</w:t>
      </w:r>
      <w:r w:rsidRPr="00C975D3">
        <w:rPr>
          <w:bCs/>
          <w:color w:val="000000"/>
          <w:sz w:val="22"/>
          <w:szCs w:val="22"/>
        </w:rPr>
        <w:t>he rules offer a means for a station/MVPD to</w:t>
      </w:r>
      <w:r>
        <w:rPr>
          <w:bCs/>
          <w:color w:val="000000"/>
          <w:sz w:val="22"/>
          <w:szCs w:val="22"/>
        </w:rPr>
        <w:t>:</w:t>
      </w:r>
    </w:p>
    <w:p w:rsidR="00010F84" w:rsidRPr="00F852B0" w:rsidRDefault="00010F84" w:rsidP="00010F84">
      <w:pPr>
        <w:numPr>
          <w:ilvl w:val="2"/>
          <w:numId w:val="7"/>
        </w:numPr>
        <w:spacing w:beforeLines="60" w:before="144"/>
        <w:rPr>
          <w:color w:val="000000"/>
          <w:sz w:val="22"/>
        </w:rPr>
      </w:pPr>
      <w:r>
        <w:rPr>
          <w:bCs/>
          <w:color w:val="000000"/>
          <w:sz w:val="22"/>
          <w:szCs w:val="22"/>
        </w:rPr>
        <w:t>(1) be “</w:t>
      </w:r>
      <w:r w:rsidRPr="00C975D3">
        <w:rPr>
          <w:bCs/>
          <w:color w:val="000000"/>
          <w:sz w:val="22"/>
          <w:szCs w:val="22"/>
        </w:rPr>
        <w:t>deemed in compliance</w:t>
      </w:r>
      <w:r>
        <w:rPr>
          <w:bCs/>
          <w:color w:val="000000"/>
          <w:sz w:val="22"/>
          <w:szCs w:val="22"/>
        </w:rPr>
        <w:t>”</w:t>
      </w:r>
      <w:r w:rsidRPr="00C975D3">
        <w:rPr>
          <w:bCs/>
          <w:color w:val="000000"/>
          <w:sz w:val="22"/>
          <w:szCs w:val="22"/>
        </w:rPr>
        <w:t xml:space="preserve"> with respect to </w:t>
      </w:r>
      <w:r w:rsidRPr="00676312">
        <w:rPr>
          <w:b/>
          <w:sz w:val="22"/>
          <w:szCs w:val="22"/>
        </w:rPr>
        <w:t>Locally Inserted Commercials</w:t>
      </w:r>
      <w:r>
        <w:rPr>
          <w:b/>
          <w:sz w:val="22"/>
          <w:szCs w:val="22"/>
        </w:rPr>
        <w:t>;</w:t>
      </w:r>
    </w:p>
    <w:p w:rsidR="00010F84" w:rsidRPr="00F852B0" w:rsidRDefault="00010F84" w:rsidP="00010F84">
      <w:pPr>
        <w:numPr>
          <w:ilvl w:val="2"/>
          <w:numId w:val="7"/>
        </w:numPr>
        <w:spacing w:beforeLines="60" w:before="144"/>
        <w:rPr>
          <w:color w:val="000000"/>
          <w:sz w:val="22"/>
        </w:rPr>
      </w:pPr>
      <w:r>
        <w:rPr>
          <w:bCs/>
          <w:color w:val="000000"/>
          <w:sz w:val="22"/>
          <w:szCs w:val="22"/>
        </w:rPr>
        <w:lastRenderedPageBreak/>
        <w:t xml:space="preserve">(2) be </w:t>
      </w:r>
      <w:r w:rsidRPr="00C975D3">
        <w:rPr>
          <w:bCs/>
          <w:color w:val="000000"/>
          <w:sz w:val="22"/>
          <w:szCs w:val="22"/>
        </w:rPr>
        <w:t xml:space="preserve">afforded a </w:t>
      </w:r>
      <w:r>
        <w:rPr>
          <w:bCs/>
          <w:color w:val="000000"/>
          <w:sz w:val="22"/>
          <w:szCs w:val="22"/>
        </w:rPr>
        <w:t>“</w:t>
      </w:r>
      <w:r w:rsidRPr="00C975D3">
        <w:rPr>
          <w:bCs/>
          <w:color w:val="000000"/>
          <w:sz w:val="22"/>
          <w:szCs w:val="22"/>
        </w:rPr>
        <w:t>safe harbor</w:t>
      </w:r>
      <w:r>
        <w:rPr>
          <w:bCs/>
          <w:color w:val="000000"/>
          <w:sz w:val="22"/>
          <w:szCs w:val="22"/>
        </w:rPr>
        <w:t>”</w:t>
      </w:r>
      <w:r w:rsidRPr="00C975D3">
        <w:rPr>
          <w:bCs/>
          <w:color w:val="000000"/>
          <w:sz w:val="22"/>
          <w:szCs w:val="22"/>
        </w:rPr>
        <w:t xml:space="preserve"> with respect to </w:t>
      </w:r>
      <w:r w:rsidRPr="00676312">
        <w:rPr>
          <w:b/>
          <w:sz w:val="22"/>
          <w:szCs w:val="22"/>
        </w:rPr>
        <w:t>Embedded Commercials</w:t>
      </w:r>
      <w:r w:rsidRPr="00C975D3">
        <w:rPr>
          <w:bCs/>
          <w:color w:val="000000"/>
          <w:sz w:val="22"/>
          <w:szCs w:val="22"/>
        </w:rPr>
        <w:t xml:space="preserve"> they pass through as part of programming provided</w:t>
      </w:r>
      <w:r>
        <w:rPr>
          <w:bCs/>
          <w:color w:val="000000"/>
          <w:sz w:val="22"/>
          <w:szCs w:val="22"/>
        </w:rPr>
        <w:t xml:space="preserve"> from a programmer (such as a network).</w:t>
      </w:r>
    </w:p>
    <w:p w:rsidR="00010F84" w:rsidRPr="00F852B0" w:rsidRDefault="00010F84" w:rsidP="00010F84">
      <w:pPr>
        <w:numPr>
          <w:ilvl w:val="2"/>
          <w:numId w:val="7"/>
        </w:numPr>
        <w:spacing w:beforeLines="60" w:before="144"/>
        <w:rPr>
          <w:color w:val="000000"/>
          <w:sz w:val="22"/>
        </w:rPr>
      </w:pPr>
      <w:r>
        <w:rPr>
          <w:sz w:val="22"/>
          <w:szCs w:val="22"/>
        </w:rPr>
        <w:t xml:space="preserve">(3) ensure compliance with the RP through the use </w:t>
      </w:r>
      <w:r w:rsidRPr="00FB1153">
        <w:rPr>
          <w:sz w:val="22"/>
          <w:szCs w:val="22"/>
        </w:rPr>
        <w:t xml:space="preserve">of a </w:t>
      </w:r>
      <w:r w:rsidRPr="00AA0313">
        <w:rPr>
          <w:b/>
          <w:sz w:val="22"/>
          <w:szCs w:val="22"/>
        </w:rPr>
        <w:t>Real-Time Processor</w:t>
      </w:r>
      <w:r>
        <w:rPr>
          <w:sz w:val="22"/>
          <w:szCs w:val="22"/>
        </w:rPr>
        <w:t>.</w:t>
      </w:r>
    </w:p>
    <w:p w:rsidR="00010F84" w:rsidRDefault="00010F84" w:rsidP="00010F84">
      <w:pPr>
        <w:spacing w:beforeLines="60" w:before="144"/>
        <w:ind w:left="720"/>
        <w:rPr>
          <w:bCs/>
          <w:color w:val="000000"/>
          <w:sz w:val="22"/>
          <w:szCs w:val="22"/>
        </w:rPr>
      </w:pPr>
      <w:r w:rsidRPr="009E5C03">
        <w:rPr>
          <w:b/>
          <w:sz w:val="22"/>
          <w:szCs w:val="22"/>
          <w:u w:val="single"/>
        </w:rPr>
        <w:t>1.</w:t>
      </w:r>
      <w:r w:rsidRPr="009E5C03">
        <w:rPr>
          <w:b/>
          <w:sz w:val="22"/>
          <w:szCs w:val="22"/>
          <w:u w:val="single"/>
        </w:rPr>
        <w:tab/>
      </w:r>
      <w:r w:rsidRPr="00A23220">
        <w:rPr>
          <w:b/>
          <w:sz w:val="22"/>
          <w:szCs w:val="22"/>
          <w:u w:val="single"/>
        </w:rPr>
        <w:t>Locally Inserted Commercials (“deemed in compliance”)</w:t>
      </w:r>
      <w:r w:rsidRPr="009E5C03">
        <w:rPr>
          <w:b/>
          <w:sz w:val="22"/>
          <w:szCs w:val="22"/>
        </w:rPr>
        <w:t>:</w:t>
      </w:r>
      <w:r>
        <w:rPr>
          <w:sz w:val="22"/>
          <w:szCs w:val="22"/>
        </w:rPr>
        <w:t xml:space="preserve"> </w:t>
      </w:r>
      <w:r w:rsidRPr="00C975D3">
        <w:rPr>
          <w:bCs/>
          <w:color w:val="000000"/>
          <w:sz w:val="22"/>
          <w:szCs w:val="22"/>
        </w:rPr>
        <w:t xml:space="preserve"> </w:t>
      </w:r>
      <w:r>
        <w:rPr>
          <w:bCs/>
          <w:color w:val="000000"/>
          <w:sz w:val="22"/>
          <w:szCs w:val="22"/>
        </w:rPr>
        <w:t>To be “</w:t>
      </w:r>
      <w:r w:rsidRPr="00C975D3">
        <w:rPr>
          <w:bCs/>
          <w:color w:val="000000"/>
          <w:sz w:val="22"/>
          <w:szCs w:val="22"/>
        </w:rPr>
        <w:t>deemed in compliance</w:t>
      </w:r>
      <w:r>
        <w:rPr>
          <w:bCs/>
          <w:color w:val="000000"/>
          <w:sz w:val="22"/>
          <w:szCs w:val="22"/>
        </w:rPr>
        <w:t>”</w:t>
      </w:r>
      <w:r w:rsidRPr="00C975D3">
        <w:rPr>
          <w:bCs/>
          <w:color w:val="000000"/>
          <w:sz w:val="22"/>
          <w:szCs w:val="22"/>
        </w:rPr>
        <w:t xml:space="preserve"> with respect to</w:t>
      </w:r>
      <w:r w:rsidRPr="00F852B0">
        <w:rPr>
          <w:color w:val="000000"/>
          <w:sz w:val="22"/>
        </w:rPr>
        <w:t xml:space="preserve"> locally inserted commercials, </w:t>
      </w:r>
      <w:r w:rsidRPr="00C975D3">
        <w:rPr>
          <w:bCs/>
          <w:color w:val="000000"/>
          <w:sz w:val="22"/>
          <w:szCs w:val="22"/>
        </w:rPr>
        <w:t xml:space="preserve">stations and MVPDs must </w:t>
      </w:r>
      <w:r>
        <w:rPr>
          <w:bCs/>
          <w:color w:val="000000"/>
          <w:sz w:val="22"/>
          <w:szCs w:val="22"/>
        </w:rPr>
        <w:t>show</w:t>
      </w:r>
      <w:r w:rsidRPr="00C975D3">
        <w:rPr>
          <w:bCs/>
          <w:color w:val="000000"/>
          <w:sz w:val="22"/>
          <w:szCs w:val="22"/>
        </w:rPr>
        <w:t xml:space="preserve"> that they have installed, and are utilizing and maintaining</w:t>
      </w:r>
      <w:r>
        <w:rPr>
          <w:bCs/>
          <w:color w:val="000000"/>
          <w:sz w:val="22"/>
          <w:szCs w:val="22"/>
        </w:rPr>
        <w:t>,</w:t>
      </w:r>
      <w:r w:rsidRPr="00C975D3">
        <w:rPr>
          <w:bCs/>
          <w:color w:val="000000"/>
          <w:sz w:val="22"/>
          <w:szCs w:val="22"/>
        </w:rPr>
        <w:t xml:space="preserve"> equipment and software</w:t>
      </w:r>
      <w:r w:rsidRPr="00F852B0">
        <w:rPr>
          <w:color w:val="000000"/>
          <w:sz w:val="22"/>
        </w:rPr>
        <w:t xml:space="preserve"> in </w:t>
      </w:r>
      <w:r w:rsidRPr="00C975D3">
        <w:rPr>
          <w:bCs/>
          <w:color w:val="000000"/>
          <w:sz w:val="22"/>
          <w:szCs w:val="22"/>
        </w:rPr>
        <w:t>a commercially reasonable manner to implement the RP.</w:t>
      </w:r>
    </w:p>
    <w:p w:rsidR="00010F84" w:rsidRPr="00B31648" w:rsidRDefault="00010F84" w:rsidP="00010F84">
      <w:pPr>
        <w:numPr>
          <w:ilvl w:val="2"/>
          <w:numId w:val="11"/>
        </w:numPr>
        <w:spacing w:beforeLines="60" w:before="144"/>
        <w:rPr>
          <w:bCs/>
          <w:color w:val="000000"/>
          <w:sz w:val="22"/>
          <w:szCs w:val="22"/>
        </w:rPr>
      </w:pPr>
      <w:r>
        <w:rPr>
          <w:bCs/>
          <w:color w:val="000000"/>
          <w:sz w:val="22"/>
          <w:szCs w:val="22"/>
        </w:rPr>
        <w:t>This means the station/</w:t>
      </w:r>
      <w:r w:rsidRPr="00B31648">
        <w:rPr>
          <w:bCs/>
          <w:color w:val="000000"/>
          <w:sz w:val="22"/>
          <w:szCs w:val="22"/>
        </w:rPr>
        <w:t>MVPD must:</w:t>
      </w:r>
    </w:p>
    <w:p w:rsidR="00010F84" w:rsidRPr="00B31648" w:rsidRDefault="00010F84" w:rsidP="00010F84">
      <w:pPr>
        <w:pStyle w:val="ListParagraph"/>
        <w:numPr>
          <w:ilvl w:val="3"/>
          <w:numId w:val="12"/>
        </w:numPr>
        <w:spacing w:beforeLines="60" w:before="144"/>
        <w:rPr>
          <w:bCs/>
          <w:color w:val="000000"/>
          <w:sz w:val="22"/>
          <w:szCs w:val="22"/>
        </w:rPr>
      </w:pPr>
      <w:r w:rsidRPr="00B31648">
        <w:rPr>
          <w:bCs/>
          <w:color w:val="000000"/>
          <w:sz w:val="22"/>
          <w:szCs w:val="22"/>
        </w:rPr>
        <w:t xml:space="preserve">install, maintain and utilize equipment to properly measure the loudness of the content and to ensure that the dialnorm metadata value correctly matches the loudness of the content when encoding the </w:t>
      </w:r>
      <w:r w:rsidRPr="00F852B0">
        <w:rPr>
          <w:color w:val="000000"/>
          <w:sz w:val="22"/>
        </w:rPr>
        <w:t xml:space="preserve">audio </w:t>
      </w:r>
      <w:r w:rsidRPr="00B31648">
        <w:rPr>
          <w:bCs/>
          <w:color w:val="000000"/>
          <w:sz w:val="22"/>
          <w:szCs w:val="22"/>
        </w:rPr>
        <w:t>into AC-3 for transmitting the content to the consumer;</w:t>
      </w:r>
      <w:r>
        <w:rPr>
          <w:rStyle w:val="FootnoteReference"/>
          <w:bCs/>
          <w:szCs w:val="22"/>
        </w:rPr>
        <w:footnoteReference w:id="7"/>
      </w:r>
    </w:p>
    <w:p w:rsidR="00010F84" w:rsidRPr="00B31648" w:rsidRDefault="00010F84" w:rsidP="00010F84">
      <w:pPr>
        <w:pStyle w:val="ListParagraph"/>
        <w:numPr>
          <w:ilvl w:val="3"/>
          <w:numId w:val="12"/>
        </w:numPr>
        <w:spacing w:beforeLines="60" w:before="144"/>
        <w:rPr>
          <w:bCs/>
          <w:color w:val="000000"/>
          <w:sz w:val="22"/>
          <w:szCs w:val="22"/>
        </w:rPr>
      </w:pPr>
      <w:r>
        <w:rPr>
          <w:bCs/>
          <w:color w:val="000000"/>
          <w:sz w:val="22"/>
          <w:szCs w:val="22"/>
        </w:rPr>
        <w:t>maintain</w:t>
      </w:r>
      <w:r w:rsidRPr="00B31648">
        <w:rPr>
          <w:bCs/>
          <w:color w:val="000000"/>
          <w:sz w:val="22"/>
          <w:szCs w:val="22"/>
        </w:rPr>
        <w:t xml:space="preserve"> records showing the consistent and ongoing use of this equipment in the regular course of business and demonstrating that the equipment has undergone commercially reasonable periodic maintenance and testing to ensure its continued proper operation</w:t>
      </w:r>
      <w:r>
        <w:rPr>
          <w:bCs/>
          <w:color w:val="000000"/>
          <w:sz w:val="22"/>
          <w:szCs w:val="22"/>
        </w:rPr>
        <w:t xml:space="preserve"> and make such records available if requested</w:t>
      </w:r>
      <w:r w:rsidRPr="00B31648">
        <w:rPr>
          <w:bCs/>
          <w:color w:val="000000"/>
          <w:sz w:val="22"/>
          <w:szCs w:val="22"/>
        </w:rPr>
        <w:t xml:space="preserve">; </w:t>
      </w:r>
    </w:p>
    <w:p w:rsidR="00010F84" w:rsidRPr="00B31648" w:rsidRDefault="00010F84" w:rsidP="00010F84">
      <w:pPr>
        <w:pStyle w:val="ListParagraph"/>
        <w:numPr>
          <w:ilvl w:val="3"/>
          <w:numId w:val="12"/>
        </w:numPr>
        <w:spacing w:beforeLines="60" w:before="144"/>
        <w:rPr>
          <w:bCs/>
          <w:color w:val="000000"/>
          <w:sz w:val="22"/>
          <w:szCs w:val="22"/>
        </w:rPr>
      </w:pPr>
      <w:r w:rsidRPr="00B31648">
        <w:rPr>
          <w:bCs/>
          <w:color w:val="000000"/>
          <w:sz w:val="22"/>
          <w:szCs w:val="22"/>
        </w:rPr>
        <w:t>certify that it either has no actual knowledge of a violation of the ATSC A/85 RP, or that any violation of which it has become aware has been corrected promptly upon becoming aware of such a violation; and</w:t>
      </w:r>
    </w:p>
    <w:p w:rsidR="00010F84" w:rsidRPr="00F852B0" w:rsidRDefault="00010F84" w:rsidP="00010F84">
      <w:pPr>
        <w:pStyle w:val="ListParagraph"/>
        <w:numPr>
          <w:ilvl w:val="3"/>
          <w:numId w:val="12"/>
        </w:numPr>
        <w:spacing w:beforeLines="60" w:before="144"/>
        <w:rPr>
          <w:color w:val="000000"/>
          <w:sz w:val="22"/>
        </w:rPr>
      </w:pPr>
      <w:r w:rsidRPr="00B31648">
        <w:rPr>
          <w:bCs/>
          <w:color w:val="000000"/>
          <w:sz w:val="22"/>
          <w:szCs w:val="22"/>
        </w:rPr>
        <w:t xml:space="preserve">certify that its own transmission equipment is not at fault </w:t>
      </w:r>
      <w:r w:rsidRPr="00F852B0">
        <w:rPr>
          <w:color w:val="000000"/>
          <w:sz w:val="22"/>
        </w:rPr>
        <w:t xml:space="preserve">for </w:t>
      </w:r>
      <w:r w:rsidRPr="00B31648">
        <w:rPr>
          <w:bCs/>
          <w:color w:val="000000"/>
          <w:sz w:val="22"/>
          <w:szCs w:val="22"/>
        </w:rPr>
        <w:t>any patt</w:t>
      </w:r>
      <w:r>
        <w:rPr>
          <w:bCs/>
          <w:color w:val="000000"/>
          <w:sz w:val="22"/>
          <w:szCs w:val="22"/>
        </w:rPr>
        <w:t>ern or trend of complaints.</w:t>
      </w:r>
    </w:p>
    <w:p w:rsidR="00010F84" w:rsidRPr="00F852B0" w:rsidRDefault="00010F84" w:rsidP="00010F84">
      <w:pPr>
        <w:pStyle w:val="ListParagraph"/>
        <w:numPr>
          <w:ilvl w:val="2"/>
          <w:numId w:val="12"/>
        </w:numPr>
        <w:spacing w:before="144" w:after="120"/>
        <w:contextualSpacing w:val="0"/>
        <w:rPr>
          <w:color w:val="000000"/>
          <w:sz w:val="22"/>
        </w:rPr>
      </w:pPr>
      <w:r w:rsidRPr="00F852B0">
        <w:rPr>
          <w:color w:val="000000"/>
          <w:sz w:val="22"/>
          <w:u w:val="single"/>
        </w:rPr>
        <w:t>Third Party Local Insertions</w:t>
      </w:r>
      <w:r w:rsidRPr="00F852B0">
        <w:rPr>
          <w:color w:val="000000"/>
          <w:sz w:val="22"/>
        </w:rPr>
        <w:t>:  If a station/MVPD contracts with a third party (agent) to do its local commercial inserts, then the station/MVPD must ensure the third party is complying with the ATSC A/85 RP by obtaining a certification of compliance with the RP from the third party.</w:t>
      </w:r>
      <w:r>
        <w:rPr>
          <w:rStyle w:val="FootnoteReference"/>
          <w:bCs/>
          <w:szCs w:val="22"/>
        </w:rPr>
        <w:footnoteReference w:id="8"/>
      </w:r>
      <w:r w:rsidRPr="00F852B0">
        <w:rPr>
          <w:color w:val="000000"/>
          <w:sz w:val="22"/>
        </w:rPr>
        <w:t xml:space="preserve">  The station/MVPD must also perform a spot check on the programming at issue in response to an FCC inquiry concerning a pattern or trend of complaints regarding commercials inserted by that third party.</w:t>
      </w:r>
    </w:p>
    <w:p w:rsidR="00010F84" w:rsidRPr="001244A5" w:rsidRDefault="00010F84" w:rsidP="00010F84">
      <w:pPr>
        <w:spacing w:beforeLines="60" w:before="144"/>
        <w:rPr>
          <w:bCs/>
          <w:color w:val="000000"/>
          <w:sz w:val="22"/>
          <w:szCs w:val="22"/>
        </w:rPr>
      </w:pPr>
    </w:p>
    <w:p w:rsidR="00010F84" w:rsidRPr="001B1380" w:rsidRDefault="00010F84" w:rsidP="00010F84">
      <w:pPr>
        <w:spacing w:beforeLines="60" w:before="144" w:afterLines="60" w:after="144"/>
        <w:ind w:left="720"/>
        <w:rPr>
          <w:sz w:val="22"/>
        </w:rPr>
      </w:pPr>
      <w:r>
        <w:rPr>
          <w:b/>
          <w:sz w:val="22"/>
          <w:u w:val="single"/>
        </w:rPr>
        <w:t>2.</w:t>
      </w:r>
      <w:r>
        <w:rPr>
          <w:b/>
          <w:sz w:val="22"/>
          <w:u w:val="single"/>
        </w:rPr>
        <w:tab/>
      </w:r>
      <w:r w:rsidRPr="00F852B0">
        <w:rPr>
          <w:b/>
          <w:sz w:val="22"/>
          <w:u w:val="single"/>
        </w:rPr>
        <w:t>Embedded Commercials</w:t>
      </w:r>
      <w:r>
        <w:rPr>
          <w:b/>
          <w:sz w:val="22"/>
          <w:u w:val="single"/>
        </w:rPr>
        <w:t xml:space="preserve"> (“safe harbor”)</w:t>
      </w:r>
      <w:r w:rsidRPr="00F852B0">
        <w:rPr>
          <w:sz w:val="22"/>
        </w:rPr>
        <w:t>:</w:t>
      </w:r>
      <w:r>
        <w:rPr>
          <w:sz w:val="22"/>
          <w:szCs w:val="22"/>
        </w:rPr>
        <w:t xml:space="preserve"> </w:t>
      </w:r>
      <w:r w:rsidRPr="00C975D3">
        <w:rPr>
          <w:bCs/>
          <w:color w:val="000000"/>
          <w:sz w:val="22"/>
          <w:szCs w:val="22"/>
        </w:rPr>
        <w:t xml:space="preserve"> To </w:t>
      </w:r>
      <w:r>
        <w:rPr>
          <w:bCs/>
          <w:color w:val="000000"/>
          <w:sz w:val="22"/>
          <w:szCs w:val="22"/>
        </w:rPr>
        <w:t>satisfy</w:t>
      </w:r>
      <w:r w:rsidRPr="00C975D3">
        <w:rPr>
          <w:bCs/>
          <w:color w:val="000000"/>
          <w:sz w:val="22"/>
          <w:szCs w:val="22"/>
        </w:rPr>
        <w:t xml:space="preserve"> the </w:t>
      </w:r>
      <w:r>
        <w:rPr>
          <w:bCs/>
          <w:color w:val="000000"/>
          <w:sz w:val="22"/>
          <w:szCs w:val="22"/>
        </w:rPr>
        <w:t>“safe harbor”</w:t>
      </w:r>
      <w:r w:rsidRPr="00C975D3">
        <w:rPr>
          <w:bCs/>
          <w:color w:val="000000"/>
          <w:sz w:val="22"/>
          <w:szCs w:val="22"/>
        </w:rPr>
        <w:t xml:space="preserve"> requirements with respect</w:t>
      </w:r>
      <w:r w:rsidRPr="00F852B0">
        <w:rPr>
          <w:color w:val="000000"/>
          <w:sz w:val="22"/>
        </w:rPr>
        <w:t xml:space="preserve"> to embedded commercials</w:t>
      </w:r>
      <w:r w:rsidRPr="00C975D3">
        <w:rPr>
          <w:bCs/>
          <w:color w:val="000000"/>
          <w:sz w:val="22"/>
          <w:szCs w:val="22"/>
        </w:rPr>
        <w:t xml:space="preserve">, stations and MVPDs must </w:t>
      </w:r>
      <w:r w:rsidRPr="00294340">
        <w:rPr>
          <w:bCs/>
          <w:color w:val="000000"/>
          <w:sz w:val="22"/>
          <w:szCs w:val="22"/>
        </w:rPr>
        <w:t xml:space="preserve">certify that </w:t>
      </w:r>
      <w:r>
        <w:rPr>
          <w:bCs/>
          <w:color w:val="000000"/>
          <w:sz w:val="22"/>
          <w:szCs w:val="22"/>
        </w:rPr>
        <w:t>their</w:t>
      </w:r>
      <w:r w:rsidRPr="00294340">
        <w:rPr>
          <w:bCs/>
          <w:color w:val="000000"/>
          <w:sz w:val="22"/>
          <w:szCs w:val="22"/>
        </w:rPr>
        <w:t xml:space="preserve"> own transmission equipment is not at fault for any pattern or trend of complaints, and </w:t>
      </w:r>
      <w:r>
        <w:rPr>
          <w:bCs/>
          <w:color w:val="000000"/>
          <w:sz w:val="22"/>
          <w:szCs w:val="22"/>
        </w:rPr>
        <w:t>must (i) rely on</w:t>
      </w:r>
      <w:r w:rsidRPr="00294340">
        <w:rPr>
          <w:bCs/>
          <w:color w:val="000000"/>
          <w:sz w:val="22"/>
          <w:szCs w:val="22"/>
        </w:rPr>
        <w:t xml:space="preserve"> </w:t>
      </w:r>
      <w:r>
        <w:rPr>
          <w:bCs/>
          <w:color w:val="000000"/>
          <w:sz w:val="22"/>
          <w:szCs w:val="22"/>
        </w:rPr>
        <w:t>widely-</w:t>
      </w:r>
      <w:r w:rsidRPr="00294340">
        <w:rPr>
          <w:bCs/>
          <w:color w:val="000000"/>
          <w:sz w:val="22"/>
          <w:szCs w:val="22"/>
        </w:rPr>
        <w:t xml:space="preserve">available certifications of </w:t>
      </w:r>
      <w:r w:rsidRPr="00F852B0">
        <w:rPr>
          <w:color w:val="000000"/>
          <w:sz w:val="22"/>
        </w:rPr>
        <w:t xml:space="preserve">compliance </w:t>
      </w:r>
      <w:r w:rsidRPr="00294340">
        <w:rPr>
          <w:bCs/>
          <w:color w:val="000000"/>
          <w:sz w:val="22"/>
          <w:szCs w:val="22"/>
        </w:rPr>
        <w:t>from programmers</w:t>
      </w:r>
      <w:r>
        <w:rPr>
          <w:bCs/>
          <w:color w:val="000000"/>
          <w:sz w:val="22"/>
          <w:szCs w:val="22"/>
        </w:rPr>
        <w:t>;</w:t>
      </w:r>
      <w:r>
        <w:rPr>
          <w:rStyle w:val="FootnoteReference"/>
          <w:bCs/>
          <w:szCs w:val="22"/>
        </w:rPr>
        <w:footnoteReference w:id="9"/>
      </w:r>
      <w:r>
        <w:rPr>
          <w:bCs/>
          <w:color w:val="000000"/>
          <w:sz w:val="22"/>
          <w:szCs w:val="22"/>
        </w:rPr>
        <w:t xml:space="preserve"> and (ii) </w:t>
      </w:r>
      <w:r w:rsidRPr="00294340">
        <w:rPr>
          <w:bCs/>
          <w:color w:val="000000"/>
          <w:sz w:val="22"/>
          <w:szCs w:val="22"/>
        </w:rPr>
        <w:t xml:space="preserve">conduct annual spot checks of non-certified programming to </w:t>
      </w:r>
      <w:r w:rsidRPr="00F852B0">
        <w:rPr>
          <w:color w:val="000000"/>
          <w:sz w:val="22"/>
        </w:rPr>
        <w:t>ensure compliance with the RP</w:t>
      </w:r>
      <w:r>
        <w:rPr>
          <w:bCs/>
          <w:color w:val="000000"/>
          <w:sz w:val="22"/>
          <w:szCs w:val="22"/>
        </w:rPr>
        <w:t>.  “S</w:t>
      </w:r>
      <w:r w:rsidRPr="00294340">
        <w:rPr>
          <w:bCs/>
          <w:color w:val="000000"/>
          <w:sz w:val="22"/>
          <w:szCs w:val="22"/>
        </w:rPr>
        <w:t>mall</w:t>
      </w:r>
      <w:r>
        <w:rPr>
          <w:bCs/>
          <w:color w:val="000000"/>
          <w:sz w:val="22"/>
          <w:szCs w:val="22"/>
        </w:rPr>
        <w:t xml:space="preserve"> TV</w:t>
      </w:r>
      <w:r w:rsidRPr="00294340">
        <w:rPr>
          <w:bCs/>
          <w:color w:val="000000"/>
          <w:sz w:val="22"/>
          <w:szCs w:val="22"/>
        </w:rPr>
        <w:t xml:space="preserve"> stations</w:t>
      </w:r>
      <w:r>
        <w:rPr>
          <w:bCs/>
          <w:color w:val="000000"/>
          <w:sz w:val="22"/>
          <w:szCs w:val="22"/>
        </w:rPr>
        <w:t>”</w:t>
      </w:r>
      <w:r w:rsidRPr="00294340">
        <w:rPr>
          <w:bCs/>
          <w:color w:val="000000"/>
          <w:sz w:val="22"/>
          <w:szCs w:val="22"/>
        </w:rPr>
        <w:t xml:space="preserve"> and </w:t>
      </w:r>
      <w:r>
        <w:rPr>
          <w:bCs/>
          <w:color w:val="000000"/>
          <w:sz w:val="22"/>
          <w:szCs w:val="22"/>
        </w:rPr>
        <w:t xml:space="preserve">“small </w:t>
      </w:r>
      <w:r w:rsidRPr="00294340">
        <w:rPr>
          <w:bCs/>
          <w:color w:val="000000"/>
          <w:sz w:val="22"/>
          <w:szCs w:val="22"/>
        </w:rPr>
        <w:t>MVPDs</w:t>
      </w:r>
      <w:r>
        <w:rPr>
          <w:bCs/>
          <w:color w:val="000000"/>
          <w:sz w:val="22"/>
          <w:szCs w:val="22"/>
        </w:rPr>
        <w:t>,” however,</w:t>
      </w:r>
      <w:r w:rsidRPr="00294340">
        <w:rPr>
          <w:bCs/>
          <w:color w:val="000000"/>
          <w:sz w:val="22"/>
          <w:szCs w:val="22"/>
        </w:rPr>
        <w:t xml:space="preserve"> are exempt from</w:t>
      </w:r>
      <w:r w:rsidRPr="00F852B0">
        <w:rPr>
          <w:color w:val="000000"/>
          <w:sz w:val="22"/>
        </w:rPr>
        <w:t xml:space="preserve"> performing annual spot checks. </w:t>
      </w:r>
      <w:r w:rsidRPr="00294340">
        <w:rPr>
          <w:bCs/>
          <w:color w:val="000000"/>
          <w:sz w:val="22"/>
          <w:szCs w:val="22"/>
        </w:rPr>
        <w:t xml:space="preserve"> All</w:t>
      </w:r>
      <w:r w:rsidRPr="00F852B0">
        <w:rPr>
          <w:color w:val="000000"/>
          <w:sz w:val="22"/>
        </w:rPr>
        <w:t xml:space="preserve"> stations</w:t>
      </w:r>
      <w:r w:rsidRPr="00294340">
        <w:rPr>
          <w:bCs/>
          <w:color w:val="000000"/>
          <w:sz w:val="22"/>
          <w:szCs w:val="22"/>
        </w:rPr>
        <w:t>/</w:t>
      </w:r>
      <w:r w:rsidRPr="00F852B0">
        <w:rPr>
          <w:color w:val="000000"/>
          <w:sz w:val="22"/>
        </w:rPr>
        <w:t>MVPDs</w:t>
      </w:r>
      <w:r w:rsidRPr="00294340">
        <w:rPr>
          <w:bCs/>
          <w:color w:val="000000"/>
          <w:sz w:val="22"/>
          <w:szCs w:val="22"/>
        </w:rPr>
        <w:t>, regardless of size,</w:t>
      </w:r>
      <w:r w:rsidRPr="00F852B0">
        <w:rPr>
          <w:color w:val="000000"/>
          <w:sz w:val="22"/>
        </w:rPr>
        <w:t xml:space="preserve"> must </w:t>
      </w:r>
      <w:r w:rsidRPr="00294340">
        <w:rPr>
          <w:bCs/>
          <w:color w:val="000000"/>
          <w:sz w:val="22"/>
          <w:szCs w:val="22"/>
        </w:rPr>
        <w:t>conduct</w:t>
      </w:r>
      <w:r w:rsidRPr="00F852B0">
        <w:rPr>
          <w:color w:val="000000"/>
          <w:sz w:val="22"/>
        </w:rPr>
        <w:t xml:space="preserve"> spot checks </w:t>
      </w:r>
      <w:r w:rsidRPr="00294340">
        <w:rPr>
          <w:bCs/>
          <w:color w:val="000000"/>
          <w:sz w:val="22"/>
          <w:szCs w:val="22"/>
        </w:rPr>
        <w:t>of specific channels</w:t>
      </w:r>
      <w:r w:rsidRPr="00F852B0">
        <w:rPr>
          <w:color w:val="000000"/>
          <w:sz w:val="22"/>
        </w:rPr>
        <w:t xml:space="preserve"> in </w:t>
      </w:r>
      <w:r w:rsidRPr="00294340">
        <w:rPr>
          <w:bCs/>
          <w:color w:val="000000"/>
          <w:sz w:val="22"/>
          <w:szCs w:val="22"/>
        </w:rPr>
        <w:t>the event of</w:t>
      </w:r>
      <w:r w:rsidRPr="00F852B0">
        <w:rPr>
          <w:color w:val="000000"/>
          <w:sz w:val="22"/>
        </w:rPr>
        <w:t xml:space="preserve"> an FCC inquiry</w:t>
      </w:r>
      <w:r>
        <w:rPr>
          <w:color w:val="000000"/>
          <w:sz w:val="22"/>
        </w:rPr>
        <w:t>.</w:t>
      </w:r>
      <w:r w:rsidRPr="00F852B0">
        <w:rPr>
          <w:color w:val="000000"/>
          <w:sz w:val="22"/>
        </w:rPr>
        <w:t xml:space="preserve"> </w:t>
      </w:r>
    </w:p>
    <w:p w:rsidR="00010F84" w:rsidRPr="009E5C03" w:rsidRDefault="00010F84" w:rsidP="00010F84">
      <w:pPr>
        <w:pStyle w:val="ListParagraph"/>
        <w:numPr>
          <w:ilvl w:val="0"/>
          <w:numId w:val="15"/>
        </w:numPr>
        <w:spacing w:beforeLines="60" w:before="144"/>
        <w:rPr>
          <w:sz w:val="22"/>
          <w:szCs w:val="22"/>
        </w:rPr>
      </w:pPr>
      <w:r w:rsidRPr="009E5C03">
        <w:rPr>
          <w:sz w:val="22"/>
          <w:szCs w:val="22"/>
          <w:u w:val="single"/>
        </w:rPr>
        <w:t>Certified Programming</w:t>
      </w:r>
      <w:r w:rsidRPr="009E5C03">
        <w:rPr>
          <w:sz w:val="22"/>
          <w:szCs w:val="22"/>
        </w:rPr>
        <w:t>:  Stations and MVPDs can meet the safe harbor requirements if the programmer certifies that the commercials in its programming comply with the RP.  A certifying programmer must make its certifications available to all distributors.  Notwithstanding a certification, however, any station or MVPD that is notified of a pattern or trend of complaints must perform spot checks in response to an FCC inquiry.</w:t>
      </w:r>
    </w:p>
    <w:p w:rsidR="00010F84" w:rsidRDefault="00010F84" w:rsidP="00010F84">
      <w:pPr>
        <w:numPr>
          <w:ilvl w:val="2"/>
          <w:numId w:val="7"/>
        </w:numPr>
        <w:spacing w:beforeLines="60" w:before="144"/>
        <w:rPr>
          <w:sz w:val="22"/>
          <w:szCs w:val="22"/>
        </w:rPr>
      </w:pPr>
      <w:r w:rsidRPr="00F86040">
        <w:rPr>
          <w:sz w:val="22"/>
          <w:szCs w:val="22"/>
          <w:u w:val="single"/>
        </w:rPr>
        <w:t>Noncertified Programming/Annual Spot Checks</w:t>
      </w:r>
      <w:r>
        <w:rPr>
          <w:i/>
          <w:sz w:val="22"/>
          <w:szCs w:val="22"/>
        </w:rPr>
        <w:t>:</w:t>
      </w:r>
      <w:r w:rsidRPr="00F852B0">
        <w:rPr>
          <w:sz w:val="22"/>
        </w:rPr>
        <w:t xml:space="preserve"> </w:t>
      </w:r>
      <w:r>
        <w:rPr>
          <w:sz w:val="22"/>
          <w:szCs w:val="22"/>
        </w:rPr>
        <w:t xml:space="preserve"> To meet the safe harbor requirements</w:t>
      </w:r>
      <w:r w:rsidRPr="002F68DC">
        <w:rPr>
          <w:sz w:val="22"/>
          <w:szCs w:val="22"/>
        </w:rPr>
        <w:t xml:space="preserve"> </w:t>
      </w:r>
      <w:r>
        <w:rPr>
          <w:sz w:val="22"/>
          <w:szCs w:val="22"/>
        </w:rPr>
        <w:t xml:space="preserve">with regard to commercials that are not certified by the programmer, “larger” </w:t>
      </w:r>
      <w:r w:rsidRPr="00C944A4">
        <w:rPr>
          <w:sz w:val="22"/>
          <w:szCs w:val="22"/>
        </w:rPr>
        <w:t>stations</w:t>
      </w:r>
      <w:r>
        <w:rPr>
          <w:sz w:val="22"/>
          <w:szCs w:val="22"/>
        </w:rPr>
        <w:t xml:space="preserve"> and </w:t>
      </w:r>
      <w:r w:rsidRPr="00C944A4">
        <w:rPr>
          <w:sz w:val="22"/>
          <w:szCs w:val="22"/>
        </w:rPr>
        <w:t xml:space="preserve">MVPDs </w:t>
      </w:r>
      <w:r>
        <w:rPr>
          <w:sz w:val="22"/>
          <w:szCs w:val="22"/>
        </w:rPr>
        <w:t xml:space="preserve">(as defined below for safe harbor purposes) </w:t>
      </w:r>
      <w:r w:rsidRPr="00C944A4">
        <w:rPr>
          <w:sz w:val="22"/>
          <w:szCs w:val="22"/>
        </w:rPr>
        <w:t>must perform 24-hour spot checks</w:t>
      </w:r>
      <w:r>
        <w:rPr>
          <w:sz w:val="22"/>
          <w:szCs w:val="22"/>
        </w:rPr>
        <w:t xml:space="preserve"> annually</w:t>
      </w:r>
      <w:r w:rsidRPr="00C944A4">
        <w:rPr>
          <w:sz w:val="22"/>
          <w:szCs w:val="22"/>
        </w:rPr>
        <w:t xml:space="preserve"> and correct any violations of the RP they uncover.</w:t>
      </w:r>
    </w:p>
    <w:p w:rsidR="00010F84" w:rsidRPr="00C944A4" w:rsidRDefault="00010F84" w:rsidP="00010F84">
      <w:pPr>
        <w:numPr>
          <w:ilvl w:val="3"/>
          <w:numId w:val="7"/>
        </w:numPr>
        <w:spacing w:beforeLines="60" w:before="144"/>
        <w:rPr>
          <w:sz w:val="22"/>
          <w:szCs w:val="22"/>
        </w:rPr>
      </w:pPr>
      <w:r w:rsidRPr="00C944A4">
        <w:rPr>
          <w:sz w:val="22"/>
          <w:szCs w:val="22"/>
        </w:rPr>
        <w:t xml:space="preserve">Large </w:t>
      </w:r>
      <w:r>
        <w:rPr>
          <w:sz w:val="22"/>
          <w:szCs w:val="22"/>
        </w:rPr>
        <w:t>TV</w:t>
      </w:r>
      <w:r w:rsidRPr="00C944A4">
        <w:rPr>
          <w:sz w:val="22"/>
          <w:szCs w:val="22"/>
        </w:rPr>
        <w:t xml:space="preserve"> </w:t>
      </w:r>
      <w:r>
        <w:rPr>
          <w:sz w:val="22"/>
          <w:szCs w:val="22"/>
        </w:rPr>
        <w:t>S</w:t>
      </w:r>
      <w:r w:rsidRPr="00C944A4">
        <w:rPr>
          <w:sz w:val="22"/>
          <w:szCs w:val="22"/>
        </w:rPr>
        <w:t xml:space="preserve">tations and </w:t>
      </w:r>
      <w:r>
        <w:rPr>
          <w:sz w:val="22"/>
          <w:szCs w:val="22"/>
        </w:rPr>
        <w:t>V</w:t>
      </w:r>
      <w:r w:rsidRPr="00C944A4">
        <w:rPr>
          <w:sz w:val="22"/>
          <w:szCs w:val="22"/>
        </w:rPr>
        <w:t xml:space="preserve">ery </w:t>
      </w:r>
      <w:r>
        <w:rPr>
          <w:sz w:val="22"/>
          <w:szCs w:val="22"/>
        </w:rPr>
        <w:t>L</w:t>
      </w:r>
      <w:r w:rsidRPr="00C944A4">
        <w:rPr>
          <w:sz w:val="22"/>
          <w:szCs w:val="22"/>
        </w:rPr>
        <w:t>arge MVPDs</w:t>
      </w:r>
      <w:r w:rsidRPr="00C944A4">
        <w:rPr>
          <w:szCs w:val="22"/>
        </w:rPr>
        <w:t xml:space="preserve"> </w:t>
      </w:r>
      <w:r w:rsidRPr="00C944A4">
        <w:rPr>
          <w:sz w:val="22"/>
          <w:szCs w:val="22"/>
        </w:rPr>
        <w:t xml:space="preserve">must annually spot check 100 percent of noncertified programming carried by the station, or by any system operated by the MVPD.  </w:t>
      </w:r>
    </w:p>
    <w:p w:rsidR="00010F84" w:rsidRDefault="00010F84" w:rsidP="00010F84">
      <w:pPr>
        <w:numPr>
          <w:ilvl w:val="3"/>
          <w:numId w:val="7"/>
        </w:numPr>
        <w:spacing w:beforeLines="60" w:before="144"/>
        <w:rPr>
          <w:sz w:val="22"/>
          <w:szCs w:val="22"/>
        </w:rPr>
      </w:pPr>
      <w:r>
        <w:rPr>
          <w:sz w:val="22"/>
          <w:szCs w:val="22"/>
        </w:rPr>
        <w:t>Large (but not “V</w:t>
      </w:r>
      <w:r w:rsidRPr="00C944A4">
        <w:rPr>
          <w:sz w:val="22"/>
          <w:szCs w:val="22"/>
        </w:rPr>
        <w:t xml:space="preserve">ery </w:t>
      </w:r>
      <w:r>
        <w:rPr>
          <w:sz w:val="22"/>
          <w:szCs w:val="22"/>
        </w:rPr>
        <w:t>L</w:t>
      </w:r>
      <w:r w:rsidRPr="00C944A4">
        <w:rPr>
          <w:sz w:val="22"/>
          <w:szCs w:val="22"/>
        </w:rPr>
        <w:t>arg</w:t>
      </w:r>
      <w:r>
        <w:rPr>
          <w:sz w:val="22"/>
          <w:szCs w:val="22"/>
        </w:rPr>
        <w:t xml:space="preserve">e”) MVPDs </w:t>
      </w:r>
      <w:r w:rsidRPr="00C944A4">
        <w:rPr>
          <w:sz w:val="22"/>
          <w:szCs w:val="22"/>
        </w:rPr>
        <w:t>must annually spot check 50 percent (chosen at random) of the noncertified channels carried by any system operated by the MVPD.</w:t>
      </w:r>
    </w:p>
    <w:p w:rsidR="00010F84" w:rsidRDefault="00010F84" w:rsidP="00010F84">
      <w:pPr>
        <w:numPr>
          <w:ilvl w:val="3"/>
          <w:numId w:val="7"/>
        </w:numPr>
        <w:spacing w:beforeLines="60" w:before="144"/>
        <w:rPr>
          <w:sz w:val="22"/>
          <w:szCs w:val="22"/>
        </w:rPr>
      </w:pPr>
      <w:r>
        <w:rPr>
          <w:sz w:val="22"/>
          <w:szCs w:val="22"/>
        </w:rPr>
        <w:t>Small TV S</w:t>
      </w:r>
      <w:r w:rsidRPr="00C944A4">
        <w:rPr>
          <w:sz w:val="22"/>
          <w:szCs w:val="22"/>
        </w:rPr>
        <w:t xml:space="preserve">tations and </w:t>
      </w:r>
      <w:r>
        <w:rPr>
          <w:sz w:val="22"/>
          <w:szCs w:val="22"/>
        </w:rPr>
        <w:t xml:space="preserve">Small </w:t>
      </w:r>
      <w:r w:rsidRPr="00C944A4">
        <w:rPr>
          <w:sz w:val="22"/>
          <w:szCs w:val="22"/>
        </w:rPr>
        <w:t xml:space="preserve">MVPDs are excused from annual spot checks because national and regional programming networks deliver the same program streams to stations and MVPDs of all sizes. </w:t>
      </w:r>
      <w:r>
        <w:rPr>
          <w:sz w:val="22"/>
          <w:szCs w:val="22"/>
        </w:rPr>
        <w:t xml:space="preserve"> </w:t>
      </w:r>
      <w:r w:rsidRPr="00C944A4">
        <w:rPr>
          <w:sz w:val="22"/>
          <w:szCs w:val="22"/>
        </w:rPr>
        <w:t xml:space="preserve">Therefore, the programming is checked by the larger entities and there is no need for small entities to </w:t>
      </w:r>
      <w:r>
        <w:rPr>
          <w:sz w:val="22"/>
          <w:szCs w:val="22"/>
        </w:rPr>
        <w:t>duplicate</w:t>
      </w:r>
      <w:r w:rsidRPr="00C944A4">
        <w:rPr>
          <w:sz w:val="22"/>
          <w:szCs w:val="22"/>
        </w:rPr>
        <w:t xml:space="preserve"> the effort</w:t>
      </w:r>
      <w:r>
        <w:rPr>
          <w:sz w:val="22"/>
          <w:szCs w:val="22"/>
        </w:rPr>
        <w:t>.</w:t>
      </w:r>
    </w:p>
    <w:p w:rsidR="00010F84" w:rsidRDefault="00010F84" w:rsidP="00010F84">
      <w:pPr>
        <w:numPr>
          <w:ilvl w:val="3"/>
          <w:numId w:val="7"/>
        </w:numPr>
        <w:spacing w:beforeLines="60" w:before="144"/>
        <w:rPr>
          <w:sz w:val="22"/>
          <w:szCs w:val="22"/>
        </w:rPr>
      </w:pPr>
      <w:r>
        <w:rPr>
          <w:sz w:val="22"/>
          <w:szCs w:val="22"/>
        </w:rPr>
        <w:t xml:space="preserve">MVPDs </w:t>
      </w:r>
      <w:r w:rsidRPr="00C944A4">
        <w:rPr>
          <w:sz w:val="22"/>
          <w:szCs w:val="22"/>
        </w:rPr>
        <w:t xml:space="preserve">are not required to spot check the programming on the broadcast </w:t>
      </w:r>
      <w:r>
        <w:rPr>
          <w:sz w:val="22"/>
          <w:szCs w:val="22"/>
        </w:rPr>
        <w:t xml:space="preserve">TV </w:t>
      </w:r>
      <w:r w:rsidRPr="00C944A4">
        <w:rPr>
          <w:sz w:val="22"/>
          <w:szCs w:val="22"/>
        </w:rPr>
        <w:t>stations they carry</w:t>
      </w:r>
      <w:r>
        <w:rPr>
          <w:sz w:val="22"/>
          <w:szCs w:val="22"/>
        </w:rPr>
        <w:t>.</w:t>
      </w:r>
    </w:p>
    <w:p w:rsidR="00010F84" w:rsidRPr="009E5C03" w:rsidRDefault="00010F84" w:rsidP="00010F84">
      <w:pPr>
        <w:numPr>
          <w:ilvl w:val="3"/>
          <w:numId w:val="7"/>
        </w:numPr>
        <w:spacing w:beforeLines="60" w:before="144"/>
        <w:rPr>
          <w:sz w:val="22"/>
          <w:szCs w:val="22"/>
        </w:rPr>
      </w:pPr>
      <w:r w:rsidRPr="00DF2A16">
        <w:rPr>
          <w:sz w:val="22"/>
          <w:szCs w:val="22"/>
          <w:u w:val="single"/>
        </w:rPr>
        <w:t>Annual Spot Checks for 2 Years Only</w:t>
      </w:r>
      <w:r w:rsidRPr="00DF2A16">
        <w:rPr>
          <w:sz w:val="22"/>
          <w:szCs w:val="22"/>
        </w:rPr>
        <w:t xml:space="preserve">:  Once a station or MVPD has performed two consecutive annual spot checks on its non-certified programming and found no evidence of noncompliance, it may stop performing annual spot checks and remains in the safe harbor.  </w:t>
      </w:r>
      <w:r w:rsidRPr="009E5C03">
        <w:rPr>
          <w:sz w:val="22"/>
          <w:szCs w:val="22"/>
        </w:rPr>
        <w:t xml:space="preserve">If a spot check undertaken in response to an FCC inquiry reveals noncompliance, the two-year requirement </w:t>
      </w:r>
      <w:r w:rsidRPr="00DF2A16">
        <w:rPr>
          <w:sz w:val="22"/>
          <w:szCs w:val="22"/>
        </w:rPr>
        <w:t xml:space="preserve">for annual spot checks </w:t>
      </w:r>
      <w:r w:rsidRPr="009E5C03">
        <w:rPr>
          <w:sz w:val="22"/>
          <w:szCs w:val="22"/>
        </w:rPr>
        <w:t>will be reset for that channel or programming</w:t>
      </w:r>
      <w:r w:rsidRPr="00DF2A16">
        <w:rPr>
          <w:sz w:val="22"/>
          <w:szCs w:val="22"/>
        </w:rPr>
        <w:t>,</w:t>
      </w:r>
      <w:r w:rsidRPr="009E5C03">
        <w:rPr>
          <w:sz w:val="22"/>
          <w:szCs w:val="22"/>
        </w:rPr>
        <w:t xml:space="preserve"> even if it </w:t>
      </w:r>
      <w:r w:rsidRPr="00DF2A16">
        <w:rPr>
          <w:sz w:val="22"/>
          <w:szCs w:val="22"/>
        </w:rPr>
        <w:t>had</w:t>
      </w:r>
      <w:r w:rsidRPr="009E5C03">
        <w:rPr>
          <w:sz w:val="22"/>
          <w:szCs w:val="22"/>
        </w:rPr>
        <w:t xml:space="preserve"> been previously phased out.</w:t>
      </w:r>
    </w:p>
    <w:p w:rsidR="00010F84" w:rsidRDefault="00010F84" w:rsidP="00010F84">
      <w:pPr>
        <w:numPr>
          <w:ilvl w:val="3"/>
          <w:numId w:val="7"/>
        </w:numPr>
        <w:spacing w:beforeLines="60" w:before="144"/>
        <w:rPr>
          <w:sz w:val="22"/>
          <w:szCs w:val="22"/>
        </w:rPr>
      </w:pPr>
      <w:r w:rsidRPr="00A20986">
        <w:rPr>
          <w:sz w:val="22"/>
          <w:szCs w:val="22"/>
          <w:u w:val="single"/>
        </w:rPr>
        <w:t>Outcome of Spot Checks</w:t>
      </w:r>
      <w:r w:rsidRPr="00A20986">
        <w:rPr>
          <w:sz w:val="22"/>
          <w:szCs w:val="22"/>
        </w:rPr>
        <w:t>:</w:t>
      </w:r>
      <w:r>
        <w:rPr>
          <w:sz w:val="22"/>
          <w:szCs w:val="22"/>
        </w:rPr>
        <w:t xml:space="preserve">  </w:t>
      </w:r>
      <w:r w:rsidRPr="00571895">
        <w:rPr>
          <w:sz w:val="22"/>
          <w:szCs w:val="22"/>
        </w:rPr>
        <w:t>Stations/MVPDs must notify the FCC regarding the outcome of a spot check in response to an FCC inquiry</w:t>
      </w:r>
      <w:r>
        <w:rPr>
          <w:sz w:val="22"/>
          <w:szCs w:val="22"/>
        </w:rPr>
        <w:t xml:space="preserve"> or if an annual spot check reveals noncompliance.</w:t>
      </w:r>
      <w:r>
        <w:rPr>
          <w:rStyle w:val="FootnoteReference"/>
          <w:szCs w:val="22"/>
        </w:rPr>
        <w:footnoteReference w:id="10"/>
      </w:r>
      <w:r w:rsidRPr="00571895">
        <w:rPr>
          <w:sz w:val="22"/>
          <w:szCs w:val="22"/>
        </w:rPr>
        <w:t xml:space="preserve">  </w:t>
      </w:r>
      <w:r>
        <w:rPr>
          <w:sz w:val="22"/>
          <w:szCs w:val="22"/>
        </w:rPr>
        <w:t>If a s</w:t>
      </w:r>
      <w:r w:rsidRPr="001034CD">
        <w:rPr>
          <w:sz w:val="22"/>
          <w:szCs w:val="22"/>
        </w:rPr>
        <w:t>pot</w:t>
      </w:r>
      <w:r w:rsidRPr="004C4EED">
        <w:rPr>
          <w:sz w:val="22"/>
          <w:szCs w:val="22"/>
        </w:rPr>
        <w:t xml:space="preserve"> check indicate</w:t>
      </w:r>
      <w:r>
        <w:rPr>
          <w:sz w:val="22"/>
          <w:szCs w:val="22"/>
        </w:rPr>
        <w:t>s</w:t>
      </w:r>
      <w:r w:rsidRPr="004C4EED">
        <w:rPr>
          <w:sz w:val="22"/>
          <w:szCs w:val="22"/>
        </w:rPr>
        <w:t xml:space="preserve"> noncompliance, the station</w:t>
      </w:r>
      <w:r>
        <w:rPr>
          <w:sz w:val="22"/>
          <w:szCs w:val="22"/>
        </w:rPr>
        <w:t xml:space="preserve"> or </w:t>
      </w:r>
      <w:r w:rsidRPr="004C4EED">
        <w:rPr>
          <w:sz w:val="22"/>
          <w:szCs w:val="22"/>
        </w:rPr>
        <w:t>MV</w:t>
      </w:r>
      <w:r w:rsidRPr="00436FDB">
        <w:rPr>
          <w:sz w:val="22"/>
          <w:szCs w:val="22"/>
        </w:rPr>
        <w:t>P</w:t>
      </w:r>
      <w:r>
        <w:rPr>
          <w:sz w:val="22"/>
          <w:szCs w:val="22"/>
        </w:rPr>
        <w:t>D must notify the FCC and the programmer within 7 days, and conduct a follow-up spot check within 30 days.  If that follow-up spot check reveals noncompliance, the station or MVPD will not be in the safe harbor for that programming, and will be liable for future violations.</w:t>
      </w:r>
    </w:p>
    <w:p w:rsidR="00010F84" w:rsidRDefault="00010F84" w:rsidP="00010F84">
      <w:pPr>
        <w:spacing w:before="144" w:after="120"/>
        <w:ind w:left="2160"/>
        <w:rPr>
          <w:sz w:val="22"/>
          <w:szCs w:val="22"/>
        </w:rPr>
      </w:pPr>
      <w:r w:rsidRPr="007C5C8A">
        <w:rPr>
          <w:i/>
          <w:sz w:val="22"/>
          <w:szCs w:val="22"/>
          <w:u w:val="single"/>
        </w:rPr>
        <w:t>Definitions</w:t>
      </w:r>
      <w:r w:rsidRPr="00C263D4">
        <w:rPr>
          <w:i/>
          <w:sz w:val="22"/>
          <w:szCs w:val="22"/>
        </w:rPr>
        <w:t xml:space="preserve"> (for safe harbor purposes)</w:t>
      </w:r>
      <w:r w:rsidRPr="00C263D4">
        <w:rPr>
          <w:sz w:val="22"/>
          <w:szCs w:val="22"/>
        </w:rPr>
        <w:t>:</w:t>
      </w:r>
    </w:p>
    <w:p w:rsidR="00010F84" w:rsidRDefault="00010F84" w:rsidP="00010F84">
      <w:pPr>
        <w:numPr>
          <w:ilvl w:val="3"/>
          <w:numId w:val="7"/>
        </w:numPr>
        <w:tabs>
          <w:tab w:val="clear" w:pos="2520"/>
          <w:tab w:val="num" w:pos="3240"/>
        </w:tabs>
        <w:spacing w:before="144" w:after="120"/>
        <w:ind w:left="3240"/>
        <w:rPr>
          <w:sz w:val="22"/>
          <w:szCs w:val="22"/>
        </w:rPr>
      </w:pPr>
      <w:r>
        <w:rPr>
          <w:sz w:val="22"/>
          <w:szCs w:val="22"/>
        </w:rPr>
        <w:t xml:space="preserve">A </w:t>
      </w:r>
      <w:r w:rsidRPr="00E17CCF">
        <w:rPr>
          <w:sz w:val="22"/>
          <w:szCs w:val="22"/>
        </w:rPr>
        <w:t xml:space="preserve">“Large </w:t>
      </w:r>
      <w:r>
        <w:rPr>
          <w:sz w:val="22"/>
          <w:szCs w:val="22"/>
        </w:rPr>
        <w:t>TV</w:t>
      </w:r>
      <w:r w:rsidRPr="00E17CCF">
        <w:rPr>
          <w:sz w:val="22"/>
          <w:szCs w:val="22"/>
        </w:rPr>
        <w:t xml:space="preserve"> Station” is defined as one with more than $14.0 million in annual receipts.</w:t>
      </w:r>
    </w:p>
    <w:p w:rsidR="00010F84" w:rsidRDefault="00010F84" w:rsidP="00010F84">
      <w:pPr>
        <w:numPr>
          <w:ilvl w:val="3"/>
          <w:numId w:val="7"/>
        </w:numPr>
        <w:spacing w:before="144" w:after="120"/>
        <w:ind w:left="3240"/>
        <w:rPr>
          <w:sz w:val="22"/>
          <w:szCs w:val="22"/>
        </w:rPr>
      </w:pPr>
      <w:r>
        <w:rPr>
          <w:sz w:val="22"/>
          <w:szCs w:val="22"/>
        </w:rPr>
        <w:t xml:space="preserve">A </w:t>
      </w:r>
      <w:r w:rsidRPr="00E17CCF">
        <w:rPr>
          <w:sz w:val="22"/>
          <w:szCs w:val="22"/>
        </w:rPr>
        <w:t xml:space="preserve">“Very Large MVPD” is defined as one with 10 million subscribers </w:t>
      </w:r>
      <w:r>
        <w:rPr>
          <w:sz w:val="22"/>
          <w:szCs w:val="22"/>
        </w:rPr>
        <w:t xml:space="preserve">or </w:t>
      </w:r>
      <w:r w:rsidRPr="00E17CCF">
        <w:rPr>
          <w:sz w:val="22"/>
          <w:szCs w:val="22"/>
        </w:rPr>
        <w:t xml:space="preserve">more nationwide </w:t>
      </w:r>
      <w:r>
        <w:rPr>
          <w:sz w:val="22"/>
          <w:szCs w:val="22"/>
        </w:rPr>
        <w:t>(</w:t>
      </w:r>
      <w:r w:rsidRPr="00A95944">
        <w:rPr>
          <w:i/>
          <w:sz w:val="22"/>
          <w:szCs w:val="22"/>
        </w:rPr>
        <w:t>i.e.</w:t>
      </w:r>
      <w:r>
        <w:rPr>
          <w:sz w:val="22"/>
          <w:szCs w:val="22"/>
        </w:rPr>
        <w:t xml:space="preserve">, the four largest MVPDs) </w:t>
      </w:r>
      <w:r w:rsidRPr="00E17CCF">
        <w:rPr>
          <w:sz w:val="22"/>
          <w:szCs w:val="22"/>
        </w:rPr>
        <w:t xml:space="preserve">and </w:t>
      </w:r>
      <w:r>
        <w:rPr>
          <w:sz w:val="22"/>
          <w:szCs w:val="22"/>
        </w:rPr>
        <w:t xml:space="preserve">a </w:t>
      </w:r>
      <w:r w:rsidRPr="00E17CCF">
        <w:rPr>
          <w:sz w:val="22"/>
          <w:szCs w:val="22"/>
        </w:rPr>
        <w:t>“Large MVPD” is defined as one serving more than 400,000 subscribers nationwide</w:t>
      </w:r>
      <w:r>
        <w:rPr>
          <w:sz w:val="22"/>
          <w:szCs w:val="22"/>
        </w:rPr>
        <w:t xml:space="preserve"> but fewer than 10 million</w:t>
      </w:r>
      <w:r w:rsidRPr="00E17CCF">
        <w:rPr>
          <w:sz w:val="22"/>
          <w:szCs w:val="22"/>
        </w:rPr>
        <w:t xml:space="preserve"> </w:t>
      </w:r>
      <w:r>
        <w:rPr>
          <w:sz w:val="22"/>
          <w:szCs w:val="22"/>
        </w:rPr>
        <w:t>(</w:t>
      </w:r>
      <w:r w:rsidRPr="00A95944">
        <w:rPr>
          <w:i/>
          <w:sz w:val="22"/>
          <w:szCs w:val="22"/>
        </w:rPr>
        <w:t>i.e.</w:t>
      </w:r>
      <w:r>
        <w:rPr>
          <w:sz w:val="22"/>
          <w:szCs w:val="22"/>
        </w:rPr>
        <w:t>, the 5</w:t>
      </w:r>
      <w:r w:rsidRPr="00A95944">
        <w:rPr>
          <w:sz w:val="22"/>
          <w:szCs w:val="22"/>
          <w:vertAlign w:val="superscript"/>
        </w:rPr>
        <w:t>th</w:t>
      </w:r>
      <w:r>
        <w:rPr>
          <w:sz w:val="22"/>
          <w:szCs w:val="22"/>
        </w:rPr>
        <w:t xml:space="preserve"> through 15</w:t>
      </w:r>
      <w:r w:rsidRPr="00A95944">
        <w:rPr>
          <w:sz w:val="22"/>
          <w:szCs w:val="22"/>
          <w:vertAlign w:val="superscript"/>
        </w:rPr>
        <w:t>th</w:t>
      </w:r>
      <w:r>
        <w:rPr>
          <w:sz w:val="22"/>
          <w:szCs w:val="22"/>
        </w:rPr>
        <w:t xml:space="preserve"> largest MVPDs).</w:t>
      </w:r>
      <w:r>
        <w:rPr>
          <w:rStyle w:val="FootnoteReference"/>
          <w:szCs w:val="22"/>
        </w:rPr>
        <w:footnoteReference w:id="11"/>
      </w:r>
    </w:p>
    <w:p w:rsidR="00010F84" w:rsidRDefault="00010F84" w:rsidP="00010F84">
      <w:pPr>
        <w:numPr>
          <w:ilvl w:val="3"/>
          <w:numId w:val="7"/>
        </w:numPr>
        <w:spacing w:before="144" w:after="120"/>
        <w:ind w:left="3240"/>
        <w:rPr>
          <w:sz w:val="22"/>
          <w:szCs w:val="22"/>
        </w:rPr>
      </w:pPr>
      <w:r>
        <w:rPr>
          <w:sz w:val="22"/>
          <w:szCs w:val="22"/>
        </w:rPr>
        <w:t xml:space="preserve">A “Small TV Station” </w:t>
      </w:r>
      <w:r w:rsidRPr="00E17CCF">
        <w:rPr>
          <w:sz w:val="22"/>
          <w:szCs w:val="22"/>
        </w:rPr>
        <w:t xml:space="preserve">is defined as one with $14.0 million </w:t>
      </w:r>
      <w:r>
        <w:rPr>
          <w:sz w:val="22"/>
          <w:szCs w:val="22"/>
        </w:rPr>
        <w:t xml:space="preserve">or less </w:t>
      </w:r>
      <w:r w:rsidRPr="00E17CCF">
        <w:rPr>
          <w:sz w:val="22"/>
          <w:szCs w:val="22"/>
        </w:rPr>
        <w:t>in annual receipts.</w:t>
      </w:r>
      <w:r>
        <w:rPr>
          <w:sz w:val="22"/>
          <w:szCs w:val="22"/>
        </w:rPr>
        <w:t xml:space="preserve">  </w:t>
      </w:r>
    </w:p>
    <w:p w:rsidR="00010F84" w:rsidRDefault="00010F84" w:rsidP="00010F84">
      <w:pPr>
        <w:numPr>
          <w:ilvl w:val="3"/>
          <w:numId w:val="7"/>
        </w:numPr>
        <w:spacing w:before="144" w:after="120"/>
        <w:ind w:left="3240"/>
        <w:rPr>
          <w:sz w:val="22"/>
          <w:szCs w:val="22"/>
        </w:rPr>
      </w:pPr>
      <w:r>
        <w:rPr>
          <w:sz w:val="22"/>
          <w:szCs w:val="22"/>
        </w:rPr>
        <w:t>A “Small MVPD</w:t>
      </w:r>
      <w:r w:rsidRPr="00E17CCF">
        <w:rPr>
          <w:sz w:val="22"/>
          <w:szCs w:val="22"/>
        </w:rPr>
        <w:t>” is defined as one with</w:t>
      </w:r>
      <w:r>
        <w:rPr>
          <w:sz w:val="22"/>
          <w:szCs w:val="22"/>
        </w:rPr>
        <w:t xml:space="preserve"> fewer than 400,000 subscribers.</w:t>
      </w:r>
    </w:p>
    <w:p w:rsidR="00010F84" w:rsidRPr="007A5955" w:rsidRDefault="00010F84" w:rsidP="00010F84">
      <w:pPr>
        <w:spacing w:beforeLines="60" w:before="144"/>
        <w:rPr>
          <w:sz w:val="22"/>
          <w:szCs w:val="22"/>
        </w:rPr>
      </w:pPr>
    </w:p>
    <w:p w:rsidR="00010F84" w:rsidRDefault="00010F84" w:rsidP="00010F84">
      <w:pPr>
        <w:spacing w:beforeLines="60" w:before="144"/>
        <w:ind w:left="720"/>
        <w:rPr>
          <w:sz w:val="22"/>
          <w:szCs w:val="22"/>
        </w:rPr>
      </w:pPr>
      <w:r>
        <w:rPr>
          <w:b/>
          <w:sz w:val="22"/>
          <w:u w:val="single"/>
        </w:rPr>
        <w:t>3.</w:t>
      </w:r>
      <w:r>
        <w:rPr>
          <w:b/>
          <w:sz w:val="22"/>
          <w:u w:val="single"/>
        </w:rPr>
        <w:tab/>
      </w:r>
      <w:r w:rsidRPr="00F852B0">
        <w:rPr>
          <w:b/>
          <w:sz w:val="22"/>
          <w:u w:val="single"/>
        </w:rPr>
        <w:t>Real-Time Processor</w:t>
      </w:r>
      <w:r>
        <w:rPr>
          <w:sz w:val="22"/>
          <w:szCs w:val="22"/>
        </w:rPr>
        <w:t>:  Stations/MVPDs may use a real-time p</w:t>
      </w:r>
      <w:r w:rsidRPr="003A7637">
        <w:rPr>
          <w:sz w:val="22"/>
          <w:szCs w:val="22"/>
        </w:rPr>
        <w:t>rocessor</w:t>
      </w:r>
      <w:r>
        <w:rPr>
          <w:sz w:val="22"/>
          <w:szCs w:val="22"/>
        </w:rPr>
        <w:t xml:space="preserve"> to be </w:t>
      </w:r>
      <w:r>
        <w:rPr>
          <w:bCs/>
          <w:color w:val="000000"/>
          <w:sz w:val="22"/>
          <w:szCs w:val="22"/>
        </w:rPr>
        <w:t>“</w:t>
      </w:r>
      <w:r w:rsidRPr="00C975D3">
        <w:rPr>
          <w:bCs/>
          <w:color w:val="000000"/>
          <w:sz w:val="22"/>
          <w:szCs w:val="22"/>
        </w:rPr>
        <w:t>deemed in compliance</w:t>
      </w:r>
      <w:r>
        <w:rPr>
          <w:bCs/>
          <w:color w:val="000000"/>
          <w:sz w:val="22"/>
          <w:szCs w:val="22"/>
        </w:rPr>
        <w:t>”</w:t>
      </w:r>
      <w:r w:rsidRPr="00C975D3">
        <w:rPr>
          <w:bCs/>
          <w:color w:val="000000"/>
          <w:sz w:val="22"/>
          <w:szCs w:val="22"/>
        </w:rPr>
        <w:t xml:space="preserve"> with respect to locally inserted commercials</w:t>
      </w:r>
      <w:r>
        <w:rPr>
          <w:bCs/>
          <w:color w:val="000000"/>
          <w:sz w:val="22"/>
          <w:szCs w:val="22"/>
        </w:rPr>
        <w:t xml:space="preserve"> or to satisfy</w:t>
      </w:r>
      <w:r w:rsidRPr="00C975D3">
        <w:rPr>
          <w:bCs/>
          <w:color w:val="000000"/>
          <w:sz w:val="22"/>
          <w:szCs w:val="22"/>
        </w:rPr>
        <w:t xml:space="preserve"> the </w:t>
      </w:r>
      <w:r>
        <w:rPr>
          <w:bCs/>
          <w:color w:val="000000"/>
          <w:sz w:val="22"/>
          <w:szCs w:val="22"/>
        </w:rPr>
        <w:t>“safe harbor”</w:t>
      </w:r>
      <w:r w:rsidRPr="00C975D3">
        <w:rPr>
          <w:bCs/>
          <w:color w:val="000000"/>
          <w:sz w:val="22"/>
          <w:szCs w:val="22"/>
        </w:rPr>
        <w:t xml:space="preserve"> with respect to embedded commercials</w:t>
      </w:r>
      <w:r>
        <w:rPr>
          <w:bCs/>
          <w:color w:val="000000"/>
          <w:sz w:val="22"/>
          <w:szCs w:val="22"/>
        </w:rPr>
        <w:t>.</w:t>
      </w:r>
      <w:r>
        <w:rPr>
          <w:rStyle w:val="FootnoteReference"/>
          <w:bCs/>
          <w:szCs w:val="22"/>
        </w:rPr>
        <w:footnoteReference w:id="12"/>
      </w:r>
    </w:p>
    <w:p w:rsidR="00010F84" w:rsidRDefault="00010F84" w:rsidP="00010F84">
      <w:pPr>
        <w:numPr>
          <w:ilvl w:val="2"/>
          <w:numId w:val="7"/>
        </w:numPr>
        <w:spacing w:beforeLines="60" w:before="144"/>
        <w:rPr>
          <w:sz w:val="22"/>
          <w:szCs w:val="22"/>
        </w:rPr>
      </w:pPr>
      <w:r>
        <w:rPr>
          <w:sz w:val="22"/>
          <w:szCs w:val="22"/>
        </w:rPr>
        <w:t xml:space="preserve">To </w:t>
      </w:r>
      <w:r w:rsidRPr="00AA0313">
        <w:rPr>
          <w:sz w:val="22"/>
          <w:szCs w:val="22"/>
        </w:rPr>
        <w:t>demonstrate</w:t>
      </w:r>
      <w:r>
        <w:rPr>
          <w:sz w:val="22"/>
          <w:szCs w:val="22"/>
        </w:rPr>
        <w:t xml:space="preserve"> compliance when using a real-time p</w:t>
      </w:r>
      <w:r w:rsidRPr="003A7637">
        <w:rPr>
          <w:sz w:val="22"/>
          <w:szCs w:val="22"/>
        </w:rPr>
        <w:t>rocessor</w:t>
      </w:r>
      <w:r>
        <w:rPr>
          <w:sz w:val="22"/>
          <w:szCs w:val="22"/>
        </w:rPr>
        <w:t xml:space="preserve">, </w:t>
      </w:r>
      <w:r w:rsidRPr="00C975D3">
        <w:rPr>
          <w:bCs/>
          <w:color w:val="000000"/>
          <w:sz w:val="22"/>
          <w:szCs w:val="22"/>
        </w:rPr>
        <w:t xml:space="preserve">stations and MVPDs must </w:t>
      </w:r>
      <w:r>
        <w:rPr>
          <w:bCs/>
          <w:color w:val="000000"/>
          <w:sz w:val="22"/>
          <w:szCs w:val="22"/>
        </w:rPr>
        <w:t>show</w:t>
      </w:r>
      <w:r w:rsidRPr="00C975D3">
        <w:rPr>
          <w:bCs/>
          <w:color w:val="000000"/>
          <w:sz w:val="22"/>
          <w:szCs w:val="22"/>
        </w:rPr>
        <w:t xml:space="preserve"> that they have installed, and are utilizing and maintaining </w:t>
      </w:r>
      <w:r>
        <w:rPr>
          <w:bCs/>
          <w:color w:val="000000"/>
          <w:sz w:val="22"/>
          <w:szCs w:val="22"/>
        </w:rPr>
        <w:t xml:space="preserve">the </w:t>
      </w:r>
      <w:r>
        <w:rPr>
          <w:sz w:val="22"/>
          <w:szCs w:val="22"/>
        </w:rPr>
        <w:t>real-time p</w:t>
      </w:r>
      <w:r w:rsidRPr="003A7637">
        <w:rPr>
          <w:sz w:val="22"/>
          <w:szCs w:val="22"/>
        </w:rPr>
        <w:t>rocessor</w:t>
      </w:r>
      <w:r w:rsidRPr="00C975D3">
        <w:rPr>
          <w:bCs/>
          <w:color w:val="000000"/>
          <w:sz w:val="22"/>
          <w:szCs w:val="22"/>
        </w:rPr>
        <w:t xml:space="preserve"> equipment in a commercially reasonable manner to implement the RP.</w:t>
      </w:r>
      <w:r>
        <w:rPr>
          <w:bCs/>
          <w:color w:val="000000"/>
          <w:sz w:val="22"/>
          <w:szCs w:val="22"/>
        </w:rPr>
        <w:t xml:space="preserve">  </w:t>
      </w:r>
      <w:r w:rsidRPr="006D4EA4">
        <w:rPr>
          <w:bCs/>
          <w:color w:val="000000"/>
          <w:sz w:val="22"/>
          <w:szCs w:val="22"/>
        </w:rPr>
        <w:t xml:space="preserve">This means the </w:t>
      </w:r>
      <w:r w:rsidRPr="00F852B0">
        <w:rPr>
          <w:color w:val="000000"/>
          <w:sz w:val="22"/>
        </w:rPr>
        <w:t>station/MVPD must:</w:t>
      </w:r>
    </w:p>
    <w:p w:rsidR="00010F84" w:rsidRPr="006D4EA4" w:rsidRDefault="00010F84" w:rsidP="00010F84">
      <w:pPr>
        <w:numPr>
          <w:ilvl w:val="3"/>
          <w:numId w:val="7"/>
        </w:numPr>
        <w:spacing w:beforeLines="60" w:before="144"/>
        <w:rPr>
          <w:sz w:val="22"/>
          <w:szCs w:val="22"/>
        </w:rPr>
      </w:pPr>
      <w:r>
        <w:rPr>
          <w:sz w:val="22"/>
          <w:szCs w:val="22"/>
        </w:rPr>
        <w:t xml:space="preserve">maintain and </w:t>
      </w:r>
      <w:r w:rsidRPr="006D4EA4">
        <w:rPr>
          <w:sz w:val="22"/>
          <w:szCs w:val="22"/>
        </w:rPr>
        <w:t>provide records showing the consistent and ongoing use of this equipment in the regular course of business and demonstrating that the equipment has undergone commercially reasonable periodic maintenance and testing to ensure its continued proper operat</w:t>
      </w:r>
      <w:r>
        <w:rPr>
          <w:sz w:val="22"/>
          <w:szCs w:val="22"/>
        </w:rPr>
        <w:t xml:space="preserve">ion; </w:t>
      </w:r>
    </w:p>
    <w:p w:rsidR="00010F84" w:rsidRDefault="00010F84" w:rsidP="00010F84">
      <w:pPr>
        <w:numPr>
          <w:ilvl w:val="3"/>
          <w:numId w:val="7"/>
        </w:numPr>
        <w:spacing w:beforeLines="60" w:before="144"/>
        <w:rPr>
          <w:sz w:val="22"/>
          <w:szCs w:val="22"/>
        </w:rPr>
      </w:pPr>
      <w:r w:rsidRPr="006D4EA4">
        <w:rPr>
          <w:sz w:val="22"/>
          <w:szCs w:val="22"/>
        </w:rPr>
        <w:t>certif</w:t>
      </w:r>
      <w:r>
        <w:rPr>
          <w:sz w:val="22"/>
          <w:szCs w:val="22"/>
        </w:rPr>
        <w:t>y</w:t>
      </w:r>
      <w:r w:rsidRPr="006D4EA4">
        <w:rPr>
          <w:sz w:val="22"/>
          <w:szCs w:val="22"/>
        </w:rPr>
        <w:t xml:space="preserve"> that it either has no actual knowledge of a violation of the ATSC A/85 RP, or that any violation of which it has become aware has been corrected promptly upon becoming aware of such a violation; and </w:t>
      </w:r>
    </w:p>
    <w:p w:rsidR="00010F84" w:rsidRDefault="00010F84" w:rsidP="00010F84">
      <w:pPr>
        <w:numPr>
          <w:ilvl w:val="3"/>
          <w:numId w:val="7"/>
        </w:numPr>
        <w:spacing w:beforeLines="60" w:before="144"/>
        <w:rPr>
          <w:sz w:val="22"/>
          <w:szCs w:val="22"/>
        </w:rPr>
      </w:pPr>
      <w:r w:rsidRPr="006D4EA4">
        <w:rPr>
          <w:sz w:val="22"/>
          <w:szCs w:val="22"/>
        </w:rPr>
        <w:t>certif</w:t>
      </w:r>
      <w:r>
        <w:rPr>
          <w:sz w:val="22"/>
          <w:szCs w:val="22"/>
        </w:rPr>
        <w:t>y</w:t>
      </w:r>
      <w:r w:rsidRPr="006D4EA4">
        <w:rPr>
          <w:sz w:val="22"/>
          <w:szCs w:val="22"/>
        </w:rPr>
        <w:t xml:space="preserve"> that its own transmission equipment is </w:t>
      </w:r>
      <w:r w:rsidRPr="00F852B0">
        <w:rPr>
          <w:sz w:val="22"/>
        </w:rPr>
        <w:t xml:space="preserve">not </w:t>
      </w:r>
      <w:r w:rsidRPr="006D4EA4">
        <w:rPr>
          <w:sz w:val="22"/>
          <w:szCs w:val="22"/>
        </w:rPr>
        <w:t>at fault for any pattern or trend of complaints.</w:t>
      </w:r>
    </w:p>
    <w:p w:rsidR="00010F84" w:rsidRDefault="00010F84" w:rsidP="00010F84">
      <w:pPr>
        <w:spacing w:beforeLines="60" w:before="144"/>
        <w:rPr>
          <w:sz w:val="22"/>
          <w:szCs w:val="22"/>
        </w:rPr>
      </w:pPr>
    </w:p>
    <w:p w:rsidR="00010F84" w:rsidRPr="00F852B0" w:rsidRDefault="00010F84" w:rsidP="00010F84">
      <w:pPr>
        <w:numPr>
          <w:ilvl w:val="0"/>
          <w:numId w:val="9"/>
        </w:numPr>
        <w:spacing w:beforeLines="60" w:before="144" w:afterLines="60" w:after="144"/>
        <w:rPr>
          <w:b/>
          <w:sz w:val="22"/>
          <w:u w:val="single"/>
        </w:rPr>
      </w:pPr>
      <w:r w:rsidRPr="00F852B0">
        <w:rPr>
          <w:b/>
          <w:color w:val="000000"/>
          <w:sz w:val="22"/>
          <w:u w:val="single"/>
        </w:rPr>
        <w:t>Waivers</w:t>
      </w:r>
    </w:p>
    <w:p w:rsidR="00010F84" w:rsidRDefault="00010F84" w:rsidP="00010F84">
      <w:pPr>
        <w:numPr>
          <w:ilvl w:val="0"/>
          <w:numId w:val="7"/>
        </w:numPr>
        <w:spacing w:beforeLines="60" w:before="144"/>
        <w:rPr>
          <w:sz w:val="22"/>
          <w:szCs w:val="22"/>
        </w:rPr>
      </w:pPr>
      <w:r w:rsidRPr="000A28F0">
        <w:rPr>
          <w:sz w:val="22"/>
          <w:szCs w:val="22"/>
        </w:rPr>
        <w:t xml:space="preserve">The </w:t>
      </w:r>
      <w:r w:rsidRPr="00F852B0">
        <w:rPr>
          <w:color w:val="000000"/>
          <w:sz w:val="22"/>
        </w:rPr>
        <w:t>rules</w:t>
      </w:r>
      <w:r w:rsidRPr="000A28F0">
        <w:rPr>
          <w:sz w:val="22"/>
          <w:szCs w:val="22"/>
        </w:rPr>
        <w:t xml:space="preserve"> allow </w:t>
      </w:r>
      <w:r w:rsidRPr="00F852B0">
        <w:rPr>
          <w:color w:val="000000"/>
          <w:sz w:val="22"/>
        </w:rPr>
        <w:t>a</w:t>
      </w:r>
      <w:r w:rsidRPr="000A28F0">
        <w:rPr>
          <w:sz w:val="22"/>
          <w:szCs w:val="22"/>
        </w:rPr>
        <w:t xml:space="preserve"> </w:t>
      </w:r>
      <w:r>
        <w:rPr>
          <w:sz w:val="22"/>
          <w:szCs w:val="22"/>
        </w:rPr>
        <w:t>TV</w:t>
      </w:r>
      <w:r w:rsidRPr="000A28F0">
        <w:rPr>
          <w:sz w:val="22"/>
          <w:szCs w:val="22"/>
        </w:rPr>
        <w:t xml:space="preserve"> station or MVPD to seek a waiver of the December 13, 2012 effective date </w:t>
      </w:r>
      <w:r>
        <w:rPr>
          <w:sz w:val="22"/>
          <w:szCs w:val="22"/>
        </w:rPr>
        <w:t>for</w:t>
      </w:r>
      <w:r w:rsidRPr="000A28F0">
        <w:rPr>
          <w:sz w:val="22"/>
          <w:szCs w:val="22"/>
        </w:rPr>
        <w:t xml:space="preserve"> up to two years based on financial hardship.  The Commission </w:t>
      </w:r>
      <w:r>
        <w:rPr>
          <w:sz w:val="22"/>
          <w:szCs w:val="22"/>
        </w:rPr>
        <w:t>may also</w:t>
      </w:r>
      <w:r w:rsidRPr="000A28F0">
        <w:rPr>
          <w:sz w:val="22"/>
          <w:szCs w:val="22"/>
        </w:rPr>
        <w:t xml:space="preserve"> issue waivers based on </w:t>
      </w:r>
      <w:r>
        <w:rPr>
          <w:sz w:val="22"/>
          <w:szCs w:val="22"/>
        </w:rPr>
        <w:t>“</w:t>
      </w:r>
      <w:r w:rsidRPr="000A28F0">
        <w:rPr>
          <w:sz w:val="22"/>
          <w:szCs w:val="22"/>
        </w:rPr>
        <w:t>good cause.</w:t>
      </w:r>
      <w:r>
        <w:rPr>
          <w:sz w:val="22"/>
          <w:szCs w:val="22"/>
        </w:rPr>
        <w:t>”</w:t>
      </w:r>
      <w:r w:rsidRPr="000A28F0">
        <w:rPr>
          <w:sz w:val="22"/>
          <w:szCs w:val="22"/>
        </w:rPr>
        <w:t xml:space="preserve">  </w:t>
      </w:r>
    </w:p>
    <w:p w:rsidR="00010F84" w:rsidRDefault="00010F84" w:rsidP="00010F84">
      <w:pPr>
        <w:numPr>
          <w:ilvl w:val="0"/>
          <w:numId w:val="7"/>
        </w:numPr>
        <w:spacing w:beforeLines="60" w:before="144"/>
        <w:rPr>
          <w:sz w:val="22"/>
          <w:szCs w:val="22"/>
        </w:rPr>
      </w:pPr>
      <w:r w:rsidRPr="0063777E">
        <w:rPr>
          <w:sz w:val="22"/>
          <w:szCs w:val="22"/>
          <w:u w:val="single"/>
        </w:rPr>
        <w:t>Filing Deadline</w:t>
      </w:r>
      <w:r>
        <w:rPr>
          <w:sz w:val="22"/>
          <w:szCs w:val="22"/>
        </w:rPr>
        <w:t xml:space="preserve">:  </w:t>
      </w:r>
      <w:r w:rsidRPr="000A28F0">
        <w:rPr>
          <w:sz w:val="22"/>
          <w:szCs w:val="22"/>
        </w:rPr>
        <w:t xml:space="preserve">October </w:t>
      </w:r>
      <w:r>
        <w:rPr>
          <w:sz w:val="22"/>
          <w:szCs w:val="22"/>
        </w:rPr>
        <w:t>15</w:t>
      </w:r>
      <w:r w:rsidRPr="000A28F0">
        <w:rPr>
          <w:sz w:val="22"/>
          <w:szCs w:val="22"/>
        </w:rPr>
        <w:t xml:space="preserve">, 2012 </w:t>
      </w:r>
      <w:r>
        <w:rPr>
          <w:sz w:val="22"/>
          <w:szCs w:val="22"/>
        </w:rPr>
        <w:t>was t</w:t>
      </w:r>
      <w:r w:rsidRPr="000A28F0">
        <w:rPr>
          <w:sz w:val="22"/>
          <w:szCs w:val="22"/>
        </w:rPr>
        <w:t xml:space="preserve">he deadline for </w:t>
      </w:r>
      <w:r>
        <w:rPr>
          <w:sz w:val="22"/>
          <w:szCs w:val="22"/>
        </w:rPr>
        <w:t xml:space="preserve">filing initial </w:t>
      </w:r>
      <w:r w:rsidRPr="000A28F0">
        <w:rPr>
          <w:sz w:val="22"/>
          <w:szCs w:val="22"/>
        </w:rPr>
        <w:t>waiver requests</w:t>
      </w:r>
      <w:r>
        <w:rPr>
          <w:sz w:val="22"/>
          <w:szCs w:val="22"/>
        </w:rPr>
        <w:t>, a</w:t>
      </w:r>
      <w:r w:rsidRPr="000A28F0">
        <w:rPr>
          <w:sz w:val="22"/>
          <w:szCs w:val="22"/>
        </w:rPr>
        <w:t>bsent extraordinary circumstances</w:t>
      </w:r>
      <w:r>
        <w:rPr>
          <w:sz w:val="22"/>
          <w:szCs w:val="22"/>
        </w:rPr>
        <w:t>, but the deadline for filing streamlined requests was extended until December 13, 2012.  October 14, 2013 is the deadline for seeking waiver renewals.</w:t>
      </w:r>
    </w:p>
    <w:p w:rsidR="00010F84" w:rsidRDefault="00010F84" w:rsidP="00010F84">
      <w:pPr>
        <w:numPr>
          <w:ilvl w:val="0"/>
          <w:numId w:val="7"/>
        </w:numPr>
        <w:spacing w:beforeLines="60" w:before="144"/>
        <w:rPr>
          <w:sz w:val="22"/>
          <w:szCs w:val="22"/>
        </w:rPr>
      </w:pPr>
      <w:r w:rsidRPr="004D4444">
        <w:rPr>
          <w:sz w:val="22"/>
          <w:szCs w:val="22"/>
          <w:u w:val="single"/>
        </w:rPr>
        <w:t>Filing Requirements</w:t>
      </w:r>
      <w:r>
        <w:rPr>
          <w:sz w:val="22"/>
          <w:szCs w:val="22"/>
        </w:rPr>
        <w:t>:</w:t>
      </w:r>
      <w:r w:rsidRPr="0063777E">
        <w:rPr>
          <w:sz w:val="22"/>
          <w:szCs w:val="22"/>
        </w:rPr>
        <w:t xml:space="preserve">  A station</w:t>
      </w:r>
      <w:r>
        <w:rPr>
          <w:sz w:val="22"/>
          <w:szCs w:val="22"/>
        </w:rPr>
        <w:t>/</w:t>
      </w:r>
      <w:r w:rsidRPr="0063777E">
        <w:rPr>
          <w:sz w:val="22"/>
          <w:szCs w:val="22"/>
        </w:rPr>
        <w:t xml:space="preserve">MVPD </w:t>
      </w:r>
      <w:r>
        <w:rPr>
          <w:sz w:val="22"/>
          <w:szCs w:val="22"/>
        </w:rPr>
        <w:t>that seeks</w:t>
      </w:r>
      <w:r w:rsidRPr="0063777E">
        <w:rPr>
          <w:sz w:val="22"/>
          <w:szCs w:val="22"/>
        </w:rPr>
        <w:t xml:space="preserve"> a financial hardship </w:t>
      </w:r>
      <w:r>
        <w:rPr>
          <w:sz w:val="22"/>
          <w:szCs w:val="22"/>
        </w:rPr>
        <w:t xml:space="preserve">waiver </w:t>
      </w:r>
      <w:r w:rsidRPr="0063777E">
        <w:rPr>
          <w:sz w:val="22"/>
          <w:szCs w:val="22"/>
        </w:rPr>
        <w:t xml:space="preserve">or general waiver </w:t>
      </w:r>
      <w:r>
        <w:rPr>
          <w:sz w:val="22"/>
          <w:szCs w:val="22"/>
        </w:rPr>
        <w:t xml:space="preserve">must file its waiver </w:t>
      </w:r>
      <w:r w:rsidRPr="0063777E">
        <w:rPr>
          <w:sz w:val="22"/>
          <w:szCs w:val="22"/>
        </w:rPr>
        <w:t xml:space="preserve">request electronically into </w:t>
      </w:r>
      <w:r w:rsidRPr="004D4444">
        <w:rPr>
          <w:sz w:val="22"/>
          <w:szCs w:val="22"/>
        </w:rPr>
        <w:t>MB Docket No. 11-93</w:t>
      </w:r>
      <w:r>
        <w:rPr>
          <w:sz w:val="22"/>
          <w:szCs w:val="22"/>
        </w:rPr>
        <w:t xml:space="preserve"> </w:t>
      </w:r>
      <w:r w:rsidRPr="0063777E">
        <w:rPr>
          <w:sz w:val="22"/>
          <w:szCs w:val="22"/>
        </w:rPr>
        <w:t>through the Commission</w:t>
      </w:r>
      <w:r>
        <w:rPr>
          <w:sz w:val="22"/>
          <w:szCs w:val="22"/>
        </w:rPr>
        <w:t>’</w:t>
      </w:r>
      <w:r w:rsidRPr="0063777E">
        <w:rPr>
          <w:sz w:val="22"/>
          <w:szCs w:val="22"/>
        </w:rPr>
        <w:t xml:space="preserve">s Electronic Comment Filing System (ECFS) using the Internet by accessing the ECFS: </w:t>
      </w:r>
      <w:hyperlink r:id="rId11" w:history="1">
        <w:r w:rsidRPr="00251755">
          <w:rPr>
            <w:rStyle w:val="Hyperlink"/>
            <w:sz w:val="22"/>
            <w:szCs w:val="22"/>
          </w:rPr>
          <w:t>http://www.fcc.gov/cgb/ecfs/</w:t>
        </w:r>
      </w:hyperlink>
      <w:r w:rsidRPr="0063777E">
        <w:rPr>
          <w:sz w:val="22"/>
          <w:szCs w:val="22"/>
        </w:rPr>
        <w:t>.</w:t>
      </w:r>
      <w:r>
        <w:rPr>
          <w:sz w:val="22"/>
          <w:szCs w:val="22"/>
        </w:rPr>
        <w:t xml:space="preserve"> </w:t>
      </w:r>
      <w:r w:rsidRPr="0063777E">
        <w:rPr>
          <w:sz w:val="22"/>
          <w:szCs w:val="22"/>
        </w:rPr>
        <w:t xml:space="preserve"> </w:t>
      </w:r>
    </w:p>
    <w:p w:rsidR="00010F84" w:rsidRDefault="00010F84" w:rsidP="00010F84">
      <w:pPr>
        <w:numPr>
          <w:ilvl w:val="2"/>
          <w:numId w:val="7"/>
        </w:numPr>
        <w:spacing w:beforeLines="60" w:before="144"/>
        <w:rPr>
          <w:sz w:val="22"/>
          <w:szCs w:val="22"/>
        </w:rPr>
      </w:pPr>
      <w:r>
        <w:rPr>
          <w:sz w:val="22"/>
          <w:szCs w:val="22"/>
        </w:rPr>
        <w:t xml:space="preserve">A </w:t>
      </w:r>
      <w:r w:rsidRPr="0063777E">
        <w:rPr>
          <w:sz w:val="22"/>
          <w:szCs w:val="22"/>
        </w:rPr>
        <w:t>filing</w:t>
      </w:r>
      <w:r>
        <w:rPr>
          <w:sz w:val="22"/>
          <w:szCs w:val="22"/>
        </w:rPr>
        <w:t xml:space="preserve"> seeking a financial hardship waiver</w:t>
      </w:r>
      <w:r w:rsidRPr="0063777E">
        <w:rPr>
          <w:sz w:val="22"/>
          <w:szCs w:val="22"/>
        </w:rPr>
        <w:t xml:space="preserve"> must be clearly designated as a </w:t>
      </w:r>
      <w:r>
        <w:rPr>
          <w:sz w:val="22"/>
          <w:szCs w:val="22"/>
        </w:rPr>
        <w:t>“</w:t>
      </w:r>
      <w:r w:rsidRPr="0063777E">
        <w:rPr>
          <w:sz w:val="22"/>
          <w:szCs w:val="22"/>
        </w:rPr>
        <w:t>financial hardship</w:t>
      </w:r>
      <w:r>
        <w:rPr>
          <w:sz w:val="22"/>
          <w:szCs w:val="22"/>
        </w:rPr>
        <w:t>”</w:t>
      </w:r>
      <w:r w:rsidRPr="0063777E">
        <w:rPr>
          <w:sz w:val="22"/>
          <w:szCs w:val="22"/>
        </w:rPr>
        <w:t xml:space="preserve"> </w:t>
      </w:r>
      <w:r>
        <w:rPr>
          <w:sz w:val="22"/>
          <w:szCs w:val="22"/>
        </w:rPr>
        <w:t>request, and a filing seeking a general waiver must be clearly designated as a</w:t>
      </w:r>
      <w:r w:rsidRPr="0063777E">
        <w:rPr>
          <w:sz w:val="22"/>
          <w:szCs w:val="22"/>
        </w:rPr>
        <w:t xml:space="preserve"> </w:t>
      </w:r>
      <w:r>
        <w:rPr>
          <w:sz w:val="22"/>
          <w:szCs w:val="22"/>
        </w:rPr>
        <w:t>“</w:t>
      </w:r>
      <w:r w:rsidRPr="0063777E">
        <w:rPr>
          <w:sz w:val="22"/>
          <w:szCs w:val="22"/>
        </w:rPr>
        <w:t>general</w:t>
      </w:r>
      <w:r>
        <w:rPr>
          <w:sz w:val="22"/>
          <w:szCs w:val="22"/>
        </w:rPr>
        <w:t>”</w:t>
      </w:r>
      <w:r w:rsidRPr="0063777E">
        <w:rPr>
          <w:sz w:val="22"/>
          <w:szCs w:val="22"/>
        </w:rPr>
        <w:t xml:space="preserve"> waiver request</w:t>
      </w:r>
      <w:r>
        <w:rPr>
          <w:sz w:val="22"/>
          <w:szCs w:val="22"/>
        </w:rPr>
        <w:t>.  All waiver request filings</w:t>
      </w:r>
      <w:r w:rsidRPr="0063777E">
        <w:rPr>
          <w:sz w:val="22"/>
          <w:szCs w:val="22"/>
        </w:rPr>
        <w:t xml:space="preserve"> must clearly reference th</w:t>
      </w:r>
      <w:r>
        <w:rPr>
          <w:sz w:val="22"/>
          <w:szCs w:val="22"/>
        </w:rPr>
        <w:t>e CALM Act</w:t>
      </w:r>
      <w:r w:rsidRPr="0063777E">
        <w:rPr>
          <w:sz w:val="22"/>
          <w:szCs w:val="22"/>
        </w:rPr>
        <w:t xml:space="preserve"> proceeding and docket number</w:t>
      </w:r>
      <w:r>
        <w:rPr>
          <w:sz w:val="22"/>
          <w:szCs w:val="22"/>
        </w:rPr>
        <w:t xml:space="preserve"> (MB Docket No. 11-93)</w:t>
      </w:r>
      <w:r w:rsidRPr="0063777E">
        <w:rPr>
          <w:sz w:val="22"/>
          <w:szCs w:val="22"/>
        </w:rPr>
        <w:t xml:space="preserve">.  Requests for </w:t>
      </w:r>
      <w:r>
        <w:rPr>
          <w:sz w:val="22"/>
          <w:szCs w:val="22"/>
        </w:rPr>
        <w:t>“</w:t>
      </w:r>
      <w:r w:rsidRPr="0063777E">
        <w:rPr>
          <w:sz w:val="22"/>
          <w:szCs w:val="22"/>
        </w:rPr>
        <w:t>general</w:t>
      </w:r>
      <w:r>
        <w:rPr>
          <w:sz w:val="22"/>
          <w:szCs w:val="22"/>
        </w:rPr>
        <w:t>”</w:t>
      </w:r>
      <w:r w:rsidRPr="0063777E">
        <w:rPr>
          <w:sz w:val="22"/>
          <w:szCs w:val="22"/>
        </w:rPr>
        <w:t xml:space="preserve"> waiver must comply with </w:t>
      </w:r>
      <w:r>
        <w:rPr>
          <w:sz w:val="22"/>
          <w:szCs w:val="22"/>
        </w:rPr>
        <w:t xml:space="preserve">47 C.F.R. </w:t>
      </w:r>
      <w:r w:rsidRPr="00171D2E">
        <w:rPr>
          <w:sz w:val="22"/>
          <w:szCs w:val="22"/>
        </w:rPr>
        <w:t xml:space="preserve">§ </w:t>
      </w:r>
      <w:r w:rsidRPr="0063777E">
        <w:rPr>
          <w:sz w:val="22"/>
          <w:szCs w:val="22"/>
        </w:rPr>
        <w:t>1.</w:t>
      </w:r>
      <w:r>
        <w:rPr>
          <w:sz w:val="22"/>
          <w:szCs w:val="22"/>
        </w:rPr>
        <w:t>3</w:t>
      </w:r>
      <w:r w:rsidRPr="0063777E">
        <w:rPr>
          <w:sz w:val="22"/>
          <w:szCs w:val="22"/>
        </w:rPr>
        <w:t>.</w:t>
      </w:r>
    </w:p>
    <w:p w:rsidR="00010F84" w:rsidRDefault="00010F84" w:rsidP="00010F84">
      <w:pPr>
        <w:numPr>
          <w:ilvl w:val="2"/>
          <w:numId w:val="7"/>
        </w:numPr>
        <w:spacing w:beforeLines="60" w:before="144"/>
        <w:rPr>
          <w:sz w:val="22"/>
          <w:szCs w:val="22"/>
        </w:rPr>
      </w:pPr>
      <w:r>
        <w:rPr>
          <w:sz w:val="22"/>
          <w:szCs w:val="22"/>
        </w:rPr>
        <w:t>F</w:t>
      </w:r>
      <w:r w:rsidRPr="0063777E">
        <w:rPr>
          <w:sz w:val="22"/>
          <w:szCs w:val="22"/>
        </w:rPr>
        <w:t xml:space="preserve">ilers will receive a confirmation online after their waiver has been successfully submitted through ECFS.  It is recommended that applicants for a streamlined waiver retain this confirmation for their records. </w:t>
      </w:r>
    </w:p>
    <w:p w:rsidR="00010F84" w:rsidRPr="0063777E" w:rsidRDefault="00010F84" w:rsidP="00010F84">
      <w:pPr>
        <w:numPr>
          <w:ilvl w:val="2"/>
          <w:numId w:val="7"/>
        </w:numPr>
        <w:spacing w:beforeLines="60" w:before="144"/>
        <w:rPr>
          <w:sz w:val="22"/>
          <w:szCs w:val="22"/>
        </w:rPr>
      </w:pPr>
      <w:r>
        <w:rPr>
          <w:sz w:val="22"/>
          <w:szCs w:val="22"/>
        </w:rPr>
        <w:t>There is no</w:t>
      </w:r>
      <w:r w:rsidRPr="0063777E">
        <w:rPr>
          <w:sz w:val="22"/>
          <w:szCs w:val="22"/>
        </w:rPr>
        <w:t xml:space="preserve"> </w:t>
      </w:r>
      <w:r>
        <w:rPr>
          <w:sz w:val="22"/>
          <w:szCs w:val="22"/>
        </w:rPr>
        <w:t>filing fee for waiver requests filed pursuant to the CALM Act.</w:t>
      </w:r>
    </w:p>
    <w:p w:rsidR="00010F84" w:rsidRDefault="00010F84" w:rsidP="00010F84">
      <w:pPr>
        <w:numPr>
          <w:ilvl w:val="1"/>
          <w:numId w:val="7"/>
        </w:numPr>
        <w:spacing w:beforeLines="60" w:before="144"/>
        <w:rPr>
          <w:sz w:val="22"/>
          <w:szCs w:val="22"/>
        </w:rPr>
      </w:pPr>
      <w:r w:rsidRPr="00F900D8">
        <w:rPr>
          <w:sz w:val="22"/>
          <w:szCs w:val="22"/>
          <w:u w:val="single"/>
        </w:rPr>
        <w:t>Financial Hardship</w:t>
      </w:r>
      <w:r>
        <w:rPr>
          <w:sz w:val="22"/>
          <w:szCs w:val="22"/>
        </w:rPr>
        <w:t xml:space="preserve">.  The CALM Act </w:t>
      </w:r>
      <w:r w:rsidRPr="006B0CFC">
        <w:rPr>
          <w:sz w:val="22"/>
          <w:szCs w:val="22"/>
        </w:rPr>
        <w:t xml:space="preserve">provides that the Commission may grant a one-year waiver of the effective date of the rules to any station/MVPD that shows it would be a </w:t>
      </w:r>
      <w:r>
        <w:rPr>
          <w:sz w:val="22"/>
          <w:szCs w:val="22"/>
        </w:rPr>
        <w:t>“</w:t>
      </w:r>
      <w:r w:rsidRPr="006B0CFC">
        <w:rPr>
          <w:sz w:val="22"/>
          <w:szCs w:val="22"/>
        </w:rPr>
        <w:t>financial hardship</w:t>
      </w:r>
      <w:r>
        <w:rPr>
          <w:sz w:val="22"/>
          <w:szCs w:val="22"/>
        </w:rPr>
        <w:t>”</w:t>
      </w:r>
      <w:r w:rsidRPr="006B0CFC">
        <w:rPr>
          <w:sz w:val="22"/>
          <w:szCs w:val="22"/>
        </w:rPr>
        <w:t xml:space="preserve"> to obtain the necessary equipment to comply with the rules, and may renew such waiver for one additional year.</w:t>
      </w:r>
      <w:r>
        <w:rPr>
          <w:sz w:val="22"/>
          <w:szCs w:val="22"/>
        </w:rPr>
        <w:t xml:space="preserve">  </w:t>
      </w:r>
    </w:p>
    <w:p w:rsidR="00010F84" w:rsidRDefault="00010F84" w:rsidP="00010F84">
      <w:pPr>
        <w:numPr>
          <w:ilvl w:val="2"/>
          <w:numId w:val="7"/>
        </w:numPr>
        <w:spacing w:beforeLines="60" w:before="144"/>
        <w:rPr>
          <w:sz w:val="22"/>
          <w:szCs w:val="22"/>
        </w:rPr>
      </w:pPr>
      <w:r>
        <w:rPr>
          <w:sz w:val="22"/>
          <w:szCs w:val="22"/>
          <w:u w:val="single"/>
        </w:rPr>
        <w:t>“Four-Part” Showing Required</w:t>
      </w:r>
      <w:r w:rsidRPr="006F2917">
        <w:rPr>
          <w:sz w:val="22"/>
          <w:szCs w:val="22"/>
        </w:rPr>
        <w:t xml:space="preserve">:  </w:t>
      </w:r>
      <w:r>
        <w:rPr>
          <w:sz w:val="22"/>
          <w:szCs w:val="22"/>
        </w:rPr>
        <w:t xml:space="preserve">When seeking a financial hardship waiver, </w:t>
      </w:r>
      <w:r w:rsidRPr="006F2917">
        <w:rPr>
          <w:sz w:val="22"/>
          <w:szCs w:val="22"/>
        </w:rPr>
        <w:t>the station</w:t>
      </w:r>
      <w:r>
        <w:rPr>
          <w:sz w:val="22"/>
          <w:szCs w:val="22"/>
        </w:rPr>
        <w:t xml:space="preserve"> or </w:t>
      </w:r>
      <w:r w:rsidRPr="006F2917">
        <w:rPr>
          <w:sz w:val="22"/>
          <w:szCs w:val="22"/>
        </w:rPr>
        <w:t xml:space="preserve">MVPD must provide: </w:t>
      </w:r>
    </w:p>
    <w:p w:rsidR="00010F84" w:rsidRPr="005B210F" w:rsidRDefault="00010F84" w:rsidP="00010F84">
      <w:pPr>
        <w:pStyle w:val="ListParagraph"/>
        <w:numPr>
          <w:ilvl w:val="3"/>
          <w:numId w:val="13"/>
        </w:numPr>
        <w:spacing w:beforeLines="60" w:before="144"/>
        <w:rPr>
          <w:sz w:val="22"/>
          <w:szCs w:val="22"/>
        </w:rPr>
      </w:pPr>
      <w:r w:rsidRPr="005B210F">
        <w:rPr>
          <w:sz w:val="22"/>
          <w:szCs w:val="22"/>
        </w:rPr>
        <w:t>evidence of its financial condition, such as financial statements;</w:t>
      </w:r>
    </w:p>
    <w:p w:rsidR="00010F84" w:rsidRPr="005B210F" w:rsidRDefault="00010F84" w:rsidP="00010F84">
      <w:pPr>
        <w:pStyle w:val="ListParagraph"/>
        <w:numPr>
          <w:ilvl w:val="3"/>
          <w:numId w:val="13"/>
        </w:numPr>
        <w:spacing w:beforeLines="60" w:before="144"/>
        <w:rPr>
          <w:sz w:val="22"/>
          <w:szCs w:val="22"/>
        </w:rPr>
      </w:pPr>
      <w:r w:rsidRPr="005B210F">
        <w:rPr>
          <w:sz w:val="22"/>
          <w:szCs w:val="22"/>
        </w:rPr>
        <w:t xml:space="preserve">a cost estimate for obtaining the necessary equipment to comply with the required regulation; </w:t>
      </w:r>
    </w:p>
    <w:p w:rsidR="00010F84" w:rsidRPr="005B210F" w:rsidRDefault="00010F84" w:rsidP="00010F84">
      <w:pPr>
        <w:pStyle w:val="ListParagraph"/>
        <w:numPr>
          <w:ilvl w:val="3"/>
          <w:numId w:val="13"/>
        </w:numPr>
        <w:spacing w:beforeLines="60" w:before="144"/>
        <w:rPr>
          <w:sz w:val="22"/>
          <w:szCs w:val="22"/>
        </w:rPr>
      </w:pPr>
      <w:r w:rsidRPr="005B210F">
        <w:rPr>
          <w:sz w:val="22"/>
          <w:szCs w:val="22"/>
        </w:rPr>
        <w:t xml:space="preserve">a detailed statement explaining why its financial condition justifies postponing compliance; and </w:t>
      </w:r>
    </w:p>
    <w:p w:rsidR="00010F84" w:rsidRDefault="00010F84" w:rsidP="00010F84">
      <w:pPr>
        <w:pStyle w:val="ListParagraph"/>
        <w:numPr>
          <w:ilvl w:val="3"/>
          <w:numId w:val="13"/>
        </w:numPr>
        <w:spacing w:beforeLines="60" w:before="144"/>
        <w:rPr>
          <w:sz w:val="22"/>
          <w:szCs w:val="22"/>
        </w:rPr>
      </w:pPr>
      <w:r w:rsidRPr="005B210F">
        <w:rPr>
          <w:sz w:val="22"/>
          <w:szCs w:val="22"/>
        </w:rPr>
        <w:t>an estimate of how long it will take to comply, along with supporting information.</w:t>
      </w:r>
    </w:p>
    <w:p w:rsidR="00010F84" w:rsidRDefault="00010F84" w:rsidP="00010F84">
      <w:pPr>
        <w:numPr>
          <w:ilvl w:val="2"/>
          <w:numId w:val="7"/>
        </w:numPr>
        <w:spacing w:beforeLines="60" w:before="144"/>
        <w:rPr>
          <w:sz w:val="22"/>
          <w:szCs w:val="22"/>
        </w:rPr>
      </w:pPr>
      <w:r>
        <w:rPr>
          <w:sz w:val="22"/>
          <w:szCs w:val="22"/>
          <w:u w:val="single"/>
        </w:rPr>
        <w:t>Streamlined Showing For Small Broadcast Stations and Small MVPD Systems</w:t>
      </w:r>
      <w:r w:rsidRPr="006F2917">
        <w:rPr>
          <w:sz w:val="22"/>
          <w:szCs w:val="22"/>
        </w:rPr>
        <w:t>:</w:t>
      </w:r>
      <w:r>
        <w:rPr>
          <w:sz w:val="22"/>
          <w:szCs w:val="22"/>
        </w:rPr>
        <w:t xml:space="preserve">  Small Broadcast Stations and Small MVPD Systems may use a streamlined process to request this waiver.  Under the streamlined process, a Small Broadcast Station or Small MVPD System must certify that it (1) meets the definition of “Small TV Station” or “Small MVPD System” and (2) to avoid financial hardship, it needs a delay of one year to obtain the necessary equipment, which it must identify or describe.  The station or MVPD may consider the waiver granted when it files this information online and receives an automatic “acknowledgement of request,” unless </w:t>
      </w:r>
      <w:r w:rsidRPr="00A24877">
        <w:rPr>
          <w:sz w:val="22"/>
          <w:szCs w:val="22"/>
        </w:rPr>
        <w:t>the Media Bureau notifies the</w:t>
      </w:r>
      <w:r>
        <w:rPr>
          <w:sz w:val="22"/>
          <w:szCs w:val="22"/>
        </w:rPr>
        <w:t xml:space="preserve"> station/MVPD</w:t>
      </w:r>
      <w:r w:rsidRPr="00A24877">
        <w:rPr>
          <w:sz w:val="22"/>
          <w:szCs w:val="22"/>
        </w:rPr>
        <w:t xml:space="preserve"> </w:t>
      </w:r>
      <w:r>
        <w:rPr>
          <w:sz w:val="22"/>
          <w:szCs w:val="22"/>
        </w:rPr>
        <w:t>of a problem or question concerning the adequacy of the certification.</w:t>
      </w:r>
    </w:p>
    <w:p w:rsidR="00010F84" w:rsidRDefault="00010F84" w:rsidP="00010F84">
      <w:pPr>
        <w:spacing w:beforeLines="60" w:before="144"/>
        <w:ind w:left="2160"/>
        <w:rPr>
          <w:i/>
          <w:sz w:val="22"/>
          <w:szCs w:val="22"/>
        </w:rPr>
      </w:pPr>
      <w:r w:rsidRPr="00C263D4">
        <w:rPr>
          <w:i/>
          <w:sz w:val="22"/>
          <w:szCs w:val="22"/>
          <w:u w:val="single"/>
        </w:rPr>
        <w:t>Definitions</w:t>
      </w:r>
      <w:r w:rsidRPr="00412D6B">
        <w:rPr>
          <w:i/>
          <w:sz w:val="22"/>
          <w:szCs w:val="22"/>
        </w:rPr>
        <w:t xml:space="preserve"> (for </w:t>
      </w:r>
      <w:r>
        <w:rPr>
          <w:i/>
          <w:sz w:val="22"/>
          <w:szCs w:val="22"/>
        </w:rPr>
        <w:t xml:space="preserve">waiver </w:t>
      </w:r>
      <w:r w:rsidRPr="00412D6B">
        <w:rPr>
          <w:i/>
          <w:sz w:val="22"/>
          <w:szCs w:val="22"/>
        </w:rPr>
        <w:t>p</w:t>
      </w:r>
      <w:r>
        <w:rPr>
          <w:i/>
          <w:sz w:val="22"/>
          <w:szCs w:val="22"/>
        </w:rPr>
        <w:t>urposes</w:t>
      </w:r>
      <w:r w:rsidRPr="00412D6B">
        <w:rPr>
          <w:i/>
          <w:sz w:val="22"/>
          <w:szCs w:val="22"/>
        </w:rPr>
        <w:t>):</w:t>
      </w:r>
    </w:p>
    <w:p w:rsidR="00010F84" w:rsidRDefault="00010F84" w:rsidP="00010F84">
      <w:pPr>
        <w:numPr>
          <w:ilvl w:val="4"/>
          <w:numId w:val="7"/>
        </w:numPr>
        <w:spacing w:beforeLines="60" w:before="144"/>
        <w:rPr>
          <w:sz w:val="22"/>
          <w:szCs w:val="22"/>
        </w:rPr>
      </w:pPr>
      <w:r>
        <w:rPr>
          <w:sz w:val="22"/>
          <w:szCs w:val="22"/>
        </w:rPr>
        <w:t xml:space="preserve">A “Small Broadcast Station” </w:t>
      </w:r>
      <w:r w:rsidRPr="00E17CCF">
        <w:rPr>
          <w:sz w:val="22"/>
          <w:szCs w:val="22"/>
        </w:rPr>
        <w:t xml:space="preserve">is defined as </w:t>
      </w:r>
      <w:r>
        <w:rPr>
          <w:sz w:val="22"/>
          <w:szCs w:val="22"/>
        </w:rPr>
        <w:t>a TV station</w:t>
      </w:r>
      <w:r w:rsidRPr="00E17CCF">
        <w:rPr>
          <w:sz w:val="22"/>
          <w:szCs w:val="22"/>
        </w:rPr>
        <w:t xml:space="preserve"> with $14.0 million </w:t>
      </w:r>
      <w:r>
        <w:rPr>
          <w:sz w:val="22"/>
          <w:szCs w:val="22"/>
        </w:rPr>
        <w:t xml:space="preserve">or less </w:t>
      </w:r>
      <w:r w:rsidRPr="00E17CCF">
        <w:rPr>
          <w:sz w:val="22"/>
          <w:szCs w:val="22"/>
        </w:rPr>
        <w:t>in annual receipts</w:t>
      </w:r>
      <w:r>
        <w:rPr>
          <w:sz w:val="22"/>
          <w:szCs w:val="22"/>
        </w:rPr>
        <w:t xml:space="preserve"> </w:t>
      </w:r>
      <w:r w:rsidRPr="00412D6B">
        <w:rPr>
          <w:sz w:val="22"/>
          <w:szCs w:val="22"/>
        </w:rPr>
        <w:t>or that is located i</w:t>
      </w:r>
      <w:r>
        <w:rPr>
          <w:sz w:val="22"/>
          <w:szCs w:val="22"/>
        </w:rPr>
        <w:t>n television markets 150 to 210</w:t>
      </w:r>
      <w:r w:rsidRPr="00E17CCF">
        <w:rPr>
          <w:sz w:val="22"/>
          <w:szCs w:val="22"/>
        </w:rPr>
        <w:t>.</w:t>
      </w:r>
      <w:r>
        <w:rPr>
          <w:sz w:val="22"/>
          <w:szCs w:val="22"/>
        </w:rPr>
        <w:t xml:space="preserve">  </w:t>
      </w:r>
    </w:p>
    <w:p w:rsidR="00010F84" w:rsidRDefault="00010F84" w:rsidP="00010F84">
      <w:pPr>
        <w:numPr>
          <w:ilvl w:val="4"/>
          <w:numId w:val="7"/>
        </w:numPr>
        <w:spacing w:beforeLines="60" w:before="144"/>
        <w:rPr>
          <w:sz w:val="22"/>
          <w:szCs w:val="22"/>
        </w:rPr>
      </w:pPr>
      <w:r>
        <w:rPr>
          <w:sz w:val="22"/>
          <w:szCs w:val="22"/>
        </w:rPr>
        <w:t>A “Small MVPD System</w:t>
      </w:r>
      <w:r w:rsidRPr="00E17CCF">
        <w:rPr>
          <w:sz w:val="22"/>
          <w:szCs w:val="22"/>
        </w:rPr>
        <w:t xml:space="preserve">” is defined as </w:t>
      </w:r>
      <w:r>
        <w:rPr>
          <w:sz w:val="22"/>
          <w:szCs w:val="22"/>
        </w:rPr>
        <w:t>an MVPD</w:t>
      </w:r>
      <w:r w:rsidRPr="00E17CCF">
        <w:rPr>
          <w:sz w:val="22"/>
          <w:szCs w:val="22"/>
        </w:rPr>
        <w:t xml:space="preserve"> with</w:t>
      </w:r>
      <w:r>
        <w:rPr>
          <w:sz w:val="22"/>
          <w:szCs w:val="22"/>
        </w:rPr>
        <w:t xml:space="preserve"> </w:t>
      </w:r>
      <w:r w:rsidRPr="00412D6B">
        <w:rPr>
          <w:sz w:val="22"/>
          <w:szCs w:val="22"/>
        </w:rPr>
        <w:t>fewer than 15,000 subscribers (as of December 31, 2011) that is not affiliated with a larger operator serving more than 10 percent of all MVPD subscribers.</w:t>
      </w:r>
      <w:r>
        <w:rPr>
          <w:rStyle w:val="FootnoteReference"/>
          <w:szCs w:val="22"/>
        </w:rPr>
        <w:footnoteReference w:id="13"/>
      </w:r>
      <w:r w:rsidRPr="00412D6B">
        <w:rPr>
          <w:sz w:val="22"/>
          <w:szCs w:val="22"/>
        </w:rPr>
        <w:t xml:space="preserve">  </w:t>
      </w:r>
    </w:p>
    <w:p w:rsidR="002506FB" w:rsidRDefault="002506FB" w:rsidP="002506FB">
      <w:pPr>
        <w:numPr>
          <w:ilvl w:val="1"/>
          <w:numId w:val="7"/>
        </w:numPr>
        <w:spacing w:beforeLines="60" w:before="144"/>
        <w:rPr>
          <w:sz w:val="22"/>
          <w:szCs w:val="22"/>
        </w:rPr>
      </w:pPr>
      <w:r w:rsidRPr="00F900D8">
        <w:rPr>
          <w:sz w:val="22"/>
          <w:szCs w:val="22"/>
          <w:u w:val="single"/>
        </w:rPr>
        <w:t>General</w:t>
      </w:r>
      <w:r>
        <w:rPr>
          <w:sz w:val="22"/>
          <w:szCs w:val="22"/>
        </w:rPr>
        <w:t xml:space="preserve">.  The CALM Act </w:t>
      </w:r>
      <w:r w:rsidRPr="006B0CFC">
        <w:rPr>
          <w:sz w:val="22"/>
          <w:szCs w:val="22"/>
        </w:rPr>
        <w:t xml:space="preserve">provides that </w:t>
      </w:r>
      <w:r w:rsidRPr="00A24877">
        <w:rPr>
          <w:sz w:val="22"/>
          <w:szCs w:val="22"/>
        </w:rPr>
        <w:t>the statute does not affect the Commission</w:t>
      </w:r>
      <w:r>
        <w:rPr>
          <w:sz w:val="22"/>
          <w:szCs w:val="22"/>
        </w:rPr>
        <w:t>’</w:t>
      </w:r>
      <w:r w:rsidRPr="00A24877">
        <w:rPr>
          <w:sz w:val="22"/>
          <w:szCs w:val="22"/>
        </w:rPr>
        <w:t>s authority to waive any rule</w:t>
      </w:r>
      <w:r>
        <w:rPr>
          <w:sz w:val="22"/>
          <w:szCs w:val="22"/>
        </w:rPr>
        <w:t>, even one</w:t>
      </w:r>
      <w:r w:rsidRPr="00A24877">
        <w:rPr>
          <w:sz w:val="22"/>
          <w:szCs w:val="22"/>
        </w:rPr>
        <w:t xml:space="preserve"> required by the CALM Act, for good cause shown under Section 1.3 of the Commission</w:t>
      </w:r>
      <w:r>
        <w:rPr>
          <w:sz w:val="22"/>
          <w:szCs w:val="22"/>
        </w:rPr>
        <w:t>’</w:t>
      </w:r>
      <w:r w:rsidRPr="00A24877">
        <w:rPr>
          <w:sz w:val="22"/>
          <w:szCs w:val="22"/>
        </w:rPr>
        <w:t xml:space="preserve">s rules.  </w:t>
      </w:r>
      <w:r>
        <w:rPr>
          <w:sz w:val="22"/>
          <w:szCs w:val="22"/>
        </w:rPr>
        <w:t xml:space="preserve">The Commission states in the R&amp;O that it may </w:t>
      </w:r>
      <w:r w:rsidRPr="00A24877">
        <w:rPr>
          <w:sz w:val="22"/>
          <w:szCs w:val="22"/>
        </w:rPr>
        <w:t xml:space="preserve">use </w:t>
      </w:r>
      <w:r>
        <w:rPr>
          <w:sz w:val="22"/>
          <w:szCs w:val="22"/>
        </w:rPr>
        <w:t>the</w:t>
      </w:r>
      <w:r w:rsidRPr="00A24877">
        <w:rPr>
          <w:sz w:val="22"/>
          <w:szCs w:val="22"/>
        </w:rPr>
        <w:t xml:space="preserve"> general waiver authority </w:t>
      </w:r>
      <w:r>
        <w:rPr>
          <w:sz w:val="22"/>
          <w:szCs w:val="22"/>
        </w:rPr>
        <w:t>to consider</w:t>
      </w:r>
      <w:r w:rsidRPr="00A24877">
        <w:rPr>
          <w:sz w:val="22"/>
          <w:szCs w:val="22"/>
        </w:rPr>
        <w:t xml:space="preserve"> waivers necessitated by unforeseen circumstances</w:t>
      </w:r>
      <w:r>
        <w:rPr>
          <w:sz w:val="22"/>
          <w:szCs w:val="22"/>
        </w:rPr>
        <w:t>,</w:t>
      </w:r>
      <w:r w:rsidRPr="00A24877">
        <w:rPr>
          <w:sz w:val="22"/>
          <w:szCs w:val="22"/>
        </w:rPr>
        <w:t xml:space="preserve"> as well as for </w:t>
      </w:r>
      <w:r>
        <w:rPr>
          <w:sz w:val="22"/>
          <w:szCs w:val="22"/>
        </w:rPr>
        <w:t xml:space="preserve">stations or </w:t>
      </w:r>
      <w:r w:rsidRPr="00A24877">
        <w:rPr>
          <w:sz w:val="22"/>
          <w:szCs w:val="22"/>
        </w:rPr>
        <w:t xml:space="preserve">MVPDs that demonstrate they cannot </w:t>
      </w:r>
      <w:r>
        <w:rPr>
          <w:sz w:val="22"/>
          <w:szCs w:val="22"/>
        </w:rPr>
        <w:t xml:space="preserve">strictly </w:t>
      </w:r>
      <w:r w:rsidRPr="00A24877">
        <w:rPr>
          <w:sz w:val="22"/>
          <w:szCs w:val="22"/>
        </w:rPr>
        <w:t>implement the RP because of the technology they use</w:t>
      </w:r>
      <w:r>
        <w:rPr>
          <w:sz w:val="22"/>
          <w:szCs w:val="22"/>
        </w:rPr>
        <w:t xml:space="preserve"> and that propose to use an alternative approach to achieving the same goals</w:t>
      </w:r>
      <w:r w:rsidRPr="00A24877">
        <w:rPr>
          <w:sz w:val="22"/>
          <w:szCs w:val="22"/>
        </w:rPr>
        <w:t>.</w:t>
      </w:r>
    </w:p>
    <w:p w:rsidR="002506FB" w:rsidRDefault="002506FB" w:rsidP="002506FB">
      <w:pPr>
        <w:spacing w:beforeLines="60" w:before="144"/>
        <w:ind w:left="3240"/>
        <w:rPr>
          <w:sz w:val="22"/>
          <w:szCs w:val="22"/>
        </w:rPr>
      </w:pPr>
    </w:p>
    <w:p w:rsidR="004D5682" w:rsidRDefault="004D5682"/>
    <w:sectPr w:rsidR="004D5682" w:rsidSect="005F4D4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31" w:rsidRDefault="004E5F31">
      <w:r>
        <w:separator/>
      </w:r>
    </w:p>
  </w:endnote>
  <w:endnote w:type="continuationSeparator" w:id="0">
    <w:p w:rsidR="004E5F31" w:rsidRDefault="004E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9" w:rsidRDefault="008A7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0367"/>
      <w:docPartObj>
        <w:docPartGallery w:val="Page Numbers (Bottom of Page)"/>
        <w:docPartUnique/>
      </w:docPartObj>
    </w:sdtPr>
    <w:sdtEndPr>
      <w:rPr>
        <w:noProof/>
      </w:rPr>
    </w:sdtEndPr>
    <w:sdtContent>
      <w:p w:rsidR="0000104A" w:rsidRDefault="0000104A">
        <w:pPr>
          <w:pStyle w:val="Footer"/>
          <w:jc w:val="center"/>
        </w:pPr>
        <w:r>
          <w:fldChar w:fldCharType="begin"/>
        </w:r>
        <w:r>
          <w:instrText xml:space="preserve"> PAGE   \* MERGEFORMAT </w:instrText>
        </w:r>
        <w:r>
          <w:fldChar w:fldCharType="separate"/>
        </w:r>
        <w:r w:rsidR="0073221E">
          <w:rPr>
            <w:noProof/>
          </w:rPr>
          <w:t>5</w:t>
        </w:r>
        <w:r>
          <w:rPr>
            <w:noProof/>
          </w:rPr>
          <w:fldChar w:fldCharType="end"/>
        </w:r>
      </w:p>
    </w:sdtContent>
  </w:sdt>
  <w:p w:rsidR="0000104A" w:rsidRDefault="00001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9" w:rsidRDefault="008A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31" w:rsidRDefault="004E5F31">
      <w:r>
        <w:separator/>
      </w:r>
    </w:p>
  </w:footnote>
  <w:footnote w:type="continuationSeparator" w:id="0">
    <w:p w:rsidR="004E5F31" w:rsidRDefault="004E5F31">
      <w:r>
        <w:continuationSeparator/>
      </w:r>
    </w:p>
  </w:footnote>
  <w:footnote w:id="1">
    <w:p w:rsidR="00010F84" w:rsidRDefault="00010F84" w:rsidP="00010F84">
      <w:pPr>
        <w:pStyle w:val="FootnoteText"/>
      </w:pPr>
      <w:r>
        <w:rPr>
          <w:rStyle w:val="FootnoteReference"/>
        </w:rPr>
        <w:footnoteRef/>
      </w:r>
      <w:r>
        <w:t xml:space="preserve"> </w:t>
      </w:r>
      <w:r w:rsidRPr="009E044E">
        <w:rPr>
          <w:i/>
        </w:rPr>
        <w:t>See Implementation of the Commercial Advertisement Loudness Mitigation (CALM) Act</w:t>
      </w:r>
      <w:r w:rsidRPr="009E044E">
        <w:t>, MB Docket No. 11-93, Report and Order, 26 FCC Rcd 17222 (2011) (</w:t>
      </w:r>
      <w:r w:rsidRPr="009E044E">
        <w:rPr>
          <w:i/>
        </w:rPr>
        <w:t>CALM Act Report and Order</w:t>
      </w:r>
      <w:r w:rsidRPr="009E044E">
        <w:t>).</w:t>
      </w:r>
    </w:p>
  </w:footnote>
  <w:footnote w:id="2">
    <w:p w:rsidR="00010F84" w:rsidRDefault="00010F84" w:rsidP="00010F84">
      <w:pPr>
        <w:pStyle w:val="FootnoteText"/>
      </w:pPr>
      <w:r>
        <w:rPr>
          <w:rStyle w:val="FootnoteReference"/>
        </w:rPr>
        <w:footnoteRef/>
      </w:r>
      <w:r>
        <w:t xml:space="preserve"> The </w:t>
      </w:r>
      <w:r w:rsidRPr="003545F4">
        <w:t xml:space="preserve">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w:t>
      </w:r>
      <w:r w:rsidRPr="003545F4">
        <w:rPr>
          <w:i/>
        </w:rPr>
        <w:t>See</w:t>
      </w:r>
      <w:r w:rsidRPr="003545F4">
        <w:t xml:space="preserve"> </w:t>
      </w:r>
      <w:hyperlink r:id="rId1" w:history="1">
        <w:r w:rsidRPr="00DF2F6F">
          <w:rPr>
            <w:rStyle w:val="Hyperlink"/>
          </w:rPr>
          <w:t>http://www.atsc.org/aboutatsc.html</w:t>
        </w:r>
      </w:hyperlink>
      <w:r w:rsidRPr="003545F4">
        <w:t>.</w:t>
      </w:r>
    </w:p>
  </w:footnote>
  <w:footnote w:id="3">
    <w:p w:rsidR="00010F84" w:rsidRPr="00321E3C" w:rsidRDefault="00010F84" w:rsidP="00010F84">
      <w:pPr>
        <w:pStyle w:val="FootnoteText"/>
        <w:rPr>
          <w:i/>
        </w:rPr>
      </w:pPr>
      <w:r w:rsidRPr="00D71C6F">
        <w:footnoteRef/>
      </w:r>
      <w:r>
        <w:t xml:space="preserve"> </w:t>
      </w:r>
      <w:r w:rsidRPr="00D71C6F">
        <w:t xml:space="preserve">The CALM Act was enacted on December 15, 2010 (S. 2847, 111th Cong.).  </w:t>
      </w:r>
      <w:r w:rsidRPr="00543F05">
        <w:rPr>
          <w:i/>
        </w:rPr>
        <w:t>See</w:t>
      </w:r>
      <w:r>
        <w:rPr>
          <w:i/>
        </w:rPr>
        <w:t xml:space="preserve"> </w:t>
      </w:r>
      <w:hyperlink r:id="rId2" w:history="1">
        <w:r w:rsidRPr="00DF2F6F">
          <w:rPr>
            <w:rStyle w:val="Hyperlink"/>
            <w:i/>
          </w:rPr>
          <w:t>http://frwebgate.access.gpo.gov/cgi-bin/getdoc.cgi?dbname=111_cong_public_laws&amp;docid=f:publ311.111.pdf</w:t>
        </w:r>
      </w:hyperlink>
      <w:r w:rsidRPr="00D71C6F">
        <w:t>.</w:t>
      </w:r>
    </w:p>
  </w:footnote>
  <w:footnote w:id="4">
    <w:p w:rsidR="00010F84" w:rsidRPr="00343E78" w:rsidRDefault="00010F84" w:rsidP="00010F84">
      <w:pPr>
        <w:pStyle w:val="FootnoteText"/>
        <w:rPr>
          <w:b/>
        </w:rPr>
      </w:pPr>
      <w:r>
        <w:rPr>
          <w:rStyle w:val="FootnoteReference"/>
        </w:rPr>
        <w:footnoteRef/>
      </w:r>
      <w:r>
        <w:t xml:space="preserve"> In such case, </w:t>
      </w:r>
      <w:r w:rsidRPr="00896AA0">
        <w:t>a spot check could consist of a series of loudness measurements over the course of a 7-day period, totaling no fewer than 24 hours, that measure at least one program, in its entirety, provided by each non-certified programmer that supplies programming for that channel or stream of programming.</w:t>
      </w:r>
      <w:r>
        <w:t xml:space="preserve">  </w:t>
      </w:r>
      <w:r w:rsidRPr="00896AA0">
        <w:rPr>
          <w:i/>
        </w:rPr>
        <w:t>See</w:t>
      </w:r>
      <w:r>
        <w:t xml:space="preserve"> </w:t>
      </w:r>
      <w:r w:rsidRPr="00896AA0">
        <w:rPr>
          <w:i/>
        </w:rPr>
        <w:t>CALM Act Report and Order</w:t>
      </w:r>
      <w:r w:rsidRPr="00896AA0">
        <w:t>, 26 FCC Rcd at 172</w:t>
      </w:r>
      <w:r>
        <w:t>46</w:t>
      </w:r>
      <w:r w:rsidRPr="00896AA0">
        <w:t>, ¶</w:t>
      </w:r>
      <w:r>
        <w:t>38</w:t>
      </w:r>
      <w:r w:rsidRPr="00896AA0">
        <w:t>.</w:t>
      </w:r>
      <w:r>
        <w:t xml:space="preserve"> </w:t>
      </w:r>
    </w:p>
  </w:footnote>
  <w:footnote w:id="5">
    <w:p w:rsidR="00010F84" w:rsidRDefault="00010F84" w:rsidP="00010F84">
      <w:pPr>
        <w:pStyle w:val="FootnoteText"/>
      </w:pPr>
      <w:r>
        <w:rPr>
          <w:rStyle w:val="FootnoteReference"/>
        </w:rPr>
        <w:footnoteRef/>
      </w:r>
      <w:r>
        <w:t xml:space="preserve"> </w:t>
      </w:r>
      <w:r w:rsidRPr="000564D3">
        <w:t>In accordance with the new rules, several small TV stations and MVPDs have certified to the Commission that they qualify for a one-year waiver of the effective date of the rules.  These “streamlined financial hardship waiver requests” are publicly available for viewing in the CALM Act proceeding’s docket, MB Docket No. 11-93, through the Commission’s Electronic Comment Filing System (“ECFS”) using the Internet by accessing the ECFS:</w:t>
      </w:r>
      <w:r>
        <w:t xml:space="preserve"> </w:t>
      </w:r>
      <w:hyperlink r:id="rId3" w:history="1">
        <w:r w:rsidRPr="00C5645B">
          <w:rPr>
            <w:rStyle w:val="Hyperlink"/>
          </w:rPr>
          <w:t>http://www.fcc.gov/cgb/ecfs/</w:t>
        </w:r>
      </w:hyperlink>
      <w:r>
        <w:t>.</w:t>
      </w:r>
    </w:p>
  </w:footnote>
  <w:footnote w:id="6">
    <w:p w:rsidR="00010F84" w:rsidRDefault="00010F84" w:rsidP="00010F84">
      <w:pPr>
        <w:pStyle w:val="FootnoteText"/>
      </w:pPr>
      <w:r>
        <w:rPr>
          <w:rStyle w:val="FootnoteReference"/>
        </w:rPr>
        <w:footnoteRef/>
      </w:r>
      <w:r>
        <w:t xml:space="preserve"> </w:t>
      </w:r>
      <w:r w:rsidRPr="00896AA0">
        <w:rPr>
          <w:i/>
        </w:rPr>
        <w:t>See</w:t>
      </w:r>
      <w:r>
        <w:t xml:space="preserve"> </w:t>
      </w:r>
      <w:r w:rsidRPr="00DF4867">
        <w:t>47 C.F.R. §§ 73.682(e)</w:t>
      </w:r>
      <w:r>
        <w:t>(2)</w:t>
      </w:r>
      <w:r w:rsidRPr="00DF4867">
        <w:t xml:space="preserve"> and 76.607</w:t>
      </w:r>
      <w:r>
        <w:t xml:space="preserve">(a)(2) </w:t>
      </w:r>
      <w:r w:rsidRPr="00DF4867">
        <w:t>(Locally Inserted Commercials)</w:t>
      </w:r>
      <w:r>
        <w:t xml:space="preserve"> and </w:t>
      </w:r>
      <w:r w:rsidRPr="00DF4867">
        <w:t>47 C.F.R. §§ 73.682(e)</w:t>
      </w:r>
      <w:r>
        <w:t>(3)</w:t>
      </w:r>
      <w:r w:rsidRPr="00DF4867">
        <w:t xml:space="preserve"> and 76.607</w:t>
      </w:r>
      <w:r>
        <w:t xml:space="preserve">(a)(3) </w:t>
      </w:r>
      <w:r w:rsidRPr="00DF4867">
        <w:t>(Embedded Commercials).</w:t>
      </w:r>
    </w:p>
  </w:footnote>
  <w:footnote w:id="7">
    <w:p w:rsidR="00010F84" w:rsidRDefault="00010F84" w:rsidP="00010F84">
      <w:pPr>
        <w:pStyle w:val="FootnoteText"/>
      </w:pPr>
      <w:r>
        <w:rPr>
          <w:rStyle w:val="FootnoteReference"/>
        </w:rPr>
        <w:footnoteRef/>
      </w:r>
      <w:r>
        <w:t xml:space="preserve"> For non-AC-3 audio streams, it is vital to ensure that the measured loudness of the content matches the delivery channel’s loudness target value within +/-2 dB.  </w:t>
      </w:r>
      <w:r w:rsidRPr="001244A5">
        <w:t>For technical guidance, refer to the RP, in general, and, in particular, to Annex J (for AC-3 audio systems) or Annex K (for non-AC-3 systems).</w:t>
      </w:r>
    </w:p>
  </w:footnote>
  <w:footnote w:id="8">
    <w:p w:rsidR="00010F84" w:rsidRDefault="00010F84" w:rsidP="00010F84">
      <w:pPr>
        <w:pStyle w:val="FootnoteText"/>
      </w:pPr>
      <w:r>
        <w:rPr>
          <w:rStyle w:val="FootnoteReference"/>
        </w:rPr>
        <w:footnoteRef/>
      </w:r>
      <w:r>
        <w:t xml:space="preserve"> The station/MVPD must have</w:t>
      </w:r>
      <w:r w:rsidRPr="00C87D44">
        <w:t xml:space="preserve"> no reason to believe </w:t>
      </w:r>
      <w:r>
        <w:t>that the certification is false.</w:t>
      </w:r>
    </w:p>
  </w:footnote>
  <w:footnote w:id="9">
    <w:p w:rsidR="00010F84" w:rsidRDefault="00010F84" w:rsidP="00010F84">
      <w:pPr>
        <w:pStyle w:val="FootnoteText"/>
      </w:pPr>
      <w:r>
        <w:rPr>
          <w:rStyle w:val="FootnoteReference"/>
        </w:rPr>
        <w:footnoteRef/>
      </w:r>
      <w:r>
        <w:t xml:space="preserve"> The station/MVPD must have</w:t>
      </w:r>
      <w:r w:rsidRPr="00C87D44">
        <w:t xml:space="preserve"> no reason to believe </w:t>
      </w:r>
      <w:r>
        <w:t>that the certification is false.</w:t>
      </w:r>
    </w:p>
  </w:footnote>
  <w:footnote w:id="10">
    <w:p w:rsidR="00010F84" w:rsidRDefault="00010F84" w:rsidP="00010F84">
      <w:pPr>
        <w:pStyle w:val="FootnoteText"/>
      </w:pPr>
      <w:r>
        <w:rPr>
          <w:rStyle w:val="FootnoteReference"/>
        </w:rPr>
        <w:footnoteRef/>
      </w:r>
      <w:r>
        <w:t xml:space="preserve"> In order to facilitate demonstrating compliance with the requirements of the safe harbor, stations/MVPDs should keep records of any spot checks performed.</w:t>
      </w:r>
    </w:p>
  </w:footnote>
  <w:footnote w:id="11">
    <w:p w:rsidR="00010F84" w:rsidRDefault="00010F84" w:rsidP="00010F84">
      <w:pPr>
        <w:pStyle w:val="FootnoteText"/>
      </w:pPr>
      <w:r>
        <w:rPr>
          <w:rStyle w:val="FootnoteReference"/>
        </w:rPr>
        <w:footnoteRef/>
      </w:r>
      <w:r>
        <w:t xml:space="preserve"> </w:t>
      </w:r>
      <w:r w:rsidRPr="00A95944">
        <w:rPr>
          <w:i/>
        </w:rPr>
        <w:t>See</w:t>
      </w:r>
      <w:r w:rsidRPr="00A95944">
        <w:t xml:space="preserve"> </w:t>
      </w:r>
      <w:hyperlink r:id="rId4" w:history="1">
        <w:r w:rsidRPr="00251755">
          <w:rPr>
            <w:rStyle w:val="Hyperlink"/>
          </w:rPr>
          <w:t>http://www.ncta.com/Stats/TopMSOs.aspx</w:t>
        </w:r>
      </w:hyperlink>
      <w:r>
        <w:t xml:space="preserve"> </w:t>
      </w:r>
      <w:r w:rsidRPr="00A95944">
        <w:t xml:space="preserve">(visited November 16, 2011) showing the numbers of subscribers for the top 25 MVPDs based on 2010 data.  </w:t>
      </w:r>
      <w:r>
        <w:t>The Commission</w:t>
      </w:r>
      <w:r w:rsidRPr="00A95944">
        <w:t xml:space="preserve"> will rely on the version of this list that is based on data available as of December, 31 2011 for purposes of the rules implementing the CALM Act.</w:t>
      </w:r>
    </w:p>
  </w:footnote>
  <w:footnote w:id="12">
    <w:p w:rsidR="00010F84" w:rsidRDefault="00010F84" w:rsidP="00010F84">
      <w:pPr>
        <w:pStyle w:val="FootnoteText"/>
      </w:pPr>
      <w:r w:rsidRPr="001B1380">
        <w:rPr>
          <w:rStyle w:val="FootnoteReference"/>
        </w:rPr>
        <w:footnoteRef/>
      </w:r>
      <w:r w:rsidRPr="001B1380">
        <w:t xml:space="preserve"> Note that, using real-time processing techniques can be </w:t>
      </w:r>
      <w:r>
        <w:t xml:space="preserve">a </w:t>
      </w:r>
      <w:r w:rsidRPr="001B1380">
        <w:t xml:space="preserve">less desirable </w:t>
      </w:r>
      <w:r>
        <w:t xml:space="preserve">solution </w:t>
      </w:r>
      <w:r w:rsidRPr="001B1380">
        <w:t>for industry and consumers in some cases because it reduces the dynamic range of the audio content.  See also RP § 8.1.1 (c), § 8.1.2 (c), and § 9.1.</w:t>
      </w:r>
    </w:p>
  </w:footnote>
  <w:footnote w:id="13">
    <w:p w:rsidR="00010F84" w:rsidRDefault="00010F84" w:rsidP="00010F84">
      <w:pPr>
        <w:pStyle w:val="FootnoteText"/>
      </w:pPr>
      <w:r>
        <w:rPr>
          <w:rStyle w:val="FootnoteReference"/>
        </w:rPr>
        <w:footnoteRef/>
      </w:r>
      <w:r>
        <w:t xml:space="preserve"> N</w:t>
      </w:r>
      <w:r w:rsidRPr="00412D6B">
        <w:t xml:space="preserve">ote that </w:t>
      </w:r>
      <w:r>
        <w:t>the</w:t>
      </w:r>
      <w:r w:rsidRPr="00412D6B">
        <w:t xml:space="preserve"> </w:t>
      </w:r>
      <w:r>
        <w:t xml:space="preserve">terms “Small Broadcast Station” and </w:t>
      </w:r>
      <w:r w:rsidRPr="00412D6B">
        <w:t>“</w:t>
      </w:r>
      <w:r>
        <w:t>S</w:t>
      </w:r>
      <w:r w:rsidRPr="00412D6B">
        <w:t xml:space="preserve">mall MVPD </w:t>
      </w:r>
      <w:r>
        <w:t>S</w:t>
      </w:r>
      <w:r w:rsidRPr="00412D6B">
        <w:t xml:space="preserve">ystem” for purposes of the streamlined waiver </w:t>
      </w:r>
      <w:r>
        <w:t>do not mean the same thing as ““</w:t>
      </w:r>
      <w:r w:rsidRPr="00412D6B">
        <w:t>small</w:t>
      </w:r>
      <w:r>
        <w:t xml:space="preserve"> TV stations” and “small</w:t>
      </w:r>
      <w:r w:rsidRPr="00412D6B">
        <w:t xml:space="preserve"> MVPDs</w:t>
      </w:r>
      <w:r>
        <w:t>”</w:t>
      </w:r>
      <w:r w:rsidRPr="00412D6B">
        <w:t xml:space="preserve"> for purposes of being in the safe harbor</w:t>
      </w:r>
      <w:r>
        <w:t xml:space="preserve"> (described above)</w:t>
      </w:r>
      <w:r w:rsidRPr="00412D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9" w:rsidRDefault="008A7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9" w:rsidRDefault="008A7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82" w:rsidRDefault="00EF23BE">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0F6DF854" wp14:editId="08DC5F4C">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D5682">
      <w:rPr>
        <w:rFonts w:ascii="CG Times (W1)" w:hAnsi="CG Times (W1)"/>
        <w:sz w:val="28"/>
      </w:rPr>
      <w:t>Federal Communications Commission</w:t>
    </w:r>
  </w:p>
  <w:p w:rsidR="004D5682" w:rsidRDefault="004D5682" w:rsidP="006F0A85">
    <w:pPr>
      <w:jc w:val="center"/>
      <w:rPr>
        <w:rFonts w:ascii="CG Times (W1)" w:hAnsi="CG Times (W1)"/>
        <w:sz w:val="28"/>
      </w:rPr>
    </w:pPr>
    <w:r>
      <w:rPr>
        <w:rFonts w:ascii="CG Times (W1)" w:hAnsi="CG Times (W1)"/>
        <w:sz w:val="28"/>
      </w:rPr>
      <w:t>Washington, D.C. 20554</w:t>
    </w:r>
  </w:p>
  <w:p w:rsidR="006F0A85" w:rsidRDefault="006F0A85" w:rsidP="006F0A85">
    <w:pPr>
      <w:jc w:val="center"/>
      <w:rPr>
        <w:rFonts w:ascii="CG Times (W1)" w:hAnsi="CG Times (W1)"/>
        <w:sz w:val="28"/>
      </w:rPr>
    </w:pPr>
  </w:p>
  <w:p w:rsidR="002131D9" w:rsidRPr="00370C57" w:rsidRDefault="002131D9" w:rsidP="002131D9">
    <w:pPr>
      <w:jc w:val="center"/>
      <w:rPr>
        <w:szCs w:val="24"/>
      </w:rPr>
    </w:pPr>
    <w:r w:rsidRPr="00370C57">
      <w:rPr>
        <w:rFonts w:ascii="CG Times (W1)" w:hAnsi="CG Times (W1)"/>
        <w:color w:val="FFFFFF" w:themeColor="background1"/>
        <w:szCs w:val="24"/>
      </w:rPr>
      <w:t xml:space="preserve">‘ </w:t>
    </w:r>
    <w:r w:rsidR="00425CDD">
      <w:rPr>
        <w:rFonts w:ascii="CG Times (W1)" w:hAnsi="CG Times (W1)"/>
        <w:szCs w:val="24"/>
      </w:rPr>
      <w:t xml:space="preserve"> May 7</w:t>
    </w:r>
    <w:r w:rsidRPr="00370C57">
      <w:rPr>
        <w:rFonts w:ascii="CG Times (W1)" w:hAnsi="CG Times (W1)"/>
        <w:szCs w:val="24"/>
      </w:rPr>
      <w:t>, 2013</w:t>
    </w:r>
  </w:p>
  <w:p w:rsidR="006F0A85" w:rsidRPr="006F0A85" w:rsidRDefault="006F0A85" w:rsidP="002131D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655"/>
    <w:multiLevelType w:val="hybridMultilevel"/>
    <w:tmpl w:val="A8986F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0B551E"/>
    <w:multiLevelType w:val="hybridMultilevel"/>
    <w:tmpl w:val="746E251E"/>
    <w:lvl w:ilvl="0" w:tplc="04090007">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5E9872E4">
      <w:start w:val="1"/>
      <w:numFmt w:val="lowerRoman"/>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5E9872E4">
      <w:start w:val="1"/>
      <w:numFmt w:val="lowerRoman"/>
      <w:lvlText w:val="(%7)"/>
      <w:lvlJc w:val="left"/>
      <w:pPr>
        <w:ind w:left="5040" w:hanging="720"/>
      </w:pPr>
      <w:rPr>
        <w:rFonts w:cs="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CA2C5D"/>
    <w:multiLevelType w:val="hybridMultilevel"/>
    <w:tmpl w:val="49BE7C18"/>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3F4423"/>
    <w:multiLevelType w:val="hybridMultilevel"/>
    <w:tmpl w:val="8D0475FE"/>
    <w:lvl w:ilvl="0" w:tplc="F92246F6">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DC040B"/>
    <w:multiLevelType w:val="hybridMultilevel"/>
    <w:tmpl w:val="75162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8C6A00"/>
    <w:multiLevelType w:val="hybridMultilevel"/>
    <w:tmpl w:val="ACB2ACB8"/>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1BC22CC8">
      <w:start w:val="1"/>
      <w:numFmt w:val="decimal"/>
      <w:lvlText w:val="(%7)"/>
      <w:lvlJc w:val="left"/>
      <w:pPr>
        <w:ind w:left="4680" w:hanging="360"/>
      </w:pPr>
      <w:rPr>
        <w:rFonts w:cs="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9B2A19"/>
    <w:multiLevelType w:val="hybridMultilevel"/>
    <w:tmpl w:val="71204A3C"/>
    <w:lvl w:ilvl="0" w:tplc="04090013">
      <w:start w:val="1"/>
      <w:numFmt w:val="upperRoman"/>
      <w:lvlText w:val="%1."/>
      <w:lvlJc w:val="righ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5312EFB"/>
    <w:multiLevelType w:val="hybridMultilevel"/>
    <w:tmpl w:val="C7C6A2F2"/>
    <w:lvl w:ilvl="0" w:tplc="04090007">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5E9872E4">
      <w:start w:val="1"/>
      <w:numFmt w:val="lowerRoman"/>
      <w:lvlText w:val="(%7)"/>
      <w:lvlJc w:val="left"/>
      <w:pPr>
        <w:ind w:left="5040" w:hanging="720"/>
      </w:pPr>
      <w:rPr>
        <w:rFonts w:cs="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7D90AC1"/>
    <w:multiLevelType w:val="hybridMultilevel"/>
    <w:tmpl w:val="CE46FC06"/>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1BC22CC8">
      <w:start w:val="1"/>
      <w:numFmt w:val="decimal"/>
      <w:lvlText w:val="(%7)"/>
      <w:lvlJc w:val="left"/>
      <w:pPr>
        <w:ind w:left="4680" w:hanging="360"/>
      </w:pPr>
      <w:rPr>
        <w:rFonts w:cs="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CF7A5F"/>
    <w:multiLevelType w:val="hybridMultilevel"/>
    <w:tmpl w:val="F454C1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
  </w:num>
  <w:num w:numId="4">
    <w:abstractNumId w:val="7"/>
  </w:num>
  <w:num w:numId="5">
    <w:abstractNumId w:val="2"/>
  </w:num>
  <w:num w:numId="6">
    <w:abstractNumId w:val="14"/>
  </w:num>
  <w:num w:numId="7">
    <w:abstractNumId w:val="12"/>
  </w:num>
  <w:num w:numId="8">
    <w:abstractNumId w:val="5"/>
  </w:num>
  <w:num w:numId="9">
    <w:abstractNumId w:val="10"/>
  </w:num>
  <w:num w:numId="10">
    <w:abstractNumId w:val="8"/>
  </w:num>
  <w:num w:numId="11">
    <w:abstractNumId w:val="11"/>
  </w:num>
  <w:num w:numId="12">
    <w:abstractNumId w:val="4"/>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E"/>
    <w:rsid w:val="0000104A"/>
    <w:rsid w:val="00010F84"/>
    <w:rsid w:val="00034811"/>
    <w:rsid w:val="000451CC"/>
    <w:rsid w:val="00071699"/>
    <w:rsid w:val="00077E4B"/>
    <w:rsid w:val="000F7DC9"/>
    <w:rsid w:val="001E4FCF"/>
    <w:rsid w:val="002131D9"/>
    <w:rsid w:val="00226626"/>
    <w:rsid w:val="002370A4"/>
    <w:rsid w:val="002506FB"/>
    <w:rsid w:val="002A3427"/>
    <w:rsid w:val="002B3D88"/>
    <w:rsid w:val="00321E3C"/>
    <w:rsid w:val="00352DF6"/>
    <w:rsid w:val="003700DF"/>
    <w:rsid w:val="00370C57"/>
    <w:rsid w:val="003F6B72"/>
    <w:rsid w:val="00425CDD"/>
    <w:rsid w:val="00433CD1"/>
    <w:rsid w:val="004D5682"/>
    <w:rsid w:val="004E5F31"/>
    <w:rsid w:val="0050520D"/>
    <w:rsid w:val="0057289F"/>
    <w:rsid w:val="005805D2"/>
    <w:rsid w:val="005F379F"/>
    <w:rsid w:val="005F4D4A"/>
    <w:rsid w:val="006F0A85"/>
    <w:rsid w:val="0073221E"/>
    <w:rsid w:val="00832A5A"/>
    <w:rsid w:val="008A7BF9"/>
    <w:rsid w:val="008E0886"/>
    <w:rsid w:val="008F136A"/>
    <w:rsid w:val="00990118"/>
    <w:rsid w:val="00A124DA"/>
    <w:rsid w:val="00A32324"/>
    <w:rsid w:val="00A84B6E"/>
    <w:rsid w:val="00A869D1"/>
    <w:rsid w:val="00AA12D6"/>
    <w:rsid w:val="00AB499F"/>
    <w:rsid w:val="00AE5860"/>
    <w:rsid w:val="00B440FD"/>
    <w:rsid w:val="00BE38BF"/>
    <w:rsid w:val="00C73C31"/>
    <w:rsid w:val="00D31989"/>
    <w:rsid w:val="00D45B59"/>
    <w:rsid w:val="00D50F31"/>
    <w:rsid w:val="00D80CDD"/>
    <w:rsid w:val="00DA10AE"/>
    <w:rsid w:val="00DD201B"/>
    <w:rsid w:val="00E55286"/>
    <w:rsid w:val="00E66742"/>
    <w:rsid w:val="00EA4A4A"/>
    <w:rsid w:val="00EC4BBE"/>
    <w:rsid w:val="00EF23BE"/>
    <w:rsid w:val="00F7271A"/>
    <w:rsid w:val="00F9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
    <w:basedOn w:val="Normal"/>
    <w:link w:val="FootnoteTextChar2"/>
    <w:uiPriority w:val="99"/>
    <w:rsid w:val="00010F84"/>
    <w:pPr>
      <w:spacing w:after="120"/>
    </w:pPr>
    <w:rPr>
      <w:sz w:val="20"/>
    </w:rPr>
  </w:style>
  <w:style w:type="character" w:customStyle="1" w:styleId="FootnoteTextChar">
    <w:name w:val="Footnote Text Char"/>
    <w:basedOn w:val="DefaultParagraphFont"/>
    <w:rsid w:val="00010F84"/>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uiPriority w:val="99"/>
    <w:rsid w:val="00010F84"/>
  </w:style>
  <w:style w:type="character" w:styleId="FootnoteReference">
    <w:name w:val="footnote reference"/>
    <w:aliases w:val="Style 12,(NECG) Footnote Reference,Appel note de bas de p,Style 124"/>
    <w:basedOn w:val="DefaultParagraphFont"/>
    <w:uiPriority w:val="99"/>
    <w:rsid w:val="00010F84"/>
    <w:rPr>
      <w:rFonts w:ascii="Times New Roman" w:hAnsi="Times New Roman" w:cs="Times New Roman"/>
      <w:color w:val="auto"/>
      <w:sz w:val="22"/>
      <w:vertAlign w:val="superscript"/>
    </w:rPr>
  </w:style>
  <w:style w:type="paragraph" w:styleId="ListParagraph">
    <w:name w:val="List Paragraph"/>
    <w:basedOn w:val="Normal"/>
    <w:uiPriority w:val="99"/>
    <w:qFormat/>
    <w:rsid w:val="00010F84"/>
    <w:pPr>
      <w:ind w:left="720"/>
      <w:contextualSpacing/>
    </w:pPr>
    <w:rPr>
      <w:szCs w:val="24"/>
    </w:rPr>
  </w:style>
  <w:style w:type="paragraph" w:styleId="ListBullet2">
    <w:name w:val="List Bullet 2"/>
    <w:basedOn w:val="Normal"/>
    <w:uiPriority w:val="99"/>
    <w:rsid w:val="00010F84"/>
    <w:pPr>
      <w:numPr>
        <w:numId w:val="14"/>
      </w:numPr>
    </w:pPr>
    <w:rPr>
      <w:szCs w:val="24"/>
    </w:rPr>
  </w:style>
  <w:style w:type="character" w:customStyle="1" w:styleId="FooterChar">
    <w:name w:val="Footer Char"/>
    <w:basedOn w:val="DefaultParagraphFont"/>
    <w:link w:val="Footer"/>
    <w:uiPriority w:val="99"/>
    <w:rsid w:val="000010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2"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ParaNum">
    <w:name w:val="ParaNum"/>
    <w:basedOn w:val="Normal"/>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
    <w:basedOn w:val="Normal"/>
    <w:link w:val="FootnoteTextChar2"/>
    <w:uiPriority w:val="99"/>
    <w:rsid w:val="00010F84"/>
    <w:pPr>
      <w:spacing w:after="120"/>
    </w:pPr>
    <w:rPr>
      <w:sz w:val="20"/>
    </w:rPr>
  </w:style>
  <w:style w:type="character" w:customStyle="1" w:styleId="FootnoteTextChar">
    <w:name w:val="Footnote Text Char"/>
    <w:basedOn w:val="DefaultParagraphFont"/>
    <w:rsid w:val="00010F84"/>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uiPriority w:val="99"/>
    <w:rsid w:val="00010F84"/>
  </w:style>
  <w:style w:type="character" w:styleId="FootnoteReference">
    <w:name w:val="footnote reference"/>
    <w:aliases w:val="Style 12,(NECG) Footnote Reference,Appel note de bas de p,Style 124"/>
    <w:basedOn w:val="DefaultParagraphFont"/>
    <w:uiPriority w:val="99"/>
    <w:rsid w:val="00010F84"/>
    <w:rPr>
      <w:rFonts w:ascii="Times New Roman" w:hAnsi="Times New Roman" w:cs="Times New Roman"/>
      <w:color w:val="auto"/>
      <w:sz w:val="22"/>
      <w:vertAlign w:val="superscript"/>
    </w:rPr>
  </w:style>
  <w:style w:type="paragraph" w:styleId="ListParagraph">
    <w:name w:val="List Paragraph"/>
    <w:basedOn w:val="Normal"/>
    <w:uiPriority w:val="99"/>
    <w:qFormat/>
    <w:rsid w:val="00010F84"/>
    <w:pPr>
      <w:ind w:left="720"/>
      <w:contextualSpacing/>
    </w:pPr>
    <w:rPr>
      <w:szCs w:val="24"/>
    </w:rPr>
  </w:style>
  <w:style w:type="paragraph" w:styleId="ListBullet2">
    <w:name w:val="List Bullet 2"/>
    <w:basedOn w:val="Normal"/>
    <w:uiPriority w:val="99"/>
    <w:rsid w:val="00010F84"/>
    <w:pPr>
      <w:numPr>
        <w:numId w:val="14"/>
      </w:numPr>
    </w:pPr>
    <w:rPr>
      <w:szCs w:val="24"/>
    </w:rPr>
  </w:style>
  <w:style w:type="character" w:customStyle="1" w:styleId="FooterChar">
    <w:name w:val="Footer Char"/>
    <w:basedOn w:val="DefaultParagraphFont"/>
    <w:link w:val="Footer"/>
    <w:uiPriority w:val="99"/>
    <w:rsid w:val="000010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gb/ecf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sc.org/cms/standards/a_85-2011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nsition.fcc.gov/Daily_Releases/Daily_Business/2012/db0217/FCC-11-182A1.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cgb/ecfs/" TargetMode="External"/><Relationship Id="rId2" Type="http://schemas.openxmlformats.org/officeDocument/2006/relationships/hyperlink" Target="http://frwebgate.access.gpo.gov/cgi-bin/getdoc.cgi?dbname=111_cong_public_laws&amp;docid=f:publ311.111.pdf" TargetMode="External"/><Relationship Id="rId1" Type="http://schemas.openxmlformats.org/officeDocument/2006/relationships/hyperlink" Target="http://www.atsc.org/aboutatsc.html" TargetMode="External"/><Relationship Id="rId4" Type="http://schemas.openxmlformats.org/officeDocument/2006/relationships/hyperlink" Target="http://www.ncta.com/Stats/TopMSO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3534</Words>
  <Characters>19203</Characters>
  <Application>Microsoft Office Word</Application>
  <DocSecurity>0</DocSecurity>
  <Lines>349</Lines>
  <Paragraphs>105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22753</CharactersWithSpaces>
  <SharedDoc>false</SharedDoc>
  <HyperlinkBase> </HyperlinkBase>
  <HLinks>
    <vt:vector size="96" baseType="variant">
      <vt:variant>
        <vt:i4>7209078</vt:i4>
      </vt:variant>
      <vt:variant>
        <vt:i4>45</vt:i4>
      </vt:variant>
      <vt:variant>
        <vt:i4>0</vt:i4>
      </vt:variant>
      <vt:variant>
        <vt:i4>5</vt:i4>
      </vt:variant>
      <vt:variant>
        <vt:lpwstr>http://www.fcc.gov/oet/ea/</vt:lpwstr>
      </vt:variant>
      <vt:variant>
        <vt:lpwstr/>
      </vt:variant>
      <vt:variant>
        <vt:i4>4259959</vt:i4>
      </vt:variant>
      <vt:variant>
        <vt:i4>42</vt:i4>
      </vt:variant>
      <vt:variant>
        <vt:i4>0</vt:i4>
      </vt:variant>
      <vt:variant>
        <vt:i4>5</vt:i4>
      </vt:variant>
      <vt:variant>
        <vt:lpwstr>http://hraunfoss.fcc.gov/edocs_public/attachmatch/FCC-12-36A1.txt</vt:lpwstr>
      </vt:variant>
      <vt:variant>
        <vt:lpwstr/>
      </vt:variant>
      <vt:variant>
        <vt:i4>6094963</vt:i4>
      </vt:variant>
      <vt:variant>
        <vt:i4>39</vt:i4>
      </vt:variant>
      <vt:variant>
        <vt:i4>0</vt:i4>
      </vt:variant>
      <vt:variant>
        <vt:i4>5</vt:i4>
      </vt:variant>
      <vt:variant>
        <vt:lpwstr>http://hraunfoss.fcc.gov/edocs_public/attachmatch/FCC-12-36A1.pdf</vt:lpwstr>
      </vt:variant>
      <vt:variant>
        <vt:lpwstr/>
      </vt:variant>
      <vt:variant>
        <vt:i4>5636199</vt:i4>
      </vt:variant>
      <vt:variant>
        <vt:i4>36</vt:i4>
      </vt:variant>
      <vt:variant>
        <vt:i4>0</vt:i4>
      </vt:variant>
      <vt:variant>
        <vt:i4>5</vt:i4>
      </vt:variant>
      <vt:variant>
        <vt:lpwstr>http://hraunfoss.fcc.gov/edocs_public/attachmatch/FCC-12-36A1.doc</vt:lpwstr>
      </vt:variant>
      <vt:variant>
        <vt:lpwstr/>
      </vt:variant>
      <vt:variant>
        <vt:i4>7536644</vt:i4>
      </vt:variant>
      <vt:variant>
        <vt:i4>33</vt:i4>
      </vt:variant>
      <vt:variant>
        <vt:i4>0</vt:i4>
      </vt:variant>
      <vt:variant>
        <vt:i4>5</vt:i4>
      </vt:variant>
      <vt:variant>
        <vt:lpwstr>http://hraunfoss.fcc.gov/edocs_public/attachmatch/FCC-10-174A1.txt</vt:lpwstr>
      </vt:variant>
      <vt:variant>
        <vt:lpwstr/>
      </vt:variant>
      <vt:variant>
        <vt:i4>6619160</vt:i4>
      </vt:variant>
      <vt:variant>
        <vt:i4>30</vt:i4>
      </vt:variant>
      <vt:variant>
        <vt:i4>0</vt:i4>
      </vt:variant>
      <vt:variant>
        <vt:i4>5</vt:i4>
      </vt:variant>
      <vt:variant>
        <vt:lpwstr>http://hraunfoss.fcc.gov/edocs_public/attachmatch/FCC-10-174A1.pdf</vt:lpwstr>
      </vt:variant>
      <vt:variant>
        <vt:lpwstr/>
      </vt:variant>
      <vt:variant>
        <vt:i4>7602195</vt:i4>
      </vt:variant>
      <vt:variant>
        <vt:i4>27</vt:i4>
      </vt:variant>
      <vt:variant>
        <vt:i4>0</vt:i4>
      </vt:variant>
      <vt:variant>
        <vt:i4>5</vt:i4>
      </vt:variant>
      <vt:variant>
        <vt:lpwstr>http://hraunfoss.fcc.gov/edocs_public/attachmatch/FCC-10-174A1.doc</vt:lpwstr>
      </vt:variant>
      <vt:variant>
        <vt:lpwstr/>
      </vt:variant>
      <vt:variant>
        <vt:i4>8126468</vt:i4>
      </vt:variant>
      <vt:variant>
        <vt:i4>24</vt:i4>
      </vt:variant>
      <vt:variant>
        <vt:i4>0</vt:i4>
      </vt:variant>
      <vt:variant>
        <vt:i4>5</vt:i4>
      </vt:variant>
      <vt:variant>
        <vt:lpwstr>http://hraunfoss.fcc.gov/edocs_public/attachmatch/FCC-08-260A1.txt</vt:lpwstr>
      </vt:variant>
      <vt:variant>
        <vt:lpwstr/>
      </vt:variant>
      <vt:variant>
        <vt:i4>6946840</vt:i4>
      </vt:variant>
      <vt:variant>
        <vt:i4>21</vt:i4>
      </vt:variant>
      <vt:variant>
        <vt:i4>0</vt:i4>
      </vt:variant>
      <vt:variant>
        <vt:i4>5</vt:i4>
      </vt:variant>
      <vt:variant>
        <vt:lpwstr>http://hraunfoss.fcc.gov/edocs_public/attachmatch/FCC-08-260A1.pdf</vt:lpwstr>
      </vt:variant>
      <vt:variant>
        <vt:lpwstr/>
      </vt:variant>
      <vt:variant>
        <vt:i4>8060947</vt:i4>
      </vt:variant>
      <vt:variant>
        <vt:i4>18</vt:i4>
      </vt:variant>
      <vt:variant>
        <vt:i4>0</vt:i4>
      </vt:variant>
      <vt:variant>
        <vt:i4>5</vt:i4>
      </vt:variant>
      <vt:variant>
        <vt:lpwstr>http://hraunfoss.fcc.gov/edocs_public/attachmatch/FCC-08-260A1.doc</vt:lpwstr>
      </vt:variant>
      <vt:variant>
        <vt:lpwstr/>
      </vt:variant>
      <vt:variant>
        <vt:i4>2359352</vt:i4>
      </vt:variant>
      <vt:variant>
        <vt:i4>15</vt:i4>
      </vt:variant>
      <vt:variant>
        <vt:i4>0</vt:i4>
      </vt:variant>
      <vt:variant>
        <vt:i4>5</vt:i4>
      </vt:variant>
      <vt:variant>
        <vt:lpwstr>http://www.fcc.gov/labhelp</vt:lpwstr>
      </vt:variant>
      <vt:variant>
        <vt:lpwstr/>
      </vt:variant>
      <vt:variant>
        <vt:i4>6488188</vt:i4>
      </vt:variant>
      <vt:variant>
        <vt:i4>12</vt:i4>
      </vt:variant>
      <vt:variant>
        <vt:i4>0</vt:i4>
      </vt:variant>
      <vt:variant>
        <vt:i4>5</vt:i4>
      </vt:variant>
      <vt:variant>
        <vt:lpwstr>http://www.fcc.gov/oet/whitespace/</vt:lpwstr>
      </vt:variant>
      <vt:variant>
        <vt:lpwstr/>
      </vt:variant>
      <vt:variant>
        <vt:i4>6094963</vt:i4>
      </vt:variant>
      <vt:variant>
        <vt:i4>9</vt:i4>
      </vt:variant>
      <vt:variant>
        <vt:i4>0</vt:i4>
      </vt:variant>
      <vt:variant>
        <vt:i4>5</vt:i4>
      </vt:variant>
      <vt:variant>
        <vt:lpwstr>http://hraunfoss.fcc.gov/edocs_public/attachmatch/FCC-12-36A1.pdf</vt:lpwstr>
      </vt:variant>
      <vt:variant>
        <vt:lpwstr/>
      </vt:variant>
      <vt:variant>
        <vt:i4>6619160</vt:i4>
      </vt:variant>
      <vt:variant>
        <vt:i4>6</vt:i4>
      </vt:variant>
      <vt:variant>
        <vt:i4>0</vt:i4>
      </vt:variant>
      <vt:variant>
        <vt:i4>5</vt:i4>
      </vt:variant>
      <vt:variant>
        <vt:lpwstr>http://hraunfoss.fcc.gov/edocs_public/attachmatch/FCC-10-174A1.pdf</vt:lpwstr>
      </vt:variant>
      <vt:variant>
        <vt:lpwstr/>
      </vt:variant>
      <vt:variant>
        <vt:i4>6946840</vt:i4>
      </vt:variant>
      <vt:variant>
        <vt:i4>3</vt:i4>
      </vt:variant>
      <vt:variant>
        <vt:i4>0</vt:i4>
      </vt:variant>
      <vt:variant>
        <vt:i4>5</vt:i4>
      </vt:variant>
      <vt:variant>
        <vt:lpwstr>http://hraunfoss.fcc.gov/edocs_public/attachmatch/FCC-08-260A1.pdf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2012-06-11T20:16:00Z</cp:lastPrinted>
  <dcterms:created xsi:type="dcterms:W3CDTF">2013-05-07T17:15:00Z</dcterms:created>
  <dcterms:modified xsi:type="dcterms:W3CDTF">2013-05-07T17:15:00Z</dcterms:modified>
  <cp:category> </cp:category>
  <cp:contentStatus> </cp:contentStatus>
</cp:coreProperties>
</file>