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58" w:rsidRPr="00DF7F38" w:rsidRDefault="00583458" w:rsidP="00E34125">
      <w:pPr>
        <w:rPr>
          <w:sz w:val="22"/>
        </w:rPr>
      </w:pPr>
      <w:bookmarkStart w:id="0" w:name="_GoBack"/>
      <w:bookmarkEnd w:id="0"/>
    </w:p>
    <w:p w:rsidR="00583458" w:rsidRPr="00DF7F38" w:rsidRDefault="00583458" w:rsidP="00E34125">
      <w:pPr>
        <w:rPr>
          <w:sz w:val="22"/>
        </w:rPr>
      </w:pPr>
    </w:p>
    <w:p w:rsidR="00583458" w:rsidRDefault="00583458" w:rsidP="00E34125">
      <w:pPr>
        <w:jc w:val="right"/>
      </w:pPr>
      <w:r w:rsidRPr="00DF7F38">
        <w:rPr>
          <w:b/>
          <w:sz w:val="24"/>
        </w:rPr>
        <w:t>DA</w:t>
      </w:r>
      <w:r w:rsidR="003757ED">
        <w:rPr>
          <w:sz w:val="24"/>
        </w:rPr>
        <w:t xml:space="preserve"> </w:t>
      </w:r>
      <w:r w:rsidR="003757ED" w:rsidRPr="003757ED">
        <w:rPr>
          <w:b/>
          <w:sz w:val="24"/>
        </w:rPr>
        <w:t>13-1082</w:t>
      </w:r>
    </w:p>
    <w:p w:rsidR="00583458" w:rsidRPr="00DF7F38" w:rsidRDefault="00583458" w:rsidP="00E34125">
      <w:pPr>
        <w:rPr>
          <w:sz w:val="22"/>
        </w:rPr>
      </w:pPr>
    </w:p>
    <w:p w:rsidR="00583458" w:rsidRPr="00DF7F38" w:rsidRDefault="00583458" w:rsidP="00E34125">
      <w:pPr>
        <w:jc w:val="center"/>
        <w:rPr>
          <w:b/>
          <w:sz w:val="36"/>
          <w:szCs w:val="36"/>
        </w:rPr>
      </w:pPr>
      <w:r w:rsidRPr="00DF7F38">
        <w:rPr>
          <w:b/>
          <w:sz w:val="36"/>
          <w:szCs w:val="36"/>
        </w:rPr>
        <w:t>Small Entity Compliance Guide</w:t>
      </w:r>
    </w:p>
    <w:p w:rsidR="00583458" w:rsidRPr="00DF7F38" w:rsidRDefault="00583458" w:rsidP="00E34125">
      <w:pPr>
        <w:rPr>
          <w:sz w:val="22"/>
          <w:szCs w:val="24"/>
        </w:rPr>
      </w:pPr>
    </w:p>
    <w:p w:rsidR="00583458" w:rsidRPr="00DF7F38" w:rsidRDefault="00583458" w:rsidP="00E34125">
      <w:pPr>
        <w:jc w:val="center"/>
        <w:rPr>
          <w:b/>
          <w:sz w:val="28"/>
          <w:szCs w:val="28"/>
        </w:rPr>
      </w:pPr>
      <w:r>
        <w:rPr>
          <w:b/>
          <w:sz w:val="28"/>
          <w:szCs w:val="28"/>
        </w:rPr>
        <w:t xml:space="preserve">Revision of the Commission’s Program Access Rules and Sunset of the Exclusive Contract Prohibition </w:t>
      </w:r>
    </w:p>
    <w:p w:rsidR="00583458" w:rsidRPr="00DF7F38" w:rsidRDefault="00583458" w:rsidP="00E34125">
      <w:pPr>
        <w:rPr>
          <w:sz w:val="22"/>
          <w:szCs w:val="24"/>
        </w:rPr>
      </w:pPr>
    </w:p>
    <w:p w:rsidR="00583458" w:rsidRDefault="00583458" w:rsidP="00E34125">
      <w:pPr>
        <w:jc w:val="center"/>
        <w:rPr>
          <w:bCs/>
          <w:sz w:val="24"/>
          <w:szCs w:val="24"/>
        </w:rPr>
      </w:pPr>
      <w:r>
        <w:rPr>
          <w:bCs/>
          <w:sz w:val="24"/>
          <w:szCs w:val="24"/>
        </w:rPr>
        <w:t>Report and Order and Order on Reconsideration</w:t>
      </w:r>
    </w:p>
    <w:p w:rsidR="00583458" w:rsidRPr="00DF7F38" w:rsidRDefault="00583458" w:rsidP="00E34125">
      <w:pPr>
        <w:jc w:val="center"/>
        <w:rPr>
          <w:bCs/>
          <w:sz w:val="24"/>
          <w:szCs w:val="24"/>
        </w:rPr>
      </w:pPr>
      <w:r w:rsidRPr="00DF7F38">
        <w:rPr>
          <w:bCs/>
          <w:sz w:val="24"/>
          <w:szCs w:val="24"/>
        </w:rPr>
        <w:t>FCC 12-123</w:t>
      </w:r>
    </w:p>
    <w:p w:rsidR="00583458" w:rsidRPr="00DF7F38" w:rsidRDefault="00583458" w:rsidP="00E34125">
      <w:pPr>
        <w:jc w:val="center"/>
        <w:rPr>
          <w:sz w:val="24"/>
          <w:szCs w:val="24"/>
        </w:rPr>
      </w:pPr>
      <w:r w:rsidRPr="00DF7F38">
        <w:rPr>
          <w:spacing w:val="-2"/>
          <w:sz w:val="24"/>
          <w:szCs w:val="24"/>
        </w:rPr>
        <w:t>MB Docket Nos. 12-68,</w:t>
      </w:r>
      <w:r>
        <w:rPr>
          <w:spacing w:val="-2"/>
          <w:sz w:val="24"/>
          <w:szCs w:val="24"/>
        </w:rPr>
        <w:t xml:space="preserve"> 07-29,</w:t>
      </w:r>
      <w:r w:rsidRPr="00DF7F38">
        <w:rPr>
          <w:spacing w:val="-2"/>
          <w:sz w:val="24"/>
          <w:szCs w:val="24"/>
        </w:rPr>
        <w:t xml:space="preserve"> 07-18, 05-192</w:t>
      </w:r>
    </w:p>
    <w:p w:rsidR="00583458" w:rsidRPr="00DF7F38" w:rsidRDefault="00583458" w:rsidP="00E34125">
      <w:pPr>
        <w:rPr>
          <w:sz w:val="22"/>
          <w:szCs w:val="22"/>
        </w:rPr>
      </w:pPr>
    </w:p>
    <w:p w:rsidR="00583458" w:rsidRPr="009B4591" w:rsidRDefault="00583458" w:rsidP="00E34125">
      <w:pPr>
        <w:ind w:left="720" w:right="720"/>
        <w:jc w:val="both"/>
        <w:rPr>
          <w:b/>
          <w:sz w:val="22"/>
          <w:szCs w:val="22"/>
        </w:rPr>
      </w:pPr>
      <w:r w:rsidRPr="009B4591">
        <w:rPr>
          <w:b/>
          <w:sz w:val="22"/>
          <w:szCs w:val="22"/>
        </w:rPr>
        <w:t>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As a result, in any civil or administrative action against a small entity for a violation of a rule or rules, the content of the Small Entity Compliance Guide may be considered only as evidence of the reasonableness or appropriateness of proposed fines, penalties or damages.  This Guide may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w:t>
      </w:r>
    </w:p>
    <w:p w:rsidR="00583458" w:rsidRPr="009B4591" w:rsidRDefault="00583458" w:rsidP="00E34125">
      <w:pPr>
        <w:ind w:left="720" w:right="720"/>
        <w:jc w:val="both"/>
        <w:rPr>
          <w:b/>
          <w:sz w:val="22"/>
          <w:szCs w:val="22"/>
        </w:rPr>
      </w:pPr>
    </w:p>
    <w:p w:rsidR="00583458" w:rsidRPr="00367A43" w:rsidRDefault="00583458" w:rsidP="00E34125">
      <w:pPr>
        <w:ind w:left="720" w:right="720"/>
        <w:jc w:val="both"/>
        <w:rPr>
          <w:b/>
          <w:sz w:val="22"/>
          <w:szCs w:val="22"/>
        </w:rPr>
      </w:pPr>
      <w:r w:rsidRPr="009B4591">
        <w:rPr>
          <w:b/>
          <w:sz w:val="22"/>
          <w:szCs w:val="22"/>
        </w:rPr>
        <w:t>In any civil or administrative action against a small entity for a violation of rules, the content of the Small Entity Compliance Guide maybe considered as evidence of the reasonableness or appropriateness of proposed fines, penalties and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583458" w:rsidRDefault="00583458" w:rsidP="00E34125">
      <w:pPr>
        <w:rPr>
          <w:sz w:val="22"/>
          <w:szCs w:val="22"/>
        </w:rPr>
      </w:pPr>
    </w:p>
    <w:p w:rsidR="00583458" w:rsidRDefault="00583458" w:rsidP="00E34125">
      <w:pPr>
        <w:spacing w:after="60"/>
        <w:jc w:val="center"/>
        <w:rPr>
          <w:color w:val="000000"/>
          <w:sz w:val="22"/>
          <w:szCs w:val="22"/>
        </w:rPr>
      </w:pPr>
      <w:r w:rsidRPr="00367A43">
        <w:rPr>
          <w:b/>
          <w:color w:val="000000"/>
          <w:sz w:val="22"/>
          <w:szCs w:val="22"/>
        </w:rPr>
        <w:t>1</w:t>
      </w:r>
      <w:r>
        <w:rPr>
          <w:b/>
          <w:color w:val="000000"/>
          <w:sz w:val="22"/>
          <w:szCs w:val="22"/>
        </w:rPr>
        <w:t>-888-CALL-FCC  (1-888-225-5322)</w:t>
      </w:r>
    </w:p>
    <w:p w:rsidR="00583458" w:rsidRDefault="00583458" w:rsidP="00E34125">
      <w:pPr>
        <w:tabs>
          <w:tab w:val="left" w:pos="5925"/>
        </w:tabs>
        <w:spacing w:after="60"/>
        <w:jc w:val="center"/>
        <w:rPr>
          <w:b/>
          <w:color w:val="000000"/>
          <w:sz w:val="22"/>
          <w:szCs w:val="22"/>
        </w:rPr>
      </w:pPr>
      <w:r w:rsidRPr="00367A43">
        <w:rPr>
          <w:b/>
          <w:color w:val="000000"/>
          <w:sz w:val="22"/>
          <w:szCs w:val="22"/>
        </w:rPr>
        <w:t>TTY: 1-</w:t>
      </w:r>
      <w:r>
        <w:rPr>
          <w:b/>
          <w:color w:val="000000"/>
          <w:sz w:val="22"/>
          <w:szCs w:val="22"/>
        </w:rPr>
        <w:t>888-TELL-FCC  (1-888-835-5322)</w:t>
      </w:r>
    </w:p>
    <w:p w:rsidR="00583458" w:rsidRDefault="00583458" w:rsidP="00E34125">
      <w:pPr>
        <w:spacing w:after="60"/>
        <w:jc w:val="center"/>
        <w:rPr>
          <w:b/>
          <w:color w:val="000000"/>
          <w:sz w:val="22"/>
          <w:szCs w:val="22"/>
        </w:rPr>
      </w:pPr>
      <w:r w:rsidRPr="00367A43">
        <w:rPr>
          <w:b/>
          <w:color w:val="000000"/>
          <w:sz w:val="22"/>
          <w:szCs w:val="22"/>
        </w:rPr>
        <w:t>Fax: 202-418-0232</w:t>
      </w:r>
    </w:p>
    <w:p w:rsidR="00583458" w:rsidRDefault="00583458" w:rsidP="00E34125">
      <w:pPr>
        <w:tabs>
          <w:tab w:val="center" w:pos="4680"/>
          <w:tab w:val="left" w:pos="6540"/>
        </w:tabs>
        <w:rPr>
          <w:rStyle w:val="Hyperlink"/>
          <w:b/>
          <w:sz w:val="22"/>
          <w:szCs w:val="22"/>
        </w:rPr>
      </w:pPr>
      <w:r>
        <w:tab/>
      </w:r>
      <w:hyperlink r:id="rId8" w:history="1">
        <w:r w:rsidRPr="00367A43">
          <w:rPr>
            <w:rStyle w:val="Hyperlink"/>
            <w:b/>
            <w:sz w:val="22"/>
            <w:szCs w:val="22"/>
          </w:rPr>
          <w:t>fccinfo@fcc.gov</w:t>
        </w:r>
      </w:hyperlink>
    </w:p>
    <w:p w:rsidR="00583458" w:rsidRDefault="00583458" w:rsidP="00E34125">
      <w:pPr>
        <w:tabs>
          <w:tab w:val="center" w:pos="4680"/>
          <w:tab w:val="left" w:pos="6540"/>
        </w:tabs>
        <w:rPr>
          <w:color w:val="0000FF"/>
          <w:sz w:val="22"/>
          <w:szCs w:val="22"/>
        </w:rPr>
      </w:pPr>
    </w:p>
    <w:p w:rsidR="00F26E0C" w:rsidRDefault="00F26E0C">
      <w:pPr>
        <w:rPr>
          <w:b/>
          <w:color w:val="000000"/>
          <w:sz w:val="22"/>
          <w:szCs w:val="22"/>
        </w:rPr>
      </w:pPr>
      <w:r>
        <w:rPr>
          <w:b/>
          <w:color w:val="000000"/>
          <w:sz w:val="22"/>
          <w:szCs w:val="22"/>
        </w:rPr>
        <w:br w:type="page"/>
      </w:r>
    </w:p>
    <w:p w:rsidR="00583458" w:rsidRDefault="00583458" w:rsidP="00E34125">
      <w:pPr>
        <w:rPr>
          <w:color w:val="000000"/>
          <w:sz w:val="22"/>
          <w:szCs w:val="22"/>
        </w:rPr>
      </w:pPr>
      <w:r w:rsidRPr="00780844">
        <w:rPr>
          <w:b/>
          <w:color w:val="000000"/>
          <w:sz w:val="22"/>
          <w:szCs w:val="22"/>
        </w:rPr>
        <w:lastRenderedPageBreak/>
        <w:t>OBJECTIVE</w:t>
      </w:r>
      <w:r>
        <w:rPr>
          <w:b/>
          <w:color w:val="000000"/>
          <w:sz w:val="22"/>
          <w:szCs w:val="22"/>
        </w:rPr>
        <w:t>S</w:t>
      </w:r>
      <w:r w:rsidRPr="00780844">
        <w:rPr>
          <w:b/>
          <w:color w:val="000000"/>
          <w:sz w:val="22"/>
          <w:szCs w:val="22"/>
        </w:rPr>
        <w:t xml:space="preserve"> OF THE PROCEEDING</w:t>
      </w:r>
    </w:p>
    <w:p w:rsidR="00583458" w:rsidRDefault="00583458" w:rsidP="00E34125">
      <w:pPr>
        <w:rPr>
          <w:sz w:val="22"/>
          <w:szCs w:val="22"/>
        </w:rPr>
      </w:pPr>
    </w:p>
    <w:p w:rsidR="00583458" w:rsidRDefault="00583458" w:rsidP="00E34125">
      <w:pPr>
        <w:rPr>
          <w:sz w:val="22"/>
          <w:szCs w:val="22"/>
        </w:rPr>
      </w:pPr>
      <w:r>
        <w:rPr>
          <w:sz w:val="22"/>
          <w:szCs w:val="22"/>
        </w:rPr>
        <w:t>Since 1992, t</w:t>
      </w:r>
      <w:r w:rsidRPr="00565F2A">
        <w:rPr>
          <w:sz w:val="22"/>
          <w:szCs w:val="22"/>
        </w:rPr>
        <w:t xml:space="preserve">he exclusive contract prohibition of the program access rules </w:t>
      </w:r>
      <w:r>
        <w:rPr>
          <w:sz w:val="22"/>
          <w:szCs w:val="22"/>
        </w:rPr>
        <w:t xml:space="preserve">has </w:t>
      </w:r>
      <w:r w:rsidRPr="00565F2A">
        <w:rPr>
          <w:sz w:val="22"/>
          <w:szCs w:val="22"/>
        </w:rPr>
        <w:t>generally ban</w:t>
      </w:r>
      <w:r>
        <w:rPr>
          <w:sz w:val="22"/>
          <w:szCs w:val="22"/>
        </w:rPr>
        <w:t>ned</w:t>
      </w:r>
      <w:r w:rsidRPr="00565F2A">
        <w:rPr>
          <w:sz w:val="22"/>
          <w:szCs w:val="22"/>
        </w:rPr>
        <w:t xml:space="preserve"> exclusive contracts for satellite cable programming o</w:t>
      </w:r>
      <w:r w:rsidRPr="00E17716">
        <w:rPr>
          <w:sz w:val="22"/>
          <w:szCs w:val="22"/>
        </w:rPr>
        <w:t>r satellite broadcast programming between any cable operator and any cable-affiliated programming vendor in areas served by a cable operator.  In the Report and Order</w:t>
      </w:r>
      <w:r>
        <w:rPr>
          <w:sz w:val="22"/>
          <w:szCs w:val="22"/>
        </w:rPr>
        <w:t xml:space="preserve"> in MB Docket Nos. 12-68, 07-18, and </w:t>
      </w:r>
      <w:r w:rsidRPr="00E17716">
        <w:rPr>
          <w:sz w:val="22"/>
          <w:szCs w:val="22"/>
        </w:rPr>
        <w:t xml:space="preserve">05-192, the Commission declined to extend the exclusive contract prohibition beyond its scheduled October 5, 2012 sunset date, finding that the prohibition </w:t>
      </w:r>
      <w:r w:rsidRPr="00CA4C89">
        <w:rPr>
          <w:sz w:val="22"/>
          <w:szCs w:val="22"/>
        </w:rPr>
        <w:t>is no longer “necessary to preserve and protect competition and diversity in the distribution of video programming</w:t>
      </w:r>
      <w:r w:rsidRPr="00565F2A">
        <w:rPr>
          <w:sz w:val="22"/>
          <w:szCs w:val="22"/>
        </w:rPr>
        <w:t>.</w:t>
      </w:r>
      <w:r w:rsidRPr="00CA4C89">
        <w:rPr>
          <w:sz w:val="22"/>
          <w:szCs w:val="22"/>
        </w:rPr>
        <w:t>”</w:t>
      </w:r>
      <w:r w:rsidRPr="00565F2A">
        <w:rPr>
          <w:sz w:val="22"/>
          <w:szCs w:val="22"/>
        </w:rPr>
        <w:t xml:space="preserve"> </w:t>
      </w:r>
      <w:r w:rsidRPr="00342B5F">
        <w:rPr>
          <w:sz w:val="22"/>
          <w:szCs w:val="22"/>
        </w:rPr>
        <w:t>The Commission will instead rely on existing protections in the program access rules</w:t>
      </w:r>
      <w:r w:rsidR="007502AE">
        <w:rPr>
          <w:rStyle w:val="FootnoteReference"/>
          <w:sz w:val="22"/>
          <w:szCs w:val="22"/>
        </w:rPr>
        <w:footnoteReference w:id="1"/>
      </w:r>
      <w:r w:rsidRPr="00342B5F">
        <w:rPr>
          <w:sz w:val="22"/>
          <w:szCs w:val="22"/>
        </w:rPr>
        <w:t xml:space="preserve"> to protect </w:t>
      </w:r>
      <w:r>
        <w:rPr>
          <w:sz w:val="22"/>
          <w:szCs w:val="22"/>
        </w:rPr>
        <w:t>multichannel video programming distributors (“MVPDs”)</w:t>
      </w:r>
      <w:r w:rsidRPr="00342B5F">
        <w:rPr>
          <w:sz w:val="22"/>
          <w:szCs w:val="22"/>
        </w:rPr>
        <w:t xml:space="preserve"> in their efforts to compete in the video distribution market</w:t>
      </w:r>
      <w:r>
        <w:rPr>
          <w:sz w:val="22"/>
          <w:szCs w:val="22"/>
        </w:rPr>
        <w:t>, including the case-by-case consideration of individual exclusive contracts pursuant to Section 628(b) of the Communications Act (47 U.S.C. § 548(b)).</w:t>
      </w:r>
    </w:p>
    <w:p w:rsidR="00583458" w:rsidRDefault="00583458" w:rsidP="00E34125">
      <w:pPr>
        <w:rPr>
          <w:sz w:val="22"/>
          <w:szCs w:val="22"/>
        </w:rPr>
      </w:pPr>
    </w:p>
    <w:p w:rsidR="00583458" w:rsidRDefault="00583458" w:rsidP="00863232">
      <w:pPr>
        <w:spacing w:after="120"/>
        <w:rPr>
          <w:sz w:val="22"/>
          <w:szCs w:val="22"/>
        </w:rPr>
      </w:pPr>
      <w:r>
        <w:rPr>
          <w:sz w:val="22"/>
          <w:szCs w:val="22"/>
        </w:rPr>
        <w:t>Following the sunset of the exclusive contract ban</w:t>
      </w:r>
      <w:r w:rsidRPr="00565F2A">
        <w:rPr>
          <w:sz w:val="22"/>
          <w:szCs w:val="22"/>
        </w:rPr>
        <w:t xml:space="preserve">, </w:t>
      </w:r>
      <w:r>
        <w:rPr>
          <w:sz w:val="22"/>
          <w:szCs w:val="22"/>
        </w:rPr>
        <w:t>MVPDs will have the option of filing a complaint alleging that an exclusive contract for satellite-delivered, cable-affiliated programming</w:t>
      </w:r>
      <w:r w:rsidRPr="00CA4C89">
        <w:rPr>
          <w:sz w:val="22"/>
          <w:szCs w:val="22"/>
        </w:rPr>
        <w:t xml:space="preserve"> </w:t>
      </w:r>
      <w:r>
        <w:rPr>
          <w:sz w:val="22"/>
          <w:szCs w:val="22"/>
        </w:rPr>
        <w:t>violates</w:t>
      </w:r>
      <w:r w:rsidRPr="00CA4C89">
        <w:rPr>
          <w:sz w:val="22"/>
          <w:szCs w:val="22"/>
        </w:rPr>
        <w:t xml:space="preserve"> Section 62</w:t>
      </w:r>
      <w:r>
        <w:rPr>
          <w:sz w:val="22"/>
          <w:szCs w:val="22"/>
        </w:rPr>
        <w:t>8(b).  Section 628(b) prohibits</w:t>
      </w:r>
    </w:p>
    <w:p w:rsidR="00583458" w:rsidRDefault="00583458" w:rsidP="00863232">
      <w:pPr>
        <w:spacing w:after="120"/>
        <w:ind w:left="720" w:right="720"/>
        <w:rPr>
          <w:sz w:val="22"/>
          <w:szCs w:val="22"/>
        </w:rPr>
      </w:pPr>
      <w:r w:rsidRPr="00CA4C89">
        <w:rPr>
          <w:sz w:val="22"/>
          <w:szCs w:val="22"/>
        </w:rPr>
        <w:t>a cable operator, a satellite cable programming vendor in which a cable operator has an attributable interest, or a satellite broadcast programming vendor from engaging in unfair methods of competition or unfair or deceptive acts or practices, the purpose or effect of which is to hinder significantly or to prevent any multichannel video programming distributor from provid</w:t>
      </w:r>
      <w:r w:rsidR="00F655C5">
        <w:rPr>
          <w:sz w:val="22"/>
          <w:szCs w:val="22"/>
        </w:rPr>
        <w:t>ing</w:t>
      </w:r>
      <w:r w:rsidRPr="00CA4C89">
        <w:rPr>
          <w:sz w:val="22"/>
          <w:szCs w:val="22"/>
        </w:rPr>
        <w:t xml:space="preserve"> satellite cable programming or satellite broadcast programming to subscribers or consumers.</w:t>
      </w:r>
    </w:p>
    <w:p w:rsidR="00583458" w:rsidRDefault="00583458" w:rsidP="00E34125">
      <w:pPr>
        <w:rPr>
          <w:sz w:val="22"/>
          <w:szCs w:val="22"/>
        </w:rPr>
      </w:pPr>
      <w:r>
        <w:rPr>
          <w:sz w:val="22"/>
          <w:szCs w:val="22"/>
        </w:rPr>
        <w:t>The Commission will review such complaints on a case-by-case basis.  The case-by-case complaint process is described in detail below.</w:t>
      </w:r>
    </w:p>
    <w:p w:rsidR="00583458" w:rsidRDefault="00583458" w:rsidP="00E34125">
      <w:pPr>
        <w:rPr>
          <w:sz w:val="22"/>
          <w:szCs w:val="22"/>
        </w:rPr>
      </w:pPr>
    </w:p>
    <w:p w:rsidR="00583458" w:rsidRPr="00B07F5A" w:rsidRDefault="00583458" w:rsidP="00E34125">
      <w:pPr>
        <w:rPr>
          <w:sz w:val="22"/>
          <w:szCs w:val="22"/>
        </w:rPr>
      </w:pPr>
      <w:r w:rsidRPr="00B07F5A">
        <w:rPr>
          <w:sz w:val="22"/>
          <w:szCs w:val="22"/>
        </w:rPr>
        <w:t>In the Order on Reconsideration in MB Docket No. 07-29, the Commission makes minor revisions to the program access complaint procedures.  The Commission modifies the standard protective order for use in program access complaint proceedings to include a provision allowing a party to object to the disclosure of confidential information based on concerns about the individuals seeking access to confidential information.  The Commission also clarifies that a party may object to any request for documents that are protected from disclosure by the attorney-client privilege, the work-product doctrine, or other recognized protections from disclosure.</w:t>
      </w:r>
    </w:p>
    <w:p w:rsidR="00583458" w:rsidRDefault="00583458" w:rsidP="00E34125">
      <w:pPr>
        <w:rPr>
          <w:sz w:val="22"/>
          <w:szCs w:val="22"/>
        </w:rPr>
      </w:pPr>
    </w:p>
    <w:p w:rsidR="00583458" w:rsidRDefault="00583458" w:rsidP="00E34125">
      <w:pPr>
        <w:rPr>
          <w:sz w:val="22"/>
          <w:szCs w:val="22"/>
        </w:rPr>
      </w:pPr>
      <w:r>
        <w:rPr>
          <w:b/>
          <w:sz w:val="22"/>
          <w:szCs w:val="22"/>
        </w:rPr>
        <w:t>IMPORTANT DEFINITIONS</w:t>
      </w:r>
    </w:p>
    <w:p w:rsidR="00583458" w:rsidRDefault="00583458" w:rsidP="00E34125">
      <w:pPr>
        <w:rPr>
          <w:sz w:val="22"/>
          <w:szCs w:val="22"/>
        </w:rPr>
      </w:pPr>
    </w:p>
    <w:p w:rsidR="00583458" w:rsidRDefault="00583458" w:rsidP="00257ED3">
      <w:pPr>
        <w:spacing w:after="60"/>
        <w:rPr>
          <w:sz w:val="22"/>
          <w:szCs w:val="22"/>
        </w:rPr>
      </w:pPr>
      <w:r>
        <w:rPr>
          <w:sz w:val="22"/>
          <w:szCs w:val="22"/>
        </w:rPr>
        <w:t>“</w:t>
      </w:r>
      <w:r w:rsidRPr="00257ED3">
        <w:rPr>
          <w:sz w:val="22"/>
          <w:szCs w:val="22"/>
        </w:rPr>
        <w:t>Area served by a cable system</w:t>
      </w:r>
      <w:r>
        <w:rPr>
          <w:sz w:val="22"/>
          <w:szCs w:val="22"/>
        </w:rPr>
        <w:t>”</w:t>
      </w:r>
      <w:r w:rsidRPr="00257ED3">
        <w:rPr>
          <w:sz w:val="22"/>
          <w:szCs w:val="22"/>
        </w:rPr>
        <w:t xml:space="preserve"> means an area actually passed by a cable system and which can be connected for a standard connection fee</w:t>
      </w:r>
      <w:r>
        <w:rPr>
          <w:sz w:val="22"/>
          <w:szCs w:val="22"/>
        </w:rPr>
        <w:t>.</w:t>
      </w:r>
    </w:p>
    <w:p w:rsidR="00583458" w:rsidRPr="00257ED3" w:rsidRDefault="00583458" w:rsidP="00257ED3">
      <w:pPr>
        <w:rPr>
          <w:sz w:val="22"/>
          <w:szCs w:val="22"/>
        </w:rPr>
      </w:pPr>
    </w:p>
    <w:p w:rsidR="00583458" w:rsidRDefault="00583458" w:rsidP="00257ED3">
      <w:pPr>
        <w:rPr>
          <w:sz w:val="22"/>
          <w:szCs w:val="22"/>
        </w:rPr>
      </w:pPr>
      <w:r>
        <w:rPr>
          <w:sz w:val="22"/>
          <w:szCs w:val="22"/>
        </w:rPr>
        <w:t>“</w:t>
      </w:r>
      <w:r w:rsidRPr="00257ED3">
        <w:rPr>
          <w:sz w:val="22"/>
          <w:szCs w:val="22"/>
        </w:rPr>
        <w:t>Exclusive contract</w:t>
      </w:r>
      <w:r>
        <w:rPr>
          <w:sz w:val="22"/>
          <w:szCs w:val="22"/>
        </w:rPr>
        <w:t>”</w:t>
      </w:r>
      <w:r w:rsidRPr="00257ED3">
        <w:rPr>
          <w:sz w:val="22"/>
          <w:szCs w:val="22"/>
        </w:rPr>
        <w:t xml:space="preserve"> is defined as a contract that results in one cable operator having access to a particular cable-affiliated programming network or networks in a given geographic area, to the exclusion of every other MVPD competing in that geographic area.</w:t>
      </w:r>
    </w:p>
    <w:p w:rsidR="00583458" w:rsidRPr="00257ED3" w:rsidRDefault="00583458" w:rsidP="00257ED3">
      <w:pPr>
        <w:rPr>
          <w:sz w:val="22"/>
          <w:szCs w:val="22"/>
        </w:rPr>
      </w:pPr>
    </w:p>
    <w:p w:rsidR="00583458" w:rsidRDefault="00583458" w:rsidP="00257ED3">
      <w:pPr>
        <w:rPr>
          <w:sz w:val="22"/>
          <w:szCs w:val="22"/>
        </w:rPr>
      </w:pPr>
      <w:r>
        <w:rPr>
          <w:sz w:val="22"/>
          <w:szCs w:val="22"/>
        </w:rPr>
        <w:t>“</w:t>
      </w:r>
      <w:r w:rsidRPr="00257ED3">
        <w:rPr>
          <w:sz w:val="22"/>
          <w:szCs w:val="22"/>
        </w:rPr>
        <w:t>Multichannel video programming distributor</w:t>
      </w:r>
      <w:r>
        <w:rPr>
          <w:sz w:val="22"/>
          <w:szCs w:val="22"/>
        </w:rPr>
        <w:t>” (“MVPD”)</w:t>
      </w:r>
      <w:r w:rsidRPr="00257ED3">
        <w:rPr>
          <w:sz w:val="22"/>
          <w:szCs w:val="22"/>
        </w:rPr>
        <w:t xml:space="preserve"> is defined as</w:t>
      </w:r>
      <w:r w:rsidRPr="007A136F">
        <w:t xml:space="preserve"> </w:t>
      </w:r>
      <w:r w:rsidRPr="00257ED3">
        <w:rPr>
          <w:sz w:val="22"/>
          <w:szCs w:val="22"/>
        </w:rPr>
        <w:t xml:space="preserve">an entity engaged in the business of making available for purchase, by subscribers or customers, multiple channels of video programming,. </w:t>
      </w:r>
      <w:r w:rsidR="003B2116">
        <w:rPr>
          <w:sz w:val="22"/>
          <w:szCs w:val="22"/>
        </w:rPr>
        <w:t xml:space="preserve"> </w:t>
      </w:r>
      <w:r w:rsidRPr="00257ED3">
        <w:rPr>
          <w:sz w:val="22"/>
          <w:szCs w:val="22"/>
        </w:rPr>
        <w:t>Such entities include, but are not limited to, a cable operator, a broadband radio service provider, an educational broadband service provider, a direct broadcast satellite service, a television receive-only satellite program distributor, and a satellite master antenna television system operator, as well as buying groups or agents of all such entities.</w:t>
      </w:r>
      <w:r w:rsidR="00856E31">
        <w:rPr>
          <w:sz w:val="22"/>
          <w:szCs w:val="22"/>
        </w:rPr>
        <w:t xml:space="preserve">  A video programming provider that provides more than one channel of video programming on an open video system is also a multichannel video programming </w:t>
      </w:r>
      <w:r w:rsidR="00800C88">
        <w:rPr>
          <w:sz w:val="22"/>
          <w:szCs w:val="22"/>
        </w:rPr>
        <w:t>distributor</w:t>
      </w:r>
      <w:r w:rsidR="00856E31">
        <w:rPr>
          <w:sz w:val="22"/>
          <w:szCs w:val="22"/>
        </w:rPr>
        <w:t>.</w:t>
      </w:r>
    </w:p>
    <w:p w:rsidR="00583458" w:rsidRPr="00257ED3" w:rsidRDefault="00583458" w:rsidP="00257ED3">
      <w:pPr>
        <w:rPr>
          <w:sz w:val="22"/>
          <w:szCs w:val="22"/>
        </w:rPr>
      </w:pPr>
    </w:p>
    <w:p w:rsidR="00583458" w:rsidRPr="00257ED3" w:rsidRDefault="00583458" w:rsidP="0076338B">
      <w:pPr>
        <w:spacing w:after="120"/>
        <w:rPr>
          <w:sz w:val="22"/>
          <w:szCs w:val="22"/>
        </w:rPr>
      </w:pPr>
      <w:r>
        <w:rPr>
          <w:sz w:val="22"/>
          <w:szCs w:val="22"/>
        </w:rPr>
        <w:t>“</w:t>
      </w:r>
      <w:r w:rsidRPr="00257ED3">
        <w:rPr>
          <w:sz w:val="22"/>
          <w:szCs w:val="22"/>
        </w:rPr>
        <w:t>Regional sports network</w:t>
      </w:r>
      <w:r>
        <w:rPr>
          <w:sz w:val="22"/>
          <w:szCs w:val="22"/>
        </w:rPr>
        <w:t>” (“RSN”)</w:t>
      </w:r>
      <w:r w:rsidRPr="00257ED3">
        <w:rPr>
          <w:sz w:val="22"/>
          <w:szCs w:val="22"/>
        </w:rPr>
        <w:t xml:space="preserve"> is defined as any non-broadcast video programming service that both:</w:t>
      </w:r>
    </w:p>
    <w:p w:rsidR="00583458" w:rsidRDefault="00583458" w:rsidP="00863232">
      <w:pPr>
        <w:pStyle w:val="ListParagraph"/>
        <w:numPr>
          <w:ilvl w:val="0"/>
          <w:numId w:val="8"/>
        </w:numPr>
        <w:contextualSpacing w:val="0"/>
        <w:rPr>
          <w:sz w:val="22"/>
          <w:szCs w:val="22"/>
        </w:rPr>
      </w:pPr>
      <w:r w:rsidRPr="009D58F4">
        <w:rPr>
          <w:sz w:val="22"/>
          <w:szCs w:val="22"/>
        </w:rPr>
        <w:lastRenderedPageBreak/>
        <w:t>provides live or same-day distribution within a limited geographic region of sporting events of a sports team that is a member of Major League Baseball, the National Basketball Association, the National Football League, the National Hockey League, NASCAR, NCAA Division I Football, NCAA Division I Basketball, Liga de Béisbol Profesional de Puerto Rico, Baloncesto Superior Nacional de Puerto Rico, Liga Mayor de Fútbol Nacional de Puerto Rico, and the Puerto Rico Islanders of the United Soccer League’s First Division; and</w:t>
      </w:r>
    </w:p>
    <w:p w:rsidR="00583458" w:rsidRDefault="00583458" w:rsidP="00257ED3">
      <w:pPr>
        <w:pStyle w:val="ListParagraph"/>
        <w:numPr>
          <w:ilvl w:val="0"/>
          <w:numId w:val="8"/>
        </w:numPr>
        <w:contextualSpacing w:val="0"/>
        <w:rPr>
          <w:sz w:val="22"/>
          <w:szCs w:val="22"/>
        </w:rPr>
      </w:pPr>
      <w:r w:rsidRPr="009D58F4">
        <w:rPr>
          <w:sz w:val="22"/>
          <w:szCs w:val="22"/>
        </w:rPr>
        <w:t xml:space="preserve">in any year, carries a minimum of either 100 hours of programming </w:t>
      </w:r>
      <w:r>
        <w:rPr>
          <w:sz w:val="22"/>
          <w:szCs w:val="22"/>
        </w:rPr>
        <w:t xml:space="preserve">that meets the criteria set forth in </w:t>
      </w:r>
      <w:r w:rsidRPr="009D58F4">
        <w:rPr>
          <w:sz w:val="22"/>
          <w:szCs w:val="22"/>
        </w:rPr>
        <w:t xml:space="preserve">(1), or 10% of the regular season games of at least one sports team that meets the criteria </w:t>
      </w:r>
      <w:r>
        <w:rPr>
          <w:sz w:val="22"/>
          <w:szCs w:val="22"/>
        </w:rPr>
        <w:t xml:space="preserve">set forth in </w:t>
      </w:r>
      <w:r w:rsidRPr="009D58F4">
        <w:rPr>
          <w:sz w:val="22"/>
          <w:szCs w:val="22"/>
        </w:rPr>
        <w:t>(1).</w:t>
      </w:r>
    </w:p>
    <w:p w:rsidR="00583458" w:rsidRPr="00414C13" w:rsidRDefault="00583458" w:rsidP="00257ED3">
      <w:pPr>
        <w:pStyle w:val="ListParagraph"/>
        <w:ind w:left="0"/>
        <w:contextualSpacing w:val="0"/>
        <w:rPr>
          <w:sz w:val="22"/>
          <w:szCs w:val="22"/>
        </w:rPr>
      </w:pPr>
    </w:p>
    <w:p w:rsidR="00583458" w:rsidRDefault="00583458" w:rsidP="00257ED3">
      <w:pPr>
        <w:rPr>
          <w:sz w:val="22"/>
          <w:szCs w:val="22"/>
        </w:rPr>
      </w:pPr>
      <w:r>
        <w:rPr>
          <w:sz w:val="22"/>
          <w:szCs w:val="22"/>
        </w:rPr>
        <w:t>“</w:t>
      </w:r>
      <w:r w:rsidRPr="00257ED3">
        <w:rPr>
          <w:sz w:val="22"/>
          <w:szCs w:val="22"/>
        </w:rPr>
        <w:t>Satellite broadcast programming</w:t>
      </w:r>
      <w:r>
        <w:rPr>
          <w:sz w:val="22"/>
          <w:szCs w:val="22"/>
        </w:rPr>
        <w:t>”</w:t>
      </w:r>
      <w:r w:rsidRPr="00257ED3">
        <w:rPr>
          <w:sz w:val="22"/>
          <w:szCs w:val="22"/>
        </w:rPr>
        <w:t xml:space="preserve"> is defined as broadcast video programming when such programming is retransmitted by satellite and the entity retransmitting such programming is not the broadcaster or an entity performing such retransmission on behalf of and with the specific consent of the broadcaster.</w:t>
      </w:r>
    </w:p>
    <w:p w:rsidR="00583458" w:rsidRPr="00257ED3" w:rsidRDefault="00583458" w:rsidP="00257ED3">
      <w:pPr>
        <w:rPr>
          <w:sz w:val="22"/>
          <w:szCs w:val="22"/>
        </w:rPr>
      </w:pPr>
    </w:p>
    <w:p w:rsidR="00583458" w:rsidRDefault="00583458" w:rsidP="00257ED3">
      <w:pPr>
        <w:rPr>
          <w:sz w:val="22"/>
          <w:szCs w:val="22"/>
        </w:rPr>
      </w:pPr>
      <w:r>
        <w:rPr>
          <w:sz w:val="22"/>
          <w:szCs w:val="22"/>
        </w:rPr>
        <w:t>“</w:t>
      </w:r>
      <w:r w:rsidRPr="00257ED3">
        <w:rPr>
          <w:sz w:val="22"/>
          <w:szCs w:val="22"/>
        </w:rPr>
        <w:t>Satellite broadcast programming vendor</w:t>
      </w:r>
      <w:r>
        <w:rPr>
          <w:sz w:val="22"/>
          <w:szCs w:val="22"/>
        </w:rPr>
        <w:t>”</w:t>
      </w:r>
      <w:r w:rsidRPr="00257ED3">
        <w:rPr>
          <w:sz w:val="22"/>
          <w:szCs w:val="22"/>
        </w:rPr>
        <w:t xml:space="preserve"> is defined as a fixed service satellite carrier that provides service pursuant to 17 USC § 119, with respect to satellite broadcast programming.</w:t>
      </w:r>
    </w:p>
    <w:p w:rsidR="00583458" w:rsidRPr="00257ED3" w:rsidRDefault="00583458" w:rsidP="00257ED3">
      <w:pPr>
        <w:rPr>
          <w:sz w:val="22"/>
          <w:szCs w:val="22"/>
        </w:rPr>
      </w:pPr>
    </w:p>
    <w:p w:rsidR="00583458" w:rsidRPr="00257ED3" w:rsidRDefault="00583458" w:rsidP="00257ED3">
      <w:pPr>
        <w:rPr>
          <w:sz w:val="22"/>
          <w:szCs w:val="22"/>
        </w:rPr>
      </w:pPr>
      <w:r>
        <w:rPr>
          <w:sz w:val="22"/>
          <w:szCs w:val="22"/>
        </w:rPr>
        <w:t>“</w:t>
      </w:r>
      <w:r w:rsidRPr="00257ED3">
        <w:rPr>
          <w:sz w:val="22"/>
          <w:szCs w:val="22"/>
        </w:rPr>
        <w:t>Satellite cable programming</w:t>
      </w:r>
      <w:r>
        <w:rPr>
          <w:sz w:val="22"/>
          <w:szCs w:val="22"/>
        </w:rPr>
        <w:t>”</w:t>
      </w:r>
      <w:r w:rsidRPr="00257ED3">
        <w:rPr>
          <w:sz w:val="22"/>
          <w:szCs w:val="22"/>
        </w:rPr>
        <w:t xml:space="preserve"> is defined as video programming which is transmitted via satellite and which is primarily intended for direct receipt by cable operators for their retransmission to cable subscribers or open video system subscribers, except that such term does not include satellite broadcast programming.</w:t>
      </w:r>
    </w:p>
    <w:p w:rsidR="00583458" w:rsidRDefault="00583458" w:rsidP="00257ED3">
      <w:pPr>
        <w:pStyle w:val="ListParagraph"/>
        <w:contextualSpacing w:val="0"/>
        <w:rPr>
          <w:sz w:val="22"/>
          <w:szCs w:val="22"/>
        </w:rPr>
      </w:pPr>
    </w:p>
    <w:p w:rsidR="00583458" w:rsidRPr="00257ED3" w:rsidRDefault="00583458" w:rsidP="00257ED3">
      <w:pPr>
        <w:rPr>
          <w:sz w:val="22"/>
          <w:szCs w:val="22"/>
        </w:rPr>
      </w:pPr>
      <w:r>
        <w:rPr>
          <w:sz w:val="22"/>
          <w:szCs w:val="22"/>
        </w:rPr>
        <w:t>“</w:t>
      </w:r>
      <w:r w:rsidRPr="00257ED3">
        <w:rPr>
          <w:sz w:val="22"/>
          <w:szCs w:val="22"/>
        </w:rPr>
        <w:t>Satellite cable programming vendor</w:t>
      </w:r>
      <w:r>
        <w:rPr>
          <w:sz w:val="22"/>
          <w:szCs w:val="22"/>
        </w:rPr>
        <w:t>”</w:t>
      </w:r>
      <w:r w:rsidRPr="00257ED3">
        <w:rPr>
          <w:sz w:val="22"/>
          <w:szCs w:val="22"/>
        </w:rPr>
        <w:t xml:space="preserve"> is defined as a person engaged in the production, creation, or wholesale distribution for sale of satellite cable programming, but does not include a satellite broadcast programming vendor.</w:t>
      </w:r>
    </w:p>
    <w:p w:rsidR="00583458" w:rsidRDefault="00583458" w:rsidP="00257ED3">
      <w:pPr>
        <w:pStyle w:val="ListParagraph"/>
        <w:contextualSpacing w:val="0"/>
        <w:rPr>
          <w:sz w:val="22"/>
          <w:szCs w:val="22"/>
        </w:rPr>
      </w:pPr>
    </w:p>
    <w:p w:rsidR="00583458" w:rsidRPr="00257ED3" w:rsidRDefault="00583458" w:rsidP="00257ED3">
      <w:pPr>
        <w:rPr>
          <w:sz w:val="22"/>
          <w:szCs w:val="22"/>
        </w:rPr>
      </w:pPr>
      <w:r>
        <w:rPr>
          <w:sz w:val="22"/>
          <w:szCs w:val="22"/>
        </w:rPr>
        <w:t>“</w:t>
      </w:r>
      <w:r w:rsidRPr="00257ED3">
        <w:rPr>
          <w:sz w:val="22"/>
          <w:szCs w:val="22"/>
        </w:rPr>
        <w:t>Satellite-delivered programming</w:t>
      </w:r>
      <w:r>
        <w:rPr>
          <w:sz w:val="22"/>
          <w:szCs w:val="22"/>
        </w:rPr>
        <w:t>”</w:t>
      </w:r>
      <w:r w:rsidRPr="00257ED3">
        <w:rPr>
          <w:sz w:val="22"/>
          <w:szCs w:val="22"/>
        </w:rPr>
        <w:t xml:space="preserve"> refers to satellite cable programming and satellite broadcast programming collectively.</w:t>
      </w:r>
    </w:p>
    <w:p w:rsidR="00583458" w:rsidRPr="00257ED3" w:rsidRDefault="00583458" w:rsidP="00257ED3">
      <w:pPr>
        <w:rPr>
          <w:sz w:val="22"/>
          <w:szCs w:val="22"/>
        </w:rPr>
      </w:pPr>
    </w:p>
    <w:p w:rsidR="00583458" w:rsidRDefault="00583458" w:rsidP="00257ED3">
      <w:pPr>
        <w:rPr>
          <w:sz w:val="22"/>
          <w:szCs w:val="22"/>
        </w:rPr>
      </w:pPr>
      <w:r>
        <w:rPr>
          <w:sz w:val="22"/>
          <w:szCs w:val="22"/>
        </w:rPr>
        <w:t>“</w:t>
      </w:r>
      <w:r w:rsidRPr="00257ED3">
        <w:rPr>
          <w:sz w:val="22"/>
          <w:szCs w:val="22"/>
        </w:rPr>
        <w:t>Selective refusal to license</w:t>
      </w:r>
      <w:r>
        <w:rPr>
          <w:sz w:val="22"/>
          <w:szCs w:val="22"/>
        </w:rPr>
        <w:t>”</w:t>
      </w:r>
      <w:r w:rsidRPr="00257ED3">
        <w:rPr>
          <w:sz w:val="22"/>
          <w:szCs w:val="22"/>
        </w:rPr>
        <w:t xml:space="preserve"> refers to the singling out, by a satellite-delivered, cable-affiliated programmer, of a particular MVPD (such as a </w:t>
      </w:r>
      <w:r>
        <w:rPr>
          <w:sz w:val="22"/>
          <w:szCs w:val="22"/>
        </w:rPr>
        <w:t xml:space="preserve">satellite provider or a </w:t>
      </w:r>
      <w:r w:rsidRPr="00257ED3">
        <w:rPr>
          <w:sz w:val="22"/>
          <w:szCs w:val="22"/>
        </w:rPr>
        <w:t>small, rural, or new entrant MVPD) for differential treatment by refusing to license its content to the MVPD while simultaneously licensing its content to other MVPDs competing in the same geographic area.</w:t>
      </w:r>
    </w:p>
    <w:p w:rsidR="00583458" w:rsidRPr="00257ED3" w:rsidRDefault="00583458" w:rsidP="00257ED3">
      <w:pPr>
        <w:rPr>
          <w:sz w:val="22"/>
          <w:szCs w:val="22"/>
        </w:rPr>
      </w:pPr>
    </w:p>
    <w:p w:rsidR="00583458" w:rsidRPr="00257ED3" w:rsidRDefault="00583458" w:rsidP="00257ED3">
      <w:pPr>
        <w:rPr>
          <w:sz w:val="22"/>
          <w:szCs w:val="22"/>
        </w:rPr>
      </w:pPr>
      <w:r>
        <w:rPr>
          <w:sz w:val="22"/>
          <w:szCs w:val="22"/>
        </w:rPr>
        <w:t>“</w:t>
      </w:r>
      <w:r w:rsidRPr="00257ED3">
        <w:rPr>
          <w:sz w:val="22"/>
          <w:szCs w:val="22"/>
        </w:rPr>
        <w:t>Subdistribution agreement</w:t>
      </w:r>
      <w:r>
        <w:rPr>
          <w:sz w:val="22"/>
          <w:szCs w:val="22"/>
        </w:rPr>
        <w:t>”</w:t>
      </w:r>
      <w:r w:rsidRPr="00257ED3">
        <w:rPr>
          <w:sz w:val="22"/>
          <w:szCs w:val="22"/>
        </w:rPr>
        <w:t xml:space="preserve"> is defined as an arrangement by which a local cable operator is given the right by a satellite cable programming vendor or satellite broadcast programming vendor to distribute the vendor's programming to competing </w:t>
      </w:r>
      <w:r w:rsidR="003B2116">
        <w:rPr>
          <w:sz w:val="22"/>
          <w:szCs w:val="22"/>
        </w:rPr>
        <w:t>MVPDs</w:t>
      </w:r>
      <w:r w:rsidRPr="00257ED3">
        <w:rPr>
          <w:sz w:val="22"/>
          <w:szCs w:val="22"/>
        </w:rPr>
        <w:t>.</w:t>
      </w:r>
    </w:p>
    <w:p w:rsidR="00583458" w:rsidRDefault="00583458" w:rsidP="00E34125">
      <w:pPr>
        <w:rPr>
          <w:sz w:val="22"/>
          <w:szCs w:val="22"/>
        </w:rPr>
      </w:pPr>
    </w:p>
    <w:p w:rsidR="00583458" w:rsidRPr="00C42C71" w:rsidRDefault="00583458" w:rsidP="00E34125">
      <w:pPr>
        <w:rPr>
          <w:b/>
          <w:sz w:val="22"/>
          <w:szCs w:val="22"/>
        </w:rPr>
      </w:pPr>
      <w:r>
        <w:rPr>
          <w:b/>
          <w:sz w:val="22"/>
          <w:szCs w:val="22"/>
        </w:rPr>
        <w:t>COMPLIANCE REQUIREMENTS</w:t>
      </w:r>
    </w:p>
    <w:p w:rsidR="00583458" w:rsidRDefault="00583458" w:rsidP="00E34125">
      <w:pPr>
        <w:rPr>
          <w:sz w:val="22"/>
          <w:szCs w:val="22"/>
        </w:rPr>
      </w:pPr>
    </w:p>
    <w:p w:rsidR="00583458" w:rsidRDefault="00583458" w:rsidP="00E34125">
      <w:pPr>
        <w:rPr>
          <w:sz w:val="22"/>
          <w:szCs w:val="22"/>
        </w:rPr>
      </w:pPr>
      <w:r>
        <w:rPr>
          <w:b/>
          <w:sz w:val="22"/>
          <w:szCs w:val="22"/>
        </w:rPr>
        <w:t>1.  Provisions Applicable to Cable Operators and Satellite-Delivered, Cable-Affiliated Programmers</w:t>
      </w:r>
    </w:p>
    <w:p w:rsidR="00583458" w:rsidRDefault="00583458" w:rsidP="00E34125">
      <w:pPr>
        <w:rPr>
          <w:sz w:val="22"/>
          <w:szCs w:val="22"/>
        </w:rPr>
      </w:pPr>
    </w:p>
    <w:p w:rsidR="00583458" w:rsidRDefault="00583458" w:rsidP="003F714E">
      <w:pPr>
        <w:spacing w:after="120"/>
        <w:rPr>
          <w:sz w:val="22"/>
          <w:szCs w:val="22"/>
        </w:rPr>
      </w:pPr>
      <w:r>
        <w:rPr>
          <w:sz w:val="22"/>
          <w:szCs w:val="22"/>
        </w:rPr>
        <w:t>Following the sunset of the exclusive contract ban, cable operators and satellite-delivered, cable-affiliated programmers may:</w:t>
      </w:r>
    </w:p>
    <w:p w:rsidR="003F714E" w:rsidRPr="003F714E" w:rsidRDefault="00583458" w:rsidP="003F714E">
      <w:pPr>
        <w:pStyle w:val="ListParagraph"/>
        <w:numPr>
          <w:ilvl w:val="0"/>
          <w:numId w:val="12"/>
        </w:numPr>
        <w:contextualSpacing w:val="0"/>
        <w:rPr>
          <w:sz w:val="22"/>
          <w:szCs w:val="22"/>
        </w:rPr>
      </w:pPr>
      <w:r w:rsidRPr="003F714E">
        <w:rPr>
          <w:sz w:val="22"/>
          <w:szCs w:val="22"/>
        </w:rPr>
        <w:t xml:space="preserve">Enter into exclusive contracts for satellite-delivered, cable affiliated programming in areas served by a cable system.  As detailed below, the Commission will rely on a case-by-case approach to assess whether individual exclusive contracts involving satellite-delivered, cable-affiliated programming violate Section 628(b) of the Act. </w:t>
      </w:r>
    </w:p>
    <w:p w:rsidR="00583458" w:rsidRDefault="00583458" w:rsidP="008519B0">
      <w:pPr>
        <w:pStyle w:val="ListParagraph"/>
        <w:numPr>
          <w:ilvl w:val="0"/>
          <w:numId w:val="12"/>
        </w:numPr>
        <w:contextualSpacing w:val="0"/>
        <w:rPr>
          <w:sz w:val="22"/>
          <w:szCs w:val="22"/>
        </w:rPr>
      </w:pPr>
      <w:r>
        <w:rPr>
          <w:sz w:val="22"/>
          <w:szCs w:val="22"/>
        </w:rPr>
        <w:t>En</w:t>
      </w:r>
      <w:r w:rsidRPr="0012071E">
        <w:rPr>
          <w:sz w:val="22"/>
          <w:szCs w:val="22"/>
        </w:rPr>
        <w:t xml:space="preserve">ter into </w:t>
      </w:r>
      <w:r>
        <w:rPr>
          <w:sz w:val="22"/>
          <w:szCs w:val="22"/>
        </w:rPr>
        <w:t>subdistribution agreements in areas served by a cable system, provided that the agreements comply with the requirements of 47 C.F.R. § 76.1002(c)(3)(ii).</w:t>
      </w:r>
    </w:p>
    <w:p w:rsidR="00583458" w:rsidRDefault="00583458" w:rsidP="003B2116">
      <w:pPr>
        <w:pStyle w:val="ListParagraph"/>
        <w:numPr>
          <w:ilvl w:val="0"/>
          <w:numId w:val="12"/>
        </w:numPr>
        <w:contextualSpacing w:val="0"/>
        <w:rPr>
          <w:sz w:val="22"/>
          <w:szCs w:val="22"/>
        </w:rPr>
      </w:pPr>
      <w:r>
        <w:rPr>
          <w:sz w:val="22"/>
          <w:szCs w:val="22"/>
        </w:rPr>
        <w:t>F</w:t>
      </w:r>
      <w:r w:rsidRPr="00596051">
        <w:rPr>
          <w:sz w:val="22"/>
          <w:szCs w:val="22"/>
        </w:rPr>
        <w:t xml:space="preserve">ile a </w:t>
      </w:r>
      <w:r>
        <w:rPr>
          <w:sz w:val="22"/>
          <w:szCs w:val="22"/>
        </w:rPr>
        <w:t>P</w:t>
      </w:r>
      <w:r w:rsidRPr="00596051">
        <w:rPr>
          <w:sz w:val="22"/>
          <w:szCs w:val="22"/>
        </w:rPr>
        <w:t xml:space="preserve">etition for </w:t>
      </w:r>
      <w:r>
        <w:rPr>
          <w:sz w:val="22"/>
          <w:szCs w:val="22"/>
        </w:rPr>
        <w:t>E</w:t>
      </w:r>
      <w:r w:rsidRPr="00596051">
        <w:rPr>
          <w:sz w:val="22"/>
          <w:szCs w:val="22"/>
        </w:rPr>
        <w:t xml:space="preserve">xclusivity seeking a ruling from the Commission that </w:t>
      </w:r>
      <w:r>
        <w:rPr>
          <w:sz w:val="22"/>
          <w:szCs w:val="22"/>
        </w:rPr>
        <w:t>an</w:t>
      </w:r>
      <w:r w:rsidRPr="00596051">
        <w:rPr>
          <w:sz w:val="22"/>
          <w:szCs w:val="22"/>
        </w:rPr>
        <w:t xml:space="preserve"> exclusive contract is in the public interest.  The grant of such a petition will immunize the exclusive contract from any future discrimination complaints under Section 628(c)(2)(B)</w:t>
      </w:r>
      <w:r>
        <w:rPr>
          <w:sz w:val="22"/>
          <w:szCs w:val="22"/>
        </w:rPr>
        <w:t xml:space="preserve"> of the </w:t>
      </w:r>
      <w:r w:rsidR="003B2116">
        <w:rPr>
          <w:sz w:val="22"/>
          <w:szCs w:val="22"/>
        </w:rPr>
        <w:t>Act (47 U.S.C. § 548(c)(2)(B))</w:t>
      </w:r>
      <w:r>
        <w:rPr>
          <w:sz w:val="22"/>
          <w:szCs w:val="22"/>
        </w:rPr>
        <w:t>.</w:t>
      </w:r>
    </w:p>
    <w:p w:rsidR="00583458" w:rsidRPr="00281B93" w:rsidRDefault="00583458" w:rsidP="008519B0">
      <w:pPr>
        <w:rPr>
          <w:sz w:val="22"/>
          <w:szCs w:val="22"/>
        </w:rPr>
      </w:pPr>
    </w:p>
    <w:p w:rsidR="00583458" w:rsidRPr="00281B93" w:rsidRDefault="00583458" w:rsidP="008519B0">
      <w:pPr>
        <w:rPr>
          <w:sz w:val="22"/>
          <w:szCs w:val="22"/>
        </w:rPr>
      </w:pPr>
      <w:r w:rsidRPr="00281B93">
        <w:rPr>
          <w:sz w:val="22"/>
          <w:szCs w:val="22"/>
        </w:rPr>
        <w:t>The sunset of the exclusive contract ban will not alter the Commission’s treatment of selective refusals to license.  A selective refusal to license will continue to be a violation of the discrimination provision in Section 628(c)(2)(B) of the Act, unless the programmer can show a “legitimate business reason” for the conduct</w:t>
      </w:r>
      <w:r w:rsidR="00EE1239" w:rsidRPr="00281B93">
        <w:rPr>
          <w:sz w:val="22"/>
          <w:szCs w:val="22"/>
        </w:rPr>
        <w:t xml:space="preserve">, such as </w:t>
      </w:r>
      <w:r w:rsidR="00EE1239" w:rsidRPr="00281B93">
        <w:rPr>
          <w:color w:val="000000"/>
          <w:sz w:val="22"/>
          <w:szCs w:val="22"/>
        </w:rPr>
        <w:t xml:space="preserve">the MVPD’s history of defaulting on other programming contracts, or the programmer’s preference not to sell a program package in a particular area for reasons unrelated to an existing exclusive arrangement or a specific </w:t>
      </w:r>
      <w:r w:rsidR="007502AE" w:rsidRPr="00281B93">
        <w:rPr>
          <w:color w:val="000000"/>
          <w:sz w:val="22"/>
          <w:szCs w:val="22"/>
        </w:rPr>
        <w:t>MVPD</w:t>
      </w:r>
      <w:r w:rsidRPr="00281B93">
        <w:rPr>
          <w:sz w:val="22"/>
          <w:szCs w:val="22"/>
        </w:rPr>
        <w:t>.  Thus, an MVPD will still have the ability to file a discrimination complaint challenging a selective refusal to license.</w:t>
      </w:r>
    </w:p>
    <w:p w:rsidR="00583458" w:rsidRPr="00527AF6" w:rsidRDefault="00583458" w:rsidP="008519B0">
      <w:pPr>
        <w:rPr>
          <w:sz w:val="22"/>
          <w:szCs w:val="22"/>
        </w:rPr>
      </w:pPr>
    </w:p>
    <w:p w:rsidR="00583458" w:rsidRDefault="00583458" w:rsidP="008519B0">
      <w:pPr>
        <w:rPr>
          <w:b/>
          <w:sz w:val="22"/>
          <w:szCs w:val="22"/>
        </w:rPr>
      </w:pPr>
      <w:r>
        <w:rPr>
          <w:b/>
          <w:sz w:val="22"/>
          <w:szCs w:val="22"/>
        </w:rPr>
        <w:t>2.  Case-by-Case Complaint Process</w:t>
      </w:r>
    </w:p>
    <w:p w:rsidR="00583458" w:rsidRDefault="00583458" w:rsidP="008519B0">
      <w:pPr>
        <w:rPr>
          <w:b/>
          <w:sz w:val="22"/>
          <w:szCs w:val="22"/>
        </w:rPr>
      </w:pPr>
    </w:p>
    <w:p w:rsidR="00583458" w:rsidRDefault="00583458" w:rsidP="008519B0">
      <w:pPr>
        <w:rPr>
          <w:b/>
          <w:sz w:val="22"/>
          <w:szCs w:val="22"/>
        </w:rPr>
      </w:pPr>
      <w:r>
        <w:rPr>
          <w:sz w:val="22"/>
          <w:szCs w:val="22"/>
        </w:rPr>
        <w:t>An MVPD may file a complaint alleging that a particular exclusive contract for satellite-delivered, cable-affiliated programming violates</w:t>
      </w:r>
      <w:r w:rsidRPr="00CA4C89">
        <w:rPr>
          <w:sz w:val="22"/>
          <w:szCs w:val="22"/>
        </w:rPr>
        <w:t xml:space="preserve"> Section 628(b)</w:t>
      </w:r>
      <w:r>
        <w:rPr>
          <w:sz w:val="22"/>
          <w:szCs w:val="22"/>
        </w:rPr>
        <w:t>.  The Commission will review such complaints on a case-by-case basis.</w:t>
      </w:r>
    </w:p>
    <w:p w:rsidR="00583458" w:rsidRDefault="00583458" w:rsidP="008519B0">
      <w:pPr>
        <w:pStyle w:val="ListParagraph"/>
        <w:contextualSpacing w:val="0"/>
        <w:rPr>
          <w:sz w:val="22"/>
          <w:szCs w:val="22"/>
        </w:rPr>
      </w:pPr>
    </w:p>
    <w:p w:rsidR="00583458" w:rsidRPr="008519B0" w:rsidRDefault="00583458" w:rsidP="003F714E">
      <w:pPr>
        <w:tabs>
          <w:tab w:val="left" w:pos="8445"/>
        </w:tabs>
        <w:spacing w:after="120"/>
        <w:rPr>
          <w:sz w:val="22"/>
          <w:szCs w:val="22"/>
        </w:rPr>
      </w:pPr>
      <w:r w:rsidRPr="008519B0">
        <w:rPr>
          <w:sz w:val="22"/>
          <w:szCs w:val="22"/>
        </w:rPr>
        <w:t>Under the case-by-case approach, the complainant will have the burden of showing both:</w:t>
      </w:r>
      <w:r>
        <w:rPr>
          <w:sz w:val="22"/>
          <w:szCs w:val="22"/>
        </w:rPr>
        <w:tab/>
      </w:r>
    </w:p>
    <w:p w:rsidR="00583458" w:rsidRDefault="00583458" w:rsidP="008519B0">
      <w:pPr>
        <w:pStyle w:val="ListParagraph"/>
        <w:numPr>
          <w:ilvl w:val="0"/>
          <w:numId w:val="7"/>
        </w:numPr>
        <w:contextualSpacing w:val="0"/>
        <w:rPr>
          <w:sz w:val="22"/>
          <w:szCs w:val="22"/>
        </w:rPr>
      </w:pPr>
      <w:r>
        <w:rPr>
          <w:sz w:val="22"/>
          <w:szCs w:val="22"/>
        </w:rPr>
        <w:t>that the exclusive contract is “unfair”; and</w:t>
      </w:r>
    </w:p>
    <w:p w:rsidR="00583458" w:rsidRDefault="00583458" w:rsidP="008519B0">
      <w:pPr>
        <w:pStyle w:val="ListParagraph"/>
        <w:numPr>
          <w:ilvl w:val="0"/>
          <w:numId w:val="7"/>
        </w:numPr>
        <w:contextualSpacing w:val="0"/>
        <w:rPr>
          <w:sz w:val="22"/>
          <w:szCs w:val="22"/>
        </w:rPr>
      </w:pPr>
      <w:r>
        <w:rPr>
          <w:sz w:val="22"/>
          <w:szCs w:val="22"/>
        </w:rPr>
        <w:t>that the exclusive contract has the “purpose or effect” of “significantly hindering or preventing” the complainant from providing satellite cable programming or satellite broadcast programming.</w:t>
      </w:r>
    </w:p>
    <w:p w:rsidR="00583458" w:rsidRDefault="00583458" w:rsidP="008519B0">
      <w:pPr>
        <w:pStyle w:val="ListParagraph"/>
        <w:contextualSpacing w:val="0"/>
        <w:rPr>
          <w:sz w:val="22"/>
          <w:szCs w:val="22"/>
        </w:rPr>
      </w:pPr>
    </w:p>
    <w:p w:rsidR="00583458" w:rsidRDefault="00583458" w:rsidP="008519B0">
      <w:pPr>
        <w:rPr>
          <w:sz w:val="22"/>
          <w:szCs w:val="22"/>
        </w:rPr>
      </w:pPr>
      <w:r w:rsidRPr="008519B0">
        <w:rPr>
          <w:sz w:val="22"/>
          <w:szCs w:val="22"/>
        </w:rPr>
        <w:t xml:space="preserve">In determining whether an exclusive contract is </w:t>
      </w:r>
      <w:r>
        <w:rPr>
          <w:sz w:val="22"/>
          <w:szCs w:val="22"/>
        </w:rPr>
        <w:t>“</w:t>
      </w:r>
      <w:r w:rsidRPr="008519B0">
        <w:rPr>
          <w:sz w:val="22"/>
          <w:szCs w:val="22"/>
        </w:rPr>
        <w:t>unfair,</w:t>
      </w:r>
      <w:r>
        <w:rPr>
          <w:sz w:val="22"/>
          <w:szCs w:val="22"/>
        </w:rPr>
        <w:t>”</w:t>
      </w:r>
      <w:r w:rsidRPr="008519B0">
        <w:rPr>
          <w:sz w:val="22"/>
          <w:szCs w:val="22"/>
        </w:rPr>
        <w:t xml:space="preserve"> the Commission balances the anticompetitive harms of the contract against its procompetitive benefits.</w:t>
      </w:r>
    </w:p>
    <w:p w:rsidR="00583458" w:rsidRPr="008519B0" w:rsidRDefault="00583458" w:rsidP="008519B0">
      <w:pPr>
        <w:rPr>
          <w:sz w:val="22"/>
          <w:szCs w:val="22"/>
        </w:rPr>
      </w:pPr>
    </w:p>
    <w:p w:rsidR="00583458" w:rsidRPr="008519B0" w:rsidRDefault="00583458" w:rsidP="00A15035">
      <w:pPr>
        <w:tabs>
          <w:tab w:val="left" w:pos="8445"/>
        </w:tabs>
        <w:spacing w:after="120"/>
        <w:rPr>
          <w:sz w:val="22"/>
          <w:szCs w:val="22"/>
        </w:rPr>
      </w:pPr>
      <w:r w:rsidRPr="008519B0">
        <w:rPr>
          <w:sz w:val="22"/>
          <w:szCs w:val="22"/>
        </w:rPr>
        <w:t xml:space="preserve">The evidence required to prove that a given exclusive contract has the </w:t>
      </w:r>
      <w:r>
        <w:rPr>
          <w:sz w:val="22"/>
          <w:szCs w:val="22"/>
        </w:rPr>
        <w:t>“</w:t>
      </w:r>
      <w:r w:rsidRPr="008519B0">
        <w:rPr>
          <w:sz w:val="22"/>
          <w:szCs w:val="22"/>
        </w:rPr>
        <w:t>purpose or effect</w:t>
      </w:r>
      <w:r>
        <w:rPr>
          <w:sz w:val="22"/>
          <w:szCs w:val="22"/>
        </w:rPr>
        <w:t>”</w:t>
      </w:r>
      <w:r w:rsidRPr="008519B0">
        <w:rPr>
          <w:sz w:val="22"/>
          <w:szCs w:val="22"/>
        </w:rPr>
        <w:t xml:space="preserve"> of </w:t>
      </w:r>
      <w:r>
        <w:rPr>
          <w:sz w:val="22"/>
          <w:szCs w:val="22"/>
        </w:rPr>
        <w:t>“</w:t>
      </w:r>
      <w:r w:rsidRPr="008519B0">
        <w:rPr>
          <w:sz w:val="22"/>
          <w:szCs w:val="22"/>
        </w:rPr>
        <w:t>significantly hindering or preventing</w:t>
      </w:r>
      <w:r>
        <w:rPr>
          <w:sz w:val="22"/>
          <w:szCs w:val="22"/>
        </w:rPr>
        <w:t>”</w:t>
      </w:r>
      <w:r w:rsidRPr="008519B0">
        <w:rPr>
          <w:sz w:val="22"/>
          <w:szCs w:val="22"/>
        </w:rPr>
        <w:t xml:space="preserve"> the complainant from providing satellite cable programming or satellite broadcast programming will </w:t>
      </w:r>
      <w:r>
        <w:rPr>
          <w:sz w:val="22"/>
          <w:szCs w:val="22"/>
        </w:rPr>
        <w:t>vary based o</w:t>
      </w:r>
      <w:r w:rsidRPr="008519B0">
        <w:rPr>
          <w:sz w:val="22"/>
          <w:szCs w:val="22"/>
        </w:rPr>
        <w:t xml:space="preserve">n the specific facts and circumstance in each case, </w:t>
      </w:r>
      <w:r>
        <w:rPr>
          <w:sz w:val="22"/>
          <w:szCs w:val="22"/>
        </w:rPr>
        <w:t>and</w:t>
      </w:r>
      <w:r w:rsidRPr="008519B0">
        <w:rPr>
          <w:sz w:val="22"/>
          <w:szCs w:val="22"/>
        </w:rPr>
        <w:t xml:space="preserve"> may </w:t>
      </w:r>
      <w:r>
        <w:rPr>
          <w:sz w:val="22"/>
          <w:szCs w:val="22"/>
        </w:rPr>
        <w:t>depend on</w:t>
      </w:r>
      <w:r w:rsidRPr="008519B0">
        <w:rPr>
          <w:sz w:val="22"/>
          <w:szCs w:val="22"/>
        </w:rPr>
        <w:t xml:space="preserve"> whether the complainant is a new entrant</w:t>
      </w:r>
      <w:r>
        <w:rPr>
          <w:sz w:val="22"/>
          <w:szCs w:val="22"/>
        </w:rPr>
        <w:t xml:space="preserve"> or an established competitor</w:t>
      </w:r>
      <w:r w:rsidRPr="008519B0">
        <w:rPr>
          <w:sz w:val="22"/>
          <w:szCs w:val="22"/>
        </w:rPr>
        <w:t>, and whether the programming involved is new programming.</w:t>
      </w:r>
      <w:r>
        <w:rPr>
          <w:sz w:val="22"/>
          <w:szCs w:val="22"/>
        </w:rPr>
        <w:t xml:space="preserve">  </w:t>
      </w:r>
      <w:r w:rsidRPr="008519B0">
        <w:rPr>
          <w:sz w:val="22"/>
          <w:szCs w:val="22"/>
        </w:rPr>
        <w:t>Examples of the kinds of evidence that the complainant could offer include:</w:t>
      </w:r>
    </w:p>
    <w:p w:rsidR="00583458" w:rsidRPr="00E36FD5" w:rsidRDefault="00583458" w:rsidP="008519B0">
      <w:pPr>
        <w:pStyle w:val="ListParagraph"/>
        <w:numPr>
          <w:ilvl w:val="0"/>
          <w:numId w:val="7"/>
        </w:numPr>
        <w:contextualSpacing w:val="0"/>
        <w:rPr>
          <w:sz w:val="22"/>
          <w:szCs w:val="22"/>
        </w:rPr>
      </w:pPr>
      <w:r>
        <w:rPr>
          <w:sz w:val="22"/>
          <w:szCs w:val="22"/>
        </w:rPr>
        <w:t>regression analyses that estimate</w:t>
      </w:r>
      <w:r w:rsidRPr="000F1DE5">
        <w:rPr>
          <w:sz w:val="22"/>
          <w:szCs w:val="22"/>
        </w:rPr>
        <w:t xml:space="preserve"> what the </w:t>
      </w:r>
      <w:r>
        <w:rPr>
          <w:sz w:val="22"/>
          <w:szCs w:val="22"/>
        </w:rPr>
        <w:t>complainant’s</w:t>
      </w:r>
      <w:r w:rsidRPr="00E36FD5">
        <w:rPr>
          <w:sz w:val="22"/>
          <w:szCs w:val="22"/>
        </w:rPr>
        <w:t xml:space="preserve"> market share in the </w:t>
      </w:r>
      <w:r>
        <w:rPr>
          <w:sz w:val="22"/>
          <w:szCs w:val="22"/>
        </w:rPr>
        <w:t>MVPD</w:t>
      </w:r>
      <w:r w:rsidRPr="00E36FD5">
        <w:rPr>
          <w:sz w:val="22"/>
          <w:szCs w:val="22"/>
        </w:rPr>
        <w:t xml:space="preserve"> market would be if it had access to the programming and how that compares to its actual market share; and</w:t>
      </w:r>
    </w:p>
    <w:p w:rsidR="00583458" w:rsidRDefault="00583458" w:rsidP="008519B0">
      <w:pPr>
        <w:pStyle w:val="ListParagraph"/>
        <w:numPr>
          <w:ilvl w:val="0"/>
          <w:numId w:val="7"/>
        </w:numPr>
        <w:contextualSpacing w:val="0"/>
        <w:rPr>
          <w:sz w:val="22"/>
          <w:szCs w:val="22"/>
        </w:rPr>
      </w:pPr>
      <w:r w:rsidRPr="000F1DE5">
        <w:rPr>
          <w:sz w:val="22"/>
          <w:szCs w:val="22"/>
        </w:rPr>
        <w:t>statistically reliable survey data indicating the likelihood that customers would choose not to subscribe to or not to switch to an MVPD that did not carry the programming</w:t>
      </w:r>
      <w:r>
        <w:rPr>
          <w:sz w:val="22"/>
          <w:szCs w:val="22"/>
        </w:rPr>
        <w:t xml:space="preserve"> at issue.</w:t>
      </w:r>
    </w:p>
    <w:p w:rsidR="00583458" w:rsidRPr="008519B0" w:rsidRDefault="00583458" w:rsidP="008519B0">
      <w:pPr>
        <w:rPr>
          <w:sz w:val="22"/>
          <w:szCs w:val="22"/>
        </w:rPr>
      </w:pPr>
    </w:p>
    <w:p w:rsidR="00583458" w:rsidRPr="008519B0" w:rsidRDefault="00583458" w:rsidP="008519B0">
      <w:pPr>
        <w:rPr>
          <w:sz w:val="22"/>
          <w:szCs w:val="22"/>
        </w:rPr>
      </w:pPr>
      <w:r w:rsidRPr="008519B0">
        <w:rPr>
          <w:sz w:val="22"/>
          <w:szCs w:val="22"/>
        </w:rPr>
        <w:t>The reliability of any evidence offered will be determined on a case-by-case basis.</w:t>
      </w:r>
    </w:p>
    <w:p w:rsidR="00583458" w:rsidRPr="0076338B" w:rsidRDefault="00583458" w:rsidP="008519B0">
      <w:pPr>
        <w:pStyle w:val="ListParagraph"/>
        <w:contextualSpacing w:val="0"/>
        <w:rPr>
          <w:sz w:val="22"/>
          <w:szCs w:val="22"/>
        </w:rPr>
      </w:pPr>
    </w:p>
    <w:p w:rsidR="00583458" w:rsidRPr="0076338B" w:rsidRDefault="00583458" w:rsidP="008519B0">
      <w:pPr>
        <w:rPr>
          <w:sz w:val="22"/>
          <w:szCs w:val="22"/>
        </w:rPr>
      </w:pPr>
      <w:r w:rsidRPr="0076338B">
        <w:rPr>
          <w:sz w:val="22"/>
          <w:szCs w:val="22"/>
        </w:rPr>
        <w:t xml:space="preserve">For exclusive contracts involving a satellite-delivered, cable-affiliated RSN, there </w:t>
      </w:r>
      <w:r>
        <w:rPr>
          <w:sz w:val="22"/>
          <w:szCs w:val="22"/>
        </w:rPr>
        <w:t>is</w:t>
      </w:r>
      <w:r w:rsidRPr="0076338B">
        <w:rPr>
          <w:sz w:val="22"/>
          <w:szCs w:val="22"/>
        </w:rPr>
        <w:t xml:space="preserve"> a </w:t>
      </w:r>
      <w:r>
        <w:rPr>
          <w:sz w:val="22"/>
          <w:szCs w:val="22"/>
        </w:rPr>
        <w:t xml:space="preserve">rebuttable </w:t>
      </w:r>
      <w:r w:rsidRPr="0076338B">
        <w:rPr>
          <w:sz w:val="22"/>
          <w:szCs w:val="22"/>
        </w:rPr>
        <w:t>presumption that the contract has the “purpose or effect” of “significantly hindering or preventing” the complainant from providing satellite cable programming or satellite broadcast programming.  The complainant has the burden of showing that the network involved is a</w:t>
      </w:r>
      <w:r>
        <w:rPr>
          <w:sz w:val="22"/>
          <w:szCs w:val="22"/>
        </w:rPr>
        <w:t>n RSN</w:t>
      </w:r>
      <w:r w:rsidRPr="0076338B">
        <w:rPr>
          <w:sz w:val="22"/>
          <w:szCs w:val="22"/>
        </w:rPr>
        <w:t xml:space="preserve">.  A defendant may overcome this presumption by establishing that the exclusive contract does not have the purpose or effect of significantly hindering or preventing the MVPD from providing satellite cable programming or satellite broadcast programming. </w:t>
      </w:r>
    </w:p>
    <w:p w:rsidR="00583458" w:rsidRDefault="00583458" w:rsidP="008519B0">
      <w:pPr>
        <w:rPr>
          <w:sz w:val="22"/>
          <w:szCs w:val="22"/>
        </w:rPr>
      </w:pPr>
    </w:p>
    <w:p w:rsidR="00583458" w:rsidRPr="00784A26" w:rsidRDefault="00583458" w:rsidP="008519B0">
      <w:pPr>
        <w:rPr>
          <w:sz w:val="22"/>
          <w:szCs w:val="22"/>
        </w:rPr>
      </w:pPr>
      <w:r>
        <w:rPr>
          <w:sz w:val="22"/>
          <w:szCs w:val="22"/>
        </w:rPr>
        <w:t xml:space="preserve">A high definition (“HD”) version of a network will be treated separately from the standard definition (“SD”) version of that network when determining whether an exclusive contract violates </w:t>
      </w:r>
      <w:r w:rsidRPr="00B65D6D">
        <w:rPr>
          <w:sz w:val="22"/>
          <w:szCs w:val="22"/>
        </w:rPr>
        <w:t>Section 628(b)</w:t>
      </w:r>
      <w:r>
        <w:rPr>
          <w:sz w:val="22"/>
          <w:szCs w:val="22"/>
        </w:rPr>
        <w:t xml:space="preserve">.  An exclusive contract involving only the HD version of a network could still be found to violate </w:t>
      </w:r>
      <w:r w:rsidRPr="00B65D6D">
        <w:rPr>
          <w:sz w:val="22"/>
          <w:szCs w:val="22"/>
        </w:rPr>
        <w:t>Section 628(b)</w:t>
      </w:r>
      <w:r>
        <w:rPr>
          <w:sz w:val="22"/>
          <w:szCs w:val="22"/>
        </w:rPr>
        <w:t xml:space="preserve">, even if the complainant offers the SD version of the network.  </w:t>
      </w:r>
      <w:r w:rsidRPr="008519B0">
        <w:rPr>
          <w:sz w:val="22"/>
          <w:szCs w:val="22"/>
        </w:rPr>
        <w:t xml:space="preserve">For exclusive contracts involving the </w:t>
      </w:r>
      <w:r>
        <w:rPr>
          <w:sz w:val="22"/>
          <w:szCs w:val="22"/>
        </w:rPr>
        <w:t>HD</w:t>
      </w:r>
      <w:r w:rsidRPr="008519B0">
        <w:rPr>
          <w:sz w:val="22"/>
          <w:szCs w:val="22"/>
        </w:rPr>
        <w:t xml:space="preserve"> version of a</w:t>
      </w:r>
      <w:r>
        <w:rPr>
          <w:sz w:val="22"/>
          <w:szCs w:val="22"/>
        </w:rPr>
        <w:t>n RSN</w:t>
      </w:r>
      <w:r w:rsidRPr="008519B0">
        <w:rPr>
          <w:sz w:val="22"/>
          <w:szCs w:val="22"/>
        </w:rPr>
        <w:t>, there is a rebuttable presumption that the contract results in significant hindrance,</w:t>
      </w:r>
      <w:r w:rsidRPr="00784A26">
        <w:rPr>
          <w:sz w:val="22"/>
          <w:szCs w:val="22"/>
        </w:rPr>
        <w:t xml:space="preserve"> even if the complainant offers the SD version of the network.</w:t>
      </w:r>
    </w:p>
    <w:p w:rsidR="00583458" w:rsidRPr="00784A26" w:rsidRDefault="00583458" w:rsidP="008519B0">
      <w:pPr>
        <w:rPr>
          <w:sz w:val="22"/>
          <w:szCs w:val="22"/>
        </w:rPr>
      </w:pPr>
    </w:p>
    <w:p w:rsidR="00583458" w:rsidRPr="00784A26" w:rsidRDefault="00583458" w:rsidP="008519B0">
      <w:pPr>
        <w:rPr>
          <w:sz w:val="22"/>
          <w:szCs w:val="22"/>
        </w:rPr>
      </w:pPr>
      <w:r w:rsidRPr="00784A26">
        <w:rPr>
          <w:sz w:val="22"/>
          <w:szCs w:val="22"/>
        </w:rPr>
        <w:t>Once a complaint alleging a violation of Section 628(b) has been filed, the defendant will have 45 days to file an answer to the complaint.  This 45-day answer period will apply regardless of whether the complaint involves satellite-delivered or terrestrially</w:t>
      </w:r>
      <w:r>
        <w:rPr>
          <w:sz w:val="22"/>
          <w:szCs w:val="22"/>
        </w:rPr>
        <w:t>-</w:t>
      </w:r>
      <w:r w:rsidRPr="00784A26">
        <w:rPr>
          <w:sz w:val="22"/>
          <w:szCs w:val="22"/>
        </w:rPr>
        <w:t>delivered programming.  If a complainant alleges violations of both Section 628(b) and Section 628(c), the 45-day answer period</w:t>
      </w:r>
      <w:r>
        <w:rPr>
          <w:sz w:val="22"/>
          <w:szCs w:val="22"/>
        </w:rPr>
        <w:t xml:space="preserve"> (</w:t>
      </w:r>
      <w:r w:rsidRPr="00784A26">
        <w:rPr>
          <w:sz w:val="22"/>
          <w:szCs w:val="22"/>
        </w:rPr>
        <w:t>rather than the 20-day answer period applicable to Section 628(c) complaints</w:t>
      </w:r>
      <w:r>
        <w:rPr>
          <w:sz w:val="22"/>
          <w:szCs w:val="22"/>
        </w:rPr>
        <w:t>)</w:t>
      </w:r>
      <w:r w:rsidRPr="00784A26">
        <w:rPr>
          <w:sz w:val="22"/>
          <w:szCs w:val="22"/>
        </w:rPr>
        <w:t xml:space="preserve"> will apply.</w:t>
      </w:r>
    </w:p>
    <w:p w:rsidR="00583458" w:rsidRPr="00784A26" w:rsidRDefault="00583458" w:rsidP="008519B0">
      <w:pPr>
        <w:pStyle w:val="ListParagraph"/>
        <w:contextualSpacing w:val="0"/>
        <w:rPr>
          <w:sz w:val="24"/>
          <w:szCs w:val="24"/>
        </w:rPr>
      </w:pPr>
    </w:p>
    <w:p w:rsidR="00583458" w:rsidRDefault="00583458" w:rsidP="008519B0">
      <w:pPr>
        <w:rPr>
          <w:sz w:val="22"/>
          <w:szCs w:val="22"/>
        </w:rPr>
      </w:pPr>
      <w:r w:rsidRPr="008519B0">
        <w:rPr>
          <w:sz w:val="22"/>
          <w:szCs w:val="22"/>
        </w:rPr>
        <w:t xml:space="preserve">The Media Bureau will have six months from the date a complaint is filed to </w:t>
      </w:r>
      <w:r>
        <w:rPr>
          <w:sz w:val="22"/>
          <w:szCs w:val="22"/>
        </w:rPr>
        <w:t>issue</w:t>
      </w:r>
      <w:r w:rsidRPr="008519B0">
        <w:rPr>
          <w:sz w:val="22"/>
          <w:szCs w:val="22"/>
        </w:rPr>
        <w:t xml:space="preserve"> a decision on the complaint.  This deadline will apply regardless of whether the complaint involves terrestrially-delivered or satellite-delivered programming.  </w:t>
      </w:r>
    </w:p>
    <w:p w:rsidR="00583458" w:rsidRDefault="00583458" w:rsidP="008519B0">
      <w:pPr>
        <w:rPr>
          <w:sz w:val="22"/>
          <w:szCs w:val="22"/>
        </w:rPr>
      </w:pPr>
    </w:p>
    <w:p w:rsidR="00583458" w:rsidRDefault="00583458" w:rsidP="008519B0">
      <w:pPr>
        <w:rPr>
          <w:sz w:val="22"/>
          <w:szCs w:val="22"/>
        </w:rPr>
      </w:pPr>
      <w:r>
        <w:rPr>
          <w:b/>
          <w:sz w:val="22"/>
          <w:szCs w:val="22"/>
        </w:rPr>
        <w:t>3.  Other Revisions to Program Access Complaint Procedures</w:t>
      </w:r>
    </w:p>
    <w:p w:rsidR="00583458" w:rsidRPr="007C326F" w:rsidRDefault="00583458" w:rsidP="008519B0">
      <w:pPr>
        <w:rPr>
          <w:sz w:val="22"/>
          <w:szCs w:val="22"/>
        </w:rPr>
      </w:pPr>
    </w:p>
    <w:p w:rsidR="00583458" w:rsidRPr="00DB1666" w:rsidRDefault="00583458" w:rsidP="008519B0">
      <w:pPr>
        <w:rPr>
          <w:sz w:val="22"/>
          <w:szCs w:val="22"/>
        </w:rPr>
      </w:pPr>
      <w:r w:rsidRPr="008519B0">
        <w:rPr>
          <w:sz w:val="22"/>
          <w:szCs w:val="22"/>
        </w:rPr>
        <w:t xml:space="preserve">The Commission’s standard protective order for Section 628 program access </w:t>
      </w:r>
      <w:r>
        <w:rPr>
          <w:sz w:val="22"/>
          <w:szCs w:val="22"/>
        </w:rPr>
        <w:t xml:space="preserve">complaint </w:t>
      </w:r>
      <w:r w:rsidRPr="008519B0">
        <w:rPr>
          <w:sz w:val="22"/>
          <w:szCs w:val="22"/>
        </w:rPr>
        <w:t xml:space="preserve">proceedings </w:t>
      </w:r>
      <w:r>
        <w:rPr>
          <w:sz w:val="22"/>
          <w:szCs w:val="22"/>
        </w:rPr>
        <w:t xml:space="preserve">has been revised to </w:t>
      </w:r>
      <w:r w:rsidRPr="008519B0">
        <w:rPr>
          <w:sz w:val="22"/>
          <w:szCs w:val="22"/>
        </w:rPr>
        <w:t>include a provision allowing a party to object to a request for documents</w:t>
      </w:r>
      <w:r>
        <w:rPr>
          <w:sz w:val="22"/>
          <w:szCs w:val="22"/>
        </w:rPr>
        <w:t xml:space="preserve"> </w:t>
      </w:r>
      <w:r w:rsidRPr="00B07F5A">
        <w:rPr>
          <w:sz w:val="22"/>
          <w:szCs w:val="22"/>
        </w:rPr>
        <w:t>based on concerns about the individuals seeking access to confidential information</w:t>
      </w:r>
      <w:r w:rsidRPr="008519B0">
        <w:rPr>
          <w:sz w:val="22"/>
          <w:szCs w:val="22"/>
        </w:rPr>
        <w:t xml:space="preserve">.  Under this provision, </w:t>
      </w:r>
      <w:r w:rsidRPr="00DB1666">
        <w:rPr>
          <w:sz w:val="22"/>
          <w:szCs w:val="22"/>
        </w:rPr>
        <w:t xml:space="preserve">an individual seeking access to confidential information will be required to provide at least five business days’ notice to the submitting party prior to accessing any protected documents to </w:t>
      </w:r>
      <w:r>
        <w:rPr>
          <w:sz w:val="22"/>
          <w:szCs w:val="22"/>
        </w:rPr>
        <w:t>give</w:t>
      </w:r>
      <w:r w:rsidRPr="00DB1666">
        <w:rPr>
          <w:sz w:val="22"/>
          <w:szCs w:val="22"/>
        </w:rPr>
        <w:t xml:space="preserve"> the submitting party the opportunity to object.  If the submitting party objects, the individual will not be provided access to the protected documents until the Commission rules on the objection.   </w:t>
      </w:r>
    </w:p>
    <w:p w:rsidR="00583458" w:rsidRPr="008519B0" w:rsidRDefault="00583458" w:rsidP="008519B0">
      <w:pPr>
        <w:rPr>
          <w:sz w:val="22"/>
          <w:szCs w:val="22"/>
        </w:rPr>
      </w:pPr>
    </w:p>
    <w:p w:rsidR="00583458" w:rsidRDefault="00583458" w:rsidP="008519B0">
      <w:pPr>
        <w:rPr>
          <w:sz w:val="22"/>
          <w:szCs w:val="22"/>
        </w:rPr>
      </w:pPr>
      <w:r>
        <w:rPr>
          <w:sz w:val="22"/>
          <w:szCs w:val="22"/>
        </w:rPr>
        <w:t>The program access complaint procedures have also been revised to clarify that a</w:t>
      </w:r>
      <w:r w:rsidRPr="008519B0">
        <w:rPr>
          <w:sz w:val="22"/>
          <w:szCs w:val="22"/>
        </w:rPr>
        <w:t xml:space="preserve"> party may object to any request for documents that are protected from disclosure by the attorney-client privilege, the work</w:t>
      </w:r>
      <w:r>
        <w:rPr>
          <w:sz w:val="22"/>
          <w:szCs w:val="22"/>
        </w:rPr>
        <w:t xml:space="preserve"> </w:t>
      </w:r>
      <w:r w:rsidRPr="008519B0">
        <w:rPr>
          <w:sz w:val="22"/>
          <w:szCs w:val="22"/>
        </w:rPr>
        <w:t xml:space="preserve">product </w:t>
      </w:r>
      <w:r>
        <w:rPr>
          <w:sz w:val="22"/>
          <w:szCs w:val="22"/>
        </w:rPr>
        <w:t>privilege</w:t>
      </w:r>
      <w:r w:rsidRPr="008519B0">
        <w:rPr>
          <w:sz w:val="22"/>
          <w:szCs w:val="22"/>
        </w:rPr>
        <w:t>, or other recogn</w:t>
      </w:r>
      <w:r w:rsidRPr="00DB1666">
        <w:rPr>
          <w:sz w:val="22"/>
          <w:szCs w:val="22"/>
        </w:rPr>
        <w:t>ized protections from disclosure.  The work product privilege may also extend to confidential exchanges between programmers and their accountants or experts if these materials are prepared in anticipation of litigation.</w:t>
      </w:r>
    </w:p>
    <w:p w:rsidR="00583458" w:rsidRDefault="00583458" w:rsidP="00E34125">
      <w:pPr>
        <w:rPr>
          <w:sz w:val="22"/>
          <w:szCs w:val="22"/>
        </w:rPr>
      </w:pPr>
    </w:p>
    <w:p w:rsidR="00583458" w:rsidRDefault="00583458" w:rsidP="00E34125">
      <w:pPr>
        <w:rPr>
          <w:color w:val="000000"/>
          <w:sz w:val="22"/>
          <w:szCs w:val="22"/>
        </w:rPr>
      </w:pPr>
      <w:r>
        <w:rPr>
          <w:b/>
          <w:color w:val="000000"/>
          <w:sz w:val="22"/>
          <w:szCs w:val="22"/>
        </w:rPr>
        <w:t>INTERNET LINKS</w:t>
      </w:r>
    </w:p>
    <w:p w:rsidR="00583458" w:rsidRDefault="00583458" w:rsidP="00E34125">
      <w:pPr>
        <w:rPr>
          <w:color w:val="000000"/>
          <w:sz w:val="22"/>
          <w:szCs w:val="22"/>
        </w:rPr>
      </w:pPr>
    </w:p>
    <w:p w:rsidR="00583458" w:rsidRDefault="00583458" w:rsidP="003F714E">
      <w:pPr>
        <w:spacing w:after="120"/>
        <w:rPr>
          <w:color w:val="000000"/>
          <w:sz w:val="22"/>
          <w:szCs w:val="22"/>
        </w:rPr>
      </w:pPr>
      <w:r>
        <w:rPr>
          <w:i/>
          <w:color w:val="000000"/>
          <w:sz w:val="22"/>
          <w:szCs w:val="22"/>
        </w:rPr>
        <w:t>Revision of the Commission’s Program Access Rules et al.</w:t>
      </w:r>
      <w:r>
        <w:rPr>
          <w:color w:val="000000"/>
          <w:sz w:val="22"/>
          <w:szCs w:val="22"/>
        </w:rPr>
        <w:t xml:space="preserve">, Report and Order in MB Docket Nos. 12-68, 07-18, 05-192, Further Notice of Proposed Rulemaking in MB Docket No. 12-68, </w:t>
      </w:r>
      <w:r w:rsidR="003B2116">
        <w:rPr>
          <w:color w:val="000000"/>
          <w:sz w:val="22"/>
          <w:szCs w:val="22"/>
        </w:rPr>
        <w:t xml:space="preserve">and </w:t>
      </w:r>
      <w:r>
        <w:rPr>
          <w:color w:val="000000"/>
          <w:sz w:val="22"/>
          <w:szCs w:val="22"/>
        </w:rPr>
        <w:t>Order on Reconsideration in MB Docket No. 07-29, 27 FCC Rcd 12605 (2012):</w:t>
      </w:r>
    </w:p>
    <w:p w:rsidR="00583458" w:rsidRDefault="00A705E4" w:rsidP="00E34125">
      <w:pPr>
        <w:ind w:left="360"/>
        <w:rPr>
          <w:rStyle w:val="Hyperlink"/>
          <w:sz w:val="22"/>
          <w:szCs w:val="22"/>
        </w:rPr>
      </w:pPr>
      <w:hyperlink r:id="rId9" w:tgtFrame="blank" w:tooltip="Document FCC-12-123A1.doc" w:history="1">
        <w:r w:rsidR="00583458" w:rsidRPr="00992E1B">
          <w:rPr>
            <w:rStyle w:val="Hyperlink"/>
            <w:sz w:val="22"/>
            <w:szCs w:val="22"/>
          </w:rPr>
          <w:t>http://hraunfoss.fcc.gov/edocs_public/attachmatch/FCC-12-123A1.doc</w:t>
        </w:r>
      </w:hyperlink>
    </w:p>
    <w:p w:rsidR="00583458" w:rsidRDefault="00A705E4" w:rsidP="00E34125">
      <w:pPr>
        <w:ind w:left="360"/>
        <w:rPr>
          <w:rStyle w:val="Hyperlink"/>
          <w:sz w:val="22"/>
          <w:szCs w:val="22"/>
        </w:rPr>
      </w:pPr>
      <w:hyperlink r:id="rId10" w:history="1">
        <w:r w:rsidR="00583458" w:rsidRPr="00992E1B">
          <w:rPr>
            <w:rStyle w:val="Hyperlink"/>
            <w:sz w:val="22"/>
            <w:szCs w:val="22"/>
          </w:rPr>
          <w:t>http://hraunfoss.fcc.gov/edocs_public/attachmatch/FCC-12-123A2.doc</w:t>
        </w:r>
      </w:hyperlink>
    </w:p>
    <w:p w:rsidR="00583458" w:rsidRDefault="00A705E4" w:rsidP="00E34125">
      <w:pPr>
        <w:ind w:left="360"/>
        <w:rPr>
          <w:rStyle w:val="Hyperlink"/>
          <w:sz w:val="22"/>
          <w:szCs w:val="22"/>
        </w:rPr>
      </w:pPr>
      <w:hyperlink r:id="rId11" w:history="1">
        <w:r w:rsidR="00583458" w:rsidRPr="00992E1B">
          <w:rPr>
            <w:rStyle w:val="Hyperlink"/>
            <w:sz w:val="22"/>
            <w:szCs w:val="22"/>
          </w:rPr>
          <w:t>http://hraunfoss.fcc.gov/edocs_public/attachmatch/FCC-12-123A3.doc</w:t>
        </w:r>
      </w:hyperlink>
    </w:p>
    <w:p w:rsidR="00583458" w:rsidRDefault="00A705E4" w:rsidP="00E34125">
      <w:pPr>
        <w:ind w:left="360"/>
        <w:rPr>
          <w:rStyle w:val="Hyperlink"/>
          <w:sz w:val="22"/>
          <w:szCs w:val="22"/>
        </w:rPr>
      </w:pPr>
      <w:hyperlink r:id="rId12" w:history="1">
        <w:r w:rsidR="00583458" w:rsidRPr="00992E1B">
          <w:rPr>
            <w:rStyle w:val="Hyperlink"/>
            <w:sz w:val="22"/>
            <w:szCs w:val="22"/>
          </w:rPr>
          <w:t>http://hraunfoss.fcc.gov/edocs_public/attachmatch/FCC-12-123A4.doc</w:t>
        </w:r>
      </w:hyperlink>
    </w:p>
    <w:p w:rsidR="00583458" w:rsidRDefault="00A705E4" w:rsidP="00E34125">
      <w:pPr>
        <w:ind w:left="360"/>
        <w:rPr>
          <w:rStyle w:val="Hyperlink"/>
          <w:sz w:val="22"/>
          <w:szCs w:val="22"/>
        </w:rPr>
      </w:pPr>
      <w:hyperlink r:id="rId13" w:history="1">
        <w:r w:rsidR="00583458" w:rsidRPr="00992E1B">
          <w:rPr>
            <w:rStyle w:val="Hyperlink"/>
            <w:sz w:val="22"/>
            <w:szCs w:val="22"/>
          </w:rPr>
          <w:t>http://hraunfoss.fcc.gov/edocs_public/attachmatch/FCC-12-123A5.doc</w:t>
        </w:r>
      </w:hyperlink>
    </w:p>
    <w:p w:rsidR="00583458" w:rsidRDefault="00A705E4" w:rsidP="00E34125">
      <w:pPr>
        <w:ind w:left="360"/>
        <w:rPr>
          <w:rStyle w:val="Hyperlink"/>
          <w:sz w:val="22"/>
          <w:szCs w:val="22"/>
        </w:rPr>
      </w:pPr>
      <w:hyperlink r:id="rId14" w:history="1">
        <w:r w:rsidR="00583458" w:rsidRPr="00992E1B">
          <w:rPr>
            <w:rStyle w:val="Hyperlink"/>
            <w:sz w:val="22"/>
            <w:szCs w:val="22"/>
          </w:rPr>
          <w:t>http://hraunfoss.fcc.gov/edocs_public/attachmatch/FCC-12-123A6.doc</w:t>
        </w:r>
      </w:hyperlink>
    </w:p>
    <w:p w:rsidR="00583458" w:rsidRDefault="00A705E4" w:rsidP="00E34125">
      <w:pPr>
        <w:ind w:left="360"/>
        <w:rPr>
          <w:rStyle w:val="Hyperlink"/>
          <w:sz w:val="22"/>
          <w:szCs w:val="22"/>
        </w:rPr>
      </w:pPr>
      <w:hyperlink r:id="rId15" w:history="1">
        <w:r w:rsidR="00583458" w:rsidRPr="00992E1B">
          <w:rPr>
            <w:rStyle w:val="Hyperlink"/>
            <w:sz w:val="22"/>
            <w:szCs w:val="22"/>
          </w:rPr>
          <w:t>http://hraunfoss.fcc.gov/edocs_public/attachmatch/FCC-12-123A1.pdf</w:t>
        </w:r>
      </w:hyperlink>
    </w:p>
    <w:p w:rsidR="00583458" w:rsidRDefault="00A705E4" w:rsidP="00E34125">
      <w:pPr>
        <w:ind w:left="360"/>
        <w:rPr>
          <w:rStyle w:val="Hyperlink"/>
          <w:sz w:val="22"/>
          <w:szCs w:val="22"/>
        </w:rPr>
      </w:pPr>
      <w:hyperlink r:id="rId16" w:history="1">
        <w:r w:rsidR="00583458" w:rsidRPr="00992E1B">
          <w:rPr>
            <w:rStyle w:val="Hyperlink"/>
            <w:sz w:val="22"/>
            <w:szCs w:val="22"/>
          </w:rPr>
          <w:t>http://hraunfoss.fcc.gov/edocs_public/attachmatch/FCC-12-123A1.txt</w:t>
        </w:r>
      </w:hyperlink>
    </w:p>
    <w:sectPr w:rsidR="00583458" w:rsidSect="00F26E0C">
      <w:headerReference w:type="even" r:id="rId17"/>
      <w:headerReference w:type="default" r:id="rId18"/>
      <w:footerReference w:type="even" r:id="rId19"/>
      <w:footerReference w:type="default" r:id="rId20"/>
      <w:headerReference w:type="first" r:id="rId21"/>
      <w:footerReference w:type="first" r:id="rId22"/>
      <w:pgSz w:w="12240" w:h="15840" w:code="1"/>
      <w:pgMar w:top="1166" w:right="1152"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3D" w:rsidRDefault="00D4693D">
      <w:r>
        <w:separator/>
      </w:r>
    </w:p>
  </w:endnote>
  <w:endnote w:type="continuationSeparator" w:id="0">
    <w:p w:rsidR="00D4693D" w:rsidRDefault="00D4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A" w:rsidRDefault="00507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58" w:rsidRPr="00611EEF" w:rsidRDefault="00583458">
    <w:pPr>
      <w:pStyle w:val="Footer"/>
      <w:jc w:val="center"/>
      <w:rPr>
        <w:sz w:val="22"/>
      </w:rPr>
    </w:pPr>
    <w:r w:rsidRPr="00611EEF">
      <w:rPr>
        <w:sz w:val="22"/>
      </w:rPr>
      <w:fldChar w:fldCharType="begin"/>
    </w:r>
    <w:r w:rsidRPr="00611EEF">
      <w:rPr>
        <w:sz w:val="22"/>
      </w:rPr>
      <w:instrText xml:space="preserve"> PAGE   \* MERGEFORMAT </w:instrText>
    </w:r>
    <w:r w:rsidRPr="00611EEF">
      <w:rPr>
        <w:sz w:val="22"/>
      </w:rPr>
      <w:fldChar w:fldCharType="separate"/>
    </w:r>
    <w:r w:rsidR="00A705E4">
      <w:rPr>
        <w:noProof/>
        <w:sz w:val="22"/>
      </w:rPr>
      <w:t>2</w:t>
    </w:r>
    <w:r w:rsidRPr="00611EE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A" w:rsidRDefault="00507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3D" w:rsidRDefault="00D4693D">
      <w:r>
        <w:separator/>
      </w:r>
    </w:p>
  </w:footnote>
  <w:footnote w:type="continuationSeparator" w:id="0">
    <w:p w:rsidR="00D4693D" w:rsidRDefault="00D4693D">
      <w:r>
        <w:continuationSeparator/>
      </w:r>
    </w:p>
  </w:footnote>
  <w:footnote w:id="1">
    <w:p w:rsidR="007502AE" w:rsidRPr="007502AE" w:rsidRDefault="007502AE">
      <w:pPr>
        <w:pStyle w:val="FootnoteText"/>
      </w:pPr>
      <w:r>
        <w:rPr>
          <w:rStyle w:val="FootnoteReference"/>
        </w:rPr>
        <w:footnoteRef/>
      </w:r>
      <w:r>
        <w:t xml:space="preserve"> </w:t>
      </w:r>
      <w:r>
        <w:rPr>
          <w:i/>
        </w:rPr>
        <w:t xml:space="preserve">See </w:t>
      </w:r>
      <w:r>
        <w:t>47 C.F.R. §§ 76.1001, 76.1002.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A" w:rsidRDefault="00507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A" w:rsidRDefault="00507A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58" w:rsidRDefault="00A705E4">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60288;visibility:visible;mso-wrap-edited:f" o:allowincell="f" filled="t" fillcolor="#3cc">
          <v:imagedata r:id="rId1" o:title="" gain="69719f"/>
          <w10:wrap type="topAndBottom"/>
        </v:shape>
        <o:OLEObject Type="Embed" ProgID="Word.Picture.8" ShapeID="_x0000_s2049" DrawAspect="Content" ObjectID="_1429966390" r:id="rId2"/>
      </w:pict>
    </w:r>
    <w:r w:rsidR="00583458">
      <w:rPr>
        <w:rFonts w:ascii="CG Times (W1)" w:hAnsi="CG Times (W1)"/>
        <w:sz w:val="28"/>
      </w:rPr>
      <w:t>Federal Communications Commission</w:t>
    </w:r>
  </w:p>
  <w:p w:rsidR="00583458" w:rsidRDefault="00583458">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583458" w:rsidRDefault="00583458">
    <w:pPr>
      <w:pStyle w:val="Header"/>
      <w:tabs>
        <w:tab w:val="clear" w:pos="4320"/>
      </w:tabs>
      <w:jc w:val="center"/>
      <w:rPr>
        <w:sz w:val="22"/>
      </w:rPr>
    </w:pPr>
  </w:p>
  <w:p w:rsidR="003757ED" w:rsidRPr="003757ED" w:rsidRDefault="003757ED">
    <w:pPr>
      <w:pStyle w:val="Header"/>
      <w:tabs>
        <w:tab w:val="clear" w:pos="4320"/>
      </w:tabs>
      <w:jc w:val="center"/>
      <w:rPr>
        <w:sz w:val="24"/>
        <w:szCs w:val="24"/>
      </w:rPr>
    </w:pPr>
    <w:r>
      <w:rPr>
        <w:color w:val="FFFFFF" w:themeColor="background1"/>
        <w:sz w:val="24"/>
        <w:szCs w:val="24"/>
      </w:rPr>
      <w:t xml:space="preserve">‘ </w:t>
    </w:r>
    <w:r w:rsidRPr="003757ED">
      <w:rPr>
        <w:sz w:val="24"/>
        <w:szCs w:val="24"/>
      </w:rPr>
      <w:t>May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E81"/>
    <w:multiLevelType w:val="hybridMultilevel"/>
    <w:tmpl w:val="C452F5EA"/>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A4868"/>
    <w:multiLevelType w:val="hybridMultilevel"/>
    <w:tmpl w:val="245C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307D"/>
    <w:multiLevelType w:val="hybridMultilevel"/>
    <w:tmpl w:val="D61A516C"/>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90EDB"/>
    <w:multiLevelType w:val="hybridMultilevel"/>
    <w:tmpl w:val="D8F02920"/>
    <w:lvl w:ilvl="0" w:tplc="D018CCF8">
      <w:start w:val="1"/>
      <w:numFmt w:val="bullet"/>
      <w:lvlText w:val=""/>
      <w:lvlJc w:val="left"/>
      <w:pPr>
        <w:tabs>
          <w:tab w:val="num" w:pos="720"/>
        </w:tabs>
        <w:ind w:left="720" w:hanging="360"/>
      </w:pPr>
      <w:rPr>
        <w:rFonts w:ascii="Symbol" w:hAnsi="Symbol" w:hint="default"/>
        <w:b w:val="0"/>
        <w:sz w:val="16"/>
      </w:rPr>
    </w:lvl>
    <w:lvl w:ilvl="1" w:tplc="E1E25D34">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A4373"/>
    <w:multiLevelType w:val="hybridMultilevel"/>
    <w:tmpl w:val="9BE42AC4"/>
    <w:lvl w:ilvl="0" w:tplc="EBF6E2A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1172D"/>
    <w:multiLevelType w:val="hybridMultilevel"/>
    <w:tmpl w:val="358C9E0E"/>
    <w:lvl w:ilvl="0" w:tplc="1474FEE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D76F3"/>
    <w:multiLevelType w:val="hybridMultilevel"/>
    <w:tmpl w:val="422C13E6"/>
    <w:lvl w:ilvl="0" w:tplc="1152B24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6862C2"/>
    <w:multiLevelType w:val="hybridMultilevel"/>
    <w:tmpl w:val="1632C718"/>
    <w:lvl w:ilvl="0" w:tplc="45F8C35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9">
    <w:nsid w:val="768937AB"/>
    <w:multiLevelType w:val="hybridMultilevel"/>
    <w:tmpl w:val="51524E72"/>
    <w:lvl w:ilvl="0" w:tplc="EBF6E2A0">
      <w:start w:val="1"/>
      <w:numFmt w:val="bullet"/>
      <w:lvlText w:val=""/>
      <w:lvlJc w:val="left"/>
      <w:pPr>
        <w:ind w:left="720" w:hanging="360"/>
      </w:pPr>
      <w:rPr>
        <w:rFonts w:ascii="Symbol" w:hAnsi="Symbol" w:hint="default"/>
        <w:sz w:val="16"/>
      </w:rPr>
    </w:lvl>
    <w:lvl w:ilvl="1" w:tplc="C5D888B0">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D5693"/>
    <w:multiLevelType w:val="hybridMultilevel"/>
    <w:tmpl w:val="3472496E"/>
    <w:lvl w:ilvl="0" w:tplc="C3DC86D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46DA9"/>
    <w:multiLevelType w:val="hybridMultilevel"/>
    <w:tmpl w:val="711A61BC"/>
    <w:lvl w:ilvl="0" w:tplc="FFFFFFFF">
      <w:start w:val="1"/>
      <w:numFmt w:val="decimal"/>
      <w:lvlText w:val="%1."/>
      <w:lvlJc w:val="left"/>
      <w:pPr>
        <w:tabs>
          <w:tab w:val="num" w:pos="771"/>
        </w:tabs>
        <w:ind w:left="771" w:hanging="360"/>
      </w:pPr>
      <w:rPr>
        <w:rFonts w:cs="Times New Roman"/>
        <w:i w:val="0"/>
      </w:rPr>
    </w:lvl>
    <w:lvl w:ilvl="1" w:tplc="04090019">
      <w:start w:val="1"/>
      <w:numFmt w:val="lowerLetter"/>
      <w:lvlText w:val="%2."/>
      <w:lvlJc w:val="left"/>
      <w:pPr>
        <w:tabs>
          <w:tab w:val="num" w:pos="1491"/>
        </w:tabs>
        <w:ind w:left="1491" w:hanging="360"/>
      </w:pPr>
      <w:rPr>
        <w:rFonts w:cs="Times New Roman"/>
      </w:rPr>
    </w:lvl>
    <w:lvl w:ilvl="2" w:tplc="0409001B" w:tentative="1">
      <w:start w:val="1"/>
      <w:numFmt w:val="lowerRoman"/>
      <w:lvlText w:val="%3."/>
      <w:lvlJc w:val="right"/>
      <w:pPr>
        <w:tabs>
          <w:tab w:val="num" w:pos="2211"/>
        </w:tabs>
        <w:ind w:left="2211" w:hanging="180"/>
      </w:pPr>
      <w:rPr>
        <w:rFonts w:cs="Times New Roman"/>
      </w:rPr>
    </w:lvl>
    <w:lvl w:ilvl="3" w:tplc="0409000F" w:tentative="1">
      <w:start w:val="1"/>
      <w:numFmt w:val="decimal"/>
      <w:lvlText w:val="%4."/>
      <w:lvlJc w:val="left"/>
      <w:pPr>
        <w:tabs>
          <w:tab w:val="num" w:pos="2931"/>
        </w:tabs>
        <w:ind w:left="2931" w:hanging="360"/>
      </w:pPr>
      <w:rPr>
        <w:rFonts w:cs="Times New Roman"/>
      </w:rPr>
    </w:lvl>
    <w:lvl w:ilvl="4" w:tplc="04090019" w:tentative="1">
      <w:start w:val="1"/>
      <w:numFmt w:val="lowerLetter"/>
      <w:lvlText w:val="%5."/>
      <w:lvlJc w:val="left"/>
      <w:pPr>
        <w:tabs>
          <w:tab w:val="num" w:pos="3651"/>
        </w:tabs>
        <w:ind w:left="3651" w:hanging="360"/>
      </w:pPr>
      <w:rPr>
        <w:rFonts w:cs="Times New Roman"/>
      </w:rPr>
    </w:lvl>
    <w:lvl w:ilvl="5" w:tplc="0409001B" w:tentative="1">
      <w:start w:val="1"/>
      <w:numFmt w:val="lowerRoman"/>
      <w:lvlText w:val="%6."/>
      <w:lvlJc w:val="right"/>
      <w:pPr>
        <w:tabs>
          <w:tab w:val="num" w:pos="4371"/>
        </w:tabs>
        <w:ind w:left="4371" w:hanging="180"/>
      </w:pPr>
      <w:rPr>
        <w:rFonts w:cs="Times New Roman"/>
      </w:rPr>
    </w:lvl>
    <w:lvl w:ilvl="6" w:tplc="0409000F" w:tentative="1">
      <w:start w:val="1"/>
      <w:numFmt w:val="decimal"/>
      <w:lvlText w:val="%7."/>
      <w:lvlJc w:val="left"/>
      <w:pPr>
        <w:tabs>
          <w:tab w:val="num" w:pos="5091"/>
        </w:tabs>
        <w:ind w:left="5091" w:hanging="360"/>
      </w:pPr>
      <w:rPr>
        <w:rFonts w:cs="Times New Roman"/>
      </w:rPr>
    </w:lvl>
    <w:lvl w:ilvl="7" w:tplc="04090019" w:tentative="1">
      <w:start w:val="1"/>
      <w:numFmt w:val="lowerLetter"/>
      <w:lvlText w:val="%8."/>
      <w:lvlJc w:val="left"/>
      <w:pPr>
        <w:tabs>
          <w:tab w:val="num" w:pos="5811"/>
        </w:tabs>
        <w:ind w:left="5811" w:hanging="360"/>
      </w:pPr>
      <w:rPr>
        <w:rFonts w:cs="Times New Roman"/>
      </w:rPr>
    </w:lvl>
    <w:lvl w:ilvl="8" w:tplc="0409001B" w:tentative="1">
      <w:start w:val="1"/>
      <w:numFmt w:val="lowerRoman"/>
      <w:lvlText w:val="%9."/>
      <w:lvlJc w:val="right"/>
      <w:pPr>
        <w:tabs>
          <w:tab w:val="num" w:pos="6531"/>
        </w:tabs>
        <w:ind w:left="6531" w:hanging="180"/>
      </w:pPr>
      <w:rPr>
        <w:rFonts w:cs="Times New Roman"/>
      </w:rPr>
    </w:lvl>
  </w:abstractNum>
  <w:abstractNum w:abstractNumId="12">
    <w:nsid w:val="7F844131"/>
    <w:multiLevelType w:val="hybridMultilevel"/>
    <w:tmpl w:val="B35677B0"/>
    <w:lvl w:ilvl="0" w:tplc="1AB03E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2"/>
  </w:num>
  <w:num w:numId="5">
    <w:abstractNumId w:val="3"/>
  </w:num>
  <w:num w:numId="6">
    <w:abstractNumId w:val="4"/>
  </w:num>
  <w:num w:numId="7">
    <w:abstractNumId w:val="9"/>
  </w:num>
  <w:num w:numId="8">
    <w:abstractNumId w:val="6"/>
  </w:num>
  <w:num w:numId="9">
    <w:abstractNumId w:val="8"/>
  </w:num>
  <w:num w:numId="10">
    <w:abstractNumId w:val="11"/>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51"/>
    <w:rsid w:val="000000D2"/>
    <w:rsid w:val="0000133E"/>
    <w:rsid w:val="000123CE"/>
    <w:rsid w:val="00023299"/>
    <w:rsid w:val="000250F7"/>
    <w:rsid w:val="00025510"/>
    <w:rsid w:val="0003048A"/>
    <w:rsid w:val="00040BF3"/>
    <w:rsid w:val="000525CC"/>
    <w:rsid w:val="0005704C"/>
    <w:rsid w:val="0006325F"/>
    <w:rsid w:val="00063486"/>
    <w:rsid w:val="000679D2"/>
    <w:rsid w:val="00070C62"/>
    <w:rsid w:val="00076A18"/>
    <w:rsid w:val="0008217E"/>
    <w:rsid w:val="000823CB"/>
    <w:rsid w:val="0008617B"/>
    <w:rsid w:val="0009014E"/>
    <w:rsid w:val="000A0451"/>
    <w:rsid w:val="000A171D"/>
    <w:rsid w:val="000A45C5"/>
    <w:rsid w:val="000A6AE9"/>
    <w:rsid w:val="000A6EA9"/>
    <w:rsid w:val="000B2012"/>
    <w:rsid w:val="000B27B3"/>
    <w:rsid w:val="000C0716"/>
    <w:rsid w:val="000C191D"/>
    <w:rsid w:val="000C23CB"/>
    <w:rsid w:val="000C51BB"/>
    <w:rsid w:val="000C5233"/>
    <w:rsid w:val="000F1DE5"/>
    <w:rsid w:val="000F22B0"/>
    <w:rsid w:val="00101A07"/>
    <w:rsid w:val="00111202"/>
    <w:rsid w:val="0011758F"/>
    <w:rsid w:val="00120573"/>
    <w:rsid w:val="0012071E"/>
    <w:rsid w:val="001209F6"/>
    <w:rsid w:val="001224C6"/>
    <w:rsid w:val="00134238"/>
    <w:rsid w:val="0014406F"/>
    <w:rsid w:val="0016061A"/>
    <w:rsid w:val="00163F02"/>
    <w:rsid w:val="00167854"/>
    <w:rsid w:val="00173EB9"/>
    <w:rsid w:val="00174842"/>
    <w:rsid w:val="00177160"/>
    <w:rsid w:val="001847D3"/>
    <w:rsid w:val="00194EEA"/>
    <w:rsid w:val="001A30FE"/>
    <w:rsid w:val="001A4D4B"/>
    <w:rsid w:val="001B1B30"/>
    <w:rsid w:val="001B3282"/>
    <w:rsid w:val="001B5181"/>
    <w:rsid w:val="001B666B"/>
    <w:rsid w:val="001C5A12"/>
    <w:rsid w:val="001D5078"/>
    <w:rsid w:val="001D646A"/>
    <w:rsid w:val="001E0C9D"/>
    <w:rsid w:val="001E2E64"/>
    <w:rsid w:val="001E4A6F"/>
    <w:rsid w:val="001F2CD4"/>
    <w:rsid w:val="001F552B"/>
    <w:rsid w:val="001F64B7"/>
    <w:rsid w:val="002304F6"/>
    <w:rsid w:val="002322A5"/>
    <w:rsid w:val="00235FAC"/>
    <w:rsid w:val="00242F54"/>
    <w:rsid w:val="002448E6"/>
    <w:rsid w:val="00247DBC"/>
    <w:rsid w:val="00253DDE"/>
    <w:rsid w:val="00254A86"/>
    <w:rsid w:val="00254DAC"/>
    <w:rsid w:val="00257ED3"/>
    <w:rsid w:val="00266FA9"/>
    <w:rsid w:val="00270AD9"/>
    <w:rsid w:val="002720A8"/>
    <w:rsid w:val="00281B93"/>
    <w:rsid w:val="00286C2F"/>
    <w:rsid w:val="00291221"/>
    <w:rsid w:val="00297D3D"/>
    <w:rsid w:val="002A08B2"/>
    <w:rsid w:val="002A4ABB"/>
    <w:rsid w:val="002A4D5F"/>
    <w:rsid w:val="002A7A97"/>
    <w:rsid w:val="002E0494"/>
    <w:rsid w:val="002E0A40"/>
    <w:rsid w:val="002E0CF6"/>
    <w:rsid w:val="002E3AEF"/>
    <w:rsid w:val="002E6137"/>
    <w:rsid w:val="002F3CBC"/>
    <w:rsid w:val="002F478F"/>
    <w:rsid w:val="00301B2C"/>
    <w:rsid w:val="00303935"/>
    <w:rsid w:val="0030746C"/>
    <w:rsid w:val="00317937"/>
    <w:rsid w:val="0032298C"/>
    <w:rsid w:val="0033500B"/>
    <w:rsid w:val="00337517"/>
    <w:rsid w:val="00342B5F"/>
    <w:rsid w:val="00344DD3"/>
    <w:rsid w:val="0036194A"/>
    <w:rsid w:val="00362F1A"/>
    <w:rsid w:val="00367A43"/>
    <w:rsid w:val="003757ED"/>
    <w:rsid w:val="00376A20"/>
    <w:rsid w:val="00377837"/>
    <w:rsid w:val="00393252"/>
    <w:rsid w:val="003A518D"/>
    <w:rsid w:val="003A5766"/>
    <w:rsid w:val="003B0F17"/>
    <w:rsid w:val="003B2116"/>
    <w:rsid w:val="003C09B8"/>
    <w:rsid w:val="003C13D6"/>
    <w:rsid w:val="003C6224"/>
    <w:rsid w:val="003C6F5E"/>
    <w:rsid w:val="003D217E"/>
    <w:rsid w:val="003E3115"/>
    <w:rsid w:val="003F1B94"/>
    <w:rsid w:val="003F714E"/>
    <w:rsid w:val="00407486"/>
    <w:rsid w:val="0041066D"/>
    <w:rsid w:val="00414C13"/>
    <w:rsid w:val="00424E75"/>
    <w:rsid w:val="0042636F"/>
    <w:rsid w:val="00435245"/>
    <w:rsid w:val="00441942"/>
    <w:rsid w:val="00447030"/>
    <w:rsid w:val="00447890"/>
    <w:rsid w:val="004525B7"/>
    <w:rsid w:val="00465C2D"/>
    <w:rsid w:val="00467686"/>
    <w:rsid w:val="00493EE2"/>
    <w:rsid w:val="004961A6"/>
    <w:rsid w:val="004B5493"/>
    <w:rsid w:val="004C6121"/>
    <w:rsid w:val="004D01B1"/>
    <w:rsid w:val="004D567F"/>
    <w:rsid w:val="004D5E92"/>
    <w:rsid w:val="004E7B7F"/>
    <w:rsid w:val="004F59A5"/>
    <w:rsid w:val="00500058"/>
    <w:rsid w:val="00502DE9"/>
    <w:rsid w:val="005047FB"/>
    <w:rsid w:val="00507AFA"/>
    <w:rsid w:val="00521E75"/>
    <w:rsid w:val="00527AF6"/>
    <w:rsid w:val="00530255"/>
    <w:rsid w:val="00543DDA"/>
    <w:rsid w:val="00550C6F"/>
    <w:rsid w:val="0056558E"/>
    <w:rsid w:val="00565F2A"/>
    <w:rsid w:val="00566CEB"/>
    <w:rsid w:val="005734A8"/>
    <w:rsid w:val="005749FC"/>
    <w:rsid w:val="00574A88"/>
    <w:rsid w:val="00583458"/>
    <w:rsid w:val="005878DA"/>
    <w:rsid w:val="005927C2"/>
    <w:rsid w:val="00592CC3"/>
    <w:rsid w:val="00594F22"/>
    <w:rsid w:val="00596051"/>
    <w:rsid w:val="005A0E6D"/>
    <w:rsid w:val="005A2D18"/>
    <w:rsid w:val="005B3771"/>
    <w:rsid w:val="005B778A"/>
    <w:rsid w:val="005C0A9E"/>
    <w:rsid w:val="005C1E9B"/>
    <w:rsid w:val="005C4583"/>
    <w:rsid w:val="005D2E2A"/>
    <w:rsid w:val="005D4B2F"/>
    <w:rsid w:val="005D4B61"/>
    <w:rsid w:val="005E331E"/>
    <w:rsid w:val="005E5CDC"/>
    <w:rsid w:val="005F4FE0"/>
    <w:rsid w:val="00600179"/>
    <w:rsid w:val="00601A0C"/>
    <w:rsid w:val="00604925"/>
    <w:rsid w:val="006056CF"/>
    <w:rsid w:val="00611EEF"/>
    <w:rsid w:val="00614303"/>
    <w:rsid w:val="00620968"/>
    <w:rsid w:val="0062409C"/>
    <w:rsid w:val="006454B1"/>
    <w:rsid w:val="00647F9E"/>
    <w:rsid w:val="00651C8A"/>
    <w:rsid w:val="0065306C"/>
    <w:rsid w:val="00675171"/>
    <w:rsid w:val="00677AEC"/>
    <w:rsid w:val="006A1486"/>
    <w:rsid w:val="006E45C8"/>
    <w:rsid w:val="006F5A51"/>
    <w:rsid w:val="007031E0"/>
    <w:rsid w:val="00706B1F"/>
    <w:rsid w:val="007304D5"/>
    <w:rsid w:val="00733A40"/>
    <w:rsid w:val="00735750"/>
    <w:rsid w:val="00737515"/>
    <w:rsid w:val="007447B0"/>
    <w:rsid w:val="007502AE"/>
    <w:rsid w:val="00762E7C"/>
    <w:rsid w:val="0076338B"/>
    <w:rsid w:val="00766492"/>
    <w:rsid w:val="00777251"/>
    <w:rsid w:val="00780844"/>
    <w:rsid w:val="00782164"/>
    <w:rsid w:val="00784A26"/>
    <w:rsid w:val="0079112E"/>
    <w:rsid w:val="007A0BAD"/>
    <w:rsid w:val="007A104E"/>
    <w:rsid w:val="007A136F"/>
    <w:rsid w:val="007B18EB"/>
    <w:rsid w:val="007B32D3"/>
    <w:rsid w:val="007B5714"/>
    <w:rsid w:val="007C326F"/>
    <w:rsid w:val="007C5818"/>
    <w:rsid w:val="007D1651"/>
    <w:rsid w:val="007F1C15"/>
    <w:rsid w:val="007F2F0E"/>
    <w:rsid w:val="007F4D91"/>
    <w:rsid w:val="00800C88"/>
    <w:rsid w:val="008037B8"/>
    <w:rsid w:val="008054A6"/>
    <w:rsid w:val="00807408"/>
    <w:rsid w:val="008127EF"/>
    <w:rsid w:val="00812AA7"/>
    <w:rsid w:val="00812DFA"/>
    <w:rsid w:val="008230CF"/>
    <w:rsid w:val="00823A30"/>
    <w:rsid w:val="008341BA"/>
    <w:rsid w:val="008452DC"/>
    <w:rsid w:val="008519B0"/>
    <w:rsid w:val="00856E31"/>
    <w:rsid w:val="00863232"/>
    <w:rsid w:val="008653AC"/>
    <w:rsid w:val="008809C9"/>
    <w:rsid w:val="00881D18"/>
    <w:rsid w:val="00882584"/>
    <w:rsid w:val="00886E4C"/>
    <w:rsid w:val="008B043C"/>
    <w:rsid w:val="008B38AD"/>
    <w:rsid w:val="008B746E"/>
    <w:rsid w:val="008C535D"/>
    <w:rsid w:val="008C5F44"/>
    <w:rsid w:val="008D1D93"/>
    <w:rsid w:val="008D64AF"/>
    <w:rsid w:val="008D7D82"/>
    <w:rsid w:val="008E3879"/>
    <w:rsid w:val="008E67E7"/>
    <w:rsid w:val="008F1D0B"/>
    <w:rsid w:val="008F7B77"/>
    <w:rsid w:val="008F7EF1"/>
    <w:rsid w:val="00901389"/>
    <w:rsid w:val="009020A6"/>
    <w:rsid w:val="0090299E"/>
    <w:rsid w:val="009041F9"/>
    <w:rsid w:val="00912526"/>
    <w:rsid w:val="00916302"/>
    <w:rsid w:val="00917B3B"/>
    <w:rsid w:val="009212CE"/>
    <w:rsid w:val="009229FC"/>
    <w:rsid w:val="00927267"/>
    <w:rsid w:val="009302B8"/>
    <w:rsid w:val="0093171F"/>
    <w:rsid w:val="0093256A"/>
    <w:rsid w:val="00945788"/>
    <w:rsid w:val="00946FA6"/>
    <w:rsid w:val="00952C56"/>
    <w:rsid w:val="00963098"/>
    <w:rsid w:val="00963218"/>
    <w:rsid w:val="00966E1D"/>
    <w:rsid w:val="00971DB7"/>
    <w:rsid w:val="00975DCC"/>
    <w:rsid w:val="00980803"/>
    <w:rsid w:val="00992E1B"/>
    <w:rsid w:val="009B0DE2"/>
    <w:rsid w:val="009B204B"/>
    <w:rsid w:val="009B4591"/>
    <w:rsid w:val="009C41E3"/>
    <w:rsid w:val="009C6FA3"/>
    <w:rsid w:val="009C7147"/>
    <w:rsid w:val="009D0AE4"/>
    <w:rsid w:val="009D4B27"/>
    <w:rsid w:val="009D58F4"/>
    <w:rsid w:val="009D68F1"/>
    <w:rsid w:val="009D7D05"/>
    <w:rsid w:val="009E3568"/>
    <w:rsid w:val="009E49F1"/>
    <w:rsid w:val="00A03FB3"/>
    <w:rsid w:val="00A06C75"/>
    <w:rsid w:val="00A06F1A"/>
    <w:rsid w:val="00A12B7A"/>
    <w:rsid w:val="00A15035"/>
    <w:rsid w:val="00A23960"/>
    <w:rsid w:val="00A31C27"/>
    <w:rsid w:val="00A3200D"/>
    <w:rsid w:val="00A45EAE"/>
    <w:rsid w:val="00A575CA"/>
    <w:rsid w:val="00A705E4"/>
    <w:rsid w:val="00A76264"/>
    <w:rsid w:val="00A92985"/>
    <w:rsid w:val="00AA385E"/>
    <w:rsid w:val="00AA67B9"/>
    <w:rsid w:val="00AB30E3"/>
    <w:rsid w:val="00AB3455"/>
    <w:rsid w:val="00AC1A29"/>
    <w:rsid w:val="00AC4781"/>
    <w:rsid w:val="00AD363F"/>
    <w:rsid w:val="00AD4748"/>
    <w:rsid w:val="00AD6570"/>
    <w:rsid w:val="00AD7C4C"/>
    <w:rsid w:val="00AE6C39"/>
    <w:rsid w:val="00AF0041"/>
    <w:rsid w:val="00AF1EBE"/>
    <w:rsid w:val="00AF75FC"/>
    <w:rsid w:val="00AF7A8F"/>
    <w:rsid w:val="00B0705A"/>
    <w:rsid w:val="00B07F5A"/>
    <w:rsid w:val="00B10671"/>
    <w:rsid w:val="00B37D3C"/>
    <w:rsid w:val="00B4423E"/>
    <w:rsid w:val="00B649E9"/>
    <w:rsid w:val="00B658F5"/>
    <w:rsid w:val="00B65D6D"/>
    <w:rsid w:val="00B67B08"/>
    <w:rsid w:val="00B84DFE"/>
    <w:rsid w:val="00B85F43"/>
    <w:rsid w:val="00B876D3"/>
    <w:rsid w:val="00BA423A"/>
    <w:rsid w:val="00BA655A"/>
    <w:rsid w:val="00BA7AD0"/>
    <w:rsid w:val="00BB1626"/>
    <w:rsid w:val="00BC16AE"/>
    <w:rsid w:val="00BC2032"/>
    <w:rsid w:val="00BC2E5E"/>
    <w:rsid w:val="00BC7080"/>
    <w:rsid w:val="00BD25CE"/>
    <w:rsid w:val="00BD7561"/>
    <w:rsid w:val="00BE4894"/>
    <w:rsid w:val="00C02B5A"/>
    <w:rsid w:val="00C03C12"/>
    <w:rsid w:val="00C2108D"/>
    <w:rsid w:val="00C247A5"/>
    <w:rsid w:val="00C3290C"/>
    <w:rsid w:val="00C337C4"/>
    <w:rsid w:val="00C42C71"/>
    <w:rsid w:val="00C42D65"/>
    <w:rsid w:val="00C443BC"/>
    <w:rsid w:val="00C51339"/>
    <w:rsid w:val="00C55F87"/>
    <w:rsid w:val="00C5665F"/>
    <w:rsid w:val="00C57AE1"/>
    <w:rsid w:val="00C70318"/>
    <w:rsid w:val="00C73201"/>
    <w:rsid w:val="00C754CB"/>
    <w:rsid w:val="00CA4C89"/>
    <w:rsid w:val="00CA6E70"/>
    <w:rsid w:val="00CB08CF"/>
    <w:rsid w:val="00CB3CBD"/>
    <w:rsid w:val="00CB7D88"/>
    <w:rsid w:val="00CD1719"/>
    <w:rsid w:val="00CD5560"/>
    <w:rsid w:val="00CD5E5D"/>
    <w:rsid w:val="00CD600A"/>
    <w:rsid w:val="00CE351D"/>
    <w:rsid w:val="00CE3DF8"/>
    <w:rsid w:val="00CE7993"/>
    <w:rsid w:val="00CF27F1"/>
    <w:rsid w:val="00CF5FB1"/>
    <w:rsid w:val="00CF6225"/>
    <w:rsid w:val="00D12D9F"/>
    <w:rsid w:val="00D161C9"/>
    <w:rsid w:val="00D16C47"/>
    <w:rsid w:val="00D178C0"/>
    <w:rsid w:val="00D17BDE"/>
    <w:rsid w:val="00D218BA"/>
    <w:rsid w:val="00D21DA0"/>
    <w:rsid w:val="00D23337"/>
    <w:rsid w:val="00D34874"/>
    <w:rsid w:val="00D428BD"/>
    <w:rsid w:val="00D4693D"/>
    <w:rsid w:val="00D517B1"/>
    <w:rsid w:val="00D55F45"/>
    <w:rsid w:val="00D573B8"/>
    <w:rsid w:val="00D6271D"/>
    <w:rsid w:val="00D6562A"/>
    <w:rsid w:val="00D77D7B"/>
    <w:rsid w:val="00D90123"/>
    <w:rsid w:val="00D944AA"/>
    <w:rsid w:val="00D94518"/>
    <w:rsid w:val="00DA7EEF"/>
    <w:rsid w:val="00DB1198"/>
    <w:rsid w:val="00DB1666"/>
    <w:rsid w:val="00DB1DFF"/>
    <w:rsid w:val="00DB4290"/>
    <w:rsid w:val="00DC0149"/>
    <w:rsid w:val="00DC28C7"/>
    <w:rsid w:val="00DC5725"/>
    <w:rsid w:val="00DC6CE2"/>
    <w:rsid w:val="00DD5E8C"/>
    <w:rsid w:val="00DE457D"/>
    <w:rsid w:val="00DF7F03"/>
    <w:rsid w:val="00DF7F38"/>
    <w:rsid w:val="00E06753"/>
    <w:rsid w:val="00E16286"/>
    <w:rsid w:val="00E171CC"/>
    <w:rsid w:val="00E17716"/>
    <w:rsid w:val="00E34125"/>
    <w:rsid w:val="00E36FD5"/>
    <w:rsid w:val="00E37093"/>
    <w:rsid w:val="00E41767"/>
    <w:rsid w:val="00E41BD9"/>
    <w:rsid w:val="00E41CFD"/>
    <w:rsid w:val="00E45C66"/>
    <w:rsid w:val="00E47A85"/>
    <w:rsid w:val="00E5716F"/>
    <w:rsid w:val="00E60E50"/>
    <w:rsid w:val="00E651C9"/>
    <w:rsid w:val="00E660C2"/>
    <w:rsid w:val="00E779CD"/>
    <w:rsid w:val="00E84339"/>
    <w:rsid w:val="00E92DF8"/>
    <w:rsid w:val="00E9429D"/>
    <w:rsid w:val="00E9582A"/>
    <w:rsid w:val="00EA0492"/>
    <w:rsid w:val="00EA5FFA"/>
    <w:rsid w:val="00EA672A"/>
    <w:rsid w:val="00EB7851"/>
    <w:rsid w:val="00EC3F90"/>
    <w:rsid w:val="00EC6A3D"/>
    <w:rsid w:val="00ED0141"/>
    <w:rsid w:val="00ED2F70"/>
    <w:rsid w:val="00EE1239"/>
    <w:rsid w:val="00EE1D41"/>
    <w:rsid w:val="00EE3600"/>
    <w:rsid w:val="00EF094E"/>
    <w:rsid w:val="00EF4007"/>
    <w:rsid w:val="00F02319"/>
    <w:rsid w:val="00F04F48"/>
    <w:rsid w:val="00F07B87"/>
    <w:rsid w:val="00F16BCE"/>
    <w:rsid w:val="00F26E0C"/>
    <w:rsid w:val="00F27F24"/>
    <w:rsid w:val="00F3381C"/>
    <w:rsid w:val="00F35828"/>
    <w:rsid w:val="00F4067B"/>
    <w:rsid w:val="00F40A27"/>
    <w:rsid w:val="00F476EA"/>
    <w:rsid w:val="00F51667"/>
    <w:rsid w:val="00F5675B"/>
    <w:rsid w:val="00F573E8"/>
    <w:rsid w:val="00F6007B"/>
    <w:rsid w:val="00F655C5"/>
    <w:rsid w:val="00F72BFD"/>
    <w:rsid w:val="00F7780C"/>
    <w:rsid w:val="00F84C3B"/>
    <w:rsid w:val="00F92241"/>
    <w:rsid w:val="00FA7975"/>
    <w:rsid w:val="00FB12A1"/>
    <w:rsid w:val="00FB35BE"/>
    <w:rsid w:val="00FC3C4F"/>
    <w:rsid w:val="00FC3E2D"/>
    <w:rsid w:val="00FD3777"/>
    <w:rsid w:val="00FD40C1"/>
    <w:rsid w:val="00FD5336"/>
    <w:rsid w:val="00FF01C3"/>
    <w:rsid w:val="00FF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99"/>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basedOn w:val="Normal"/>
    <w:link w:val="FootnoteTextChar"/>
    <w:uiPriority w:val="99"/>
    <w:rsid w:val="00E84339"/>
  </w:style>
  <w:style w:type="character" w:customStyle="1" w:styleId="FootnoteTextChar">
    <w:name w:val="Footnote Text Char"/>
    <w:basedOn w:val="DefaultParagraphFont"/>
    <w:link w:val="FootnoteText"/>
    <w:uiPriority w:val="99"/>
    <w:locked/>
    <w:rsid w:val="00E84339"/>
    <w:rPr>
      <w:rFonts w:cs="Times New Roman"/>
    </w:rPr>
  </w:style>
  <w:style w:type="character" w:styleId="FootnoteReference">
    <w:name w:val="footnote reference"/>
    <w:basedOn w:val="DefaultParagraphFont"/>
    <w:uiPriority w:val="99"/>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uiPriority w:val="99"/>
    <w:rsid w:val="005E5CDC"/>
    <w:pPr>
      <w:widowControl w:val="0"/>
      <w:numPr>
        <w:numId w:val="9"/>
      </w:numPr>
      <w:spacing w:after="120"/>
    </w:pPr>
    <w:rPr>
      <w:kern w:val="28"/>
      <w:sz w:val="22"/>
    </w:rPr>
  </w:style>
  <w:style w:type="character" w:customStyle="1" w:styleId="ParaNumChar">
    <w:name w:val="ParaNum Char"/>
    <w:link w:val="ParaNum"/>
    <w:uiPriority w:val="99"/>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F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99"/>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basedOn w:val="Normal"/>
    <w:link w:val="FootnoteTextChar"/>
    <w:uiPriority w:val="99"/>
    <w:rsid w:val="00E84339"/>
  </w:style>
  <w:style w:type="character" w:customStyle="1" w:styleId="FootnoteTextChar">
    <w:name w:val="Footnote Text Char"/>
    <w:basedOn w:val="DefaultParagraphFont"/>
    <w:link w:val="FootnoteText"/>
    <w:uiPriority w:val="99"/>
    <w:locked/>
    <w:rsid w:val="00E84339"/>
    <w:rPr>
      <w:rFonts w:cs="Times New Roman"/>
    </w:rPr>
  </w:style>
  <w:style w:type="character" w:styleId="FootnoteReference">
    <w:name w:val="footnote reference"/>
    <w:basedOn w:val="DefaultParagraphFont"/>
    <w:uiPriority w:val="99"/>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uiPriority w:val="99"/>
    <w:rsid w:val="005E5CDC"/>
    <w:pPr>
      <w:widowControl w:val="0"/>
      <w:numPr>
        <w:numId w:val="9"/>
      </w:numPr>
      <w:spacing w:after="120"/>
    </w:pPr>
    <w:rPr>
      <w:kern w:val="28"/>
      <w:sz w:val="22"/>
    </w:rPr>
  </w:style>
  <w:style w:type="character" w:customStyle="1" w:styleId="ParaNumChar">
    <w:name w:val="ParaNum Char"/>
    <w:link w:val="ParaNum"/>
    <w:uiPriority w:val="99"/>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yperlink" Target="http://hraunfoss.fcc.gov/edocs_public/attachmatch/FCC-12-123A5.doc"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hraunfoss.fcc.gov/edocs_public/attachmatch/FCC-12-123A4.do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raunfoss.fcc.gov/edocs_public/attachmatch/FCC-12-123A1.tx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2-123A3.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aunfoss.fcc.gov/edocs_public/attachmatch/FCC-12-123A1.pdf" TargetMode="External"/><Relationship Id="rId23" Type="http://schemas.openxmlformats.org/officeDocument/2006/relationships/fontTable" Target="fontTable.xml"/><Relationship Id="rId10" Type="http://schemas.openxmlformats.org/officeDocument/2006/relationships/hyperlink" Target="http://hraunfoss.fcc.gov/edocs_public/attachmatch/FCC-12-123A2.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raunfoss.fcc.gov/edocs_public/attachmatch/FCC-12-123A1.doc" TargetMode="External"/><Relationship Id="rId14" Type="http://schemas.openxmlformats.org/officeDocument/2006/relationships/hyperlink" Target="http://hraunfoss.fcc.gov/edocs_public/attachmatch/FCC-12-123A6.do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2285</Words>
  <Characters>13720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15990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2013-05-13T20:02:00Z</cp:lastPrinted>
  <dcterms:created xsi:type="dcterms:W3CDTF">2013-05-13T20:07:00Z</dcterms:created>
  <dcterms:modified xsi:type="dcterms:W3CDTF">2013-05-13T20:07:00Z</dcterms:modified>
  <cp:category> </cp:category>
  <cp:contentStatus> </cp:contentStatus>
</cp:coreProperties>
</file>