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39" w:rsidRDefault="009C7A39" w:rsidP="009C7A39">
      <w:pPr>
        <w:pStyle w:val="ParaNum"/>
        <w:numPr>
          <w:ilvl w:val="0"/>
          <w:numId w:val="0"/>
        </w:numPr>
        <w:ind w:firstLine="720"/>
      </w:pPr>
      <w:bookmarkStart w:id="0" w:name="_Toc103419948"/>
      <w:bookmarkStart w:id="1" w:name="_Toc103420572"/>
      <w:bookmarkStart w:id="2" w:name="_Toc103420714"/>
      <w:bookmarkStart w:id="3" w:name="_Toc103420758"/>
      <w:bookmarkStart w:id="4" w:name="_Toc103420818"/>
      <w:bookmarkStart w:id="5" w:name="_Toc103420865"/>
      <w:bookmarkStart w:id="6" w:name="_Toc103420953"/>
      <w:bookmarkStart w:id="7" w:name="_Toc103421292"/>
      <w:bookmarkStart w:id="8" w:name="_Toc103421410"/>
      <w:bookmarkStart w:id="9" w:name="_Toc103421504"/>
      <w:bookmarkStart w:id="10" w:name="_Toc103488261"/>
      <w:bookmarkStart w:id="11" w:name="_Toc125945573"/>
      <w:bookmarkStart w:id="12" w:name="_Toc153861058"/>
      <w:bookmarkStart w:id="13" w:name="_Toc176072634"/>
      <w:bookmarkStart w:id="14" w:name="_Toc176072760"/>
      <w:bookmarkStart w:id="15" w:name="_Toc176072786"/>
      <w:bookmarkStart w:id="16" w:name="_Toc176072810"/>
      <w:bookmarkStart w:id="17" w:name="_Toc179100553"/>
      <w:bookmarkStart w:id="18" w:name="_Toc179100918"/>
      <w:bookmarkStart w:id="19" w:name="_Toc216065688"/>
      <w:bookmarkStart w:id="20" w:name="_Toc326229719"/>
      <w:bookmarkStart w:id="21" w:name="_Toc326658329"/>
      <w:bookmarkStart w:id="22" w:name="_Toc326746785"/>
      <w:bookmarkStart w:id="23" w:name="_Toc326826051"/>
      <w:bookmarkStart w:id="24" w:name="_Toc326826132"/>
      <w:bookmarkStart w:id="25" w:name="_GoBack"/>
      <w:bookmarkEnd w:id="25"/>
    </w:p>
    <w:p w:rsidR="00EB7A29" w:rsidRDefault="00EB7A29" w:rsidP="00EB7A29">
      <w:pPr>
        <w:jc w:val="right"/>
        <w:rPr>
          <w:b/>
          <w:sz w:val="24"/>
          <w:szCs w:val="24"/>
        </w:rPr>
      </w:pPr>
      <w:r>
        <w:rPr>
          <w:b/>
          <w:sz w:val="24"/>
          <w:szCs w:val="24"/>
        </w:rPr>
        <w:t xml:space="preserve">DA </w:t>
      </w:r>
      <w:r w:rsidRPr="005521A0">
        <w:rPr>
          <w:b/>
          <w:sz w:val="24"/>
          <w:szCs w:val="24"/>
        </w:rPr>
        <w:t>13-1087</w:t>
      </w:r>
    </w:p>
    <w:p w:rsidR="00EB7A29" w:rsidRDefault="00EB7A29" w:rsidP="00EB7A29">
      <w:pPr>
        <w:jc w:val="right"/>
        <w:rPr>
          <w:b/>
          <w:sz w:val="24"/>
          <w:szCs w:val="24"/>
        </w:rPr>
      </w:pPr>
    </w:p>
    <w:p w:rsidR="00EB7A29" w:rsidRDefault="00EB7A29" w:rsidP="00EB7A29">
      <w:pPr>
        <w:jc w:val="center"/>
        <w:rPr>
          <w:b/>
          <w:sz w:val="36"/>
          <w:szCs w:val="36"/>
        </w:rPr>
      </w:pPr>
      <w:r>
        <w:rPr>
          <w:b/>
          <w:sz w:val="36"/>
          <w:szCs w:val="36"/>
        </w:rPr>
        <w:t>Small Entity Compliance Guide</w:t>
      </w:r>
    </w:p>
    <w:p w:rsidR="00EB7A29" w:rsidRDefault="00EB7A29" w:rsidP="00EB7A29">
      <w:pPr>
        <w:jc w:val="center"/>
        <w:rPr>
          <w:b/>
          <w:sz w:val="36"/>
          <w:szCs w:val="36"/>
        </w:rPr>
      </w:pPr>
    </w:p>
    <w:p w:rsidR="00EB7A29" w:rsidRPr="005521A0" w:rsidRDefault="00EB7A29" w:rsidP="00EB7A29">
      <w:pPr>
        <w:spacing w:after="120"/>
        <w:jc w:val="center"/>
        <w:rPr>
          <w:b/>
          <w:sz w:val="28"/>
          <w:szCs w:val="28"/>
        </w:rPr>
      </w:pPr>
      <w:r w:rsidRPr="005521A0">
        <w:rPr>
          <w:b/>
          <w:sz w:val="28"/>
          <w:szCs w:val="28"/>
        </w:rPr>
        <w:t>Improving Spectrum Efficiency Through Flexible Channel Spacing and Bandwidth Utilization for Economic Area-based 800 MHz Specialized Mobile Radio Licensees</w:t>
      </w:r>
    </w:p>
    <w:p w:rsidR="00EB7A29" w:rsidRPr="000D6AAA" w:rsidRDefault="00EB7A29" w:rsidP="00EB7A29">
      <w:pPr>
        <w:rPr>
          <w:b/>
          <w:szCs w:val="22"/>
        </w:rPr>
      </w:pPr>
    </w:p>
    <w:p w:rsidR="00DD42E4" w:rsidRDefault="006050EB" w:rsidP="00DD42E4">
      <w:pPr>
        <w:spacing w:after="120"/>
        <w:jc w:val="center"/>
        <w:rPr>
          <w:bCs/>
          <w:sz w:val="24"/>
          <w:szCs w:val="24"/>
        </w:rPr>
      </w:pPr>
      <w:r w:rsidRPr="005521A0">
        <w:rPr>
          <w:bCs/>
          <w:sz w:val="24"/>
          <w:szCs w:val="24"/>
        </w:rPr>
        <w:t>FCC 12-55</w:t>
      </w:r>
    </w:p>
    <w:p w:rsidR="006050EB" w:rsidRPr="005521A0" w:rsidRDefault="006050EB" w:rsidP="00DD42E4">
      <w:pPr>
        <w:spacing w:after="120"/>
        <w:jc w:val="center"/>
        <w:rPr>
          <w:spacing w:val="-2"/>
          <w:sz w:val="24"/>
          <w:szCs w:val="24"/>
        </w:rPr>
      </w:pPr>
      <w:r w:rsidRPr="005521A0">
        <w:rPr>
          <w:spacing w:val="-2"/>
          <w:sz w:val="24"/>
          <w:szCs w:val="24"/>
        </w:rPr>
        <w:t>WT Docket No. 12-64</w:t>
      </w:r>
    </w:p>
    <w:p w:rsidR="006050EB" w:rsidRPr="005521A0" w:rsidRDefault="006050EB" w:rsidP="00DD42E4">
      <w:pPr>
        <w:jc w:val="center"/>
        <w:rPr>
          <w:sz w:val="24"/>
          <w:szCs w:val="24"/>
        </w:rPr>
      </w:pPr>
      <w:r w:rsidRPr="005521A0">
        <w:rPr>
          <w:sz w:val="24"/>
          <w:szCs w:val="24"/>
        </w:rPr>
        <w:t>WT Docket No. 11-110</w:t>
      </w:r>
    </w:p>
    <w:p w:rsidR="009C7A39" w:rsidRPr="00F74B2B" w:rsidRDefault="009C7A39" w:rsidP="009C7A39">
      <w:pPr>
        <w:jc w:val="center"/>
        <w:rPr>
          <w:b/>
          <w:szCs w:val="22"/>
        </w:rPr>
      </w:pPr>
    </w:p>
    <w:p w:rsidR="00EB7A29" w:rsidRDefault="00EB7A29" w:rsidP="00EB7A29">
      <w:pPr>
        <w:tabs>
          <w:tab w:val="left" w:pos="360"/>
        </w:tabs>
        <w:ind w:left="1080" w:right="648"/>
        <w:jc w:val="both"/>
        <w:rPr>
          <w:b/>
          <w:szCs w:val="22"/>
        </w:rPr>
      </w:pPr>
      <w:bookmarkStart w:id="26" w:name="TOChere"/>
      <w:r>
        <w:rPr>
          <w:b/>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EB7A29" w:rsidRDefault="00EB7A29" w:rsidP="00EB7A29">
      <w:pPr>
        <w:tabs>
          <w:tab w:val="left" w:pos="360"/>
        </w:tabs>
        <w:ind w:left="1080" w:right="720"/>
        <w:jc w:val="both"/>
        <w:rPr>
          <w:b/>
          <w:szCs w:val="22"/>
        </w:rPr>
      </w:pPr>
    </w:p>
    <w:p w:rsidR="00EB7A29" w:rsidRDefault="00EB7A29" w:rsidP="00EB7A29">
      <w:pPr>
        <w:tabs>
          <w:tab w:val="left" w:pos="360"/>
        </w:tabs>
        <w:ind w:left="1080" w:right="72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Cs w:val="22"/>
            </w:rPr>
            <w:t>Consumer</w:t>
          </w:r>
        </w:smartTag>
        <w:r>
          <w:rPr>
            <w:b/>
            <w:szCs w:val="22"/>
          </w:rPr>
          <w:t xml:space="preserve"> </w:t>
        </w:r>
        <w:smartTag w:uri="urn:schemas-microsoft-com:office:smarttags" w:element="PlaceType">
          <w:r>
            <w:rPr>
              <w:b/>
              <w:szCs w:val="22"/>
            </w:rPr>
            <w:t>Center</w:t>
          </w:r>
        </w:smartTag>
      </w:smartTag>
      <w:r>
        <w:rPr>
          <w:b/>
          <w:szCs w:val="22"/>
        </w:rPr>
        <w:t>:</w:t>
      </w:r>
    </w:p>
    <w:p w:rsidR="00EB7A29" w:rsidRDefault="00EB7A29" w:rsidP="00EB7A29">
      <w:pPr>
        <w:rPr>
          <w:b/>
          <w:szCs w:val="22"/>
        </w:rPr>
      </w:pPr>
    </w:p>
    <w:p w:rsidR="00EB7A29" w:rsidRDefault="00EB7A29" w:rsidP="00EB7A29">
      <w:pPr>
        <w:jc w:val="center"/>
        <w:rPr>
          <w:b/>
          <w:color w:val="000000"/>
          <w:szCs w:val="22"/>
        </w:rPr>
      </w:pPr>
      <w:r>
        <w:rPr>
          <w:b/>
          <w:color w:val="000000"/>
          <w:szCs w:val="22"/>
        </w:rPr>
        <w:t>1-888-CALL-FCC (1-888-225-5322)  </w:t>
      </w:r>
      <w:r>
        <w:rPr>
          <w:b/>
          <w:color w:val="000000"/>
          <w:szCs w:val="22"/>
        </w:rPr>
        <w:br/>
        <w:t>TTY: 1-888-TELL-FCC  (1-888-835-5322)  </w:t>
      </w:r>
      <w:r>
        <w:rPr>
          <w:b/>
          <w:color w:val="000000"/>
          <w:szCs w:val="22"/>
        </w:rPr>
        <w:br/>
        <w:t>Fax: 1-866-418-0232</w:t>
      </w:r>
    </w:p>
    <w:p w:rsidR="00EB7A29" w:rsidRDefault="007F5AC2" w:rsidP="00EB7A29">
      <w:pPr>
        <w:jc w:val="center"/>
        <w:rPr>
          <w:b/>
          <w:color w:val="000000"/>
          <w:szCs w:val="22"/>
        </w:rPr>
      </w:pPr>
      <w:hyperlink r:id="rId8" w:history="1">
        <w:r w:rsidR="00EB7A29">
          <w:rPr>
            <w:rStyle w:val="Hyperlink"/>
            <w:b/>
            <w:szCs w:val="22"/>
          </w:rPr>
          <w:t>fccinfo@fcc.gov</w:t>
        </w:r>
      </w:hyperlink>
    </w:p>
    <w:p w:rsidR="009C7A39" w:rsidRDefault="00EB7A29" w:rsidP="00EB7A29">
      <w:pPr>
        <w:pStyle w:val="TOCTitle"/>
      </w:pPr>
      <w:r>
        <w:rPr>
          <w:bCs/>
          <w:color w:val="0000FF"/>
          <w:szCs w:val="22"/>
        </w:rPr>
        <w:br w:type="page"/>
      </w:r>
      <w:r w:rsidR="009C7A39">
        <w:lastRenderedPageBreak/>
        <w:t>Table of Contents</w:t>
      </w:r>
    </w:p>
    <w:bookmarkEnd w:id="26"/>
    <w:p w:rsidR="009C7A39" w:rsidRDefault="009C7A39" w:rsidP="009C7A39">
      <w:pPr>
        <w:pStyle w:val="TOC1"/>
        <w:rPr>
          <w:b w:val="0"/>
          <w:caps w:val="0"/>
          <w:snapToGrid/>
          <w:kern w:val="0"/>
          <w:sz w:val="24"/>
          <w:szCs w:val="24"/>
        </w:rPr>
      </w:pPr>
      <w:r>
        <w:rPr>
          <w:b w:val="0"/>
          <w:szCs w:val="22"/>
        </w:rPr>
        <w:fldChar w:fldCharType="begin"/>
      </w:r>
      <w:r>
        <w:rPr>
          <w:b w:val="0"/>
          <w:szCs w:val="22"/>
        </w:rPr>
        <w:instrText xml:space="preserve"> TOC \o "1-3" \u </w:instrText>
      </w:r>
      <w:r>
        <w:rPr>
          <w:b w:val="0"/>
          <w:szCs w:val="22"/>
        </w:rPr>
        <w:fldChar w:fldCharType="separate"/>
      </w:r>
      <w:r>
        <w:t>I.</w:t>
      </w:r>
      <w:r>
        <w:rPr>
          <w:b w:val="0"/>
          <w:caps w:val="0"/>
          <w:snapToGrid/>
          <w:kern w:val="0"/>
          <w:sz w:val="24"/>
          <w:szCs w:val="24"/>
        </w:rPr>
        <w:tab/>
      </w:r>
      <w:r>
        <w:t>Objectives of the Proceeding</w:t>
      </w:r>
      <w:r>
        <w:tab/>
      </w:r>
      <w:r w:rsidR="007F26CF">
        <w:t>3</w:t>
      </w:r>
    </w:p>
    <w:p w:rsidR="009C7A39" w:rsidRDefault="009C7A39" w:rsidP="009C7A39">
      <w:pPr>
        <w:pStyle w:val="TOC1"/>
        <w:rPr>
          <w:b w:val="0"/>
          <w:caps w:val="0"/>
          <w:snapToGrid/>
          <w:kern w:val="0"/>
          <w:sz w:val="24"/>
          <w:szCs w:val="24"/>
        </w:rPr>
      </w:pPr>
      <w:r>
        <w:t>II.</w:t>
      </w:r>
      <w:r>
        <w:rPr>
          <w:b w:val="0"/>
          <w:caps w:val="0"/>
          <w:snapToGrid/>
          <w:kern w:val="0"/>
          <w:sz w:val="24"/>
          <w:szCs w:val="24"/>
        </w:rPr>
        <w:tab/>
      </w:r>
      <w:r>
        <w:t>Regulations and Policies That the Commission ADOPTED OR Modified, including compliance requirements</w:t>
      </w:r>
      <w:r>
        <w:tab/>
      </w:r>
      <w:r>
        <w:fldChar w:fldCharType="begin"/>
      </w:r>
      <w:r>
        <w:instrText xml:space="preserve"> PAGEREF _Toc326826133 \h </w:instrText>
      </w:r>
      <w:r>
        <w:fldChar w:fldCharType="separate"/>
      </w:r>
      <w:r w:rsidR="00EB7A29">
        <w:t>3</w:t>
      </w:r>
      <w:r>
        <w:fldChar w:fldCharType="end"/>
      </w:r>
    </w:p>
    <w:p w:rsidR="009C7A39" w:rsidRDefault="009C7A39" w:rsidP="009C7A39">
      <w:pPr>
        <w:pStyle w:val="TOC2"/>
        <w:rPr>
          <w:b w:val="0"/>
          <w:snapToGrid/>
          <w:kern w:val="0"/>
          <w:sz w:val="24"/>
          <w:szCs w:val="24"/>
        </w:rPr>
      </w:pPr>
      <w:r>
        <w:t>A.</w:t>
      </w:r>
      <w:r>
        <w:rPr>
          <w:b w:val="0"/>
          <w:snapToGrid/>
          <w:kern w:val="0"/>
          <w:sz w:val="24"/>
          <w:szCs w:val="24"/>
        </w:rPr>
        <w:tab/>
      </w:r>
      <w:r>
        <w:t>Channel Spacing and Bandwidth Flexibility for EA-based 800 MHz SMR Licensees</w:t>
      </w:r>
      <w:r>
        <w:tab/>
      </w:r>
      <w:r>
        <w:fldChar w:fldCharType="begin"/>
      </w:r>
      <w:r>
        <w:instrText xml:space="preserve"> PAGEREF _Toc326826134 \h </w:instrText>
      </w:r>
      <w:r>
        <w:fldChar w:fldCharType="separate"/>
      </w:r>
      <w:r w:rsidR="00EB7A29">
        <w:t>3</w:t>
      </w:r>
      <w:r>
        <w:fldChar w:fldCharType="end"/>
      </w:r>
    </w:p>
    <w:p w:rsidR="009C7A39" w:rsidRDefault="009C7A39" w:rsidP="009C7A39">
      <w:pPr>
        <w:pStyle w:val="TOC2"/>
        <w:rPr>
          <w:b w:val="0"/>
          <w:snapToGrid/>
          <w:kern w:val="0"/>
          <w:sz w:val="24"/>
          <w:szCs w:val="24"/>
        </w:rPr>
      </w:pPr>
      <w:r>
        <w:t>B.</w:t>
      </w:r>
      <w:r>
        <w:rPr>
          <w:b w:val="0"/>
          <w:snapToGrid/>
          <w:kern w:val="0"/>
          <w:sz w:val="24"/>
          <w:szCs w:val="24"/>
        </w:rPr>
        <w:tab/>
      </w:r>
      <w:r>
        <w:t>Protection of 800 MHz Public Safety Licensees</w:t>
      </w:r>
      <w:r>
        <w:tab/>
      </w:r>
      <w:r>
        <w:fldChar w:fldCharType="begin"/>
      </w:r>
      <w:r>
        <w:instrText xml:space="preserve"> PAGEREF _Toc326826135 \h </w:instrText>
      </w:r>
      <w:r>
        <w:fldChar w:fldCharType="separate"/>
      </w:r>
      <w:r w:rsidR="00EB7A29">
        <w:t>4</w:t>
      </w:r>
      <w:r>
        <w:fldChar w:fldCharType="end"/>
      </w:r>
    </w:p>
    <w:p w:rsidR="009C7A39" w:rsidRDefault="009C7A39" w:rsidP="009C7A39">
      <w:pPr>
        <w:pStyle w:val="TOC1"/>
        <w:rPr>
          <w:b w:val="0"/>
          <w:caps w:val="0"/>
          <w:snapToGrid/>
          <w:kern w:val="0"/>
          <w:sz w:val="24"/>
          <w:szCs w:val="24"/>
        </w:rPr>
      </w:pPr>
      <w:r>
        <w:t>III.</w:t>
      </w:r>
      <w:r>
        <w:rPr>
          <w:b w:val="0"/>
          <w:caps w:val="0"/>
          <w:snapToGrid/>
          <w:kern w:val="0"/>
          <w:sz w:val="24"/>
          <w:szCs w:val="24"/>
        </w:rPr>
        <w:tab/>
      </w:r>
      <w:r>
        <w:t>Recordkeeping and Other Compliance Requirements</w:t>
      </w:r>
      <w:r>
        <w:tab/>
      </w:r>
      <w:r w:rsidR="00A02A78">
        <w:t>5</w:t>
      </w:r>
    </w:p>
    <w:p w:rsidR="009C7A39" w:rsidRDefault="009C7A39" w:rsidP="009C7A39">
      <w:pPr>
        <w:pStyle w:val="TOC1"/>
        <w:rPr>
          <w:b w:val="0"/>
          <w:caps w:val="0"/>
          <w:snapToGrid/>
          <w:kern w:val="0"/>
          <w:sz w:val="24"/>
          <w:szCs w:val="24"/>
        </w:rPr>
      </w:pPr>
      <w:r>
        <w:t>IV.</w:t>
      </w:r>
      <w:r>
        <w:rPr>
          <w:b w:val="0"/>
          <w:caps w:val="0"/>
          <w:snapToGrid/>
          <w:kern w:val="0"/>
          <w:sz w:val="24"/>
          <w:szCs w:val="24"/>
        </w:rPr>
        <w:tab/>
      </w:r>
      <w:r>
        <w:t>Weblink</w:t>
      </w:r>
      <w:r>
        <w:tab/>
      </w:r>
      <w:r>
        <w:fldChar w:fldCharType="begin"/>
      </w:r>
      <w:r>
        <w:instrText xml:space="preserve"> PAGEREF _Toc326826137 \h </w:instrText>
      </w:r>
      <w:r>
        <w:fldChar w:fldCharType="separate"/>
      </w:r>
      <w:r w:rsidR="00EB7A29">
        <w:t>5</w:t>
      </w:r>
      <w:r>
        <w:fldChar w:fldCharType="end"/>
      </w:r>
    </w:p>
    <w:p w:rsidR="009C7A39" w:rsidRDefault="009C7A39" w:rsidP="009C7A39">
      <w:pPr>
        <w:pStyle w:val="ParaNum"/>
        <w:numPr>
          <w:ilvl w:val="0"/>
          <w:numId w:val="0"/>
        </w:numPr>
        <w:ind w:firstLine="720"/>
      </w:pPr>
      <w:r>
        <w:rPr>
          <w:b/>
          <w:noProof/>
          <w:szCs w:val="22"/>
        </w:rPr>
        <w:fldChar w:fldCharType="end"/>
      </w: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Default="009C7A39" w:rsidP="009C7A39">
      <w:pPr>
        <w:pStyle w:val="ParaNum"/>
        <w:numPr>
          <w:ilvl w:val="0"/>
          <w:numId w:val="0"/>
        </w:numPr>
        <w:ind w:firstLine="720"/>
      </w:pPr>
    </w:p>
    <w:p w:rsidR="009C7A39" w:rsidRPr="009C7A39" w:rsidRDefault="009C7A39" w:rsidP="009C7A39">
      <w:pPr>
        <w:pStyle w:val="ParaNum"/>
        <w:numPr>
          <w:ilvl w:val="0"/>
          <w:numId w:val="0"/>
        </w:numPr>
      </w:pPr>
    </w:p>
    <w:p w:rsidR="009C7A39" w:rsidRPr="004B1666" w:rsidRDefault="009C7A39" w:rsidP="009C7A39">
      <w:pPr>
        <w:pStyle w:val="Heading1"/>
        <w:jc w:val="both"/>
        <w:rPr>
          <w:rFonts w:ascii="Times New Roman" w:hAnsi="Times New Roman"/>
          <w:szCs w:val="22"/>
        </w:rPr>
      </w:pPr>
      <w:r w:rsidRPr="004B1666">
        <w:rPr>
          <w:rFonts w:ascii="Times New Roman" w:hAnsi="Times New Roman"/>
          <w:szCs w:val="22"/>
        </w:rPr>
        <w:lastRenderedPageBreak/>
        <w:t>Objectives of the Proceeding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C7A39" w:rsidRDefault="009C7A39" w:rsidP="009C7A39">
      <w:pPr>
        <w:pStyle w:val="ParaNum"/>
        <w:widowControl/>
        <w:numPr>
          <w:ilvl w:val="0"/>
          <w:numId w:val="0"/>
        </w:numPr>
        <w:tabs>
          <w:tab w:val="left" w:pos="1440"/>
        </w:tabs>
        <w:spacing w:after="220"/>
        <w:jc w:val="both"/>
        <w:rPr>
          <w:szCs w:val="22"/>
        </w:rPr>
      </w:pPr>
      <w:r w:rsidRPr="00790C36">
        <w:rPr>
          <w:szCs w:val="22"/>
        </w:rPr>
        <w:t xml:space="preserve">In this </w:t>
      </w:r>
      <w:r>
        <w:rPr>
          <w:i/>
          <w:szCs w:val="22"/>
        </w:rPr>
        <w:t>Report and Order</w:t>
      </w:r>
      <w:r w:rsidRPr="00790C36">
        <w:rPr>
          <w:i/>
          <w:szCs w:val="22"/>
        </w:rPr>
        <w:t xml:space="preserve"> </w:t>
      </w:r>
      <w:r>
        <w:rPr>
          <w:szCs w:val="22"/>
        </w:rPr>
        <w:t>in WT Docket No</w:t>
      </w:r>
      <w:r w:rsidRPr="00790C36">
        <w:rPr>
          <w:szCs w:val="22"/>
        </w:rPr>
        <w:t xml:space="preserve">. </w:t>
      </w:r>
      <w:r>
        <w:rPr>
          <w:szCs w:val="22"/>
        </w:rPr>
        <w:t>12</w:t>
      </w:r>
      <w:r w:rsidRPr="00790C36">
        <w:rPr>
          <w:szCs w:val="22"/>
        </w:rPr>
        <w:t>-</w:t>
      </w:r>
      <w:r>
        <w:rPr>
          <w:szCs w:val="22"/>
        </w:rPr>
        <w:t>6</w:t>
      </w:r>
      <w:r w:rsidRPr="00790C36">
        <w:rPr>
          <w:szCs w:val="22"/>
        </w:rPr>
        <w:t>4</w:t>
      </w:r>
      <w:r>
        <w:rPr>
          <w:szCs w:val="22"/>
        </w:rPr>
        <w:t xml:space="preserve"> and WT Docket No. 11-110</w:t>
      </w:r>
      <w:r w:rsidRPr="00790C36">
        <w:rPr>
          <w:szCs w:val="22"/>
        </w:rPr>
        <w:t xml:space="preserve">, </w:t>
      </w:r>
      <w:r>
        <w:rPr>
          <w:szCs w:val="22"/>
        </w:rPr>
        <w:t>the Commission</w:t>
      </w:r>
      <w:r w:rsidRPr="00790C36">
        <w:rPr>
          <w:szCs w:val="22"/>
        </w:rPr>
        <w:t xml:space="preserve"> </w:t>
      </w:r>
      <w:r w:rsidRPr="00822F7D">
        <w:rPr>
          <w:szCs w:val="22"/>
        </w:rPr>
        <w:t>amend</w:t>
      </w:r>
      <w:r>
        <w:rPr>
          <w:szCs w:val="22"/>
        </w:rPr>
        <w:t>ed</w:t>
      </w:r>
      <w:r w:rsidRPr="00822F7D">
        <w:rPr>
          <w:szCs w:val="22"/>
        </w:rPr>
        <w:t xml:space="preserve"> a legacy regulatory requirement in Part 90 </w:t>
      </w:r>
      <w:r>
        <w:rPr>
          <w:szCs w:val="22"/>
        </w:rPr>
        <w:t xml:space="preserve">of its rules </w:t>
      </w:r>
      <w:r w:rsidRPr="00822F7D">
        <w:rPr>
          <w:szCs w:val="22"/>
        </w:rPr>
        <w:t>and provide</w:t>
      </w:r>
      <w:r>
        <w:rPr>
          <w:szCs w:val="22"/>
        </w:rPr>
        <w:t>d</w:t>
      </w:r>
      <w:r w:rsidRPr="00822F7D">
        <w:rPr>
          <w:szCs w:val="22"/>
        </w:rPr>
        <w:t xml:space="preserve"> certain spectrum licensees with increased regulatory and technical flexibility to deploy advanced wireless services in</w:t>
      </w:r>
      <w:r>
        <w:rPr>
          <w:szCs w:val="22"/>
        </w:rPr>
        <w:t xml:space="preserve"> portions of the 800 MHz band. </w:t>
      </w:r>
      <w:r w:rsidR="007B0601">
        <w:t xml:space="preserve">The Commission also took action in this </w:t>
      </w:r>
      <w:r w:rsidR="007B0601">
        <w:rPr>
          <w:i/>
        </w:rPr>
        <w:t>Report and Order</w:t>
      </w:r>
      <w:r w:rsidR="007B0601">
        <w:t xml:space="preserve"> to help ensure that the flexibility provided to EA-based 800 MHz SMR licensees does not cause harmful interference to 800 MHz public safety licensees. </w:t>
      </w:r>
      <w:r w:rsidRPr="00822F7D">
        <w:rPr>
          <w:szCs w:val="22"/>
        </w:rPr>
        <w:t xml:space="preserve">By removing a legacy channelization scheme and bandwidth limitation, this </w:t>
      </w:r>
      <w:r w:rsidRPr="00822F7D">
        <w:rPr>
          <w:i/>
          <w:szCs w:val="22"/>
        </w:rPr>
        <w:t>Report and Order</w:t>
      </w:r>
      <w:r w:rsidRPr="00822F7D">
        <w:rPr>
          <w:szCs w:val="22"/>
        </w:rPr>
        <w:t xml:space="preserve"> will allow Economic Area (EA)-based 800 MHz Specialized </w:t>
      </w:r>
      <w:smartTag w:uri="urn:schemas-microsoft-com:office:smarttags" w:element="place">
        <w:r w:rsidRPr="00822F7D">
          <w:rPr>
            <w:szCs w:val="22"/>
          </w:rPr>
          <w:t>Mobile</w:t>
        </w:r>
      </w:smartTag>
      <w:r w:rsidRPr="00822F7D">
        <w:rPr>
          <w:szCs w:val="22"/>
        </w:rPr>
        <w:t xml:space="preserve"> Radio (SMR) licensees in the 813.5-824/858.5-869 MHz</w:t>
      </w:r>
      <w:r>
        <w:rPr>
          <w:szCs w:val="22"/>
        </w:rPr>
        <w:t xml:space="preserve"> </w:t>
      </w:r>
      <w:r w:rsidRPr="00A83BBC">
        <w:rPr>
          <w:szCs w:val="22"/>
        </w:rPr>
        <w:t xml:space="preserve">portion of the 800 MHz band to more efficiently utilize their spectrum resources to deploy competitive wireless services. </w:t>
      </w:r>
    </w:p>
    <w:p w:rsidR="009C7A39" w:rsidRDefault="009C7A39" w:rsidP="009C7A39">
      <w:pPr>
        <w:pStyle w:val="ParaNum"/>
        <w:widowControl/>
        <w:numPr>
          <w:ilvl w:val="0"/>
          <w:numId w:val="0"/>
        </w:numPr>
        <w:tabs>
          <w:tab w:val="left" w:pos="1440"/>
        </w:tabs>
        <w:spacing w:after="220"/>
        <w:jc w:val="both"/>
        <w:rPr>
          <w:szCs w:val="22"/>
        </w:rPr>
      </w:pPr>
      <w:r>
        <w:rPr>
          <w:szCs w:val="22"/>
        </w:rPr>
        <w:t xml:space="preserve">Under the legacy channel spacing requirement and bandwidth limitation in </w:t>
      </w:r>
      <w:r w:rsidR="0093698D">
        <w:rPr>
          <w:szCs w:val="22"/>
        </w:rPr>
        <w:t>Section 90.209(b)(5) of the Commission’s rules</w:t>
      </w:r>
      <w:r>
        <w:rPr>
          <w:szCs w:val="22"/>
        </w:rPr>
        <w:t>, EA-based 800 MHz SMR licensees are unable to deploy competitive wireless services because the rule limits operations to 25 kHz channe</w:t>
      </w:r>
      <w:r w:rsidR="00F64250">
        <w:rPr>
          <w:szCs w:val="22"/>
        </w:rPr>
        <w:t>ls with a bandwidth of 20 kHz.</w:t>
      </w:r>
      <w:r w:rsidR="0093698D">
        <w:rPr>
          <w:rStyle w:val="FootnoteReference"/>
          <w:szCs w:val="22"/>
        </w:rPr>
        <w:footnoteReference w:id="1"/>
      </w:r>
      <w:r w:rsidR="0093698D">
        <w:rPr>
          <w:szCs w:val="22"/>
        </w:rPr>
        <w:t xml:space="preserve"> </w:t>
      </w:r>
      <w:r>
        <w:rPr>
          <w:szCs w:val="22"/>
        </w:rPr>
        <w:t xml:space="preserve">CDMA operations, for example, require 1.25 MHz channels. </w:t>
      </w:r>
    </w:p>
    <w:p w:rsidR="009C7A39" w:rsidRDefault="009C7A39" w:rsidP="009C7A39">
      <w:pPr>
        <w:pStyle w:val="ParaNum"/>
        <w:widowControl/>
        <w:numPr>
          <w:ilvl w:val="0"/>
          <w:numId w:val="0"/>
        </w:numPr>
        <w:tabs>
          <w:tab w:val="left" w:pos="1440"/>
        </w:tabs>
        <w:spacing w:after="220"/>
        <w:jc w:val="both"/>
      </w:pPr>
      <w:r>
        <w:rPr>
          <w:szCs w:val="22"/>
        </w:rPr>
        <w:t>The r</w:t>
      </w:r>
      <w:r w:rsidRPr="00C16F6E">
        <w:rPr>
          <w:szCs w:val="22"/>
        </w:rPr>
        <w:t>ule adopted in</w:t>
      </w:r>
      <w:r>
        <w:rPr>
          <w:szCs w:val="22"/>
        </w:rPr>
        <w:t xml:space="preserve"> this </w:t>
      </w:r>
      <w:r w:rsidRPr="00C16F6E">
        <w:rPr>
          <w:i/>
          <w:szCs w:val="22"/>
        </w:rPr>
        <w:t>Report and Order</w:t>
      </w:r>
      <w:r w:rsidRPr="00C16F6E">
        <w:rPr>
          <w:szCs w:val="22"/>
        </w:rPr>
        <w:t xml:space="preserve"> appl</w:t>
      </w:r>
      <w:r>
        <w:rPr>
          <w:szCs w:val="22"/>
        </w:rPr>
        <w:t>ies</w:t>
      </w:r>
      <w:r w:rsidRPr="00C16F6E">
        <w:rPr>
          <w:szCs w:val="22"/>
        </w:rPr>
        <w:t xml:space="preserve"> to the 813.5-824/858.5-869 MHz band segment in the Southeastern United States as specified in Section 90.614(c), and to the 817-824/862-869 MHz band segment in other areas of the United States</w:t>
      </w:r>
      <w:r>
        <w:rPr>
          <w:szCs w:val="22"/>
        </w:rPr>
        <w:t xml:space="preserve"> (frequently referred to as enhanced SMR or ESMR)</w:t>
      </w:r>
      <w:r w:rsidRPr="00C16F6E">
        <w:rPr>
          <w:szCs w:val="22"/>
        </w:rPr>
        <w:t>.</w:t>
      </w:r>
      <w:r w:rsidRPr="00A83BBC">
        <w:rPr>
          <w:szCs w:val="22"/>
        </w:rPr>
        <w:t xml:space="preserve"> </w:t>
      </w:r>
      <w:r>
        <w:rPr>
          <w:szCs w:val="22"/>
        </w:rPr>
        <w:t>The Commission found that c</w:t>
      </w:r>
      <w:r w:rsidRPr="00A83BBC">
        <w:rPr>
          <w:szCs w:val="22"/>
        </w:rPr>
        <w:t>onsumers will benefit from th</w:t>
      </w:r>
      <w:r w:rsidR="007B0601">
        <w:rPr>
          <w:szCs w:val="22"/>
        </w:rPr>
        <w:t>e</w:t>
      </w:r>
      <w:r w:rsidRPr="00A83BBC">
        <w:rPr>
          <w:szCs w:val="22"/>
        </w:rPr>
        <w:t xml:space="preserve"> flexibility </w:t>
      </w:r>
      <w:r w:rsidR="007B0601">
        <w:rPr>
          <w:szCs w:val="22"/>
        </w:rPr>
        <w:t xml:space="preserve">afforded by this rule change </w:t>
      </w:r>
      <w:r w:rsidRPr="00A83BBC">
        <w:rPr>
          <w:szCs w:val="22"/>
        </w:rPr>
        <w:t>through improved access to advanced wireless services, including in rural, unserved, and underserved areas</w:t>
      </w:r>
      <w:r>
        <w:rPr>
          <w:szCs w:val="22"/>
        </w:rPr>
        <w:t>.</w:t>
      </w:r>
    </w:p>
    <w:p w:rsidR="009C7A39" w:rsidRPr="004B1666" w:rsidRDefault="009C7A39" w:rsidP="009C7A39">
      <w:pPr>
        <w:pStyle w:val="Heading1"/>
        <w:jc w:val="both"/>
        <w:rPr>
          <w:rFonts w:ascii="Times New Roman" w:hAnsi="Times New Roman"/>
          <w:szCs w:val="22"/>
        </w:rPr>
      </w:pPr>
      <w:bookmarkStart w:id="27" w:name="_Toc103419949"/>
      <w:bookmarkStart w:id="28" w:name="_Toc103420573"/>
      <w:bookmarkStart w:id="29" w:name="_Toc103420715"/>
      <w:bookmarkStart w:id="30" w:name="_Toc103420759"/>
      <w:bookmarkStart w:id="31" w:name="_Toc103420819"/>
      <w:bookmarkStart w:id="32" w:name="_Toc103420866"/>
      <w:bookmarkStart w:id="33" w:name="_Toc103420954"/>
      <w:bookmarkStart w:id="34" w:name="_Toc103421293"/>
      <w:bookmarkStart w:id="35" w:name="_Toc103421411"/>
      <w:bookmarkStart w:id="36" w:name="_Toc103421505"/>
      <w:bookmarkStart w:id="37" w:name="_Toc103488262"/>
      <w:bookmarkStart w:id="38" w:name="_Toc125945574"/>
      <w:bookmarkStart w:id="39" w:name="_Toc153861059"/>
      <w:bookmarkStart w:id="40" w:name="_Toc176072635"/>
      <w:bookmarkStart w:id="41" w:name="_Toc176072761"/>
      <w:bookmarkStart w:id="42" w:name="_Toc176072787"/>
      <w:bookmarkStart w:id="43" w:name="_Toc176072811"/>
      <w:bookmarkStart w:id="44" w:name="_Toc179100554"/>
      <w:bookmarkStart w:id="45" w:name="_Toc179100919"/>
      <w:bookmarkStart w:id="46" w:name="_Toc216065689"/>
      <w:bookmarkStart w:id="47" w:name="_Toc326229720"/>
      <w:bookmarkStart w:id="48" w:name="_Toc326658330"/>
      <w:bookmarkStart w:id="49" w:name="_Toc326746786"/>
      <w:bookmarkStart w:id="50" w:name="_Toc326826052"/>
      <w:bookmarkStart w:id="51" w:name="_Toc326826133"/>
      <w:r w:rsidRPr="004B1666">
        <w:rPr>
          <w:rFonts w:ascii="Times New Roman" w:hAnsi="Times New Roman"/>
          <w:szCs w:val="22"/>
        </w:rPr>
        <w:t>Regulations and Policies That the Commission ADOPTED OR Modified</w:t>
      </w:r>
      <w:bookmarkEnd w:id="27"/>
      <w:bookmarkEnd w:id="28"/>
      <w:bookmarkEnd w:id="29"/>
      <w:bookmarkEnd w:id="30"/>
      <w:bookmarkEnd w:id="31"/>
      <w:bookmarkEnd w:id="32"/>
      <w:bookmarkEnd w:id="33"/>
      <w:bookmarkEnd w:id="34"/>
      <w:bookmarkEnd w:id="35"/>
      <w:bookmarkEnd w:id="36"/>
      <w:bookmarkEnd w:id="37"/>
      <w:bookmarkEnd w:id="38"/>
      <w:r w:rsidRPr="004B1666">
        <w:rPr>
          <w:rFonts w:ascii="Times New Roman" w:hAnsi="Times New Roman"/>
          <w:szCs w:val="22"/>
        </w:rPr>
        <w:t>, including compliance requirements</w:t>
      </w:r>
      <w:bookmarkEnd w:id="39"/>
      <w:bookmarkEnd w:id="40"/>
      <w:bookmarkEnd w:id="41"/>
      <w:bookmarkEnd w:id="42"/>
      <w:bookmarkEnd w:id="43"/>
      <w:bookmarkEnd w:id="44"/>
      <w:bookmarkEnd w:id="45"/>
      <w:bookmarkEnd w:id="46"/>
      <w:bookmarkEnd w:id="47"/>
      <w:bookmarkEnd w:id="48"/>
      <w:bookmarkEnd w:id="49"/>
      <w:bookmarkEnd w:id="50"/>
      <w:bookmarkEnd w:id="51"/>
      <w:r w:rsidRPr="004B1666">
        <w:rPr>
          <w:rFonts w:ascii="Times New Roman" w:hAnsi="Times New Roman"/>
          <w:szCs w:val="22"/>
        </w:rPr>
        <w:t xml:space="preserve"> </w:t>
      </w:r>
    </w:p>
    <w:p w:rsidR="009C7A39" w:rsidRDefault="009C7A39" w:rsidP="009C7A39">
      <w:pPr>
        <w:jc w:val="both"/>
      </w:pPr>
      <w:r w:rsidRPr="00D27BE0">
        <w:rPr>
          <w:szCs w:val="22"/>
        </w:rPr>
        <w:t xml:space="preserve">In the </w:t>
      </w:r>
      <w:r w:rsidRPr="00D27BE0">
        <w:rPr>
          <w:i/>
          <w:szCs w:val="22"/>
        </w:rPr>
        <w:t>Report and Order</w:t>
      </w:r>
      <w:r w:rsidR="00DC7EE6">
        <w:rPr>
          <w:szCs w:val="22"/>
        </w:rPr>
        <w:t>,</w:t>
      </w:r>
      <w:r w:rsidRPr="00D27BE0">
        <w:rPr>
          <w:szCs w:val="22"/>
        </w:rPr>
        <w:t xml:space="preserve"> the Commi</w:t>
      </w:r>
      <w:r>
        <w:rPr>
          <w:szCs w:val="22"/>
        </w:rPr>
        <w:t xml:space="preserve">ssion </w:t>
      </w:r>
      <w:r w:rsidRPr="00FF706F">
        <w:t>amend</w:t>
      </w:r>
      <w:r>
        <w:t>ed</w:t>
      </w:r>
      <w:r w:rsidRPr="00FF706F">
        <w:t xml:space="preserve"> Section 90.209 of the </w:t>
      </w:r>
      <w:r>
        <w:t>its</w:t>
      </w:r>
      <w:r w:rsidRPr="00FF706F">
        <w:t xml:space="preserve"> rules to allow EA-based 800 MHz SMR licensees operating in the </w:t>
      </w:r>
      <w:r>
        <w:t>817-824/862-869 MHz band segment</w:t>
      </w:r>
      <w:r w:rsidR="007B0601">
        <w:t>,</w:t>
      </w:r>
      <w:r>
        <w:t xml:space="preserve"> and the </w:t>
      </w:r>
      <w:r w:rsidRPr="00FF706F">
        <w:t>813.5-824/858.5-869 MHz</w:t>
      </w:r>
      <w:r>
        <w:t xml:space="preserve"> band segment in the Southeastern United States</w:t>
      </w:r>
      <w:r w:rsidR="007B0601">
        <w:t>,</w:t>
      </w:r>
      <w:r w:rsidRPr="00FF706F">
        <w:t xml:space="preserve"> to provide wireless serv</w:t>
      </w:r>
      <w:r w:rsidR="007B0601">
        <w:t>ices across aggregated channels</w:t>
      </w:r>
      <w:r w:rsidRPr="00FF706F">
        <w:t xml:space="preserve"> without unnecessary bandwidth </w:t>
      </w:r>
      <w:r>
        <w:t>limitation</w:t>
      </w:r>
      <w:r w:rsidRPr="00FF706F">
        <w:t xml:space="preserve"> or channelization</w:t>
      </w:r>
      <w:r>
        <w:t xml:space="preserve"> requirements. The Commission’s rule also requires affected licensees to provide notice to </w:t>
      </w:r>
      <w:r w:rsidR="007B0601">
        <w:t xml:space="preserve">certain </w:t>
      </w:r>
      <w:r>
        <w:t>800 MHz public safety licensees prior to exceeding the channel spacing and bandwidth limitation.</w:t>
      </w:r>
    </w:p>
    <w:p w:rsidR="009C7A39" w:rsidRDefault="009C7A39" w:rsidP="009C7A39">
      <w:pPr>
        <w:pStyle w:val="ParaNum"/>
        <w:numPr>
          <w:ilvl w:val="0"/>
          <w:numId w:val="0"/>
        </w:numPr>
        <w:spacing w:after="40"/>
        <w:ind w:left="360"/>
        <w:jc w:val="both"/>
      </w:pPr>
    </w:p>
    <w:p w:rsidR="009C7A39" w:rsidRDefault="009C7A39" w:rsidP="009C7A39">
      <w:pPr>
        <w:pStyle w:val="Heading2"/>
      </w:pPr>
      <w:bookmarkStart w:id="52" w:name="_Toc326229721"/>
      <w:bookmarkStart w:id="53" w:name="_Toc326658331"/>
      <w:bookmarkStart w:id="54" w:name="_Toc326746787"/>
      <w:bookmarkStart w:id="55" w:name="_Toc326826053"/>
      <w:bookmarkStart w:id="56" w:name="_Toc326826134"/>
      <w:bookmarkStart w:id="57" w:name="_Toc186598681"/>
      <w:bookmarkStart w:id="58" w:name="_Toc186607587"/>
      <w:bookmarkStart w:id="59" w:name="_Toc187638726"/>
      <w:bookmarkStart w:id="60" w:name="_Toc187726935"/>
      <w:bookmarkStart w:id="61" w:name="_Toc188342625"/>
      <w:bookmarkStart w:id="62" w:name="_Toc188942470"/>
      <w:bookmarkStart w:id="63" w:name="_Toc189539792"/>
      <w:bookmarkStart w:id="64" w:name="_Toc191365714"/>
      <w:bookmarkStart w:id="65" w:name="_Toc206302622"/>
      <w:bookmarkStart w:id="66" w:name="_Toc206321242"/>
      <w:bookmarkStart w:id="67" w:name="_Toc256079787"/>
      <w:r w:rsidRPr="002833E4">
        <w:t xml:space="preserve">Channel </w:t>
      </w:r>
      <w:r w:rsidRPr="004F4B12">
        <w:rPr>
          <w:szCs w:val="22"/>
        </w:rPr>
        <w:t>Spacing</w:t>
      </w:r>
      <w:r w:rsidRPr="002833E4">
        <w:t xml:space="preserve"> and Bandwidth Flexibility for EA-based 800 MHz SMR Licensees</w:t>
      </w:r>
      <w:bookmarkEnd w:id="52"/>
      <w:bookmarkEnd w:id="53"/>
      <w:bookmarkEnd w:id="54"/>
      <w:bookmarkEnd w:id="55"/>
      <w:bookmarkEnd w:id="56"/>
    </w:p>
    <w:p w:rsidR="009C7A39" w:rsidRDefault="009C7A39" w:rsidP="009C7A39">
      <w:pPr>
        <w:pStyle w:val="ParaNum"/>
        <w:numPr>
          <w:ilvl w:val="0"/>
          <w:numId w:val="0"/>
        </w:numPr>
        <w:spacing w:after="40"/>
        <w:jc w:val="both"/>
      </w:pPr>
      <w:r>
        <w:t xml:space="preserve">Under the rule adopted in the </w:t>
      </w:r>
      <w:r>
        <w:rPr>
          <w:i/>
        </w:rPr>
        <w:t>Report and Order</w:t>
      </w:r>
      <w:r w:rsidR="00DC7EE6">
        <w:rPr>
          <w:i/>
        </w:rPr>
        <w:t>,</w:t>
      </w:r>
      <w:r>
        <w:rPr>
          <w:i/>
        </w:rPr>
        <w:t xml:space="preserve"> </w:t>
      </w:r>
      <w:r>
        <w:t>EA-based 800 MHz SMR licensees may exceed the channel spacing and bandwidth limitation in Section 90.209 in the 813.5-824/858.5-869 MHz band segment of the 800 MHz band in National Public Safety Planning Advisory Committee (NPSPAC) regions where 800 MHz reconfiguration is complete. In NPSPAC regions where 800 MHz reconfiguration is incomplete, EA-based 800 MHz licensees may exceed the channel spacing and bandwidth limitation only in 813.5-821/858.5-866 MHz. Upon all 800 MHz public safety licensees in a region completing band reconfiguration, EA-based 800 MHz SMR licensees in 821-824/866-869 MHz may also exceed the channel spacing and bandwidth limitation.</w:t>
      </w:r>
    </w:p>
    <w:p w:rsidR="009C7A39" w:rsidRDefault="009C7A39" w:rsidP="009C7A39">
      <w:pPr>
        <w:jc w:val="both"/>
      </w:pPr>
    </w:p>
    <w:p w:rsidR="009C7A39" w:rsidRDefault="009C7A39" w:rsidP="009C7A39">
      <w:pPr>
        <w:jc w:val="both"/>
      </w:pPr>
      <w:r>
        <w:t xml:space="preserve">The </w:t>
      </w:r>
      <w:r>
        <w:rPr>
          <w:i/>
        </w:rPr>
        <w:t>Report and Order</w:t>
      </w:r>
      <w:r>
        <w:t xml:space="preserve"> limits the frequencies on which an EA-based 800 MHz SMR licensee may exceed the standard channel spacing and bandwidth limitation based on the completion of 800 MHz reconfiguration in a given geographic area. In 2004 the Commission initiated the 800 MHz reconfiguration process, whereby 800 MHz commercial wireless operations were separated from 800 MHz public safety operations to prevent harmful interference to public safety users. The process is still ongoing, and the rule adopted in the </w:t>
      </w:r>
      <w:r>
        <w:rPr>
          <w:i/>
        </w:rPr>
        <w:t>Report and Order</w:t>
      </w:r>
      <w:r>
        <w:t xml:space="preserve"> aims to avoid impacting the 800 MHz reconfiguration process.</w:t>
      </w:r>
    </w:p>
    <w:p w:rsidR="009C7A39" w:rsidRDefault="009C7A39" w:rsidP="009C7A39"/>
    <w:p w:rsidR="009C7A39" w:rsidRDefault="009C7A39" w:rsidP="00B365A8">
      <w:pPr>
        <w:widowControl/>
        <w:jc w:val="both"/>
      </w:pPr>
      <w:r>
        <w:t>Pursuant to th</w:t>
      </w:r>
      <w:r w:rsidR="007B0601">
        <w:t>e</w:t>
      </w:r>
      <w:r>
        <w:t xml:space="preserve"> rule </w:t>
      </w:r>
      <w:r w:rsidR="007B0601">
        <w:t xml:space="preserve">adopted in the </w:t>
      </w:r>
      <w:r w:rsidR="007B0601">
        <w:rPr>
          <w:i/>
        </w:rPr>
        <w:t>Report and Order</w:t>
      </w:r>
      <w:r>
        <w:t xml:space="preserve">, EA-based 800 MHz SMR licensees will be able to </w:t>
      </w:r>
      <w:r w:rsidR="007B0601">
        <w:t>deploy</w:t>
      </w:r>
      <w:r>
        <w:t xml:space="preserve"> new wireless technologies, such as CDMA and LTE</w:t>
      </w:r>
      <w:r w:rsidR="00323348">
        <w:t xml:space="preserve">, </w:t>
      </w:r>
      <w:r>
        <w:t>while incurring little additional compliance costs.  Consumers will benefit from access to these advanced technologies. The Commission found that there will be little additional costs to 800 MHz public safety licensees from such operation relative to the status quo, which may be incurred through increased monitoring for harmful interference for a time following an EA-based 800 MHz SMR licensee’s transition to a wideband technology. The Commission concluded that the minimal costs incurred are far outweighed by the benefits gained through the efficient utilization of spectrum resources and the deployment and availability of advanced wireless services.</w:t>
      </w:r>
    </w:p>
    <w:p w:rsidR="009C7A39" w:rsidRDefault="009C7A39" w:rsidP="009C7A39"/>
    <w:p w:rsidR="009C7A39" w:rsidRDefault="009C7A39" w:rsidP="009C7A39">
      <w:pPr>
        <w:pStyle w:val="Heading2"/>
      </w:pPr>
      <w:bookmarkStart w:id="68" w:name="_Toc326229722"/>
      <w:bookmarkStart w:id="69" w:name="_Toc326658332"/>
      <w:bookmarkStart w:id="70" w:name="_Toc326746788"/>
      <w:bookmarkStart w:id="71" w:name="_Toc326826054"/>
      <w:bookmarkStart w:id="72" w:name="_Toc326826135"/>
      <w:r>
        <w:t xml:space="preserve">Protection of 800 </w:t>
      </w:r>
      <w:r w:rsidRPr="004F4B12">
        <w:rPr>
          <w:szCs w:val="22"/>
        </w:rPr>
        <w:t>MHz</w:t>
      </w:r>
      <w:r>
        <w:t xml:space="preserve"> Public Safety Licensees</w:t>
      </w:r>
      <w:bookmarkEnd w:id="68"/>
      <w:bookmarkEnd w:id="69"/>
      <w:bookmarkEnd w:id="70"/>
      <w:bookmarkEnd w:id="71"/>
      <w:bookmarkEnd w:id="72"/>
    </w:p>
    <w:p w:rsidR="009C7A39" w:rsidRDefault="009C7A39" w:rsidP="009C7A39">
      <w:pPr>
        <w:jc w:val="both"/>
      </w:pPr>
      <w:r>
        <w:t xml:space="preserve">To further protect 800 MHz public safety licensees from harmful interference, the Commission also adopted a notice requirement. Under the </w:t>
      </w:r>
      <w:r>
        <w:rPr>
          <w:i/>
        </w:rPr>
        <w:t>Report and Order</w:t>
      </w:r>
      <w:r>
        <w:t>,</w:t>
      </w:r>
      <w:r>
        <w:rPr>
          <w:i/>
        </w:rPr>
        <w:t xml:space="preserve"> </w:t>
      </w:r>
      <w:r>
        <w:t>EA-based 800 MHz SMR licensees must provide 30 days written notice to 800 MHz public safety licensees with base stations in a NPSPAC region</w:t>
      </w:r>
      <w:r w:rsidR="00323348">
        <w:rPr>
          <w:rStyle w:val="FootnoteReference"/>
        </w:rPr>
        <w:footnoteReference w:id="2"/>
      </w:r>
      <w:r>
        <w:t xml:space="preserve"> where an EA-based 800 MHz SMR licensee intends to exceed the channel spacing and bandwidth limitation, and to public safety licensees with base stations within 113 kilometers (70 miles) of an affected NPSPAC region border. This notice must include the estimated date on which the EA-based 800 MHz SMR licensee’s operations will exceed the channel spacing requirement and bandwidth limitation.</w:t>
      </w:r>
    </w:p>
    <w:p w:rsidR="009C7A39" w:rsidRDefault="009C7A39" w:rsidP="009C7A39">
      <w:pPr>
        <w:jc w:val="both"/>
      </w:pPr>
    </w:p>
    <w:p w:rsidR="009C7A39" w:rsidRDefault="009C7A39" w:rsidP="009C7A39">
      <w:pPr>
        <w:jc w:val="both"/>
      </w:pPr>
      <w:r>
        <w:t xml:space="preserve">The Commission </w:t>
      </w:r>
      <w:r w:rsidRPr="00AA4DAB">
        <w:t>conclude</w:t>
      </w:r>
      <w:r>
        <w:t>d</w:t>
      </w:r>
      <w:r w:rsidRPr="00AA4DAB">
        <w:t xml:space="preserve"> that the 30-day notice condition, in combination with the limitation preventing EA-based 800 MHz SMR licensees from exceeding the channel spacing and bandwidth limitation in NPSPAC regions where reconfiguration is incomplete, adequately protects 800 MHz public safety licensees from harmful interference</w:t>
      </w:r>
      <w:r>
        <w:t xml:space="preserve">. </w:t>
      </w:r>
      <w:r w:rsidRPr="00AA4DAB">
        <w:t>Th</w:t>
      </w:r>
      <w:r>
        <w:t>e</w:t>
      </w:r>
      <w:r w:rsidRPr="00AA4DAB">
        <w:t xml:space="preserve"> notice requirement is designed to provide notice to public safety licensees so that they may monitor their networks for any increase in harmful interference caused by EA-based 800 MHz SMR licensees that exceed the standard channel spacing and bandwidth limitation</w:t>
      </w:r>
      <w:r w:rsidR="007B0601">
        <w:t>,</w:t>
      </w:r>
      <w:r w:rsidRPr="00AA4DAB">
        <w:t xml:space="preserve"> and take appropriate steps to initiate a process to remedy such interference should it occur.</w:t>
      </w:r>
    </w:p>
    <w:p w:rsidR="009C7A39" w:rsidRDefault="009C7A39" w:rsidP="009C7A39">
      <w:pPr>
        <w:jc w:val="both"/>
      </w:pPr>
    </w:p>
    <w:p w:rsidR="009C7A39" w:rsidRDefault="009C7A39" w:rsidP="009C7A39">
      <w:pPr>
        <w:pStyle w:val="ParaNum"/>
        <w:widowControl/>
        <w:numPr>
          <w:ilvl w:val="0"/>
          <w:numId w:val="0"/>
        </w:numPr>
        <w:tabs>
          <w:tab w:val="left" w:pos="1440"/>
        </w:tabs>
        <w:spacing w:after="220"/>
        <w:jc w:val="both"/>
      </w:pPr>
      <w:r>
        <w:t xml:space="preserve">The Commission found that while this requirement will result in certain costs to EA-based licensees 800 MHz who must identify and timely notify affected public safety entities, the resulting benefits – flexibility to deploy advanced wireless services and efficient resolution of interference to a public safety entity – offsets such costs. This condition will impose only a modest burden on </w:t>
      </w:r>
      <w:r w:rsidR="007B0601">
        <w:t>EA-based 800 MHz SMR</w:t>
      </w:r>
      <w:r>
        <w:t xml:space="preserve"> licensees and will ensure that 800 MHz public safety licensees are fully informed, thus making it easier to swiftly resolve any issues or concerns that may arise. </w:t>
      </w:r>
    </w:p>
    <w:p w:rsidR="009C7A39" w:rsidRDefault="009C7A39" w:rsidP="009C7A39">
      <w:pPr>
        <w:pStyle w:val="ParaNum"/>
        <w:widowControl/>
        <w:numPr>
          <w:ilvl w:val="0"/>
          <w:numId w:val="0"/>
        </w:numPr>
        <w:tabs>
          <w:tab w:val="left" w:pos="1440"/>
        </w:tabs>
        <w:spacing w:after="220"/>
        <w:jc w:val="both"/>
      </w:pPr>
      <w:r>
        <w:t xml:space="preserve">Further, the </w:t>
      </w:r>
      <w:r>
        <w:rPr>
          <w:i/>
        </w:rPr>
        <w:t xml:space="preserve">Report and Order </w:t>
      </w:r>
      <w:r>
        <w:t>notes that EA-based 800 MHz SMR licensees will still be obligated to meet all other technical requirements under Part 90, including co-channel separation distances, out-of-band emission limits, interference abatement requirements, interference resolution procedures, and rules governing operations in the Mexico and Canada border areas.</w:t>
      </w:r>
    </w:p>
    <w:p w:rsidR="009C7A39" w:rsidRPr="004B1666" w:rsidRDefault="009C7A39" w:rsidP="009C7A39">
      <w:pPr>
        <w:pStyle w:val="Heading1"/>
        <w:jc w:val="both"/>
        <w:rPr>
          <w:rFonts w:ascii="Times New Roman" w:hAnsi="Times New Roman"/>
          <w:szCs w:val="22"/>
        </w:rPr>
      </w:pPr>
      <w:bookmarkStart w:id="73" w:name="_Toc103419990"/>
      <w:bookmarkStart w:id="74" w:name="_Toc103420614"/>
      <w:bookmarkStart w:id="75" w:name="_Toc103420756"/>
      <w:bookmarkStart w:id="76" w:name="_Toc103420800"/>
      <w:bookmarkStart w:id="77" w:name="_Toc103420860"/>
      <w:bookmarkStart w:id="78" w:name="_Toc103420907"/>
      <w:bookmarkStart w:id="79" w:name="_Toc103420995"/>
      <w:bookmarkStart w:id="80" w:name="_Toc103421334"/>
      <w:bookmarkStart w:id="81" w:name="_Toc103421422"/>
      <w:bookmarkStart w:id="82" w:name="_Toc103421546"/>
      <w:bookmarkStart w:id="83" w:name="_Toc103488303"/>
      <w:bookmarkStart w:id="84" w:name="_Toc125945586"/>
      <w:bookmarkStart w:id="85" w:name="_Toc176072636"/>
      <w:bookmarkStart w:id="86" w:name="_Toc176072762"/>
      <w:bookmarkStart w:id="87" w:name="_Toc176072788"/>
      <w:bookmarkStart w:id="88" w:name="_Toc176072812"/>
      <w:bookmarkStart w:id="89" w:name="_Toc179100598"/>
      <w:bookmarkStart w:id="90" w:name="_Toc179100963"/>
      <w:bookmarkStart w:id="91" w:name="_Toc216065693"/>
      <w:bookmarkStart w:id="92" w:name="_Toc326229723"/>
      <w:bookmarkStart w:id="93" w:name="_Toc326658333"/>
      <w:bookmarkStart w:id="94" w:name="_Toc326746789"/>
      <w:bookmarkStart w:id="95" w:name="_Toc326826055"/>
      <w:bookmarkStart w:id="96" w:name="_Toc326826136"/>
      <w:bookmarkEnd w:id="57"/>
      <w:bookmarkEnd w:id="58"/>
      <w:bookmarkEnd w:id="59"/>
      <w:bookmarkEnd w:id="60"/>
      <w:bookmarkEnd w:id="61"/>
      <w:bookmarkEnd w:id="62"/>
      <w:bookmarkEnd w:id="63"/>
      <w:bookmarkEnd w:id="64"/>
      <w:bookmarkEnd w:id="65"/>
      <w:bookmarkEnd w:id="66"/>
      <w:bookmarkEnd w:id="67"/>
      <w:r w:rsidRPr="004B1666">
        <w:rPr>
          <w:rFonts w:ascii="Times New Roman" w:hAnsi="Times New Roman"/>
          <w:szCs w:val="22"/>
        </w:rPr>
        <w:t>Recordkeeping and Other Compliance Requirements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9C7A39" w:rsidRDefault="009C7A39" w:rsidP="009C7A39">
      <w:pPr>
        <w:jc w:val="both"/>
        <w:rPr>
          <w:szCs w:val="22"/>
        </w:rPr>
      </w:pPr>
      <w:r w:rsidRPr="007C50C3">
        <w:rPr>
          <w:szCs w:val="22"/>
        </w:rPr>
        <w:t xml:space="preserve">The </w:t>
      </w:r>
      <w:r w:rsidRPr="007C50C3">
        <w:rPr>
          <w:i/>
          <w:szCs w:val="22"/>
        </w:rPr>
        <w:t>Report and Order</w:t>
      </w:r>
      <w:r w:rsidRPr="007C50C3">
        <w:rPr>
          <w:szCs w:val="22"/>
        </w:rPr>
        <w:t xml:space="preserve"> is deregulatory in nature and imposes only a minor compliance requirement on all affected entit</w:t>
      </w:r>
      <w:r>
        <w:rPr>
          <w:szCs w:val="22"/>
        </w:rPr>
        <w:t xml:space="preserve">ies, including small entities. </w:t>
      </w:r>
      <w:r w:rsidRPr="007C50C3">
        <w:rPr>
          <w:szCs w:val="22"/>
        </w:rPr>
        <w:t xml:space="preserve">In recognition of the resources available to small entities, and in the interest of simplified compliance obligations, the </w:t>
      </w:r>
      <w:r w:rsidRPr="007C50C3">
        <w:rPr>
          <w:i/>
          <w:szCs w:val="22"/>
        </w:rPr>
        <w:t xml:space="preserve">Report and Order </w:t>
      </w:r>
      <w:r w:rsidRPr="007C50C3">
        <w:rPr>
          <w:szCs w:val="22"/>
        </w:rPr>
        <w:t xml:space="preserve">does not mandate any specific form or manner in which entities must comply with the </w:t>
      </w:r>
      <w:r>
        <w:rPr>
          <w:szCs w:val="22"/>
        </w:rPr>
        <w:t>notice</w:t>
      </w:r>
      <w:r w:rsidRPr="007C50C3">
        <w:rPr>
          <w:szCs w:val="22"/>
        </w:rPr>
        <w:t xml:space="preserve"> requirement.  </w:t>
      </w:r>
    </w:p>
    <w:p w:rsidR="009C7A39" w:rsidRDefault="009C7A39" w:rsidP="009C7A39">
      <w:pPr>
        <w:jc w:val="both"/>
        <w:rPr>
          <w:szCs w:val="22"/>
        </w:rPr>
      </w:pPr>
    </w:p>
    <w:p w:rsidR="009C7A39" w:rsidRDefault="009C7A39" w:rsidP="009C7A39">
      <w:pPr>
        <w:widowControl/>
        <w:jc w:val="both"/>
        <w:rPr>
          <w:szCs w:val="22"/>
        </w:rPr>
      </w:pPr>
      <w:r>
        <w:rPr>
          <w:szCs w:val="22"/>
        </w:rPr>
        <w:t xml:space="preserve">The </w:t>
      </w:r>
      <w:r w:rsidRPr="007C50C3">
        <w:rPr>
          <w:i/>
          <w:szCs w:val="22"/>
        </w:rPr>
        <w:t>Report and Order</w:t>
      </w:r>
      <w:r w:rsidRPr="007C50C3">
        <w:rPr>
          <w:szCs w:val="22"/>
        </w:rPr>
        <w:t xml:space="preserve"> requires EA-based 800 MHz SMR licensees to provide 30 days advanced written notice to all </w:t>
      </w:r>
      <w:r>
        <w:rPr>
          <w:szCs w:val="22"/>
        </w:rPr>
        <w:t xml:space="preserve">800 MHz </w:t>
      </w:r>
      <w:r w:rsidRPr="007C50C3">
        <w:rPr>
          <w:szCs w:val="22"/>
        </w:rPr>
        <w:t>public safety licensees with a base station in an affected NPSPAC region and within 113 kilometers (70 miles) of the border of an affected NPSPAC region</w:t>
      </w:r>
      <w:r>
        <w:rPr>
          <w:szCs w:val="22"/>
        </w:rPr>
        <w:t xml:space="preserve">. </w:t>
      </w:r>
      <w:r w:rsidRPr="007C50C3">
        <w:rPr>
          <w:szCs w:val="22"/>
        </w:rPr>
        <w:t>This notice must include the estimated date that the EA-based 800 MHz SMR licensee’s operations will exceed the channel spa</w:t>
      </w:r>
      <w:r>
        <w:rPr>
          <w:szCs w:val="22"/>
        </w:rPr>
        <w:t>cing and bandwidth limitation. The Commission</w:t>
      </w:r>
      <w:r w:rsidRPr="007C50C3">
        <w:rPr>
          <w:szCs w:val="22"/>
        </w:rPr>
        <w:t xml:space="preserve"> believe</w:t>
      </w:r>
      <w:r>
        <w:rPr>
          <w:szCs w:val="22"/>
        </w:rPr>
        <w:t>s</w:t>
      </w:r>
      <w:r w:rsidRPr="007C50C3">
        <w:rPr>
          <w:szCs w:val="22"/>
        </w:rPr>
        <w:t xml:space="preserve"> this notice </w:t>
      </w:r>
      <w:r>
        <w:rPr>
          <w:szCs w:val="22"/>
        </w:rPr>
        <w:t xml:space="preserve">imposes only a small compliance burden, and </w:t>
      </w:r>
      <w:r w:rsidRPr="007C50C3">
        <w:rPr>
          <w:szCs w:val="22"/>
        </w:rPr>
        <w:t xml:space="preserve">is necessary to ensure that public safety licensees are aware of the operation and can actively monitor for any interference issues that may arise. </w:t>
      </w:r>
    </w:p>
    <w:p w:rsidR="001F5A22" w:rsidRDefault="001F5A22" w:rsidP="009C7A39">
      <w:pPr>
        <w:widowControl/>
        <w:jc w:val="both"/>
        <w:rPr>
          <w:szCs w:val="22"/>
        </w:rPr>
      </w:pPr>
    </w:p>
    <w:p w:rsidR="001F5A22" w:rsidRDefault="001F5A22" w:rsidP="001F5A22">
      <w:pPr>
        <w:widowControl/>
        <w:jc w:val="both"/>
        <w:rPr>
          <w:szCs w:val="22"/>
        </w:rPr>
      </w:pPr>
      <w:r>
        <w:rPr>
          <w:szCs w:val="22"/>
        </w:rPr>
        <w:t>EA-based 800 MHz SMR licensees may determine the relevant NPSPAC region in which they operate and th</w:t>
      </w:r>
      <w:r w:rsidR="0035417E">
        <w:rPr>
          <w:szCs w:val="22"/>
        </w:rPr>
        <w:t>at</w:t>
      </w:r>
      <w:r>
        <w:rPr>
          <w:szCs w:val="22"/>
        </w:rPr>
        <w:t xml:space="preserve"> border the region in which they operate by examining the NPSPAC region map.</w:t>
      </w:r>
      <w:r>
        <w:rPr>
          <w:rStyle w:val="FootnoteReference"/>
          <w:szCs w:val="22"/>
        </w:rPr>
        <w:footnoteReference w:id="3"/>
      </w:r>
      <w:r>
        <w:rPr>
          <w:szCs w:val="22"/>
        </w:rPr>
        <w:t xml:space="preserve"> </w:t>
      </w:r>
      <w:r w:rsidR="00770FBE">
        <w:rPr>
          <w:szCs w:val="22"/>
        </w:rPr>
        <w:t xml:space="preserve"> EA-based 800 MHz SMR licensees may determine the 800 MHz public safety licensees within a given NPSPAC region by determining the approximate geographic coordinates of the region, and cross referencing the 800 MHz public safety license areas through the Commission’s Universal Licensing System.</w:t>
      </w:r>
      <w:r w:rsidR="00770FBE">
        <w:rPr>
          <w:rStyle w:val="FootnoteReference"/>
          <w:szCs w:val="22"/>
        </w:rPr>
        <w:footnoteReference w:id="4"/>
      </w:r>
    </w:p>
    <w:p w:rsidR="009C7A39" w:rsidRDefault="009C7A39" w:rsidP="009C7A39">
      <w:pPr>
        <w:widowControl/>
        <w:jc w:val="both"/>
        <w:rPr>
          <w:szCs w:val="22"/>
        </w:rPr>
      </w:pPr>
    </w:p>
    <w:p w:rsidR="009C7A39" w:rsidRPr="004B1666" w:rsidRDefault="009C7A39" w:rsidP="009C7A39">
      <w:pPr>
        <w:jc w:val="both"/>
        <w:rPr>
          <w:szCs w:val="22"/>
        </w:rPr>
      </w:pPr>
    </w:p>
    <w:p w:rsidR="009C7A39" w:rsidRPr="004B1666" w:rsidRDefault="009C7A39" w:rsidP="009C7A39">
      <w:pPr>
        <w:pStyle w:val="Heading1"/>
        <w:jc w:val="both"/>
        <w:rPr>
          <w:rFonts w:ascii="Times New Roman" w:hAnsi="Times New Roman"/>
          <w:szCs w:val="22"/>
        </w:rPr>
      </w:pPr>
      <w:bookmarkStart w:id="97" w:name="_Toc176072637"/>
      <w:bookmarkStart w:id="98" w:name="_Toc176072763"/>
      <w:bookmarkStart w:id="99" w:name="_Toc176072789"/>
      <w:bookmarkStart w:id="100" w:name="_Toc176072813"/>
      <w:bookmarkStart w:id="101" w:name="_Toc179100599"/>
      <w:bookmarkStart w:id="102" w:name="_Toc179100964"/>
      <w:bookmarkStart w:id="103" w:name="_Toc216065694"/>
      <w:bookmarkStart w:id="104" w:name="_Toc326229724"/>
      <w:bookmarkStart w:id="105" w:name="_Toc326658334"/>
      <w:bookmarkStart w:id="106" w:name="_Toc326746790"/>
      <w:bookmarkStart w:id="107" w:name="_Toc326826056"/>
      <w:bookmarkStart w:id="108" w:name="_Toc326826137"/>
      <w:r w:rsidRPr="004B1666">
        <w:rPr>
          <w:rFonts w:ascii="Times New Roman" w:hAnsi="Times New Roman"/>
          <w:szCs w:val="22"/>
        </w:rPr>
        <w:t>Weblink</w:t>
      </w:r>
      <w:bookmarkEnd w:id="97"/>
      <w:bookmarkEnd w:id="98"/>
      <w:bookmarkEnd w:id="99"/>
      <w:bookmarkEnd w:id="100"/>
      <w:bookmarkEnd w:id="101"/>
      <w:bookmarkEnd w:id="102"/>
      <w:bookmarkEnd w:id="103"/>
      <w:bookmarkEnd w:id="104"/>
      <w:bookmarkEnd w:id="105"/>
      <w:bookmarkEnd w:id="106"/>
      <w:bookmarkEnd w:id="107"/>
      <w:bookmarkEnd w:id="108"/>
    </w:p>
    <w:p w:rsidR="009C7A39" w:rsidRPr="00CD3513" w:rsidRDefault="009C7A39" w:rsidP="009C7A39">
      <w:pPr>
        <w:jc w:val="both"/>
        <w:rPr>
          <w:color w:val="FF0000"/>
          <w:szCs w:val="22"/>
        </w:rPr>
      </w:pPr>
      <w:r w:rsidRPr="007036A7">
        <w:rPr>
          <w:szCs w:val="22"/>
        </w:rPr>
        <w:t>The</w:t>
      </w:r>
      <w:r>
        <w:rPr>
          <w:i/>
          <w:szCs w:val="22"/>
        </w:rPr>
        <w:t xml:space="preserve"> </w:t>
      </w:r>
      <w:r w:rsidRPr="007036A7">
        <w:rPr>
          <w:i/>
          <w:szCs w:val="22"/>
        </w:rPr>
        <w:t>Report and Order</w:t>
      </w:r>
      <w:r w:rsidRPr="007036A7">
        <w:rPr>
          <w:szCs w:val="22"/>
        </w:rPr>
        <w:t xml:space="preserve">, FCC </w:t>
      </w:r>
      <w:r>
        <w:rPr>
          <w:szCs w:val="22"/>
        </w:rPr>
        <w:t>12</w:t>
      </w:r>
      <w:r w:rsidRPr="007036A7">
        <w:rPr>
          <w:szCs w:val="22"/>
        </w:rPr>
        <w:t>-</w:t>
      </w:r>
      <w:r>
        <w:rPr>
          <w:szCs w:val="22"/>
        </w:rPr>
        <w:t>55</w:t>
      </w:r>
      <w:r w:rsidRPr="007036A7">
        <w:rPr>
          <w:szCs w:val="22"/>
        </w:rPr>
        <w:t xml:space="preserve">, adopted </w:t>
      </w:r>
      <w:r>
        <w:rPr>
          <w:szCs w:val="22"/>
        </w:rPr>
        <w:t>May 24,</w:t>
      </w:r>
      <w:r w:rsidRPr="007036A7">
        <w:rPr>
          <w:szCs w:val="22"/>
        </w:rPr>
        <w:t xml:space="preserve"> 20</w:t>
      </w:r>
      <w:r>
        <w:rPr>
          <w:szCs w:val="22"/>
        </w:rPr>
        <w:t xml:space="preserve">12 </w:t>
      </w:r>
      <w:r w:rsidRPr="007036A7">
        <w:rPr>
          <w:szCs w:val="22"/>
        </w:rPr>
        <w:t xml:space="preserve">and released </w:t>
      </w:r>
      <w:r>
        <w:rPr>
          <w:szCs w:val="22"/>
        </w:rPr>
        <w:t xml:space="preserve">May 24, </w:t>
      </w:r>
      <w:r w:rsidRPr="007036A7">
        <w:rPr>
          <w:szCs w:val="22"/>
        </w:rPr>
        <w:t>20</w:t>
      </w:r>
      <w:r>
        <w:rPr>
          <w:szCs w:val="22"/>
        </w:rPr>
        <w:t>12</w:t>
      </w:r>
      <w:r w:rsidRPr="007036A7">
        <w:rPr>
          <w:szCs w:val="22"/>
        </w:rPr>
        <w:t xml:space="preserve">.  Final rules adopted in the </w:t>
      </w:r>
      <w:r w:rsidRPr="007036A7">
        <w:rPr>
          <w:i/>
          <w:szCs w:val="22"/>
        </w:rPr>
        <w:t>Report and Order</w:t>
      </w:r>
      <w:r w:rsidRPr="007036A7">
        <w:rPr>
          <w:szCs w:val="22"/>
        </w:rPr>
        <w:t xml:space="preserve"> </w:t>
      </w:r>
      <w:r>
        <w:rPr>
          <w:szCs w:val="22"/>
        </w:rPr>
        <w:t>are</w:t>
      </w:r>
      <w:r w:rsidRPr="007036A7">
        <w:rPr>
          <w:szCs w:val="22"/>
        </w:rPr>
        <w:t xml:space="preserve"> effective on </w:t>
      </w:r>
      <w:r w:rsidRPr="005F0F33">
        <w:rPr>
          <w:szCs w:val="22"/>
        </w:rPr>
        <w:t>July 9, 2012.</w:t>
      </w:r>
    </w:p>
    <w:p w:rsidR="009C7A39" w:rsidRPr="007036A7" w:rsidRDefault="009C7A39" w:rsidP="009C7A39">
      <w:pPr>
        <w:jc w:val="both"/>
        <w:rPr>
          <w:b/>
          <w:szCs w:val="22"/>
        </w:rPr>
      </w:pPr>
    </w:p>
    <w:p w:rsidR="009C7A39" w:rsidRDefault="007F5AC2" w:rsidP="009C7A39">
      <w:pPr>
        <w:jc w:val="both"/>
        <w:rPr>
          <w:b/>
          <w:szCs w:val="22"/>
        </w:rPr>
      </w:pPr>
      <w:hyperlink r:id="rId9" w:history="1">
        <w:r w:rsidR="009C7A39" w:rsidRPr="00396770">
          <w:rPr>
            <w:b/>
            <w:szCs w:val="22"/>
          </w:rPr>
          <w:t>http://hraunfoss.fcc.gov/edocs_public/attachmatch/FCC-12-55A1.doc</w:t>
        </w:r>
      </w:hyperlink>
    </w:p>
    <w:p w:rsidR="009C7A39" w:rsidRDefault="007F5AC2" w:rsidP="009C7A39">
      <w:pPr>
        <w:jc w:val="both"/>
        <w:rPr>
          <w:b/>
          <w:szCs w:val="22"/>
        </w:rPr>
      </w:pPr>
      <w:hyperlink r:id="rId10" w:history="1">
        <w:r w:rsidR="009C7A39" w:rsidRPr="00396770">
          <w:rPr>
            <w:b/>
            <w:szCs w:val="22"/>
          </w:rPr>
          <w:t>http://hraunfoss.fcc.gov/edocs_public/attachmatch/FCC-12-55A1.pdf</w:t>
        </w:r>
      </w:hyperlink>
    </w:p>
    <w:p w:rsidR="002B7852" w:rsidRDefault="007F5AC2" w:rsidP="009C7A39">
      <w:hyperlink r:id="rId11" w:history="1">
        <w:r w:rsidR="009C7A39" w:rsidRPr="00396770">
          <w:rPr>
            <w:b/>
            <w:szCs w:val="22"/>
          </w:rPr>
          <w:t>http://hraunfoss.fcc.gov/edocs_public/attachmatch/FCC-12-55A1.txt</w:t>
        </w:r>
      </w:hyperlink>
    </w:p>
    <w:sectPr w:rsidR="002B7852" w:rsidSect="00DD42E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02" w:rsidRDefault="00FD1A02">
      <w:r>
        <w:separator/>
      </w:r>
    </w:p>
  </w:endnote>
  <w:endnote w:type="continuationSeparator" w:id="0">
    <w:p w:rsidR="00FD1A02" w:rsidRDefault="00FD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78" w:rsidRDefault="00A02A78" w:rsidP="009D4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A78" w:rsidRDefault="00A0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78" w:rsidRDefault="00A02A78" w:rsidP="009D4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AC2">
      <w:rPr>
        <w:rStyle w:val="PageNumber"/>
        <w:noProof/>
      </w:rPr>
      <w:t>2</w:t>
    </w:r>
    <w:r>
      <w:rPr>
        <w:rStyle w:val="PageNumber"/>
      </w:rPr>
      <w:fldChar w:fldCharType="end"/>
    </w:r>
  </w:p>
  <w:p w:rsidR="00A02A78" w:rsidRDefault="00A02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EA" w:rsidRDefault="00421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02" w:rsidRDefault="00FD1A02">
      <w:r>
        <w:separator/>
      </w:r>
    </w:p>
  </w:footnote>
  <w:footnote w:type="continuationSeparator" w:id="0">
    <w:p w:rsidR="00FD1A02" w:rsidRDefault="00FD1A02">
      <w:r>
        <w:continuationSeparator/>
      </w:r>
    </w:p>
  </w:footnote>
  <w:footnote w:id="1">
    <w:p w:rsidR="0093698D" w:rsidRDefault="0093698D" w:rsidP="0093698D">
      <w:pPr>
        <w:pStyle w:val="FootnoteText"/>
        <w:jc w:val="both"/>
      </w:pPr>
      <w:r>
        <w:rPr>
          <w:rStyle w:val="FootnoteReference"/>
        </w:rPr>
        <w:footnoteRef/>
      </w:r>
      <w:r>
        <w:t xml:space="preserve"> 47 C.F.R. § 90.209(b)(5).</w:t>
      </w:r>
    </w:p>
  </w:footnote>
  <w:footnote w:id="2">
    <w:p w:rsidR="00323348" w:rsidRDefault="00323348" w:rsidP="00A02A78">
      <w:pPr>
        <w:pStyle w:val="FootnoteText"/>
        <w:jc w:val="both"/>
      </w:pPr>
      <w:r>
        <w:rPr>
          <w:rStyle w:val="FootnoteReference"/>
        </w:rPr>
        <w:footnoteRef/>
      </w:r>
      <w:r>
        <w:t xml:space="preserve"> The Commission divided the </w:t>
      </w:r>
      <w:smartTag w:uri="urn:schemas-microsoft-com:office:smarttags" w:element="place">
        <w:smartTag w:uri="urn:schemas-microsoft-com:office:smarttags" w:element="country-region">
          <w:r>
            <w:t>United States</w:t>
          </w:r>
        </w:smartTag>
      </w:smartTag>
      <w:r>
        <w:t xml:space="preserve"> into 54 NPSPAC regions for the purpose of creating a national public safety plan. Each region has a planning committee </w:t>
      </w:r>
      <w:r w:rsidR="007B0601">
        <w:t>that</w:t>
      </w:r>
      <w:r>
        <w:t xml:space="preserve"> develops regional plans to meet the specific </w:t>
      </w:r>
      <w:r w:rsidR="007B0601">
        <w:t xml:space="preserve">public safety </w:t>
      </w:r>
      <w:r>
        <w:t>commu</w:t>
      </w:r>
      <w:r w:rsidR="00A02A78">
        <w:t xml:space="preserve">nications needs of the region. </w:t>
      </w:r>
      <w:r>
        <w:t xml:space="preserve">The boundaries of the regions roughly align with state borders, although several states have more than one region within their geographic borders. </w:t>
      </w:r>
    </w:p>
  </w:footnote>
  <w:footnote w:id="3">
    <w:p w:rsidR="001F5A22" w:rsidRPr="001F5A22" w:rsidRDefault="001F5A22">
      <w:pPr>
        <w:pStyle w:val="FootnoteText"/>
      </w:pPr>
      <w:r>
        <w:rPr>
          <w:rStyle w:val="FootnoteReference"/>
        </w:rPr>
        <w:footnoteRef/>
      </w:r>
      <w:r>
        <w:t xml:space="preserve"> The NPSPAC region map is available at </w:t>
      </w:r>
      <w:r w:rsidRPr="001F5A22">
        <w:t>http://publicsafety.fcc.gov/pshs/public-safety-spectrum/800-MHz/regional-planning.htm?region=Region%2042</w:t>
      </w:r>
      <w:r>
        <w:t xml:space="preserve">. </w:t>
      </w:r>
    </w:p>
  </w:footnote>
  <w:footnote w:id="4">
    <w:p w:rsidR="00770FBE" w:rsidRDefault="00770FBE">
      <w:pPr>
        <w:pStyle w:val="FootnoteText"/>
      </w:pPr>
      <w:r>
        <w:rPr>
          <w:rStyle w:val="FootnoteReference"/>
        </w:rPr>
        <w:footnoteRef/>
      </w:r>
      <w:r>
        <w:t xml:space="preserve"> The Universal Licensing System is available at </w:t>
      </w:r>
      <w:r w:rsidRPr="00770FBE">
        <w:t>http://wireless.fcc.gov/uls/index.htm?job=home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EA" w:rsidRDefault="00421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39" w:rsidRDefault="009C7A39" w:rsidP="009C7A39">
    <w:pPr>
      <w:jc w:val="center"/>
    </w:pPr>
  </w:p>
  <w:p w:rsidR="009C7A39" w:rsidRDefault="009C7A39" w:rsidP="009C7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39" w:rsidRDefault="007F5AC2" w:rsidP="009C7A3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pt;margin-top:0;width:64.8pt;height:64.8pt;z-index:251657728;visibility:visible;mso-wrap-edited:f" filled="t" fillcolor="#3cc">
          <v:imagedata r:id="rId1" o:title="" gain="69719f"/>
          <w10:wrap type="topAndBottom"/>
        </v:shape>
        <o:OLEObject Type="Embed" ProgID="Word.Picture.8" ShapeID="_x0000_s2050" DrawAspect="Content" ObjectID="_1429972455" r:id="rId2"/>
      </w:pict>
    </w:r>
  </w:p>
  <w:p w:rsidR="009C7A39" w:rsidRPr="009C7A39" w:rsidRDefault="009C7A39" w:rsidP="009C7A39">
    <w:pPr>
      <w:pStyle w:val="Header"/>
    </w:pPr>
    <w:r w:rsidRPr="009C7A39">
      <w:t>Federal Communications Commission</w:t>
    </w:r>
  </w:p>
  <w:p w:rsidR="009C7A39" w:rsidRDefault="009C7A39" w:rsidP="009C7A39">
    <w:pPr>
      <w:pStyle w:val="Header"/>
    </w:pPr>
    <w:smartTag w:uri="urn:schemas-microsoft-com:office:smarttags" w:element="City">
      <w:r w:rsidRPr="009C7A39">
        <w:t>Washington</w:t>
      </w:r>
    </w:smartTag>
    <w:r w:rsidRPr="009C7A39">
      <w:t xml:space="preserve">, </w:t>
    </w:r>
    <w:smartTag w:uri="urn:schemas-microsoft-com:office:smarttags" w:element="State">
      <w:r w:rsidRPr="009C7A39">
        <w:t>D.C.</w:t>
      </w:r>
    </w:smartTag>
    <w:r w:rsidRPr="009C7A39">
      <w:t xml:space="preserve"> 20554</w:t>
    </w:r>
  </w:p>
  <w:p w:rsidR="00EB7A29" w:rsidRDefault="00EB7A29" w:rsidP="009C7A39">
    <w:pPr>
      <w:pStyle w:val="Header"/>
    </w:pPr>
  </w:p>
  <w:p w:rsidR="00EB7A29" w:rsidRPr="00725F05" w:rsidRDefault="00EB7A29" w:rsidP="00EB7A29">
    <w:pPr>
      <w:pStyle w:val="Header"/>
      <w:rPr>
        <w:sz w:val="24"/>
        <w:szCs w:val="24"/>
      </w:rPr>
    </w:pPr>
    <w:r w:rsidRPr="00EB7A29">
      <w:rPr>
        <w:color w:val="FFFFFF"/>
        <w:sz w:val="24"/>
        <w:szCs w:val="24"/>
      </w:rPr>
      <w:t xml:space="preserve">    ‘ </w:t>
    </w:r>
    <w:r w:rsidRPr="00EB7A29">
      <w:rPr>
        <w:b w:val="0"/>
        <w:sz w:val="24"/>
        <w:szCs w:val="24"/>
      </w:rPr>
      <w:t>May 13, 2013</w:t>
    </w:r>
    <w:r w:rsidRPr="00725F05">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39"/>
    <w:rsid w:val="0001678D"/>
    <w:rsid w:val="0006528D"/>
    <w:rsid w:val="001126A3"/>
    <w:rsid w:val="00171F8B"/>
    <w:rsid w:val="001F5A22"/>
    <w:rsid w:val="00226992"/>
    <w:rsid w:val="002B7852"/>
    <w:rsid w:val="00323348"/>
    <w:rsid w:val="0035417E"/>
    <w:rsid w:val="0036736F"/>
    <w:rsid w:val="003A0E5B"/>
    <w:rsid w:val="004219EA"/>
    <w:rsid w:val="004576EB"/>
    <w:rsid w:val="004E26B9"/>
    <w:rsid w:val="00524734"/>
    <w:rsid w:val="005F21A7"/>
    <w:rsid w:val="006050EB"/>
    <w:rsid w:val="0067785A"/>
    <w:rsid w:val="00734A8E"/>
    <w:rsid w:val="00770FBE"/>
    <w:rsid w:val="007B0601"/>
    <w:rsid w:val="007E6BC2"/>
    <w:rsid w:val="007F26CF"/>
    <w:rsid w:val="007F5AC2"/>
    <w:rsid w:val="0093698D"/>
    <w:rsid w:val="009C7A39"/>
    <w:rsid w:val="009D4CAF"/>
    <w:rsid w:val="00A02A78"/>
    <w:rsid w:val="00A430FC"/>
    <w:rsid w:val="00AA2F17"/>
    <w:rsid w:val="00B365A8"/>
    <w:rsid w:val="00BD28EB"/>
    <w:rsid w:val="00CC3E7E"/>
    <w:rsid w:val="00DC7EE6"/>
    <w:rsid w:val="00DD42E4"/>
    <w:rsid w:val="00DE3CEC"/>
    <w:rsid w:val="00DE3D3F"/>
    <w:rsid w:val="00E314D9"/>
    <w:rsid w:val="00E32BAC"/>
    <w:rsid w:val="00EB7A29"/>
    <w:rsid w:val="00F64250"/>
    <w:rsid w:val="00FB1816"/>
    <w:rsid w:val="00FD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A39"/>
    <w:pPr>
      <w:widowControl w:val="0"/>
    </w:pPr>
    <w:rPr>
      <w:snapToGrid w:val="0"/>
      <w:kern w:val="28"/>
      <w:sz w:val="22"/>
    </w:rPr>
  </w:style>
  <w:style w:type="paragraph" w:styleId="Heading1">
    <w:name w:val="heading 1"/>
    <w:basedOn w:val="Normal"/>
    <w:next w:val="ParaNum"/>
    <w:qFormat/>
    <w:rsid w:val="009C7A39"/>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C7A39"/>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
    <w:basedOn w:val="Normal"/>
    <w:next w:val="ParaNum"/>
    <w:qFormat/>
    <w:rsid w:val="009C7A39"/>
    <w:pPr>
      <w:keepNext/>
      <w:numPr>
        <w:ilvl w:val="2"/>
        <w:numId w:val="1"/>
      </w:numPr>
      <w:tabs>
        <w:tab w:val="left" w:pos="2160"/>
      </w:tabs>
      <w:spacing w:after="120"/>
      <w:outlineLvl w:val="2"/>
    </w:pPr>
    <w:rPr>
      <w:b/>
    </w:rPr>
  </w:style>
  <w:style w:type="paragraph" w:styleId="Heading4">
    <w:name w:val="heading 4"/>
    <w:basedOn w:val="Normal"/>
    <w:next w:val="ParaNum"/>
    <w:qFormat/>
    <w:rsid w:val="009C7A39"/>
    <w:pPr>
      <w:keepNext/>
      <w:numPr>
        <w:ilvl w:val="3"/>
        <w:numId w:val="1"/>
      </w:numPr>
      <w:tabs>
        <w:tab w:val="left" w:pos="2880"/>
      </w:tabs>
      <w:spacing w:after="120"/>
      <w:outlineLvl w:val="3"/>
    </w:pPr>
    <w:rPr>
      <w:b/>
    </w:rPr>
  </w:style>
  <w:style w:type="paragraph" w:styleId="Heading5">
    <w:name w:val="heading 5"/>
    <w:basedOn w:val="Normal"/>
    <w:next w:val="ParaNum"/>
    <w:qFormat/>
    <w:rsid w:val="009C7A39"/>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9C7A39"/>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9C7A39"/>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9C7A39"/>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C7A39"/>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C7A39"/>
    <w:pPr>
      <w:numPr>
        <w:numId w:val="2"/>
      </w:numPr>
      <w:tabs>
        <w:tab w:val="clear" w:pos="1080"/>
        <w:tab w:val="num" w:pos="1440"/>
      </w:tabs>
      <w:spacing w:after="120"/>
    </w:pPr>
  </w:style>
  <w:style w:type="character" w:customStyle="1" w:styleId="ParaNumChar">
    <w:name w:val="ParaNum Char"/>
    <w:link w:val="ParaNum"/>
    <w:rsid w:val="009C7A39"/>
    <w:rPr>
      <w:snapToGrid w:val="0"/>
      <w:kern w:val="28"/>
      <w:sz w:val="22"/>
      <w:lang w:val="en-US" w:eastAsia="en-US" w:bidi="ar-SA"/>
    </w:rPr>
  </w:style>
  <w:style w:type="paragraph" w:styleId="FootnoteText">
    <w:name w:val="footnote text"/>
    <w:basedOn w:val="Normal"/>
    <w:semiHidden/>
    <w:rsid w:val="009C7A39"/>
    <w:rPr>
      <w:sz w:val="20"/>
    </w:rPr>
  </w:style>
  <w:style w:type="character" w:styleId="FootnoteReference">
    <w:name w:val="footnote reference"/>
    <w:semiHidden/>
    <w:rsid w:val="009C7A39"/>
    <w:rPr>
      <w:vertAlign w:val="superscript"/>
    </w:rPr>
  </w:style>
  <w:style w:type="paragraph" w:styleId="BalloonText">
    <w:name w:val="Balloon Text"/>
    <w:basedOn w:val="Normal"/>
    <w:link w:val="BalloonTextChar"/>
    <w:uiPriority w:val="99"/>
    <w:semiHidden/>
    <w:rsid w:val="009C7A39"/>
    <w:rPr>
      <w:rFonts w:ascii="Tahoma" w:hAnsi="Tahoma" w:cs="Tahoma"/>
      <w:sz w:val="16"/>
      <w:szCs w:val="16"/>
    </w:rPr>
  </w:style>
  <w:style w:type="paragraph" w:styleId="Header">
    <w:name w:val="header"/>
    <w:basedOn w:val="Normal"/>
    <w:link w:val="HeaderChar"/>
    <w:autoRedefine/>
    <w:uiPriority w:val="99"/>
    <w:rsid w:val="009C7A39"/>
    <w:pPr>
      <w:tabs>
        <w:tab w:val="center" w:pos="4680"/>
        <w:tab w:val="right" w:pos="9360"/>
      </w:tabs>
      <w:jc w:val="center"/>
    </w:pPr>
    <w:rPr>
      <w:b/>
      <w:sz w:val="28"/>
      <w:szCs w:val="28"/>
    </w:rPr>
  </w:style>
  <w:style w:type="paragraph" w:styleId="TOC1">
    <w:name w:val="toc 1"/>
    <w:basedOn w:val="Normal"/>
    <w:next w:val="Normal"/>
    <w:semiHidden/>
    <w:rsid w:val="009C7A39"/>
    <w:pPr>
      <w:tabs>
        <w:tab w:val="left" w:pos="360"/>
        <w:tab w:val="right" w:leader="dot" w:pos="9360"/>
      </w:tabs>
      <w:suppressAutoHyphens/>
      <w:ind w:left="360" w:right="720" w:hanging="360"/>
    </w:pPr>
    <w:rPr>
      <w:b/>
      <w:caps/>
      <w:noProof/>
    </w:rPr>
  </w:style>
  <w:style w:type="paragraph" w:styleId="TOC2">
    <w:name w:val="toc 2"/>
    <w:basedOn w:val="Normal"/>
    <w:next w:val="Normal"/>
    <w:semiHidden/>
    <w:rsid w:val="009C7A39"/>
    <w:pPr>
      <w:tabs>
        <w:tab w:val="left" w:pos="720"/>
        <w:tab w:val="right" w:leader="dot" w:pos="9360"/>
      </w:tabs>
      <w:suppressAutoHyphens/>
      <w:ind w:left="720" w:right="720" w:hanging="360"/>
    </w:pPr>
    <w:rPr>
      <w:b/>
      <w:noProof/>
    </w:rPr>
  </w:style>
  <w:style w:type="paragraph" w:customStyle="1" w:styleId="TOCTitle">
    <w:name w:val="TOC Title"/>
    <w:basedOn w:val="Normal"/>
    <w:rsid w:val="009C7A39"/>
    <w:pPr>
      <w:spacing w:before="240" w:after="240"/>
      <w:jc w:val="center"/>
    </w:pPr>
    <w:rPr>
      <w:rFonts w:ascii="Times New Roman Bold" w:hAnsi="Times New Roman Bold"/>
      <w:b/>
      <w:caps/>
      <w:spacing w:val="-2"/>
    </w:rPr>
  </w:style>
  <w:style w:type="paragraph" w:styleId="Footer">
    <w:name w:val="footer"/>
    <w:basedOn w:val="Normal"/>
    <w:rsid w:val="009C7A39"/>
    <w:pPr>
      <w:tabs>
        <w:tab w:val="center" w:pos="4320"/>
        <w:tab w:val="right" w:pos="8640"/>
      </w:tabs>
    </w:pPr>
  </w:style>
  <w:style w:type="character" w:styleId="PageNumber">
    <w:name w:val="page number"/>
    <w:basedOn w:val="DefaultParagraphFont"/>
    <w:rsid w:val="00A02A78"/>
  </w:style>
  <w:style w:type="character" w:styleId="Hyperlink">
    <w:name w:val="Hyperlink"/>
    <w:rsid w:val="001F5A22"/>
    <w:rPr>
      <w:color w:val="0000FF"/>
      <w:u w:val="single"/>
    </w:rPr>
  </w:style>
  <w:style w:type="character" w:styleId="FollowedHyperlink">
    <w:name w:val="FollowedHyperlink"/>
    <w:rsid w:val="001F5A22"/>
    <w:rPr>
      <w:color w:val="800080"/>
      <w:u w:val="single"/>
    </w:rPr>
  </w:style>
  <w:style w:type="character" w:customStyle="1" w:styleId="HeaderChar">
    <w:name w:val="Header Char"/>
    <w:link w:val="Header"/>
    <w:uiPriority w:val="99"/>
    <w:rsid w:val="00EB7A29"/>
    <w:rPr>
      <w:b/>
      <w:snapToGrid w:val="0"/>
      <w:kern w:val="28"/>
      <w:sz w:val="28"/>
      <w:szCs w:val="28"/>
    </w:rPr>
  </w:style>
  <w:style w:type="character" w:customStyle="1" w:styleId="BalloonTextChar">
    <w:name w:val="Balloon Text Char"/>
    <w:link w:val="BalloonText"/>
    <w:uiPriority w:val="99"/>
    <w:semiHidden/>
    <w:rsid w:val="00EB7A29"/>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A39"/>
    <w:pPr>
      <w:widowControl w:val="0"/>
    </w:pPr>
    <w:rPr>
      <w:snapToGrid w:val="0"/>
      <w:kern w:val="28"/>
      <w:sz w:val="22"/>
    </w:rPr>
  </w:style>
  <w:style w:type="paragraph" w:styleId="Heading1">
    <w:name w:val="heading 1"/>
    <w:basedOn w:val="Normal"/>
    <w:next w:val="ParaNum"/>
    <w:qFormat/>
    <w:rsid w:val="009C7A39"/>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C7A39"/>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
    <w:basedOn w:val="Normal"/>
    <w:next w:val="ParaNum"/>
    <w:qFormat/>
    <w:rsid w:val="009C7A39"/>
    <w:pPr>
      <w:keepNext/>
      <w:numPr>
        <w:ilvl w:val="2"/>
        <w:numId w:val="1"/>
      </w:numPr>
      <w:tabs>
        <w:tab w:val="left" w:pos="2160"/>
      </w:tabs>
      <w:spacing w:after="120"/>
      <w:outlineLvl w:val="2"/>
    </w:pPr>
    <w:rPr>
      <w:b/>
    </w:rPr>
  </w:style>
  <w:style w:type="paragraph" w:styleId="Heading4">
    <w:name w:val="heading 4"/>
    <w:basedOn w:val="Normal"/>
    <w:next w:val="ParaNum"/>
    <w:qFormat/>
    <w:rsid w:val="009C7A39"/>
    <w:pPr>
      <w:keepNext/>
      <w:numPr>
        <w:ilvl w:val="3"/>
        <w:numId w:val="1"/>
      </w:numPr>
      <w:tabs>
        <w:tab w:val="left" w:pos="2880"/>
      </w:tabs>
      <w:spacing w:after="120"/>
      <w:outlineLvl w:val="3"/>
    </w:pPr>
    <w:rPr>
      <w:b/>
    </w:rPr>
  </w:style>
  <w:style w:type="paragraph" w:styleId="Heading5">
    <w:name w:val="heading 5"/>
    <w:basedOn w:val="Normal"/>
    <w:next w:val="ParaNum"/>
    <w:qFormat/>
    <w:rsid w:val="009C7A39"/>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9C7A39"/>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9C7A39"/>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9C7A39"/>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C7A39"/>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C7A39"/>
    <w:pPr>
      <w:numPr>
        <w:numId w:val="2"/>
      </w:numPr>
      <w:tabs>
        <w:tab w:val="clear" w:pos="1080"/>
        <w:tab w:val="num" w:pos="1440"/>
      </w:tabs>
      <w:spacing w:after="120"/>
    </w:pPr>
  </w:style>
  <w:style w:type="character" w:customStyle="1" w:styleId="ParaNumChar">
    <w:name w:val="ParaNum Char"/>
    <w:link w:val="ParaNum"/>
    <w:rsid w:val="009C7A39"/>
    <w:rPr>
      <w:snapToGrid w:val="0"/>
      <w:kern w:val="28"/>
      <w:sz w:val="22"/>
      <w:lang w:val="en-US" w:eastAsia="en-US" w:bidi="ar-SA"/>
    </w:rPr>
  </w:style>
  <w:style w:type="paragraph" w:styleId="FootnoteText">
    <w:name w:val="footnote text"/>
    <w:basedOn w:val="Normal"/>
    <w:semiHidden/>
    <w:rsid w:val="009C7A39"/>
    <w:rPr>
      <w:sz w:val="20"/>
    </w:rPr>
  </w:style>
  <w:style w:type="character" w:styleId="FootnoteReference">
    <w:name w:val="footnote reference"/>
    <w:semiHidden/>
    <w:rsid w:val="009C7A39"/>
    <w:rPr>
      <w:vertAlign w:val="superscript"/>
    </w:rPr>
  </w:style>
  <w:style w:type="paragraph" w:styleId="BalloonText">
    <w:name w:val="Balloon Text"/>
    <w:basedOn w:val="Normal"/>
    <w:link w:val="BalloonTextChar"/>
    <w:uiPriority w:val="99"/>
    <w:semiHidden/>
    <w:rsid w:val="009C7A39"/>
    <w:rPr>
      <w:rFonts w:ascii="Tahoma" w:hAnsi="Tahoma" w:cs="Tahoma"/>
      <w:sz w:val="16"/>
      <w:szCs w:val="16"/>
    </w:rPr>
  </w:style>
  <w:style w:type="paragraph" w:styleId="Header">
    <w:name w:val="header"/>
    <w:basedOn w:val="Normal"/>
    <w:link w:val="HeaderChar"/>
    <w:autoRedefine/>
    <w:uiPriority w:val="99"/>
    <w:rsid w:val="009C7A39"/>
    <w:pPr>
      <w:tabs>
        <w:tab w:val="center" w:pos="4680"/>
        <w:tab w:val="right" w:pos="9360"/>
      </w:tabs>
      <w:jc w:val="center"/>
    </w:pPr>
    <w:rPr>
      <w:b/>
      <w:sz w:val="28"/>
      <w:szCs w:val="28"/>
    </w:rPr>
  </w:style>
  <w:style w:type="paragraph" w:styleId="TOC1">
    <w:name w:val="toc 1"/>
    <w:basedOn w:val="Normal"/>
    <w:next w:val="Normal"/>
    <w:semiHidden/>
    <w:rsid w:val="009C7A39"/>
    <w:pPr>
      <w:tabs>
        <w:tab w:val="left" w:pos="360"/>
        <w:tab w:val="right" w:leader="dot" w:pos="9360"/>
      </w:tabs>
      <w:suppressAutoHyphens/>
      <w:ind w:left="360" w:right="720" w:hanging="360"/>
    </w:pPr>
    <w:rPr>
      <w:b/>
      <w:caps/>
      <w:noProof/>
    </w:rPr>
  </w:style>
  <w:style w:type="paragraph" w:styleId="TOC2">
    <w:name w:val="toc 2"/>
    <w:basedOn w:val="Normal"/>
    <w:next w:val="Normal"/>
    <w:semiHidden/>
    <w:rsid w:val="009C7A39"/>
    <w:pPr>
      <w:tabs>
        <w:tab w:val="left" w:pos="720"/>
        <w:tab w:val="right" w:leader="dot" w:pos="9360"/>
      </w:tabs>
      <w:suppressAutoHyphens/>
      <w:ind w:left="720" w:right="720" w:hanging="360"/>
    </w:pPr>
    <w:rPr>
      <w:b/>
      <w:noProof/>
    </w:rPr>
  </w:style>
  <w:style w:type="paragraph" w:customStyle="1" w:styleId="TOCTitle">
    <w:name w:val="TOC Title"/>
    <w:basedOn w:val="Normal"/>
    <w:rsid w:val="009C7A39"/>
    <w:pPr>
      <w:spacing w:before="240" w:after="240"/>
      <w:jc w:val="center"/>
    </w:pPr>
    <w:rPr>
      <w:rFonts w:ascii="Times New Roman Bold" w:hAnsi="Times New Roman Bold"/>
      <w:b/>
      <w:caps/>
      <w:spacing w:val="-2"/>
    </w:rPr>
  </w:style>
  <w:style w:type="paragraph" w:styleId="Footer">
    <w:name w:val="footer"/>
    <w:basedOn w:val="Normal"/>
    <w:rsid w:val="009C7A39"/>
    <w:pPr>
      <w:tabs>
        <w:tab w:val="center" w:pos="4320"/>
        <w:tab w:val="right" w:pos="8640"/>
      </w:tabs>
    </w:pPr>
  </w:style>
  <w:style w:type="character" w:styleId="PageNumber">
    <w:name w:val="page number"/>
    <w:basedOn w:val="DefaultParagraphFont"/>
    <w:rsid w:val="00A02A78"/>
  </w:style>
  <w:style w:type="character" w:styleId="Hyperlink">
    <w:name w:val="Hyperlink"/>
    <w:rsid w:val="001F5A22"/>
    <w:rPr>
      <w:color w:val="0000FF"/>
      <w:u w:val="single"/>
    </w:rPr>
  </w:style>
  <w:style w:type="character" w:styleId="FollowedHyperlink">
    <w:name w:val="FollowedHyperlink"/>
    <w:rsid w:val="001F5A22"/>
    <w:rPr>
      <w:color w:val="800080"/>
      <w:u w:val="single"/>
    </w:rPr>
  </w:style>
  <w:style w:type="character" w:customStyle="1" w:styleId="HeaderChar">
    <w:name w:val="Header Char"/>
    <w:link w:val="Header"/>
    <w:uiPriority w:val="99"/>
    <w:rsid w:val="00EB7A29"/>
    <w:rPr>
      <w:b/>
      <w:snapToGrid w:val="0"/>
      <w:kern w:val="28"/>
      <w:sz w:val="28"/>
      <w:szCs w:val="28"/>
    </w:rPr>
  </w:style>
  <w:style w:type="character" w:customStyle="1" w:styleId="BalloonTextChar">
    <w:name w:val="Balloon Text Char"/>
    <w:link w:val="BalloonText"/>
    <w:uiPriority w:val="99"/>
    <w:semiHidden/>
    <w:rsid w:val="00EB7A29"/>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2-55A1.t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2-55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2-55A1.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9641</Characters>
  <Application>Microsoft Office Word</Application>
  <DocSecurity>0</DocSecurity>
  <Lines>195</Lines>
  <Paragraphs>41</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11309</CharactersWithSpaces>
  <SharedDoc>false</SharedDoc>
  <HyperlinkBase> </HyperlinkBase>
  <HLinks>
    <vt:vector size="24" baseType="variant">
      <vt:variant>
        <vt:i4>4653172</vt:i4>
      </vt:variant>
      <vt:variant>
        <vt:i4>24</vt:i4>
      </vt:variant>
      <vt:variant>
        <vt:i4>0</vt:i4>
      </vt:variant>
      <vt:variant>
        <vt:i4>5</vt:i4>
      </vt:variant>
      <vt:variant>
        <vt:lpwstr>http://hraunfoss.fcc.gov/edocs_public/attachmatch/FCC-12-55A1.txt</vt:lpwstr>
      </vt:variant>
      <vt:variant>
        <vt:lpwstr/>
      </vt:variant>
      <vt:variant>
        <vt:i4>5963888</vt:i4>
      </vt:variant>
      <vt:variant>
        <vt:i4>21</vt:i4>
      </vt:variant>
      <vt:variant>
        <vt:i4>0</vt:i4>
      </vt:variant>
      <vt:variant>
        <vt:i4>5</vt:i4>
      </vt:variant>
      <vt:variant>
        <vt:lpwstr>http://hraunfoss.fcc.gov/edocs_public/attachmatch/FCC-12-55A1.pdf</vt:lpwstr>
      </vt:variant>
      <vt:variant>
        <vt:lpwstr/>
      </vt:variant>
      <vt:variant>
        <vt:i4>5242980</vt:i4>
      </vt:variant>
      <vt:variant>
        <vt:i4>18</vt:i4>
      </vt:variant>
      <vt:variant>
        <vt:i4>0</vt:i4>
      </vt:variant>
      <vt:variant>
        <vt:i4>5</vt:i4>
      </vt:variant>
      <vt:variant>
        <vt:lpwstr>http://hraunfoss.fcc.gov/edocs_public/attachmatch/FCC-12-55A1.doc</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2013-05-13T21:35:00Z</cp:lastPrinted>
  <dcterms:created xsi:type="dcterms:W3CDTF">2013-05-13T21:48:00Z</dcterms:created>
  <dcterms:modified xsi:type="dcterms:W3CDTF">2013-05-13T21:48:00Z</dcterms:modified>
  <cp:category> </cp:category>
  <cp:contentStatus> </cp:contentStatus>
</cp:coreProperties>
</file>