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AF" w:rsidRDefault="00984B3F" w:rsidP="007061D5">
      <w:pPr>
        <w:ind w:left="7200"/>
        <w:jc w:val="right"/>
        <w:outlineLvl w:val="0"/>
        <w:rPr>
          <w:b/>
          <w:szCs w:val="22"/>
        </w:rPr>
      </w:pPr>
      <w:bookmarkStart w:id="0" w:name="_GoBack"/>
      <w:bookmarkEnd w:id="0"/>
      <w:r>
        <w:rPr>
          <w:b/>
          <w:szCs w:val="22"/>
        </w:rPr>
        <w:t>DA 1</w:t>
      </w:r>
      <w:r w:rsidR="00507F98">
        <w:rPr>
          <w:b/>
          <w:szCs w:val="22"/>
        </w:rPr>
        <w:t>3</w:t>
      </w:r>
      <w:r w:rsidR="003400D5">
        <w:rPr>
          <w:b/>
          <w:szCs w:val="22"/>
        </w:rPr>
        <w:t>-1110</w:t>
      </w:r>
    </w:p>
    <w:p w:rsidR="000544AF" w:rsidRDefault="00507F98" w:rsidP="00DA16EB">
      <w:pPr>
        <w:pStyle w:val="BodyTextIndent2"/>
        <w:spacing w:before="0"/>
        <w:ind w:left="0"/>
        <w:jc w:val="right"/>
        <w:outlineLvl w:val="0"/>
        <w:rPr>
          <w:szCs w:val="22"/>
        </w:rPr>
      </w:pPr>
      <w:r>
        <w:rPr>
          <w:szCs w:val="22"/>
        </w:rPr>
        <w:t xml:space="preserve">Released:  </w:t>
      </w:r>
      <w:r w:rsidR="000470A4">
        <w:rPr>
          <w:szCs w:val="22"/>
        </w:rPr>
        <w:t xml:space="preserve">May </w:t>
      </w:r>
      <w:r w:rsidR="003400D5">
        <w:rPr>
          <w:szCs w:val="22"/>
        </w:rPr>
        <w:t>16</w:t>
      </w:r>
      <w:r w:rsidR="000544AF">
        <w:rPr>
          <w:szCs w:val="22"/>
        </w:rPr>
        <w:t>, 201</w:t>
      </w:r>
      <w:r>
        <w:rPr>
          <w:szCs w:val="22"/>
        </w:rPr>
        <w:t>3</w:t>
      </w:r>
    </w:p>
    <w:p w:rsidR="000544AF" w:rsidRDefault="000544AF">
      <w:pPr>
        <w:pStyle w:val="BodyTextIndent2"/>
        <w:ind w:left="0"/>
        <w:outlineLvl w:val="0"/>
      </w:pPr>
      <w:r>
        <w:tab/>
      </w:r>
      <w:r>
        <w:tab/>
      </w:r>
      <w:r>
        <w:tab/>
      </w:r>
      <w:r>
        <w:tab/>
      </w:r>
      <w:r>
        <w:tab/>
      </w:r>
      <w:r>
        <w:tab/>
      </w:r>
      <w:r>
        <w:tab/>
      </w:r>
      <w:r>
        <w:tab/>
      </w:r>
      <w:r>
        <w:tab/>
      </w:r>
    </w:p>
    <w:p w:rsidR="00313103" w:rsidRDefault="000544AF" w:rsidP="001065AF">
      <w:pPr>
        <w:jc w:val="center"/>
        <w:rPr>
          <w:b/>
          <w:szCs w:val="22"/>
        </w:rPr>
      </w:pPr>
      <w:r>
        <w:rPr>
          <w:b/>
          <w:szCs w:val="22"/>
        </w:rPr>
        <w:t xml:space="preserve">WIRELINE COMPETITION BUREAU SEEKS COMMENT ON </w:t>
      </w:r>
      <w:r w:rsidR="001065AF">
        <w:rPr>
          <w:b/>
          <w:szCs w:val="22"/>
        </w:rPr>
        <w:t>RATE OF RETURN REPRESCRIPTION STAFF REPORT</w:t>
      </w:r>
    </w:p>
    <w:p w:rsidR="000544AF" w:rsidRDefault="000544AF">
      <w:pPr>
        <w:jc w:val="center"/>
        <w:rPr>
          <w:b/>
          <w:szCs w:val="22"/>
        </w:rPr>
      </w:pPr>
    </w:p>
    <w:p w:rsidR="000544AF" w:rsidRDefault="001065AF">
      <w:pPr>
        <w:jc w:val="center"/>
        <w:rPr>
          <w:b/>
          <w:szCs w:val="22"/>
        </w:rPr>
      </w:pPr>
      <w:r>
        <w:rPr>
          <w:b/>
          <w:szCs w:val="22"/>
        </w:rPr>
        <w:t>COMMENT</w:t>
      </w:r>
      <w:r w:rsidR="000544AF">
        <w:rPr>
          <w:b/>
          <w:szCs w:val="22"/>
        </w:rPr>
        <w:t xml:space="preserve"> CYCLE ESTABLISHED</w:t>
      </w:r>
    </w:p>
    <w:p w:rsidR="000544AF" w:rsidRDefault="000544AF">
      <w:pPr>
        <w:jc w:val="center"/>
        <w:rPr>
          <w:b/>
          <w:szCs w:val="22"/>
        </w:rPr>
      </w:pPr>
    </w:p>
    <w:p w:rsidR="00A06ECB" w:rsidRDefault="00A06ECB" w:rsidP="00A06ECB">
      <w:pPr>
        <w:jc w:val="center"/>
        <w:rPr>
          <w:b/>
          <w:szCs w:val="22"/>
        </w:rPr>
      </w:pPr>
      <w:r>
        <w:rPr>
          <w:b/>
          <w:szCs w:val="22"/>
        </w:rPr>
        <w:t xml:space="preserve">WC Docket Nos. 10-90, 07-135, 05-337, and 03-109, GN Docket No. 09-51, </w:t>
      </w:r>
    </w:p>
    <w:p w:rsidR="00A06ECB" w:rsidRDefault="00A06ECB" w:rsidP="00A06ECB">
      <w:pPr>
        <w:jc w:val="center"/>
        <w:rPr>
          <w:b/>
          <w:szCs w:val="22"/>
        </w:rPr>
      </w:pPr>
      <w:r>
        <w:rPr>
          <w:b/>
          <w:szCs w:val="22"/>
        </w:rPr>
        <w:t>CC Docket Nos. 96-45 and 01-92, and WT Docket No. 10-208</w:t>
      </w:r>
    </w:p>
    <w:p w:rsidR="005E4AC1" w:rsidRDefault="005E4AC1">
      <w:pPr>
        <w:jc w:val="center"/>
        <w:rPr>
          <w:szCs w:val="22"/>
        </w:rPr>
      </w:pPr>
    </w:p>
    <w:p w:rsidR="000544AF" w:rsidRDefault="007B2C8E" w:rsidP="00C734FF">
      <w:pPr>
        <w:outlineLvl w:val="0"/>
        <w:rPr>
          <w:b/>
          <w:szCs w:val="22"/>
        </w:rPr>
      </w:pPr>
      <w:r>
        <w:rPr>
          <w:b/>
          <w:szCs w:val="22"/>
        </w:rPr>
        <w:t xml:space="preserve">Comment Date:  </w:t>
      </w:r>
      <w:r w:rsidR="001065AF">
        <w:rPr>
          <w:b/>
          <w:szCs w:val="22"/>
        </w:rPr>
        <w:t>Ju</w:t>
      </w:r>
      <w:r w:rsidR="000470A4">
        <w:rPr>
          <w:b/>
          <w:szCs w:val="22"/>
        </w:rPr>
        <w:t>ly</w:t>
      </w:r>
      <w:r w:rsidR="001065AF">
        <w:rPr>
          <w:b/>
          <w:szCs w:val="22"/>
        </w:rPr>
        <w:t xml:space="preserve"> </w:t>
      </w:r>
      <w:r w:rsidR="003400D5">
        <w:rPr>
          <w:b/>
          <w:szCs w:val="22"/>
        </w:rPr>
        <w:t>25</w:t>
      </w:r>
      <w:r w:rsidR="00507F98">
        <w:rPr>
          <w:b/>
          <w:szCs w:val="22"/>
        </w:rPr>
        <w:t>,</w:t>
      </w:r>
      <w:r w:rsidR="000544AF">
        <w:rPr>
          <w:b/>
          <w:szCs w:val="22"/>
        </w:rPr>
        <w:t xml:space="preserve"> 201</w:t>
      </w:r>
      <w:r w:rsidR="00507F98">
        <w:rPr>
          <w:b/>
          <w:szCs w:val="22"/>
        </w:rPr>
        <w:t>3</w:t>
      </w:r>
    </w:p>
    <w:p w:rsidR="00ED3219" w:rsidRDefault="00ED3219" w:rsidP="00C734FF">
      <w:pPr>
        <w:outlineLvl w:val="0"/>
      </w:pPr>
      <w:r>
        <w:rPr>
          <w:b/>
          <w:szCs w:val="22"/>
        </w:rPr>
        <w:t xml:space="preserve">Reply Comment Date:  </w:t>
      </w:r>
      <w:r w:rsidR="000470A4">
        <w:rPr>
          <w:b/>
          <w:szCs w:val="22"/>
        </w:rPr>
        <w:t xml:space="preserve">August </w:t>
      </w:r>
      <w:r w:rsidR="003400D5">
        <w:rPr>
          <w:b/>
          <w:szCs w:val="22"/>
        </w:rPr>
        <w:t>26</w:t>
      </w:r>
      <w:r>
        <w:rPr>
          <w:b/>
          <w:szCs w:val="22"/>
        </w:rPr>
        <w:t>, 2013</w:t>
      </w:r>
    </w:p>
    <w:p w:rsidR="00C734FF" w:rsidRDefault="00C734FF" w:rsidP="00C734FF">
      <w:pPr>
        <w:outlineLvl w:val="0"/>
      </w:pPr>
    </w:p>
    <w:p w:rsidR="00FF4C74" w:rsidRPr="00FC685B" w:rsidRDefault="001065AF" w:rsidP="00C2366A">
      <w:pPr>
        <w:pStyle w:val="ParaNum"/>
        <w:numPr>
          <w:ilvl w:val="0"/>
          <w:numId w:val="0"/>
        </w:numPr>
        <w:spacing w:after="120"/>
        <w:ind w:firstLine="720"/>
        <w:jc w:val="left"/>
      </w:pPr>
      <w:r>
        <w:t xml:space="preserve">In the </w:t>
      </w:r>
      <w:r w:rsidRPr="0012495B">
        <w:rPr>
          <w:i/>
        </w:rPr>
        <w:t>USF/ICC Transformation Order and Further Notice</w:t>
      </w:r>
      <w:r>
        <w:t>,</w:t>
      </w:r>
      <w:r w:rsidR="0012495B">
        <w:t xml:space="preserve"> the Commission initiated a</w:t>
      </w:r>
      <w:r w:rsidR="00006EB5">
        <w:t xml:space="preserve"> proceeding to represcribe the authorized rate of return</w:t>
      </w:r>
      <w:r w:rsidR="00B111DF">
        <w:t>,</w:t>
      </w:r>
      <w:r w:rsidR="00B111DF">
        <w:rPr>
          <w:rStyle w:val="FootnoteReference"/>
        </w:rPr>
        <w:footnoteReference w:id="1"/>
      </w:r>
      <w:r w:rsidR="00006EB5">
        <w:t xml:space="preserve"> </w:t>
      </w:r>
      <w:r w:rsidR="00B111DF">
        <w:t>which</w:t>
      </w:r>
      <w:r w:rsidR="00FF4C74" w:rsidRPr="00FC685B">
        <w:t xml:space="preserve"> is used to determine interstate common line </w:t>
      </w:r>
      <w:r w:rsidR="00FF4C74">
        <w:t xml:space="preserve">rates </w:t>
      </w:r>
      <w:r w:rsidR="00FF4C74" w:rsidRPr="00FC685B">
        <w:t>and special access rates for rate-of-return incumbent LECs</w:t>
      </w:r>
      <w:r w:rsidR="00FF4C74" w:rsidRPr="00FC685B">
        <w:rPr>
          <w:rStyle w:val="FootnoteReference"/>
          <w:szCs w:val="22"/>
        </w:rPr>
        <w:footnoteReference w:id="2"/>
      </w:r>
      <w:r w:rsidR="00FF4C74" w:rsidRPr="00FC685B">
        <w:t xml:space="preserve"> and is also used in calculating some forms of support provided </w:t>
      </w:r>
      <w:r w:rsidR="00FF4C74">
        <w:t>by</w:t>
      </w:r>
      <w:r w:rsidR="00FF4C74" w:rsidRPr="00FC685B">
        <w:t xml:space="preserve"> the Universal Service Fund</w:t>
      </w:r>
      <w:r w:rsidR="00FF4C74">
        <w:t xml:space="preserve"> (USF)</w:t>
      </w:r>
      <w:r w:rsidR="00FF4C74" w:rsidRPr="00FC685B">
        <w:t>, including High Cost Loop Support</w:t>
      </w:r>
      <w:r w:rsidR="00FF4C74">
        <w:t xml:space="preserve"> (HCLS)</w:t>
      </w:r>
      <w:r w:rsidR="00FF4C74" w:rsidRPr="00FC685B">
        <w:rPr>
          <w:rStyle w:val="FootnoteReference"/>
          <w:szCs w:val="22"/>
        </w:rPr>
        <w:footnoteReference w:id="3"/>
      </w:r>
      <w:r w:rsidR="00FF4C74" w:rsidRPr="00FC685B">
        <w:t xml:space="preserve"> and Interstate Common Line Support</w:t>
      </w:r>
      <w:r w:rsidR="00FF4C74">
        <w:t xml:space="preserve"> (ICLS)</w:t>
      </w:r>
      <w:r w:rsidR="00FF4C74" w:rsidRPr="00FC685B">
        <w:t>.</w:t>
      </w:r>
      <w:r w:rsidR="00FF4C74" w:rsidRPr="00FC685B">
        <w:rPr>
          <w:rStyle w:val="FootnoteReference"/>
        </w:rPr>
        <w:footnoteReference w:id="4"/>
      </w:r>
      <w:r w:rsidR="00FF4C74" w:rsidRPr="00FC685B">
        <w:t xml:space="preserve">  </w:t>
      </w:r>
      <w:r w:rsidR="002F4EB8">
        <w:t xml:space="preserve">The </w:t>
      </w:r>
      <w:r w:rsidR="000470A4">
        <w:t xml:space="preserve">currently </w:t>
      </w:r>
      <w:r w:rsidR="002F4EB8">
        <w:t>authorized rate of return</w:t>
      </w:r>
      <w:r w:rsidR="00442A55">
        <w:t xml:space="preserve"> </w:t>
      </w:r>
      <w:r w:rsidR="003667B6">
        <w:t>is 11.25 percent, and was</w:t>
      </w:r>
      <w:r w:rsidR="002F4EB8">
        <w:t xml:space="preserve"> last set</w:t>
      </w:r>
      <w:r w:rsidR="0014103B">
        <w:t xml:space="preserve"> in</w:t>
      </w:r>
      <w:r w:rsidR="002F4EB8">
        <w:t xml:space="preserve"> </w:t>
      </w:r>
      <w:r w:rsidR="003667B6">
        <w:t>1990</w:t>
      </w:r>
      <w:r w:rsidR="002F4EB8">
        <w:t>.</w:t>
      </w:r>
      <w:r w:rsidR="00C929B9">
        <w:rPr>
          <w:rStyle w:val="FootnoteReference"/>
        </w:rPr>
        <w:footnoteReference w:id="5"/>
      </w:r>
      <w:r w:rsidR="002F4EB8">
        <w:t xml:space="preserve">  Noting </w:t>
      </w:r>
      <w:r w:rsidR="00FF4C74" w:rsidRPr="00FC685B">
        <w:t>the major changes that have occurred in the market</w:t>
      </w:r>
      <w:r w:rsidR="003667B6">
        <w:t>, technology, and regulation</w:t>
      </w:r>
      <w:r w:rsidR="00FF4C74" w:rsidRPr="00FC685B">
        <w:t xml:space="preserve"> </w:t>
      </w:r>
      <w:r w:rsidR="00D35E51">
        <w:t>in the last 23 years</w:t>
      </w:r>
      <w:r w:rsidR="00FF4C74" w:rsidRPr="00FC685B">
        <w:t>,</w:t>
      </w:r>
      <w:r w:rsidR="002F4EB8" w:rsidRPr="00FC685B">
        <w:rPr>
          <w:rStyle w:val="FootnoteReference"/>
        </w:rPr>
        <w:footnoteReference w:id="6"/>
      </w:r>
      <w:r w:rsidR="00FF4C74" w:rsidRPr="00FC685B">
        <w:t xml:space="preserve"> </w:t>
      </w:r>
      <w:r w:rsidR="002F4EB8">
        <w:t>the Commission found compelling evidence that the authorized rate of return “is no longer reflective of the cost of capital”</w:t>
      </w:r>
      <w:r w:rsidR="002F4EB8">
        <w:rPr>
          <w:rStyle w:val="FootnoteReference"/>
        </w:rPr>
        <w:footnoteReference w:id="7"/>
      </w:r>
      <w:r w:rsidR="002F4EB8">
        <w:t xml:space="preserve"> and sought comment on the data </w:t>
      </w:r>
      <w:r w:rsidR="002F4EB8">
        <w:lastRenderedPageBreak/>
        <w:t>and procedures to be used to represcribe the authorized rate of return</w:t>
      </w:r>
      <w:r w:rsidR="00FF4C74" w:rsidRPr="00FC685B">
        <w:t>.</w:t>
      </w:r>
      <w:r w:rsidR="002F4EB8">
        <w:rPr>
          <w:rStyle w:val="FootnoteReference"/>
        </w:rPr>
        <w:footnoteReference w:id="8"/>
      </w:r>
      <w:r w:rsidR="002F4EB8">
        <w:t xml:space="preserve">  </w:t>
      </w:r>
      <w:r w:rsidR="00FA0642">
        <w:t xml:space="preserve">The Commission’s preliminary analysis in the </w:t>
      </w:r>
      <w:r w:rsidR="00FA0642" w:rsidRPr="00B02100">
        <w:rPr>
          <w:i/>
        </w:rPr>
        <w:t>USF/ICC Transformation Order and Further Notice</w:t>
      </w:r>
      <w:r w:rsidR="00FA0642">
        <w:t xml:space="preserve"> conservatively suggested that the rate of return “should be no more than 9 percent.”</w:t>
      </w:r>
      <w:r w:rsidR="00FA0642">
        <w:rPr>
          <w:rStyle w:val="FootnoteReference"/>
        </w:rPr>
        <w:footnoteReference w:id="9"/>
      </w:r>
      <w:r w:rsidR="00FA0642">
        <w:t xml:space="preserve">  If t</w:t>
      </w:r>
      <w:r w:rsidR="00FA0642" w:rsidRPr="00A251BE">
        <w:t xml:space="preserve">he rate of return </w:t>
      </w:r>
      <w:r w:rsidR="00FA0642">
        <w:t xml:space="preserve">is </w:t>
      </w:r>
      <w:r w:rsidR="00FA0642" w:rsidRPr="00A251BE">
        <w:t>high</w:t>
      </w:r>
      <w:r w:rsidR="00FA0642">
        <w:t>er than necessary for</w:t>
      </w:r>
      <w:r w:rsidR="00FA0642" w:rsidRPr="00A251BE">
        <w:t xml:space="preserve"> carrier</w:t>
      </w:r>
      <w:r w:rsidR="00FA0642">
        <w:t xml:space="preserve">s to </w:t>
      </w:r>
      <w:r w:rsidR="00FA0642" w:rsidRPr="00A251BE">
        <w:t xml:space="preserve">maintain </w:t>
      </w:r>
      <w:r w:rsidR="00FA0642">
        <w:t>their</w:t>
      </w:r>
      <w:r w:rsidR="00FA0642" w:rsidRPr="00A251BE">
        <w:t xml:space="preserve"> credit-worthiness and attract capital</w:t>
      </w:r>
      <w:r w:rsidR="00FA0642">
        <w:t xml:space="preserve">, it results in </w:t>
      </w:r>
      <w:r w:rsidR="00FA0642" w:rsidRPr="00A251BE">
        <w:t xml:space="preserve">unreasonably high </w:t>
      </w:r>
      <w:r w:rsidR="00FA0642">
        <w:t>prices for consumers and businesses</w:t>
      </w:r>
      <w:r w:rsidR="00FA0642" w:rsidRPr="00A251BE">
        <w:t xml:space="preserve"> and </w:t>
      </w:r>
      <w:r w:rsidR="00FA0642">
        <w:t xml:space="preserve">creates </w:t>
      </w:r>
      <w:r w:rsidR="00FA0642" w:rsidRPr="00A251BE">
        <w:t>excessive demands on USF.</w:t>
      </w:r>
      <w:r w:rsidR="00FA0642">
        <w:t xml:space="preserve">  </w:t>
      </w:r>
    </w:p>
    <w:p w:rsidR="00A96906" w:rsidRPr="00453176" w:rsidRDefault="00DD1537" w:rsidP="00C2366A">
      <w:pPr>
        <w:pStyle w:val="ParaNum"/>
        <w:numPr>
          <w:ilvl w:val="0"/>
          <w:numId w:val="0"/>
        </w:numPr>
        <w:autoSpaceDE w:val="0"/>
        <w:autoSpaceDN w:val="0"/>
        <w:adjustRightInd w:val="0"/>
        <w:spacing w:after="120"/>
        <w:ind w:firstLine="720"/>
        <w:jc w:val="left"/>
        <w:rPr>
          <w:szCs w:val="22"/>
        </w:rPr>
      </w:pPr>
      <w:r>
        <w:t>To further assist the Commission in its effort</w:t>
      </w:r>
      <w:r w:rsidR="00D73466">
        <w:t>s</w:t>
      </w:r>
      <w:r>
        <w:t xml:space="preserve"> to represcribe the authorized rate of return, </w:t>
      </w:r>
      <w:r w:rsidR="001065AF">
        <w:t xml:space="preserve">the Wireline Competition Bureau </w:t>
      </w:r>
      <w:r w:rsidR="007B2C8E">
        <w:t>(</w:t>
      </w:r>
      <w:r w:rsidR="001065AF">
        <w:t>Bureau</w:t>
      </w:r>
      <w:r w:rsidR="00984B3F">
        <w:t>)</w:t>
      </w:r>
      <w:r w:rsidR="000544AF">
        <w:t xml:space="preserve"> </w:t>
      </w:r>
      <w:r>
        <w:t xml:space="preserve">prepared the attached </w:t>
      </w:r>
      <w:r w:rsidR="001065AF">
        <w:t xml:space="preserve">staff report </w:t>
      </w:r>
      <w:r w:rsidR="00B111DF">
        <w:t>setting forth</w:t>
      </w:r>
      <w:r w:rsidR="001065AF">
        <w:t xml:space="preserve"> </w:t>
      </w:r>
      <w:r w:rsidR="00B02100">
        <w:t>data and procedures it recommends</w:t>
      </w:r>
      <w:r w:rsidR="001065AF">
        <w:t xml:space="preserve"> </w:t>
      </w:r>
      <w:r w:rsidR="00B111DF">
        <w:t>the Commission use to</w:t>
      </w:r>
      <w:r w:rsidR="001065AF">
        <w:t xml:space="preserve"> represcrib</w:t>
      </w:r>
      <w:r w:rsidR="00B111DF">
        <w:t>e</w:t>
      </w:r>
      <w:r w:rsidR="001065AF">
        <w:t xml:space="preserve"> the authorized rate of return.</w:t>
      </w:r>
      <w:r w:rsidR="001065AF">
        <w:rPr>
          <w:rStyle w:val="FootnoteReference"/>
        </w:rPr>
        <w:footnoteReference w:id="10"/>
      </w:r>
      <w:r w:rsidR="001065AF">
        <w:t xml:space="preserve">  </w:t>
      </w:r>
      <w:r w:rsidR="00B02100">
        <w:t xml:space="preserve">Based upon </w:t>
      </w:r>
      <w:r w:rsidR="00FA71EF">
        <w:t>the staff</w:t>
      </w:r>
      <w:r w:rsidR="00B02100">
        <w:t xml:space="preserve"> analysis of 16 publicly-traded incumbent LECs, using </w:t>
      </w:r>
      <w:r w:rsidR="00853284">
        <w:t xml:space="preserve">various analytical methods and sources of </w:t>
      </w:r>
      <w:r w:rsidR="00B02100">
        <w:t xml:space="preserve">publicly-available data, the </w:t>
      </w:r>
      <w:r>
        <w:t>s</w:t>
      </w:r>
      <w:r w:rsidR="003667B6">
        <w:t xml:space="preserve">taff </w:t>
      </w:r>
      <w:r>
        <w:t>r</w:t>
      </w:r>
      <w:r w:rsidR="003667B6">
        <w:t>eport identifies</w:t>
      </w:r>
      <w:r w:rsidR="00B02100">
        <w:t xml:space="preserve"> </w:t>
      </w:r>
      <w:r w:rsidR="00442A55">
        <w:t xml:space="preserve">a </w:t>
      </w:r>
      <w:r w:rsidR="00853284" w:rsidRPr="00ED3219">
        <w:rPr>
          <w:szCs w:val="22"/>
        </w:rPr>
        <w:t>zone of reasonable estimates of the weighted average cost of capital (WACC) ranging from 7.39 percent to 8.72 percent.</w:t>
      </w:r>
      <w:r w:rsidR="00853284">
        <w:rPr>
          <w:rStyle w:val="FootnoteReference"/>
          <w:szCs w:val="22"/>
        </w:rPr>
        <w:footnoteReference w:id="11"/>
      </w:r>
      <w:r w:rsidR="00853284" w:rsidRPr="00ED3219">
        <w:rPr>
          <w:szCs w:val="22"/>
        </w:rPr>
        <w:t xml:space="preserve">  </w:t>
      </w:r>
      <w:r w:rsidR="00FA71EF">
        <w:rPr>
          <w:szCs w:val="22"/>
        </w:rPr>
        <w:t>This</w:t>
      </w:r>
      <w:r w:rsidR="00853284" w:rsidRPr="00ED3219">
        <w:rPr>
          <w:szCs w:val="22"/>
        </w:rPr>
        <w:t xml:space="preserve"> zone of reasonable estimates reflects, among other things, different estimates of the cost of equity produced us</w:t>
      </w:r>
      <w:r w:rsidR="001F28EB" w:rsidRPr="00ED3219">
        <w:rPr>
          <w:szCs w:val="22"/>
        </w:rPr>
        <w:t xml:space="preserve">ing </w:t>
      </w:r>
      <w:r w:rsidR="00853284" w:rsidRPr="00ED3219">
        <w:rPr>
          <w:szCs w:val="22"/>
        </w:rPr>
        <w:t xml:space="preserve">the Capital Asset Pricing Model and the Discounted Cash Flow Model.  </w:t>
      </w:r>
      <w:r w:rsidR="00853284">
        <w:t>Analyzing the effects of a new authorized rate of return with a times-interest-earned analysis,</w:t>
      </w:r>
      <w:r w:rsidR="00853284" w:rsidRPr="00ED3219">
        <w:rPr>
          <w:szCs w:val="22"/>
        </w:rPr>
        <w:t xml:space="preserve"> </w:t>
      </w:r>
      <w:r w:rsidR="00FA71EF">
        <w:rPr>
          <w:szCs w:val="22"/>
        </w:rPr>
        <w:t xml:space="preserve">the </w:t>
      </w:r>
      <w:r w:rsidR="00C2366A">
        <w:rPr>
          <w:szCs w:val="22"/>
        </w:rPr>
        <w:t xml:space="preserve">staff report </w:t>
      </w:r>
      <w:r w:rsidR="00FA71EF">
        <w:rPr>
          <w:szCs w:val="22"/>
        </w:rPr>
        <w:t>recommends</w:t>
      </w:r>
      <w:r w:rsidR="00853284" w:rsidRPr="00ED3219">
        <w:rPr>
          <w:szCs w:val="22"/>
        </w:rPr>
        <w:t xml:space="preserve"> that the Commission consider establishing the authorized rate of return in the upper half of this range, between 8.06 percent and 8.72 percent.</w:t>
      </w:r>
      <w:r w:rsidR="00ED3219" w:rsidRPr="00ED3219">
        <w:rPr>
          <w:szCs w:val="22"/>
        </w:rPr>
        <w:t xml:space="preserve">  We seek comment on the data</w:t>
      </w:r>
      <w:r>
        <w:rPr>
          <w:szCs w:val="22"/>
        </w:rPr>
        <w:t>,</w:t>
      </w:r>
      <w:r w:rsidR="00ED3219" w:rsidRPr="00ED3219">
        <w:rPr>
          <w:szCs w:val="22"/>
        </w:rPr>
        <w:t xml:space="preserve"> analysis</w:t>
      </w:r>
      <w:r>
        <w:rPr>
          <w:szCs w:val="22"/>
        </w:rPr>
        <w:t xml:space="preserve"> and recommendations</w:t>
      </w:r>
      <w:r w:rsidR="00ED3219" w:rsidRPr="00ED3219">
        <w:rPr>
          <w:szCs w:val="22"/>
        </w:rPr>
        <w:t xml:space="preserve"> </w:t>
      </w:r>
      <w:r w:rsidR="00A96906">
        <w:rPr>
          <w:szCs w:val="22"/>
        </w:rPr>
        <w:t>contained</w:t>
      </w:r>
      <w:r w:rsidR="00ED3219" w:rsidRPr="00ED3219">
        <w:rPr>
          <w:szCs w:val="22"/>
        </w:rPr>
        <w:t xml:space="preserve"> in the </w:t>
      </w:r>
      <w:r>
        <w:rPr>
          <w:szCs w:val="22"/>
        </w:rPr>
        <w:t>s</w:t>
      </w:r>
      <w:r w:rsidR="00ED3219" w:rsidRPr="00ED3219">
        <w:rPr>
          <w:szCs w:val="22"/>
        </w:rPr>
        <w:t xml:space="preserve">taff </w:t>
      </w:r>
      <w:r>
        <w:rPr>
          <w:szCs w:val="22"/>
        </w:rPr>
        <w:t>r</w:t>
      </w:r>
      <w:r w:rsidR="00ED3219" w:rsidRPr="00ED3219">
        <w:rPr>
          <w:szCs w:val="22"/>
        </w:rPr>
        <w:t>eport</w:t>
      </w:r>
      <w:r w:rsidR="00ED3219">
        <w:rPr>
          <w:szCs w:val="22"/>
        </w:rPr>
        <w:t>.</w:t>
      </w:r>
      <w:r w:rsidR="00A96906">
        <w:rPr>
          <w:szCs w:val="22"/>
        </w:rPr>
        <w:t xml:space="preserve">  If applicable, </w:t>
      </w:r>
      <w:r w:rsidR="00A96906">
        <w:rPr>
          <w:b/>
          <w:szCs w:val="22"/>
        </w:rPr>
        <w:t>w</w:t>
      </w:r>
      <w:r w:rsidR="00A96906" w:rsidRPr="0095215A">
        <w:rPr>
          <w:b/>
          <w:szCs w:val="22"/>
        </w:rPr>
        <w:t xml:space="preserve">e ask that parties document the methodology, assumptions, data, and calculations of </w:t>
      </w:r>
      <w:r>
        <w:rPr>
          <w:b/>
          <w:szCs w:val="22"/>
        </w:rPr>
        <w:t>any alternative</w:t>
      </w:r>
      <w:r w:rsidR="00A96906" w:rsidRPr="0095215A">
        <w:rPr>
          <w:b/>
          <w:szCs w:val="22"/>
        </w:rPr>
        <w:t xml:space="preserve"> analys</w:t>
      </w:r>
      <w:r>
        <w:rPr>
          <w:b/>
          <w:szCs w:val="22"/>
        </w:rPr>
        <w:t>e</w:t>
      </w:r>
      <w:r w:rsidR="00A96906" w:rsidRPr="0095215A">
        <w:rPr>
          <w:b/>
          <w:szCs w:val="22"/>
        </w:rPr>
        <w:t>s, a</w:t>
      </w:r>
      <w:r w:rsidR="00A96906">
        <w:rPr>
          <w:b/>
          <w:szCs w:val="22"/>
        </w:rPr>
        <w:t>nd submit their calculations in Microsoft E</w:t>
      </w:r>
      <w:r w:rsidR="00A96906" w:rsidRPr="0095215A">
        <w:rPr>
          <w:b/>
          <w:szCs w:val="22"/>
        </w:rPr>
        <w:t>xcel</w:t>
      </w:r>
      <w:r w:rsidR="00A96906">
        <w:rPr>
          <w:b/>
          <w:szCs w:val="22"/>
        </w:rPr>
        <w:t>®</w:t>
      </w:r>
      <w:r w:rsidR="00A96906" w:rsidRPr="0095215A">
        <w:rPr>
          <w:b/>
          <w:szCs w:val="22"/>
        </w:rPr>
        <w:t xml:space="preserve"> format</w:t>
      </w:r>
      <w:r w:rsidR="00A96906">
        <w:rPr>
          <w:b/>
          <w:szCs w:val="22"/>
        </w:rPr>
        <w:t xml:space="preserve">, </w:t>
      </w:r>
      <w:r>
        <w:rPr>
          <w:b/>
          <w:szCs w:val="22"/>
        </w:rPr>
        <w:t>including</w:t>
      </w:r>
      <w:r w:rsidR="00A96906">
        <w:rPr>
          <w:b/>
          <w:szCs w:val="22"/>
        </w:rPr>
        <w:t xml:space="preserve"> all </w:t>
      </w:r>
      <w:r>
        <w:rPr>
          <w:b/>
          <w:szCs w:val="22"/>
        </w:rPr>
        <w:t xml:space="preserve">relevant </w:t>
      </w:r>
      <w:r w:rsidR="00A96906">
        <w:rPr>
          <w:b/>
          <w:szCs w:val="22"/>
        </w:rPr>
        <w:t>formulas and data</w:t>
      </w:r>
      <w:r>
        <w:rPr>
          <w:b/>
          <w:szCs w:val="22"/>
        </w:rPr>
        <w:t xml:space="preserve"> relied upon</w:t>
      </w:r>
      <w:r w:rsidR="00A96906" w:rsidRPr="0095215A">
        <w:rPr>
          <w:b/>
          <w:szCs w:val="22"/>
        </w:rPr>
        <w:t>.</w:t>
      </w:r>
      <w:r w:rsidR="00A96906">
        <w:rPr>
          <w:b/>
          <w:szCs w:val="22"/>
        </w:rPr>
        <w:t xml:space="preserve">  </w:t>
      </w:r>
      <w:r w:rsidR="00A96906">
        <w:rPr>
          <w:szCs w:val="22"/>
        </w:rPr>
        <w:t xml:space="preserve">  </w:t>
      </w:r>
    </w:p>
    <w:p w:rsidR="00ED3219" w:rsidRPr="00ED3219" w:rsidRDefault="00DD1537" w:rsidP="00C2366A">
      <w:pPr>
        <w:pStyle w:val="ParaNum"/>
        <w:numPr>
          <w:ilvl w:val="0"/>
          <w:numId w:val="0"/>
        </w:numPr>
        <w:autoSpaceDE w:val="0"/>
        <w:autoSpaceDN w:val="0"/>
        <w:adjustRightInd w:val="0"/>
        <w:spacing w:after="120"/>
        <w:ind w:firstLine="720"/>
        <w:jc w:val="left"/>
        <w:rPr>
          <w:szCs w:val="22"/>
        </w:rPr>
      </w:pPr>
      <w:r>
        <w:rPr>
          <w:szCs w:val="22"/>
        </w:rPr>
        <w:t xml:space="preserve">In addition, the Bureau is </w:t>
      </w:r>
      <w:r w:rsidR="00453176">
        <w:rPr>
          <w:szCs w:val="22"/>
        </w:rPr>
        <w:t>initiating</w:t>
      </w:r>
      <w:r w:rsidR="00A96906">
        <w:rPr>
          <w:szCs w:val="22"/>
        </w:rPr>
        <w:t xml:space="preserve"> an external peer review </w:t>
      </w:r>
      <w:r w:rsidR="0014103B">
        <w:rPr>
          <w:szCs w:val="22"/>
        </w:rPr>
        <w:t>process for the staff r</w:t>
      </w:r>
      <w:r w:rsidR="00A96906">
        <w:rPr>
          <w:szCs w:val="22"/>
        </w:rPr>
        <w:t>eport.  Office of Management and Budget Guidelines require a peer review for any “highly influential</w:t>
      </w:r>
      <w:r w:rsidR="00535EB0" w:rsidRPr="00535EB0">
        <w:rPr>
          <w:rFonts w:eastAsiaTheme="minorEastAsia"/>
          <w:snapToGrid/>
          <w:color w:val="000000"/>
          <w:kern w:val="0"/>
          <w:sz w:val="20"/>
        </w:rPr>
        <w:t xml:space="preserve"> </w:t>
      </w:r>
      <w:r w:rsidR="00535EB0" w:rsidRPr="00535EB0">
        <w:rPr>
          <w:szCs w:val="22"/>
        </w:rPr>
        <w:t>scientific, financial, or statistical information</w:t>
      </w:r>
      <w:r w:rsidR="00535EB0">
        <w:rPr>
          <w:szCs w:val="22"/>
        </w:rPr>
        <w:t>.”</w:t>
      </w:r>
      <w:r>
        <w:rPr>
          <w:rStyle w:val="FootnoteReference"/>
          <w:szCs w:val="22"/>
        </w:rPr>
        <w:footnoteReference w:id="12"/>
      </w:r>
      <w:r w:rsidR="00A96906">
        <w:rPr>
          <w:szCs w:val="22"/>
        </w:rPr>
        <w:t xml:space="preserve"> </w:t>
      </w:r>
      <w:r w:rsidR="0014103B">
        <w:rPr>
          <w:szCs w:val="22"/>
        </w:rPr>
        <w:t xml:space="preserve"> Because the staff r</w:t>
      </w:r>
      <w:r>
        <w:rPr>
          <w:szCs w:val="22"/>
        </w:rPr>
        <w:t>eport may be considered highly influential, the Bureau is</w:t>
      </w:r>
      <w:r w:rsidR="00A96906">
        <w:rPr>
          <w:szCs w:val="22"/>
        </w:rPr>
        <w:t xml:space="preserve"> seek</w:t>
      </w:r>
      <w:r>
        <w:rPr>
          <w:szCs w:val="22"/>
        </w:rPr>
        <w:t>ing</w:t>
      </w:r>
      <w:r w:rsidR="00A96906">
        <w:rPr>
          <w:szCs w:val="22"/>
        </w:rPr>
        <w:t xml:space="preserve"> </w:t>
      </w:r>
      <w:r>
        <w:rPr>
          <w:szCs w:val="22"/>
        </w:rPr>
        <w:t xml:space="preserve">timely </w:t>
      </w:r>
      <w:r w:rsidR="00A96906">
        <w:rPr>
          <w:szCs w:val="22"/>
        </w:rPr>
        <w:t xml:space="preserve">peer review and </w:t>
      </w:r>
      <w:r>
        <w:rPr>
          <w:szCs w:val="22"/>
        </w:rPr>
        <w:t xml:space="preserve">will </w:t>
      </w:r>
      <w:r w:rsidR="00A96906">
        <w:rPr>
          <w:szCs w:val="22"/>
        </w:rPr>
        <w:t xml:space="preserve">incorporate the results of that process into </w:t>
      </w:r>
      <w:r w:rsidR="00453176">
        <w:rPr>
          <w:szCs w:val="22"/>
        </w:rPr>
        <w:t xml:space="preserve">these dockets </w:t>
      </w:r>
      <w:r w:rsidR="00A96906">
        <w:rPr>
          <w:szCs w:val="22"/>
        </w:rPr>
        <w:t xml:space="preserve">to provide notice </w:t>
      </w:r>
      <w:r>
        <w:rPr>
          <w:szCs w:val="22"/>
        </w:rPr>
        <w:t xml:space="preserve">to interested parties </w:t>
      </w:r>
      <w:r w:rsidR="00A96906">
        <w:rPr>
          <w:szCs w:val="22"/>
        </w:rPr>
        <w:t>and an opportunity for comment</w:t>
      </w:r>
      <w:r w:rsidR="0014103B">
        <w:rPr>
          <w:szCs w:val="22"/>
        </w:rPr>
        <w:t xml:space="preserve"> on the peer review results</w:t>
      </w:r>
      <w:r w:rsidR="00A96906">
        <w:rPr>
          <w:szCs w:val="22"/>
        </w:rPr>
        <w:t xml:space="preserve">. </w:t>
      </w:r>
      <w:r w:rsidR="008E6E6A">
        <w:rPr>
          <w:szCs w:val="22"/>
        </w:rPr>
        <w:t xml:space="preserve">  </w:t>
      </w:r>
    </w:p>
    <w:p w:rsidR="000544AF" w:rsidRDefault="00657CBC" w:rsidP="00BF1F21">
      <w:pPr>
        <w:pStyle w:val="ParaNum"/>
        <w:numPr>
          <w:ilvl w:val="0"/>
          <w:numId w:val="0"/>
        </w:numPr>
        <w:autoSpaceDE w:val="0"/>
        <w:autoSpaceDN w:val="0"/>
        <w:adjustRightInd w:val="0"/>
        <w:spacing w:after="120"/>
        <w:ind w:firstLine="720"/>
        <w:jc w:val="left"/>
      </w:pPr>
      <w:r>
        <w:t xml:space="preserve">Pursuant to sections 1.415 and 1.419 of the Commission’s rules, 47 CFR §§ 1.415, 1.419, interested parties may </w:t>
      </w:r>
      <w:r w:rsidRPr="00C2366A">
        <w:rPr>
          <w:szCs w:val="22"/>
        </w:rPr>
        <w:t>file</w:t>
      </w:r>
      <w:r>
        <w:t xml:space="preserve"> comments </w:t>
      </w:r>
      <w:r w:rsidR="00B81AD0" w:rsidRPr="00C2366A">
        <w:t>on</w:t>
      </w:r>
      <w:r w:rsidR="00B81AD0" w:rsidRPr="00B81AD0">
        <w:rPr>
          <w:szCs w:val="22"/>
        </w:rPr>
        <w:t xml:space="preserve"> or before </w:t>
      </w:r>
      <w:r w:rsidR="00A06ECB">
        <w:rPr>
          <w:szCs w:val="22"/>
        </w:rPr>
        <w:t xml:space="preserve">July </w:t>
      </w:r>
      <w:r w:rsidR="003400D5">
        <w:rPr>
          <w:szCs w:val="22"/>
        </w:rPr>
        <w:t>25</w:t>
      </w:r>
      <w:r w:rsidR="00A06ECB" w:rsidRPr="00B81AD0">
        <w:rPr>
          <w:szCs w:val="22"/>
        </w:rPr>
        <w:t>, 2013</w:t>
      </w:r>
      <w:r w:rsidR="00A06ECB">
        <w:rPr>
          <w:szCs w:val="22"/>
        </w:rPr>
        <w:t xml:space="preserve">, and reply comments on or before August </w:t>
      </w:r>
      <w:r w:rsidR="003400D5">
        <w:rPr>
          <w:szCs w:val="22"/>
        </w:rPr>
        <w:t>26</w:t>
      </w:r>
      <w:r w:rsidR="00A06ECB">
        <w:rPr>
          <w:szCs w:val="22"/>
        </w:rPr>
        <w:t>, 2013</w:t>
      </w:r>
      <w:r w:rsidR="00A06ECB" w:rsidRPr="00B81AD0">
        <w:rPr>
          <w:szCs w:val="22"/>
        </w:rPr>
        <w:t xml:space="preserve">. </w:t>
      </w:r>
      <w:r w:rsidR="00A06ECB">
        <w:rPr>
          <w:szCs w:val="22"/>
        </w:rPr>
        <w:t xml:space="preserve"> Going forward, this proceeding will be conducted exclusively in WC Docket No. 10-90.  </w:t>
      </w:r>
      <w:r w:rsidR="00A06ECB" w:rsidRPr="00B81AD0">
        <w:rPr>
          <w:szCs w:val="22"/>
        </w:rPr>
        <w:t xml:space="preserve">All filings are to reference </w:t>
      </w:r>
      <w:r w:rsidR="00A06ECB">
        <w:rPr>
          <w:szCs w:val="22"/>
        </w:rPr>
        <w:t>W</w:t>
      </w:r>
      <w:r w:rsidR="00A06ECB" w:rsidRPr="00B81AD0">
        <w:rPr>
          <w:szCs w:val="22"/>
        </w:rPr>
        <w:t xml:space="preserve">C Docket No. </w:t>
      </w:r>
      <w:r w:rsidR="00A06ECB">
        <w:rPr>
          <w:szCs w:val="22"/>
        </w:rPr>
        <w:t>10-90.</w:t>
      </w:r>
    </w:p>
    <w:p w:rsidR="000544AF" w:rsidRDefault="000544AF">
      <w:pPr>
        <w:numPr>
          <w:ilvl w:val="0"/>
          <w:numId w:val="26"/>
        </w:numPr>
      </w:pPr>
      <w:r>
        <w:t xml:space="preserve">Electronic Filers:  Comments may be filed electronically using the Internet by accessing the ECFS:  </w:t>
      </w:r>
      <w:hyperlink r:id="rId8" w:history="1">
        <w:r>
          <w:rPr>
            <w:rStyle w:val="Hyperlink"/>
          </w:rPr>
          <w:t>http://fjallfoss.fcc.gov/ecfs2/</w:t>
        </w:r>
      </w:hyperlink>
      <w:r>
        <w:t xml:space="preserve">.  </w:t>
      </w:r>
    </w:p>
    <w:p w:rsidR="000544AF" w:rsidRDefault="000544AF"/>
    <w:p w:rsidR="000544AF" w:rsidRDefault="000544AF">
      <w:pPr>
        <w:numPr>
          <w:ilvl w:val="0"/>
          <w:numId w:val="14"/>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544AF" w:rsidRDefault="000544AF"/>
    <w:p w:rsidR="000544AF" w:rsidRDefault="000544AF">
      <w:pPr>
        <w:ind w:left="720"/>
      </w:pPr>
      <w:r>
        <w:lastRenderedPageBreak/>
        <w:t>Filings can be sent by hand or messenger delivery, by commercial overnight courier, or by first-class or overnight U.S. Postal Service mail.  All filings must be addressed to the Commission’s Secretary, Office of the Secretary, Federal Communications Commission.</w:t>
      </w:r>
    </w:p>
    <w:p w:rsidR="000544AF" w:rsidRDefault="000544AF"/>
    <w:p w:rsidR="000544AF" w:rsidRDefault="000544AF">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0544AF" w:rsidRDefault="000544AF">
      <w:pPr>
        <w:ind w:left="1080"/>
      </w:pPr>
    </w:p>
    <w:p w:rsidR="000544AF" w:rsidRDefault="000544AF">
      <w:pPr>
        <w:numPr>
          <w:ilvl w:val="0"/>
          <w:numId w:val="15"/>
        </w:numPr>
      </w:pPr>
      <w:r>
        <w:t>Commercial overnight mail (other than U.S. Postal Service Express Mail and Priority Mail) must be sent to 9300 East Hampton Drive, Capitol Heights, MD 20743.</w:t>
      </w:r>
    </w:p>
    <w:p w:rsidR="000544AF" w:rsidRDefault="000544AF"/>
    <w:p w:rsidR="000544AF" w:rsidRDefault="000544AF">
      <w:pPr>
        <w:numPr>
          <w:ilvl w:val="0"/>
          <w:numId w:val="15"/>
        </w:numPr>
      </w:pPr>
      <w:r>
        <w:t>U.S. Postal Service first-class, Express, and Priority mail must be addressed to 445 12</w:t>
      </w:r>
      <w:r>
        <w:rPr>
          <w:vertAlign w:val="superscript"/>
        </w:rPr>
        <w:t>th</w:t>
      </w:r>
      <w:r>
        <w:t xml:space="preserve"> Street, SW, Washington DC  20554.</w:t>
      </w:r>
    </w:p>
    <w:p w:rsidR="000544AF" w:rsidRDefault="000544AF"/>
    <w:p w:rsidR="000544AF" w:rsidRDefault="000544AF" w:rsidP="00E65A7D">
      <w:pPr>
        <w:spacing w:after="120"/>
      </w:pPr>
      <w:r>
        <w:tab/>
        <w:t xml:space="preserve">People with Disabilities:  To request materials in accessible formats for people with disabilities (braille, large print, electronic files, audio format), send an e-mail to </w:t>
      </w:r>
      <w:hyperlink r:id="rId9" w:history="1">
        <w:r>
          <w:rPr>
            <w:rStyle w:val="Hyperlink"/>
          </w:rPr>
          <w:t>fcc504@fcc.gov</w:t>
        </w:r>
      </w:hyperlink>
      <w:r>
        <w:t xml:space="preserve"> or call the Consumer &amp; Governmental Affairs Bureau at 202-418-0530 (voice), 202-418-0432 (tty).</w:t>
      </w:r>
    </w:p>
    <w:p w:rsidR="000544AF" w:rsidRDefault="000544AF" w:rsidP="00C2366A">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1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w:t>
      </w:r>
      <w:r w:rsidRPr="00453176">
        <w:t>rule 1.1206(</w:t>
      </w:r>
      <w:r w:rsidR="001133CB" w:rsidRPr="00453176">
        <w:t>a</w:t>
      </w:r>
      <w:r w:rsidRPr="00453176">
        <w:t>).</w:t>
      </w:r>
      <w:r>
        <w:t xml:space="preserve">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0544AF" w:rsidRDefault="000544AF"/>
    <w:p w:rsidR="000544AF" w:rsidRDefault="000544AF" w:rsidP="00C2366A">
      <w:pPr>
        <w:spacing w:after="240"/>
        <w:ind w:firstLine="720"/>
        <w:rPr>
          <w:color w:val="0000FF"/>
          <w:szCs w:val="22"/>
        </w:rPr>
      </w:pPr>
      <w:r w:rsidRPr="00EC557F">
        <w:rPr>
          <w:szCs w:val="22"/>
        </w:rPr>
        <w:t xml:space="preserve">For further information regarding this proceeding, contact </w:t>
      </w:r>
      <w:r w:rsidR="004D1825">
        <w:rPr>
          <w:szCs w:val="22"/>
        </w:rPr>
        <w:t>Craig Glenn</w:t>
      </w:r>
      <w:r w:rsidR="00C2366A">
        <w:rPr>
          <w:szCs w:val="22"/>
        </w:rPr>
        <w:t>,</w:t>
      </w:r>
      <w:r w:rsidRPr="00EC557F">
        <w:rPr>
          <w:szCs w:val="22"/>
        </w:rPr>
        <w:t xml:space="preserve"> </w:t>
      </w:r>
      <w:r w:rsidR="001F28EB" w:rsidRPr="00EC557F">
        <w:rPr>
          <w:szCs w:val="22"/>
        </w:rPr>
        <w:t>Pricing</w:t>
      </w:r>
      <w:r w:rsidRPr="00EC557F">
        <w:rPr>
          <w:szCs w:val="22"/>
        </w:rPr>
        <w:t xml:space="preserve"> Policy Division, Wireline Competition Bureau, 202</w:t>
      </w:r>
      <w:r w:rsidR="001F28EB" w:rsidRPr="00EC557F">
        <w:rPr>
          <w:szCs w:val="22"/>
        </w:rPr>
        <w:t>-418-</w:t>
      </w:r>
      <w:r w:rsidR="004D1825">
        <w:rPr>
          <w:szCs w:val="22"/>
        </w:rPr>
        <w:t>1520</w:t>
      </w:r>
      <w:r w:rsidR="004D1825" w:rsidRPr="00EC557F">
        <w:rPr>
          <w:szCs w:val="22"/>
        </w:rPr>
        <w:t xml:space="preserve"> </w:t>
      </w:r>
      <w:r w:rsidR="004B4B13" w:rsidRPr="00EC557F">
        <w:rPr>
          <w:szCs w:val="22"/>
        </w:rPr>
        <w:t xml:space="preserve">or </w:t>
      </w:r>
      <w:r w:rsidR="004D1825">
        <w:rPr>
          <w:szCs w:val="22"/>
        </w:rPr>
        <w:t>Craig.Glenn</w:t>
      </w:r>
      <w:r w:rsidRPr="00EC557F">
        <w:rPr>
          <w:szCs w:val="22"/>
        </w:rPr>
        <w:t>@fcc.gov.</w:t>
      </w:r>
      <w:r>
        <w:rPr>
          <w:szCs w:val="22"/>
        </w:rPr>
        <w:t xml:space="preserve"> </w:t>
      </w:r>
    </w:p>
    <w:p w:rsidR="000544AF" w:rsidRDefault="000544AF">
      <w:pPr>
        <w:autoSpaceDE w:val="0"/>
        <w:autoSpaceDN w:val="0"/>
        <w:adjustRightInd w:val="0"/>
        <w:spacing w:after="240"/>
        <w:jc w:val="center"/>
        <w:rPr>
          <w:sz w:val="24"/>
          <w:szCs w:val="24"/>
        </w:rPr>
      </w:pPr>
      <w:r>
        <w:rPr>
          <w:sz w:val="24"/>
          <w:szCs w:val="24"/>
        </w:rPr>
        <w:t>- FCC -</w:t>
      </w:r>
    </w:p>
    <w:sectPr w:rsidR="000544A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F5" w:rsidRDefault="00D536F5">
      <w:r>
        <w:separator/>
      </w:r>
    </w:p>
  </w:endnote>
  <w:endnote w:type="continuationSeparator" w:id="0">
    <w:p w:rsidR="00D536F5" w:rsidRDefault="00D5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70" w:rsidRDefault="00282E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2E70" w:rsidRDefault="00282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70" w:rsidRDefault="00282E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FE2">
      <w:rPr>
        <w:rStyle w:val="PageNumber"/>
        <w:noProof/>
      </w:rPr>
      <w:t>2</w:t>
    </w:r>
    <w:r>
      <w:rPr>
        <w:rStyle w:val="PageNumber"/>
      </w:rPr>
      <w:fldChar w:fldCharType="end"/>
    </w:r>
  </w:p>
  <w:p w:rsidR="00282E70" w:rsidRDefault="00282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C" w:rsidRDefault="00014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F5" w:rsidRDefault="00D536F5">
      <w:r>
        <w:separator/>
      </w:r>
    </w:p>
  </w:footnote>
  <w:footnote w:type="continuationSeparator" w:id="0">
    <w:p w:rsidR="00D536F5" w:rsidRDefault="00D536F5">
      <w:r>
        <w:continuationSeparator/>
      </w:r>
    </w:p>
  </w:footnote>
  <w:footnote w:id="1">
    <w:p w:rsidR="00B111DF" w:rsidRDefault="00B111DF" w:rsidP="00B111DF">
      <w:pPr>
        <w:pStyle w:val="FootnoteText"/>
      </w:pPr>
      <w:r>
        <w:rPr>
          <w:rStyle w:val="FootnoteReference"/>
        </w:rPr>
        <w:footnoteRef/>
      </w:r>
      <w:r>
        <w:t xml:space="preserve"> </w:t>
      </w:r>
      <w:r w:rsidRPr="0079360F">
        <w:rPr>
          <w:i/>
        </w:rPr>
        <w:t>Connect America Fund et al</w:t>
      </w:r>
      <w:r w:rsidRPr="0079360F">
        <w:t>., WC Docket No. 10-90 et al., Report and Order and Further Notice of Propose</w:t>
      </w:r>
      <w:r>
        <w:t>d Rulemaking, 26 FCC Rcd 17663, 17870, para. 640</w:t>
      </w:r>
      <w:r w:rsidRPr="0079360F">
        <w:t xml:space="preserve"> (2011) (</w:t>
      </w:r>
      <w:r w:rsidRPr="0079360F">
        <w:rPr>
          <w:i/>
        </w:rPr>
        <w:t>USF/ICC Transformation Order</w:t>
      </w:r>
      <w:r>
        <w:rPr>
          <w:i/>
        </w:rPr>
        <w:t xml:space="preserve"> and Further Notice</w:t>
      </w:r>
      <w:r w:rsidRPr="0079360F">
        <w:t xml:space="preserve">), </w:t>
      </w:r>
      <w:r w:rsidRPr="00BF1F21">
        <w:rPr>
          <w:i/>
        </w:rPr>
        <w:t>pets. for review pending sub nom. In re: FCC 11-161</w:t>
      </w:r>
      <w:r w:rsidRPr="0079360F">
        <w:t>, No. 11-9900 (10th Cir. filed Dec. 8, 2011).</w:t>
      </w:r>
      <w:r>
        <w:t xml:space="preserve">  </w:t>
      </w:r>
    </w:p>
  </w:footnote>
  <w:footnote w:id="2">
    <w:p w:rsidR="00FF4C74" w:rsidRPr="0079360F" w:rsidRDefault="00FF4C74" w:rsidP="00FF4C74">
      <w:pPr>
        <w:pStyle w:val="FootnoteText"/>
      </w:pPr>
      <w:r w:rsidRPr="0079360F">
        <w:rPr>
          <w:rStyle w:val="FootnoteReference"/>
        </w:rPr>
        <w:footnoteRef/>
      </w:r>
      <w:r w:rsidRPr="0079360F">
        <w:t xml:space="preserve"> In the </w:t>
      </w:r>
      <w:r w:rsidRPr="0079360F">
        <w:rPr>
          <w:i/>
        </w:rPr>
        <w:t>USF/ICC Transformation Order</w:t>
      </w:r>
      <w:r w:rsidR="00B02100">
        <w:rPr>
          <w:i/>
        </w:rPr>
        <w:t xml:space="preserve"> and Further Notice</w:t>
      </w:r>
      <w:r w:rsidRPr="0079360F">
        <w:t xml:space="preserve">, the Commission took rate-of-return incumbent LECs off of rate-of-return </w:t>
      </w:r>
      <w:r w:rsidR="000470A4">
        <w:t xml:space="preserve">based recovery </w:t>
      </w:r>
      <w:r w:rsidRPr="0079360F">
        <w:t xml:space="preserve">for interstate switched access </w:t>
      </w:r>
      <w:r w:rsidR="000470A4">
        <w:t>revenues</w:t>
      </w:r>
      <w:r w:rsidRPr="0079360F">
        <w:t xml:space="preserve">.  </w:t>
      </w:r>
      <w:r w:rsidRPr="0079360F">
        <w:rPr>
          <w:i/>
        </w:rPr>
        <w:t>See</w:t>
      </w:r>
      <w:r w:rsidRPr="0079360F">
        <w:t xml:space="preserve"> </w:t>
      </w:r>
      <w:r w:rsidRPr="0079360F">
        <w:rPr>
          <w:i/>
        </w:rPr>
        <w:t>Connect America Fund et al</w:t>
      </w:r>
      <w:r w:rsidRPr="0079360F">
        <w:t>., WC Docket No. 10-90 et al., Report and Order and Further Notice of Proposed Rulemaking, 26 FCC Rcd 17663, 17983-84, para. 900 (2011) (</w:t>
      </w:r>
      <w:r w:rsidRPr="0079360F">
        <w:rPr>
          <w:i/>
        </w:rPr>
        <w:t>USF/ICC Transformation Order</w:t>
      </w:r>
      <w:r w:rsidRPr="0079360F">
        <w:t xml:space="preserve">), </w:t>
      </w:r>
      <w:r w:rsidRPr="0023415C">
        <w:rPr>
          <w:i/>
        </w:rPr>
        <w:t>pets. for review pending sub nom. In re: FCC 11-161</w:t>
      </w:r>
      <w:r w:rsidRPr="0079360F">
        <w:t>, No. 11-9900 (10th Cir. filed Dec. 8, 2011).</w:t>
      </w:r>
    </w:p>
  </w:footnote>
  <w:footnote w:id="3">
    <w:p w:rsidR="00FF4C74" w:rsidRPr="0079360F" w:rsidRDefault="00FF4C74" w:rsidP="00FF4C74">
      <w:pPr>
        <w:pStyle w:val="FootnoteText"/>
      </w:pPr>
      <w:r w:rsidRPr="0079360F">
        <w:rPr>
          <w:rStyle w:val="FootnoteReference"/>
        </w:rPr>
        <w:footnoteRef/>
      </w:r>
      <w:r w:rsidRPr="0079360F">
        <w:t xml:space="preserve"> </w:t>
      </w:r>
      <w:r w:rsidRPr="0079360F">
        <w:rPr>
          <w:i/>
        </w:rPr>
        <w:t>See</w:t>
      </w:r>
      <w:r w:rsidRPr="0079360F">
        <w:t xml:space="preserve"> 47 C.F.R. § 36.621(a)(1).</w:t>
      </w:r>
    </w:p>
  </w:footnote>
  <w:footnote w:id="4">
    <w:p w:rsidR="00FF4C74" w:rsidRPr="0079360F" w:rsidRDefault="00FF4C74" w:rsidP="00FF4C74">
      <w:pPr>
        <w:pStyle w:val="FootnoteText"/>
      </w:pPr>
      <w:r w:rsidRPr="0079360F">
        <w:rPr>
          <w:rStyle w:val="FootnoteReference"/>
        </w:rPr>
        <w:footnoteRef/>
      </w:r>
      <w:r w:rsidRPr="0079360F">
        <w:t xml:space="preserve"> </w:t>
      </w:r>
      <w:r w:rsidRPr="0079360F">
        <w:rPr>
          <w:i/>
        </w:rPr>
        <w:t>See</w:t>
      </w:r>
      <w:r w:rsidRPr="0079360F">
        <w:t xml:space="preserve"> 47 C.F.R. § 54.901.</w:t>
      </w:r>
    </w:p>
  </w:footnote>
  <w:footnote w:id="5">
    <w:p w:rsidR="00C929B9" w:rsidRDefault="00C929B9">
      <w:pPr>
        <w:pStyle w:val="FootnoteText"/>
      </w:pPr>
      <w:r>
        <w:rPr>
          <w:rStyle w:val="FootnoteReference"/>
        </w:rPr>
        <w:footnoteRef/>
      </w:r>
      <w:r>
        <w:t xml:space="preserve"> </w:t>
      </w:r>
      <w:r w:rsidR="00442A55" w:rsidRPr="0079360F">
        <w:rPr>
          <w:i/>
        </w:rPr>
        <w:t>Represcribing the Authorized Rate of Return for Interstate Services of Local Exchange Carriers</w:t>
      </w:r>
      <w:r w:rsidR="00442A55" w:rsidRPr="0079360F">
        <w:t>, CC Docket No. 89-624, Order, 5 FCC Rcd 7507</w:t>
      </w:r>
      <w:r w:rsidR="00D73466">
        <w:t xml:space="preserve"> (1990).</w:t>
      </w:r>
    </w:p>
  </w:footnote>
  <w:footnote w:id="6">
    <w:p w:rsidR="002F4EB8" w:rsidRPr="0079360F" w:rsidRDefault="002F4EB8" w:rsidP="002F4EB8">
      <w:pPr>
        <w:pStyle w:val="FootnoteText"/>
      </w:pPr>
      <w:r w:rsidRPr="0079360F">
        <w:rPr>
          <w:rStyle w:val="FootnoteReference"/>
        </w:rPr>
        <w:footnoteRef/>
      </w:r>
      <w:r w:rsidRPr="0079360F">
        <w:t xml:space="preserve"> </w:t>
      </w:r>
      <w:r w:rsidRPr="0079360F">
        <w:rPr>
          <w:bCs/>
          <w:i/>
          <w:iCs/>
        </w:rPr>
        <w:t>USF</w:t>
      </w:r>
      <w:r w:rsidRPr="0079360F">
        <w:rPr>
          <w:i/>
          <w:iCs/>
        </w:rPr>
        <w:t>/</w:t>
      </w:r>
      <w:r w:rsidRPr="0079360F">
        <w:rPr>
          <w:bCs/>
          <w:i/>
          <w:iCs/>
        </w:rPr>
        <w:t>ICC</w:t>
      </w:r>
      <w:r w:rsidRPr="0079360F">
        <w:rPr>
          <w:i/>
          <w:iCs/>
        </w:rPr>
        <w:t xml:space="preserve"> </w:t>
      </w:r>
      <w:r w:rsidRPr="0079360F">
        <w:rPr>
          <w:bCs/>
          <w:i/>
          <w:iCs/>
        </w:rPr>
        <w:t>Transformation</w:t>
      </w:r>
      <w:r w:rsidRPr="0079360F">
        <w:rPr>
          <w:i/>
          <w:iCs/>
        </w:rPr>
        <w:t xml:space="preserve"> </w:t>
      </w:r>
      <w:r w:rsidRPr="0079360F">
        <w:rPr>
          <w:bCs/>
          <w:i/>
          <w:iCs/>
        </w:rPr>
        <w:t>Order</w:t>
      </w:r>
      <w:r w:rsidR="00657CBC">
        <w:rPr>
          <w:bCs/>
          <w:i/>
          <w:iCs/>
        </w:rPr>
        <w:t xml:space="preserve"> and Further Notice</w:t>
      </w:r>
      <w:r w:rsidRPr="0079360F">
        <w:t xml:space="preserve">, 26 FCC Rcd at 17870, </w:t>
      </w:r>
      <w:r w:rsidR="003667B6">
        <w:t xml:space="preserve">18052-55, </w:t>
      </w:r>
      <w:r w:rsidRPr="0079360F">
        <w:t>paras. 639-40</w:t>
      </w:r>
      <w:r w:rsidR="003667B6">
        <w:t>, 1048-57</w:t>
      </w:r>
      <w:r w:rsidRPr="0079360F">
        <w:t xml:space="preserve">.  </w:t>
      </w:r>
      <w:r w:rsidR="00657CBC">
        <w:t>T</w:t>
      </w:r>
      <w:r w:rsidRPr="0079360F">
        <w:t xml:space="preserve">he Commission noted that the monthly average yields for the past six months </w:t>
      </w:r>
      <w:r w:rsidR="00C929B9">
        <w:rPr>
          <w:color w:val="000000"/>
          <w:szCs w:val="22"/>
        </w:rPr>
        <w:t xml:space="preserve">on ten-year United States Treasury securities </w:t>
      </w:r>
      <w:r w:rsidRPr="0079360F">
        <w:t xml:space="preserve">had been “over 450 basis points below the monthly average yields in the six months immediately prior to the last prescription.” </w:t>
      </w:r>
      <w:r w:rsidR="00657CBC">
        <w:t xml:space="preserve"> </w:t>
      </w:r>
      <w:r w:rsidR="00657CBC">
        <w:rPr>
          <w:i/>
        </w:rPr>
        <w:t>Id.</w:t>
      </w:r>
      <w:r w:rsidRPr="0079360F">
        <w:t xml:space="preserve"> at 17870, para. 640.</w:t>
      </w:r>
    </w:p>
  </w:footnote>
  <w:footnote w:id="7">
    <w:p w:rsidR="002F4EB8" w:rsidRDefault="002F4EB8">
      <w:pPr>
        <w:pStyle w:val="FootnoteText"/>
      </w:pPr>
      <w:r>
        <w:rPr>
          <w:rStyle w:val="FootnoteReference"/>
        </w:rPr>
        <w:footnoteRef/>
      </w:r>
      <w:r>
        <w:t xml:space="preserve"> </w:t>
      </w:r>
      <w:r w:rsidR="00C929B9" w:rsidRPr="00C929B9">
        <w:rPr>
          <w:i/>
        </w:rPr>
        <w:t>Id</w:t>
      </w:r>
      <w:r w:rsidR="00C929B9">
        <w:t xml:space="preserve">. at 18052, </w:t>
      </w:r>
      <w:r>
        <w:t>para 1047</w:t>
      </w:r>
      <w:r w:rsidR="00BF1F21">
        <w:t>.</w:t>
      </w:r>
    </w:p>
  </w:footnote>
  <w:footnote w:id="8">
    <w:p w:rsidR="002F4EB8" w:rsidRDefault="002F4EB8">
      <w:pPr>
        <w:pStyle w:val="FootnoteText"/>
      </w:pPr>
      <w:r>
        <w:rPr>
          <w:rStyle w:val="FootnoteReference"/>
        </w:rPr>
        <w:footnoteRef/>
      </w:r>
      <w:r>
        <w:t xml:space="preserve"> </w:t>
      </w:r>
      <w:r w:rsidR="00C929B9" w:rsidRPr="00C929B9">
        <w:rPr>
          <w:i/>
        </w:rPr>
        <w:t>Id</w:t>
      </w:r>
      <w:r w:rsidR="00C929B9">
        <w:t xml:space="preserve">. at 18052-55, </w:t>
      </w:r>
      <w:r>
        <w:t>paras 1048</w:t>
      </w:r>
      <w:r w:rsidR="00C929B9">
        <w:t>-</w:t>
      </w:r>
      <w:r>
        <w:t>57.</w:t>
      </w:r>
    </w:p>
  </w:footnote>
  <w:footnote w:id="9">
    <w:p w:rsidR="00FA0642" w:rsidRDefault="00FA0642" w:rsidP="00FA0642">
      <w:pPr>
        <w:pStyle w:val="FootnoteText"/>
      </w:pPr>
      <w:r>
        <w:rPr>
          <w:rStyle w:val="FootnoteReference"/>
        </w:rPr>
        <w:footnoteRef/>
      </w:r>
      <w:r>
        <w:t xml:space="preserve"> </w:t>
      </w:r>
      <w:r w:rsidRPr="00C929B9">
        <w:rPr>
          <w:i/>
        </w:rPr>
        <w:t>Id</w:t>
      </w:r>
      <w:r>
        <w:t>. at 18055, para 1057.</w:t>
      </w:r>
    </w:p>
  </w:footnote>
  <w:footnote w:id="10">
    <w:p w:rsidR="001065AF" w:rsidRDefault="001065AF">
      <w:pPr>
        <w:pStyle w:val="FootnoteText"/>
      </w:pPr>
      <w:r>
        <w:rPr>
          <w:rStyle w:val="FootnoteReference"/>
        </w:rPr>
        <w:footnoteRef/>
      </w:r>
      <w:r>
        <w:t xml:space="preserve"> </w:t>
      </w:r>
      <w:r w:rsidRPr="00442A55">
        <w:rPr>
          <w:i/>
        </w:rPr>
        <w:t>Prescribing the Author</w:t>
      </w:r>
      <w:r w:rsidR="00B02100" w:rsidRPr="00442A55">
        <w:rPr>
          <w:i/>
        </w:rPr>
        <w:t>ized Rate of Return: Analysis of</w:t>
      </w:r>
      <w:r w:rsidRPr="00442A55">
        <w:rPr>
          <w:i/>
        </w:rPr>
        <w:t xml:space="preserve"> Methods for Establishing Just and Reasonable Rates for Local Exchange Carriers</w:t>
      </w:r>
      <w:r>
        <w:t xml:space="preserve">, WC Docket No. </w:t>
      </w:r>
      <w:r w:rsidR="00A06ECB">
        <w:t>10-90</w:t>
      </w:r>
      <w:r w:rsidR="00B02100">
        <w:t>, Staff Report</w:t>
      </w:r>
      <w:r w:rsidR="00815C44">
        <w:t>, DA 13-</w:t>
      </w:r>
      <w:r w:rsidR="003400D5">
        <w:t xml:space="preserve">1111 </w:t>
      </w:r>
      <w:r>
        <w:t>(W</w:t>
      </w:r>
      <w:r w:rsidR="00815C44">
        <w:t>ireline Comp. Bur.</w:t>
      </w:r>
      <w:r>
        <w:t xml:space="preserve"> rel. </w:t>
      </w:r>
      <w:r w:rsidR="00A06ECB">
        <w:t>May</w:t>
      </w:r>
      <w:r>
        <w:t xml:space="preserve">. </w:t>
      </w:r>
      <w:r w:rsidR="003400D5">
        <w:t xml:space="preserve">16, </w:t>
      </w:r>
      <w:r>
        <w:t>2013) (</w:t>
      </w:r>
      <w:r w:rsidRPr="001065AF">
        <w:rPr>
          <w:i/>
        </w:rPr>
        <w:t>Staff Report</w:t>
      </w:r>
      <w:r>
        <w:t xml:space="preserve">). </w:t>
      </w:r>
    </w:p>
  </w:footnote>
  <w:footnote w:id="11">
    <w:p w:rsidR="00853284" w:rsidRDefault="00853284">
      <w:pPr>
        <w:pStyle w:val="FootnoteText"/>
      </w:pPr>
      <w:r>
        <w:rPr>
          <w:rStyle w:val="FootnoteReference"/>
        </w:rPr>
        <w:footnoteRef/>
      </w:r>
      <w:r>
        <w:t xml:space="preserve"> </w:t>
      </w:r>
      <w:r w:rsidRPr="00853284">
        <w:rPr>
          <w:i/>
        </w:rPr>
        <w:t>Staff Report</w:t>
      </w:r>
      <w:r>
        <w:t xml:space="preserve"> at 50, para. 1</w:t>
      </w:r>
      <w:r w:rsidR="00EC557F">
        <w:t>43</w:t>
      </w:r>
      <w:r>
        <w:t>.</w:t>
      </w:r>
    </w:p>
  </w:footnote>
  <w:footnote w:id="12">
    <w:p w:rsidR="00DD1537" w:rsidRDefault="00DD1537">
      <w:pPr>
        <w:pStyle w:val="FootnoteText"/>
      </w:pPr>
      <w:r>
        <w:rPr>
          <w:rStyle w:val="FootnoteReference"/>
        </w:rPr>
        <w:footnoteRef/>
      </w:r>
      <w:r>
        <w:t xml:space="preserve"> </w:t>
      </w:r>
      <w:r w:rsidR="00D55132" w:rsidRPr="00D55132">
        <w:rPr>
          <w:i/>
        </w:rPr>
        <w:t>See</w:t>
      </w:r>
      <w:r w:rsidR="00D55132" w:rsidRPr="00D55132">
        <w:t xml:space="preserve"> 67 Fed. Reg. 8452 (2002).</w:t>
      </w:r>
    </w:p>
  </w:footnote>
  <w:footnote w:id="13">
    <w:p w:rsidR="00282E70" w:rsidRDefault="00282E70" w:rsidP="00DA16EB">
      <w:pPr>
        <w:pStyle w:val="FootnoteText"/>
        <w:spacing w:after="120"/>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C" w:rsidRDefault="00014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C" w:rsidRDefault="00014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70" w:rsidRPr="00313103" w:rsidRDefault="00022778">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7216" behindDoc="0" locked="0" layoutInCell="0" allowOverlap="1">
              <wp:simplePos x="0" y="0"/>
              <wp:positionH relativeFrom="column">
                <wp:posOffset>3480435</wp:posOffset>
              </wp:positionH>
              <wp:positionV relativeFrom="paragraph">
                <wp:posOffset>711200</wp:posOffset>
              </wp:positionV>
              <wp:extent cx="2545715" cy="660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E70" w:rsidRDefault="00282E70">
                          <w:pPr>
                            <w:jc w:val="right"/>
                            <w:rPr>
                              <w:rFonts w:ascii="Arial" w:hAnsi="Arial"/>
                              <w:sz w:val="16"/>
                            </w:rPr>
                          </w:pPr>
                          <w:r>
                            <w:rPr>
                              <w:rFonts w:ascii="Arial" w:hAnsi="Arial"/>
                              <w:sz w:val="16"/>
                            </w:rPr>
                            <w:t>News Media Information 202 / 418-0500</w:t>
                          </w:r>
                        </w:p>
                        <w:p w:rsidR="00282E70" w:rsidRDefault="00282E70">
                          <w:pPr>
                            <w:jc w:val="right"/>
                            <w:rPr>
                              <w:rFonts w:ascii="Arial" w:hAnsi="Arial"/>
                              <w:sz w:val="16"/>
                            </w:rPr>
                          </w:pPr>
                          <w:r>
                            <w:rPr>
                              <w:rFonts w:ascii="Arial" w:hAnsi="Arial"/>
                              <w:sz w:val="16"/>
                            </w:rPr>
                            <w:tab/>
                            <w:t>Fax-On-Demand 202 / 418-2830</w:t>
                          </w:r>
                        </w:p>
                        <w:p w:rsidR="00282E70" w:rsidRDefault="00282E70">
                          <w:pPr>
                            <w:jc w:val="right"/>
                            <w:rPr>
                              <w:rFonts w:ascii="Arial" w:hAnsi="Arial"/>
                              <w:sz w:val="16"/>
                            </w:rPr>
                          </w:pPr>
                          <w:r>
                            <w:rPr>
                              <w:rFonts w:ascii="Arial" w:hAnsi="Arial"/>
                              <w:sz w:val="16"/>
                            </w:rPr>
                            <w:tab/>
                            <w:t>TTY 202 / 418-2555</w:t>
                          </w:r>
                        </w:p>
                        <w:p w:rsidR="00282E70" w:rsidRDefault="00282E70">
                          <w:pPr>
                            <w:jc w:val="right"/>
                            <w:rPr>
                              <w:rFonts w:ascii="Arial" w:hAnsi="Arial"/>
                              <w:sz w:val="16"/>
                            </w:rPr>
                          </w:pPr>
                          <w:r>
                            <w:rPr>
                              <w:rFonts w:ascii="Arial" w:hAnsi="Arial"/>
                              <w:sz w:val="16"/>
                            </w:rPr>
                            <w:t>Internet: http://www.fcc.gov</w:t>
                          </w:r>
                        </w:p>
                        <w:p w:rsidR="00282E70" w:rsidRDefault="00282E70">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4.05pt;margin-top:56pt;width:200.45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" o:allowincell="f" stroked="f">
              <v:textbox inset=",0,,0">
                <w:txbxContent>
                  <w:p w:rsidR="00282E70" w:rsidRDefault="00282E70">
                    <w:pPr>
                      <w:jc w:val="right"/>
                      <w:rPr>
                        <w:rFonts w:ascii="Arial" w:hAnsi="Arial"/>
                        <w:sz w:val="16"/>
                      </w:rPr>
                    </w:pPr>
                    <w:r>
                      <w:rPr>
                        <w:rFonts w:ascii="Arial" w:hAnsi="Arial"/>
                        <w:sz w:val="16"/>
                      </w:rPr>
                      <w:t>News Media Information 202 / 418-0500</w:t>
                    </w:r>
                  </w:p>
                  <w:p w:rsidR="00282E70" w:rsidRDefault="00282E70">
                    <w:pPr>
                      <w:jc w:val="right"/>
                      <w:rPr>
                        <w:rFonts w:ascii="Arial" w:hAnsi="Arial"/>
                        <w:sz w:val="16"/>
                      </w:rPr>
                    </w:pPr>
                    <w:r>
                      <w:rPr>
                        <w:rFonts w:ascii="Arial" w:hAnsi="Arial"/>
                        <w:sz w:val="16"/>
                      </w:rPr>
                      <w:tab/>
                      <w:t>Fax-On-Demand 202 / 418-2830</w:t>
                    </w:r>
                  </w:p>
                  <w:p w:rsidR="00282E70" w:rsidRDefault="00282E70">
                    <w:pPr>
                      <w:jc w:val="right"/>
                      <w:rPr>
                        <w:rFonts w:ascii="Arial" w:hAnsi="Arial"/>
                        <w:sz w:val="16"/>
                      </w:rPr>
                    </w:pPr>
                    <w:r>
                      <w:rPr>
                        <w:rFonts w:ascii="Arial" w:hAnsi="Arial"/>
                        <w:sz w:val="16"/>
                      </w:rPr>
                      <w:tab/>
                      <w:t>TTY 202 / 418-2555</w:t>
                    </w:r>
                  </w:p>
                  <w:p w:rsidR="00282E70" w:rsidRDefault="00282E70">
                    <w:pPr>
                      <w:jc w:val="right"/>
                      <w:rPr>
                        <w:rFonts w:ascii="Arial" w:hAnsi="Arial"/>
                        <w:sz w:val="16"/>
                      </w:rPr>
                    </w:pPr>
                    <w:r>
                      <w:rPr>
                        <w:rFonts w:ascii="Arial" w:hAnsi="Arial"/>
                        <w:sz w:val="16"/>
                      </w:rPr>
                      <w:t>Internet: http://www.fcc.gov</w:t>
                    </w:r>
                  </w:p>
                  <w:p w:rsidR="00282E70" w:rsidRDefault="00282E70">
                    <w:pPr>
                      <w:jc w:val="right"/>
                      <w:rPr>
                        <w:rFonts w:ascii="Arial" w:hAnsi="Arial"/>
                        <w:sz w:val="16"/>
                      </w:rPr>
                    </w:pPr>
                    <w:r>
                      <w:rPr>
                        <w:rFonts w:ascii="Arial" w:hAnsi="Arial"/>
                        <w:sz w:val="16"/>
                      </w:rPr>
                      <w:tab/>
                      <w:t>ftp.fcc.gov</w:t>
                    </w:r>
                  </w:p>
                </w:txbxContent>
              </v:textbox>
            </v:shape>
          </w:pict>
        </mc:Fallback>
      </mc:AlternateContent>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E70" w:rsidRDefault="00282E70">
                          <w:pPr>
                            <w:rPr>
                              <w:rFonts w:ascii="Arial Narrow" w:hAnsi="Arial Narrow"/>
                              <w:b/>
                            </w:rPr>
                          </w:pPr>
                          <w:r>
                            <w:rPr>
                              <w:rFonts w:ascii="Arial Narrow" w:hAnsi="Arial Narrow"/>
                              <w:b/>
                            </w:rPr>
                            <w:t>Federal Communications Commission</w:t>
                          </w:r>
                        </w:p>
                        <w:p w:rsidR="00282E70" w:rsidRDefault="00282E70">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rsidR="00282E70" w:rsidRDefault="00282E70">
                          <w:pPr>
                            <w:rPr>
                              <w:rFonts w:ascii="Arial" w:hAnsi="Arial"/>
                              <w:sz w:val="24"/>
                            </w:rPr>
                          </w:pPr>
                          <w:r>
                            <w:rPr>
                              <w:rFonts w:ascii="Arial Narrow" w:hAnsi="Arial Narrow"/>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" o:allowincell="f" stroked="f">
              <v:textbox>
                <w:txbxContent>
                  <w:p w:rsidR="00282E70" w:rsidRDefault="00282E70">
                    <w:pPr>
                      <w:rPr>
                        <w:rFonts w:ascii="Arial Narrow" w:hAnsi="Arial Narrow"/>
                        <w:b/>
                      </w:rPr>
                    </w:pPr>
                    <w:r>
                      <w:rPr>
                        <w:rFonts w:ascii="Arial Narrow" w:hAnsi="Arial Narrow"/>
                        <w:b/>
                      </w:rPr>
                      <w:t>Federal Communications Commission</w:t>
                    </w:r>
                  </w:p>
                  <w:p w:rsidR="00282E70" w:rsidRDefault="00282E70">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rsidR="00282E70" w:rsidRDefault="00282E70">
                    <w:pPr>
                      <w:rPr>
                        <w:rFonts w:ascii="Arial" w:hAnsi="Arial"/>
                        <w:sz w:val="24"/>
                      </w:rPr>
                    </w:pPr>
                    <w:r>
                      <w:rPr>
                        <w:rFonts w:ascii="Arial Narrow" w:hAnsi="Arial Narrow"/>
                        <w:b/>
                      </w:rPr>
                      <w:t>Washington, D.C. 20554</w:t>
                    </w:r>
                  </w:p>
                </w:txbxContent>
              </v:textbox>
            </v:shape>
          </w:pict>
        </mc:Fallback>
      </mc:AlternateContent>
    </w:r>
    <w:r>
      <w:rPr>
        <w:rFonts w:ascii="Arial" w:hAnsi="Arial" w:cs="Arial"/>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1185" cy="591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2E70" w:rsidRPr="00313103">
      <w:rPr>
        <w:rFonts w:ascii="Arial" w:hAnsi="Arial" w:cs="Arial"/>
        <w:b/>
        <w:kern w:val="28"/>
        <w:sz w:val="96"/>
      </w:rPr>
      <w:t>PUBLIC NOTICE</w:t>
    </w:r>
  </w:p>
  <w:p w:rsidR="00282E70" w:rsidRDefault="0002277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697865</wp:posOffset>
              </wp:positionV>
              <wp:extent cx="62865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4.95pt" to="481.0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mp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"/>
          </w:pict>
        </mc:Fallback>
      </mc:AlternateContent>
    </w:r>
  </w:p>
  <w:p w:rsidR="00282E70" w:rsidRDefault="00282E7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B6A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56A32"/>
    <w:multiLevelType w:val="hybridMultilevel"/>
    <w:tmpl w:val="C1046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62E60"/>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95244C"/>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8333276"/>
    <w:multiLevelType w:val="hybridMultilevel"/>
    <w:tmpl w:val="0B620C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EAC5A86"/>
    <w:multiLevelType w:val="hybridMultilevel"/>
    <w:tmpl w:val="CB260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52C21CE8"/>
    <w:multiLevelType w:val="hybridMultilevel"/>
    <w:tmpl w:val="3EF232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5">
    <w:nsid w:val="55543355"/>
    <w:multiLevelType w:val="hybridMultilevel"/>
    <w:tmpl w:val="C6B2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B97892"/>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A220C8D"/>
    <w:multiLevelType w:val="hybridMultilevel"/>
    <w:tmpl w:val="75EEB80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1182925"/>
    <w:multiLevelType w:val="singleLevel"/>
    <w:tmpl w:val="08A28768"/>
    <w:lvl w:ilvl="0">
      <w:start w:val="1"/>
      <w:numFmt w:val="decimal"/>
      <w:lvlText w:val="%1."/>
      <w:lvlJc w:val="left"/>
      <w:pPr>
        <w:tabs>
          <w:tab w:val="num" w:pos="1080"/>
        </w:tabs>
        <w:ind w:left="0" w:firstLine="720"/>
      </w:pPr>
      <w:rPr>
        <w:b w:val="0"/>
      </w:rPr>
    </w:lvl>
  </w:abstractNum>
  <w:abstractNum w:abstractNumId="21">
    <w:nsid w:val="6D4D683F"/>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0391286"/>
    <w:multiLevelType w:val="hybridMultilevel"/>
    <w:tmpl w:val="A072D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14"/>
  </w:num>
  <w:num w:numId="3">
    <w:abstractNumId w:val="19"/>
  </w:num>
  <w:num w:numId="4">
    <w:abstractNumId w:val="6"/>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3"/>
  </w:num>
  <w:num w:numId="12">
    <w:abstractNumId w:val="9"/>
  </w:num>
  <w:num w:numId="13">
    <w:abstractNumId w:val="11"/>
  </w:num>
  <w:num w:numId="14">
    <w:abstractNumId w:val="2"/>
  </w:num>
  <w:num w:numId="15">
    <w:abstractNumId w:val="23"/>
  </w:num>
  <w:num w:numId="16">
    <w:abstractNumId w:val="1"/>
  </w:num>
  <w:num w:numId="17">
    <w:abstractNumId w:val="10"/>
  </w:num>
  <w:num w:numId="18">
    <w:abstractNumId w:val="5"/>
  </w:num>
  <w:num w:numId="19">
    <w:abstractNumId w:val="7"/>
  </w:num>
  <w:num w:numId="20">
    <w:abstractNumId w:val="4"/>
  </w:num>
  <w:num w:numId="21">
    <w:abstractNumId w:val="12"/>
  </w:num>
  <w:num w:numId="22">
    <w:abstractNumId w:val="16"/>
  </w:num>
  <w:num w:numId="23">
    <w:abstractNumId w:val="18"/>
  </w:num>
  <w:num w:numId="24">
    <w:abstractNumId w:val="21"/>
  </w:num>
  <w:num w:numId="25">
    <w:abstractNumId w:val="3"/>
  </w:num>
  <w:num w:numId="26">
    <w:abstractNumId w:val="8"/>
  </w:num>
  <w:num w:numId="27">
    <w:abstractNumId w:val="15"/>
  </w:num>
  <w:num w:numId="28">
    <w:abstractNumId w:val="22"/>
  </w:num>
  <w:num w:numId="29">
    <w:abstractNumId w:val="0"/>
  </w:num>
  <w:num w:numId="30">
    <w:abstractNumId w:val="20"/>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AF"/>
    <w:rsid w:val="00004C10"/>
    <w:rsid w:val="000066C7"/>
    <w:rsid w:val="00006EB5"/>
    <w:rsid w:val="00014A1C"/>
    <w:rsid w:val="00022778"/>
    <w:rsid w:val="0004292F"/>
    <w:rsid w:val="00045FE6"/>
    <w:rsid w:val="000470A4"/>
    <w:rsid w:val="000544AF"/>
    <w:rsid w:val="00061645"/>
    <w:rsid w:val="000672A0"/>
    <w:rsid w:val="00070FEF"/>
    <w:rsid w:val="000A729A"/>
    <w:rsid w:val="000D6AC1"/>
    <w:rsid w:val="000F253E"/>
    <w:rsid w:val="001065AF"/>
    <w:rsid w:val="001133CB"/>
    <w:rsid w:val="00123637"/>
    <w:rsid w:val="0012495B"/>
    <w:rsid w:val="00131DE9"/>
    <w:rsid w:val="0014103B"/>
    <w:rsid w:val="001502AF"/>
    <w:rsid w:val="00190A2D"/>
    <w:rsid w:val="001F28EB"/>
    <w:rsid w:val="001F364B"/>
    <w:rsid w:val="001F481A"/>
    <w:rsid w:val="00226B4E"/>
    <w:rsid w:val="002274AB"/>
    <w:rsid w:val="0023415C"/>
    <w:rsid w:val="00261F99"/>
    <w:rsid w:val="00282E70"/>
    <w:rsid w:val="0028338A"/>
    <w:rsid w:val="002F4EB8"/>
    <w:rsid w:val="00313103"/>
    <w:rsid w:val="003400D5"/>
    <w:rsid w:val="00343B48"/>
    <w:rsid w:val="00356A51"/>
    <w:rsid w:val="003667B6"/>
    <w:rsid w:val="0038068D"/>
    <w:rsid w:val="003822A9"/>
    <w:rsid w:val="003831B3"/>
    <w:rsid w:val="003A41D8"/>
    <w:rsid w:val="003B39D8"/>
    <w:rsid w:val="003C3D22"/>
    <w:rsid w:val="003E6916"/>
    <w:rsid w:val="0043558A"/>
    <w:rsid w:val="00442A55"/>
    <w:rsid w:val="00445606"/>
    <w:rsid w:val="00445E1A"/>
    <w:rsid w:val="00453176"/>
    <w:rsid w:val="004B4B13"/>
    <w:rsid w:val="004D1825"/>
    <w:rsid w:val="004F4ED1"/>
    <w:rsid w:val="00504115"/>
    <w:rsid w:val="00507F98"/>
    <w:rsid w:val="00522656"/>
    <w:rsid w:val="0052555F"/>
    <w:rsid w:val="00535EB0"/>
    <w:rsid w:val="00551D02"/>
    <w:rsid w:val="00574C31"/>
    <w:rsid w:val="005B118B"/>
    <w:rsid w:val="005E4AC1"/>
    <w:rsid w:val="00620019"/>
    <w:rsid w:val="00635F8B"/>
    <w:rsid w:val="00653F0A"/>
    <w:rsid w:val="00657CBC"/>
    <w:rsid w:val="0069130A"/>
    <w:rsid w:val="006A00F4"/>
    <w:rsid w:val="006A6EDC"/>
    <w:rsid w:val="006D6392"/>
    <w:rsid w:val="006E6E0B"/>
    <w:rsid w:val="007061D5"/>
    <w:rsid w:val="007272C5"/>
    <w:rsid w:val="007456FF"/>
    <w:rsid w:val="00760FE2"/>
    <w:rsid w:val="0078078B"/>
    <w:rsid w:val="007B2C8E"/>
    <w:rsid w:val="007C0541"/>
    <w:rsid w:val="007E4E14"/>
    <w:rsid w:val="007F167F"/>
    <w:rsid w:val="00815C44"/>
    <w:rsid w:val="00836EC1"/>
    <w:rsid w:val="00837112"/>
    <w:rsid w:val="00853284"/>
    <w:rsid w:val="00885736"/>
    <w:rsid w:val="008B0E08"/>
    <w:rsid w:val="008C650C"/>
    <w:rsid w:val="008D0B86"/>
    <w:rsid w:val="008D1A2B"/>
    <w:rsid w:val="008E6E6A"/>
    <w:rsid w:val="009220C5"/>
    <w:rsid w:val="00930C36"/>
    <w:rsid w:val="00937631"/>
    <w:rsid w:val="00945F0F"/>
    <w:rsid w:val="00947686"/>
    <w:rsid w:val="0095215A"/>
    <w:rsid w:val="00964717"/>
    <w:rsid w:val="00964D94"/>
    <w:rsid w:val="00984B3F"/>
    <w:rsid w:val="009A7B40"/>
    <w:rsid w:val="009C2219"/>
    <w:rsid w:val="00A0036F"/>
    <w:rsid w:val="00A06ECB"/>
    <w:rsid w:val="00A13211"/>
    <w:rsid w:val="00A15929"/>
    <w:rsid w:val="00A5078F"/>
    <w:rsid w:val="00A555CF"/>
    <w:rsid w:val="00A626A5"/>
    <w:rsid w:val="00A731B5"/>
    <w:rsid w:val="00A86171"/>
    <w:rsid w:val="00A939AB"/>
    <w:rsid w:val="00A96906"/>
    <w:rsid w:val="00AE7D85"/>
    <w:rsid w:val="00AF1F6F"/>
    <w:rsid w:val="00AF30FF"/>
    <w:rsid w:val="00B02100"/>
    <w:rsid w:val="00B111DF"/>
    <w:rsid w:val="00B126D8"/>
    <w:rsid w:val="00B435D5"/>
    <w:rsid w:val="00B81AD0"/>
    <w:rsid w:val="00B93D02"/>
    <w:rsid w:val="00BD6A45"/>
    <w:rsid w:val="00BD718C"/>
    <w:rsid w:val="00BF1F21"/>
    <w:rsid w:val="00C02696"/>
    <w:rsid w:val="00C03C7B"/>
    <w:rsid w:val="00C20FF1"/>
    <w:rsid w:val="00C2366A"/>
    <w:rsid w:val="00C43058"/>
    <w:rsid w:val="00C63D78"/>
    <w:rsid w:val="00C67AC5"/>
    <w:rsid w:val="00C734FF"/>
    <w:rsid w:val="00C929B9"/>
    <w:rsid w:val="00CA7F87"/>
    <w:rsid w:val="00CE5444"/>
    <w:rsid w:val="00D067FD"/>
    <w:rsid w:val="00D2355C"/>
    <w:rsid w:val="00D35E51"/>
    <w:rsid w:val="00D420F8"/>
    <w:rsid w:val="00D536F5"/>
    <w:rsid w:val="00D55132"/>
    <w:rsid w:val="00D73466"/>
    <w:rsid w:val="00DA16EB"/>
    <w:rsid w:val="00DB793D"/>
    <w:rsid w:val="00DD1537"/>
    <w:rsid w:val="00E02CCD"/>
    <w:rsid w:val="00E06D50"/>
    <w:rsid w:val="00E259D2"/>
    <w:rsid w:val="00E25A78"/>
    <w:rsid w:val="00E27C8A"/>
    <w:rsid w:val="00E5569D"/>
    <w:rsid w:val="00E65A7D"/>
    <w:rsid w:val="00EC467A"/>
    <w:rsid w:val="00EC557F"/>
    <w:rsid w:val="00ED3219"/>
    <w:rsid w:val="00F02E0A"/>
    <w:rsid w:val="00FA0642"/>
    <w:rsid w:val="00FA71EF"/>
    <w:rsid w:val="00FC0449"/>
    <w:rsid w:val="00FF4C74"/>
    <w:rsid w:val="00FF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rFonts w:ascii="Times New Roman" w:hAnsi="Times New Roman"/>
      <w:sz w:val="20"/>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val="0"/>
      <w:spacing w:val="-2"/>
      <w:sz w:val="24"/>
    </w:rPr>
  </w:style>
  <w:style w:type="paragraph" w:styleId="BodyTextIndent">
    <w:name w:val="Body Text Indent"/>
    <w:basedOn w:val="Normal"/>
    <w:pPr>
      <w:spacing w:after="240"/>
      <w:ind w:firstLine="720"/>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2">
    <w:name w:val="Body Text Indent 2"/>
    <w:basedOn w:val="Normal"/>
    <w:pPr>
      <w:spacing w:before="60"/>
      <w:ind w:left="5760" w:firstLine="720"/>
    </w:pPr>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ParaNum">
    <w:name w:val="ParaNum"/>
    <w:basedOn w:val="Normal"/>
    <w:pPr>
      <w:widowControl w:val="0"/>
      <w:numPr>
        <w:numId w:val="16"/>
      </w:numPr>
      <w:spacing w:after="220"/>
      <w:jc w:val="both"/>
    </w:pPr>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character" w:styleId="CommentReference">
    <w:name w:val="annotation reference"/>
    <w:rsid w:val="00B435D5"/>
    <w:rPr>
      <w:sz w:val="18"/>
      <w:szCs w:val="18"/>
    </w:rPr>
  </w:style>
  <w:style w:type="paragraph" w:styleId="CommentText">
    <w:name w:val="annotation text"/>
    <w:basedOn w:val="Normal"/>
    <w:link w:val="CommentTextChar"/>
    <w:rsid w:val="00B435D5"/>
    <w:rPr>
      <w:sz w:val="24"/>
      <w:szCs w:val="24"/>
    </w:rPr>
  </w:style>
  <w:style w:type="character" w:customStyle="1" w:styleId="CommentTextChar">
    <w:name w:val="Comment Text Char"/>
    <w:link w:val="CommentText"/>
    <w:rsid w:val="00B435D5"/>
    <w:rPr>
      <w:sz w:val="24"/>
      <w:szCs w:val="24"/>
    </w:rPr>
  </w:style>
  <w:style w:type="paragraph" w:styleId="CommentSubject">
    <w:name w:val="annotation subject"/>
    <w:basedOn w:val="CommentText"/>
    <w:next w:val="CommentText"/>
    <w:link w:val="CommentSubjectChar"/>
    <w:rsid w:val="00B435D5"/>
    <w:rPr>
      <w:b/>
      <w:bCs/>
      <w:sz w:val="20"/>
      <w:szCs w:val="20"/>
    </w:rPr>
  </w:style>
  <w:style w:type="character" w:customStyle="1" w:styleId="CommentSubjectChar">
    <w:name w:val="Comment Subject Char"/>
    <w:link w:val="CommentSubject"/>
    <w:rsid w:val="00B435D5"/>
    <w:rPr>
      <w:b/>
      <w:bCs/>
      <w:sz w:val="24"/>
      <w:szCs w:val="24"/>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sid w:val="00C02696"/>
    <w:rPr>
      <w:lang w:val="en-US" w:eastAsia="en-US" w:bidi="ar-SA"/>
    </w:rPr>
  </w:style>
  <w:style w:type="paragraph" w:styleId="Revision">
    <w:name w:val="Revision"/>
    <w:hidden/>
    <w:uiPriority w:val="99"/>
    <w:semiHidden/>
    <w:rsid w:val="00A1321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rFonts w:ascii="Times New Roman" w:hAnsi="Times New Roman"/>
      <w:sz w:val="20"/>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val="0"/>
      <w:spacing w:val="-2"/>
      <w:sz w:val="24"/>
    </w:rPr>
  </w:style>
  <w:style w:type="paragraph" w:styleId="BodyTextIndent">
    <w:name w:val="Body Text Indent"/>
    <w:basedOn w:val="Normal"/>
    <w:pPr>
      <w:spacing w:after="240"/>
      <w:ind w:firstLine="720"/>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2">
    <w:name w:val="Body Text Indent 2"/>
    <w:basedOn w:val="Normal"/>
    <w:pPr>
      <w:spacing w:before="60"/>
      <w:ind w:left="5760" w:firstLine="720"/>
    </w:pPr>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ParaNum">
    <w:name w:val="ParaNum"/>
    <w:basedOn w:val="Normal"/>
    <w:pPr>
      <w:widowControl w:val="0"/>
      <w:numPr>
        <w:numId w:val="16"/>
      </w:numPr>
      <w:spacing w:after="220"/>
      <w:jc w:val="both"/>
    </w:pPr>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character" w:styleId="CommentReference">
    <w:name w:val="annotation reference"/>
    <w:rsid w:val="00B435D5"/>
    <w:rPr>
      <w:sz w:val="18"/>
      <w:szCs w:val="18"/>
    </w:rPr>
  </w:style>
  <w:style w:type="paragraph" w:styleId="CommentText">
    <w:name w:val="annotation text"/>
    <w:basedOn w:val="Normal"/>
    <w:link w:val="CommentTextChar"/>
    <w:rsid w:val="00B435D5"/>
    <w:rPr>
      <w:sz w:val="24"/>
      <w:szCs w:val="24"/>
    </w:rPr>
  </w:style>
  <w:style w:type="character" w:customStyle="1" w:styleId="CommentTextChar">
    <w:name w:val="Comment Text Char"/>
    <w:link w:val="CommentText"/>
    <w:rsid w:val="00B435D5"/>
    <w:rPr>
      <w:sz w:val="24"/>
      <w:szCs w:val="24"/>
    </w:rPr>
  </w:style>
  <w:style w:type="paragraph" w:styleId="CommentSubject">
    <w:name w:val="annotation subject"/>
    <w:basedOn w:val="CommentText"/>
    <w:next w:val="CommentText"/>
    <w:link w:val="CommentSubjectChar"/>
    <w:rsid w:val="00B435D5"/>
    <w:rPr>
      <w:b/>
      <w:bCs/>
      <w:sz w:val="20"/>
      <w:szCs w:val="20"/>
    </w:rPr>
  </w:style>
  <w:style w:type="character" w:customStyle="1" w:styleId="CommentSubjectChar">
    <w:name w:val="Comment Subject Char"/>
    <w:link w:val="CommentSubject"/>
    <w:rsid w:val="00B435D5"/>
    <w:rPr>
      <w:b/>
      <w:bCs/>
      <w:sz w:val="24"/>
      <w:szCs w:val="24"/>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sid w:val="00C02696"/>
    <w:rPr>
      <w:lang w:val="en-US" w:eastAsia="en-US" w:bidi="ar-SA"/>
    </w:rPr>
  </w:style>
  <w:style w:type="paragraph" w:styleId="Revision">
    <w:name w:val="Revision"/>
    <w:hidden/>
    <w:uiPriority w:val="99"/>
    <w:semiHidden/>
    <w:rsid w:val="00A132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6308</Characters>
  <Application>Microsoft Office Word</Application>
  <DocSecurity>0</DocSecurity>
  <Lines>99</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7475</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2012-08-08T18:47:00Z</cp:lastPrinted>
  <dcterms:created xsi:type="dcterms:W3CDTF">2013-05-16T18:03:00Z</dcterms:created>
  <dcterms:modified xsi:type="dcterms:W3CDTF">2013-05-16T18:03:00Z</dcterms:modified>
  <cp:category> </cp:category>
  <cp:contentStatus> </cp:contentStatus>
</cp:coreProperties>
</file>