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6B" w:rsidRDefault="00E55A6B">
      <w:pPr>
        <w:jc w:val="center"/>
        <w:rPr>
          <w:b/>
        </w:rPr>
      </w:pPr>
      <w:bookmarkStart w:id="0" w:name="_GoBack"/>
      <w:bookmarkEnd w:id="0"/>
      <w:r>
        <w:rPr>
          <w:b/>
        </w:rPr>
        <w:t>Before the</w:t>
      </w:r>
    </w:p>
    <w:p w:rsidR="00E55A6B" w:rsidRDefault="00E55A6B">
      <w:pPr>
        <w:jc w:val="center"/>
        <w:rPr>
          <w:b/>
        </w:rPr>
      </w:pPr>
      <w:r>
        <w:rPr>
          <w:b/>
        </w:rPr>
        <w:t>Federal Communications Commission</w:t>
      </w:r>
    </w:p>
    <w:p w:rsidR="00E55A6B" w:rsidRDefault="00E55A6B">
      <w:pPr>
        <w:jc w:val="center"/>
        <w:rPr>
          <w:b/>
        </w:rPr>
      </w:pPr>
      <w:r>
        <w:rPr>
          <w:b/>
        </w:rPr>
        <w:t>Washington, D.C. 20554</w:t>
      </w:r>
    </w:p>
    <w:p w:rsidR="00E55A6B" w:rsidRDefault="00E55A6B"/>
    <w:p w:rsidR="00E55A6B" w:rsidRDefault="00E55A6B"/>
    <w:tbl>
      <w:tblPr>
        <w:tblW w:w="9648" w:type="dxa"/>
        <w:tblLayout w:type="fixed"/>
        <w:tblLook w:val="0000" w:firstRow="0" w:lastRow="0" w:firstColumn="0" w:lastColumn="0" w:noHBand="0" w:noVBand="0"/>
      </w:tblPr>
      <w:tblGrid>
        <w:gridCol w:w="4698"/>
        <w:gridCol w:w="720"/>
        <w:gridCol w:w="4230"/>
      </w:tblGrid>
      <w:tr w:rsidR="00E55A6B">
        <w:tc>
          <w:tcPr>
            <w:tcW w:w="4698" w:type="dxa"/>
          </w:tcPr>
          <w:p w:rsidR="00E55A6B" w:rsidRDefault="00E55A6B" w:rsidP="00F7720D">
            <w:pPr>
              <w:tabs>
                <w:tab w:val="center" w:pos="4680"/>
              </w:tabs>
              <w:suppressAutoHyphens/>
              <w:rPr>
                <w:spacing w:val="-2"/>
                <w:szCs w:val="22"/>
              </w:rPr>
            </w:pPr>
            <w:r>
              <w:rPr>
                <w:spacing w:val="-2"/>
                <w:szCs w:val="22"/>
              </w:rPr>
              <w:t>In the Matter of</w:t>
            </w:r>
          </w:p>
          <w:p w:rsidR="00E55A6B" w:rsidRDefault="00E55A6B" w:rsidP="00F7720D">
            <w:pPr>
              <w:tabs>
                <w:tab w:val="center" w:pos="4680"/>
              </w:tabs>
              <w:suppressAutoHyphens/>
              <w:rPr>
                <w:spacing w:val="-2"/>
                <w:szCs w:val="22"/>
              </w:rPr>
            </w:pPr>
          </w:p>
          <w:p w:rsidR="00E55A6B" w:rsidRDefault="00E55A6B" w:rsidP="00F7720D">
            <w:pPr>
              <w:tabs>
                <w:tab w:val="center" w:pos="4680"/>
              </w:tabs>
              <w:suppressAutoHyphens/>
              <w:rPr>
                <w:spacing w:val="-2"/>
                <w:szCs w:val="22"/>
              </w:rPr>
            </w:pPr>
            <w:r>
              <w:rPr>
                <w:spacing w:val="-2"/>
                <w:szCs w:val="22"/>
              </w:rPr>
              <w:t>Connect America Fund</w:t>
            </w:r>
          </w:p>
          <w:p w:rsidR="00E55A6B" w:rsidRDefault="00E55A6B" w:rsidP="00F7720D">
            <w:pPr>
              <w:tabs>
                <w:tab w:val="center" w:pos="4680"/>
              </w:tabs>
              <w:suppressAutoHyphens/>
              <w:rPr>
                <w:spacing w:val="-2"/>
                <w:szCs w:val="22"/>
              </w:rPr>
            </w:pPr>
          </w:p>
          <w:p w:rsidR="00E55A6B" w:rsidRDefault="00E55A6B" w:rsidP="00F7720D">
            <w:pPr>
              <w:tabs>
                <w:tab w:val="center" w:pos="4680"/>
              </w:tabs>
              <w:suppressAutoHyphens/>
              <w:rPr>
                <w:spacing w:val="-2"/>
                <w:szCs w:val="22"/>
              </w:rPr>
            </w:pPr>
          </w:p>
          <w:p w:rsidR="00E55A6B" w:rsidRDefault="00E55A6B" w:rsidP="007B341B">
            <w:pPr>
              <w:tabs>
                <w:tab w:val="center" w:pos="4680"/>
              </w:tabs>
              <w:suppressAutoHyphens/>
              <w:rPr>
                <w:spacing w:val="-2"/>
                <w:szCs w:val="22"/>
              </w:rPr>
            </w:pPr>
          </w:p>
        </w:tc>
        <w:tc>
          <w:tcPr>
            <w:tcW w:w="720" w:type="dxa"/>
          </w:tcPr>
          <w:p w:rsidR="00E55A6B" w:rsidRDefault="00E55A6B" w:rsidP="00F7720D">
            <w:pPr>
              <w:rPr>
                <w:b/>
              </w:rPr>
            </w:pPr>
            <w:r>
              <w:rPr>
                <w:b/>
              </w:rPr>
              <w:t>)</w:t>
            </w:r>
          </w:p>
          <w:p w:rsidR="00E55A6B" w:rsidRDefault="00E55A6B" w:rsidP="00F7720D">
            <w:pPr>
              <w:rPr>
                <w:b/>
              </w:rPr>
            </w:pPr>
            <w:r>
              <w:rPr>
                <w:b/>
              </w:rPr>
              <w:t>)</w:t>
            </w:r>
          </w:p>
          <w:p w:rsidR="00E55A6B" w:rsidRDefault="00E55A6B" w:rsidP="00F7720D">
            <w:pPr>
              <w:rPr>
                <w:b/>
              </w:rPr>
            </w:pPr>
            <w:r>
              <w:rPr>
                <w:b/>
              </w:rPr>
              <w:t>)</w:t>
            </w:r>
          </w:p>
          <w:p w:rsidR="00E55A6B" w:rsidRDefault="00E55A6B" w:rsidP="00F7720D">
            <w:pPr>
              <w:rPr>
                <w:b/>
              </w:rPr>
            </w:pPr>
            <w:r>
              <w:rPr>
                <w:b/>
              </w:rPr>
              <w:t>)</w:t>
            </w:r>
          </w:p>
          <w:p w:rsidR="00E55A6B" w:rsidRDefault="00E55A6B" w:rsidP="007B341B">
            <w:pPr>
              <w:rPr>
                <w:b/>
              </w:rPr>
            </w:pPr>
          </w:p>
        </w:tc>
        <w:tc>
          <w:tcPr>
            <w:tcW w:w="4230" w:type="dxa"/>
          </w:tcPr>
          <w:p w:rsidR="00E55A6B" w:rsidRDefault="00E55A6B" w:rsidP="00F7720D"/>
          <w:p w:rsidR="00E55A6B" w:rsidRDefault="00E55A6B" w:rsidP="00F7720D"/>
          <w:p w:rsidR="00E55A6B" w:rsidRDefault="00E55A6B" w:rsidP="00F7720D">
            <w:pPr>
              <w:tabs>
                <w:tab w:val="center" w:pos="4680"/>
              </w:tabs>
              <w:suppressAutoHyphens/>
              <w:rPr>
                <w:spacing w:val="-2"/>
                <w:szCs w:val="22"/>
              </w:rPr>
            </w:pPr>
            <w:r>
              <w:rPr>
                <w:spacing w:val="-2"/>
                <w:szCs w:val="22"/>
              </w:rPr>
              <w:t>WC Docket No. 10-90</w:t>
            </w:r>
          </w:p>
          <w:p w:rsidR="00E55A6B" w:rsidRDefault="00E55A6B" w:rsidP="00F7720D">
            <w:pPr>
              <w:tabs>
                <w:tab w:val="center" w:pos="4680"/>
              </w:tabs>
              <w:suppressAutoHyphens/>
              <w:rPr>
                <w:spacing w:val="-2"/>
                <w:szCs w:val="22"/>
              </w:rPr>
            </w:pPr>
          </w:p>
          <w:p w:rsidR="00E55A6B" w:rsidRDefault="00E55A6B" w:rsidP="007B341B">
            <w:pPr>
              <w:tabs>
                <w:tab w:val="center" w:pos="4680"/>
              </w:tabs>
              <w:suppressAutoHyphens/>
            </w:pPr>
          </w:p>
        </w:tc>
      </w:tr>
    </w:tbl>
    <w:p w:rsidR="00E55A6B" w:rsidRDefault="00E55A6B">
      <w:pPr>
        <w:spacing w:before="120"/>
        <w:jc w:val="center"/>
        <w:rPr>
          <w:b/>
        </w:rPr>
      </w:pPr>
      <w:r>
        <w:rPr>
          <w:b/>
          <w:spacing w:val="-2"/>
        </w:rPr>
        <w:t xml:space="preserve">ORDER </w:t>
      </w:r>
    </w:p>
    <w:p w:rsidR="00E55A6B" w:rsidRDefault="00E55A6B"/>
    <w:p w:rsidR="00E55A6B" w:rsidRDefault="00E55A6B">
      <w:pPr>
        <w:tabs>
          <w:tab w:val="left" w:pos="5760"/>
        </w:tabs>
        <w:rPr>
          <w:b/>
          <w:spacing w:val="-2"/>
        </w:rPr>
      </w:pPr>
      <w:r>
        <w:rPr>
          <w:b/>
        </w:rPr>
        <w:t xml:space="preserve">Adopted:  </w:t>
      </w:r>
      <w:r w:rsidR="004835E2">
        <w:rPr>
          <w:b/>
          <w:spacing w:val="-2"/>
        </w:rPr>
        <w:t>May 16, 2013</w:t>
      </w:r>
      <w:r>
        <w:rPr>
          <w:b/>
        </w:rPr>
        <w:tab/>
      </w:r>
      <w:r>
        <w:rPr>
          <w:b/>
        </w:rPr>
        <w:tab/>
        <w:t xml:space="preserve">Released:  </w:t>
      </w:r>
      <w:r w:rsidR="004835E2">
        <w:rPr>
          <w:b/>
          <w:spacing w:val="-2"/>
        </w:rPr>
        <w:t>May 16, 2013</w:t>
      </w:r>
    </w:p>
    <w:p w:rsidR="00E55A6B" w:rsidRDefault="00E55A6B">
      <w:pPr>
        <w:tabs>
          <w:tab w:val="left" w:pos="5760"/>
        </w:tabs>
        <w:rPr>
          <w:b/>
          <w:spacing w:val="-2"/>
        </w:rPr>
      </w:pPr>
    </w:p>
    <w:p w:rsidR="00E55A6B" w:rsidRDefault="00E55A6B" w:rsidP="005A0749">
      <w:pPr>
        <w:tabs>
          <w:tab w:val="left" w:pos="5760"/>
        </w:tabs>
        <w:rPr>
          <w:spacing w:val="-2"/>
        </w:rPr>
      </w:pPr>
      <w:r>
        <w:t xml:space="preserve">By the Chief, </w:t>
      </w:r>
      <w:r>
        <w:rPr>
          <w:spacing w:val="-2"/>
        </w:rPr>
        <w:t>Wireline Competition Bureau:</w:t>
      </w:r>
    </w:p>
    <w:p w:rsidR="00E55A6B" w:rsidRDefault="00E55A6B" w:rsidP="005A0749">
      <w:pPr>
        <w:tabs>
          <w:tab w:val="left" w:pos="5760"/>
        </w:tabs>
        <w:rPr>
          <w:spacing w:val="-2"/>
        </w:rPr>
      </w:pPr>
    </w:p>
    <w:p w:rsidR="00052B41" w:rsidRDefault="00052B41" w:rsidP="00052B41">
      <w:pPr>
        <w:pStyle w:val="Heading1"/>
        <w:widowControl/>
        <w:numPr>
          <w:ilvl w:val="0"/>
          <w:numId w:val="1"/>
        </w:numPr>
        <w:jc w:val="left"/>
        <w:rPr>
          <w:szCs w:val="22"/>
        </w:rPr>
      </w:pPr>
      <w:r>
        <w:rPr>
          <w:szCs w:val="22"/>
        </w:rPr>
        <w:t>Introduction</w:t>
      </w:r>
    </w:p>
    <w:p w:rsidR="00E55A6B" w:rsidRPr="00052B41" w:rsidRDefault="00E55A6B" w:rsidP="00C74B51">
      <w:pPr>
        <w:pStyle w:val="ParaNum"/>
        <w:widowControl/>
        <w:numPr>
          <w:ilvl w:val="0"/>
          <w:numId w:val="3"/>
        </w:numPr>
        <w:tabs>
          <w:tab w:val="clear" w:pos="1080"/>
        </w:tabs>
        <w:jc w:val="left"/>
        <w:rPr>
          <w:sz w:val="22"/>
          <w:szCs w:val="22"/>
        </w:rPr>
      </w:pPr>
      <w:r w:rsidRPr="00052B41">
        <w:rPr>
          <w:sz w:val="22"/>
          <w:szCs w:val="22"/>
        </w:rPr>
        <w:t>In this Order, the Wireline Competition Bureau (Bureau) further clarifies annual reporting obligations for 2013 and 2014 in response to informal inquiries from eligible telecommunications carriers (ETCs)</w:t>
      </w:r>
      <w:r>
        <w:rPr>
          <w:sz w:val="22"/>
          <w:szCs w:val="22"/>
        </w:rPr>
        <w:t xml:space="preserve"> regarding the scope of reporting obligations currently under Paperwork Reduction Act (PRA) review by the Office of Management and Budget (OMB)</w:t>
      </w:r>
      <w:r w:rsidRPr="00052B41">
        <w:rPr>
          <w:sz w:val="22"/>
          <w:szCs w:val="22"/>
        </w:rPr>
        <w:t>.</w:t>
      </w:r>
      <w:r>
        <w:rPr>
          <w:rStyle w:val="FootnoteReference"/>
          <w:sz w:val="22"/>
          <w:szCs w:val="22"/>
        </w:rPr>
        <w:footnoteReference w:id="2"/>
      </w:r>
      <w:r w:rsidRPr="00052B41">
        <w:rPr>
          <w:sz w:val="22"/>
          <w:szCs w:val="22"/>
        </w:rPr>
        <w:t xml:space="preserve">  The Bureau also waives the requirement that rate-of-return ETCs file five-year service quality improvement plans in 2013, in response to </w:t>
      </w:r>
      <w:r w:rsidR="00893C38">
        <w:rPr>
          <w:sz w:val="22"/>
          <w:szCs w:val="22"/>
        </w:rPr>
        <w:t xml:space="preserve">a </w:t>
      </w:r>
      <w:r w:rsidRPr="00052B41">
        <w:rPr>
          <w:sz w:val="22"/>
          <w:szCs w:val="22"/>
        </w:rPr>
        <w:t xml:space="preserve">petition filed by NTCA </w:t>
      </w:r>
      <w:r w:rsidRPr="005D641C">
        <w:rPr>
          <w:sz w:val="22"/>
          <w:szCs w:val="22"/>
        </w:rPr>
        <w:t>–</w:t>
      </w:r>
      <w:r w:rsidRPr="00052B41">
        <w:rPr>
          <w:sz w:val="22"/>
          <w:szCs w:val="22"/>
        </w:rPr>
        <w:t xml:space="preserve"> The Rural Broadband Association (NTCA), the Eastern Rural Telecom Association (ERTA), the Independent Telephone Telecommunications Alliance (ITTA), the National Exchange Carrier Association, Inc. (NECA), the United States Telecom Association (USTelecom), and the Western Telecommunications Alliance (WTA) (collectively, </w:t>
      </w:r>
      <w:r w:rsidR="00893C38">
        <w:rPr>
          <w:sz w:val="22"/>
          <w:szCs w:val="22"/>
        </w:rPr>
        <w:t>Rural Associations</w:t>
      </w:r>
      <w:r w:rsidRPr="00052B41">
        <w:rPr>
          <w:sz w:val="22"/>
          <w:szCs w:val="22"/>
        </w:rPr>
        <w:t>).</w:t>
      </w:r>
      <w:r w:rsidRPr="005D641C">
        <w:rPr>
          <w:rStyle w:val="FootnoteReference"/>
          <w:sz w:val="22"/>
          <w:szCs w:val="22"/>
        </w:rPr>
        <w:footnoteReference w:id="3"/>
      </w:r>
      <w:r w:rsidRPr="00052B41">
        <w:rPr>
          <w:sz w:val="22"/>
          <w:szCs w:val="22"/>
        </w:rPr>
        <w:t xml:space="preserve"> </w:t>
      </w:r>
    </w:p>
    <w:p w:rsidR="00052B41" w:rsidRDefault="00052B41" w:rsidP="00052B41">
      <w:pPr>
        <w:pStyle w:val="Heading1"/>
        <w:widowControl/>
        <w:numPr>
          <w:ilvl w:val="0"/>
          <w:numId w:val="1"/>
        </w:numPr>
        <w:rPr>
          <w:szCs w:val="22"/>
        </w:rPr>
      </w:pPr>
      <w:r>
        <w:rPr>
          <w:szCs w:val="22"/>
        </w:rPr>
        <w:t>BACKGROUND</w:t>
      </w:r>
    </w:p>
    <w:p w:rsidR="00E55A6B" w:rsidRDefault="00E55A6B" w:rsidP="00C74B51">
      <w:pPr>
        <w:pStyle w:val="ParaNum"/>
        <w:widowControl/>
        <w:numPr>
          <w:ilvl w:val="0"/>
          <w:numId w:val="3"/>
        </w:numPr>
        <w:tabs>
          <w:tab w:val="clear" w:pos="1080"/>
        </w:tabs>
        <w:jc w:val="left"/>
        <w:rPr>
          <w:sz w:val="22"/>
          <w:szCs w:val="22"/>
        </w:rPr>
      </w:pPr>
      <w:r w:rsidRPr="00052B41">
        <w:rPr>
          <w:sz w:val="22"/>
          <w:szCs w:val="22"/>
        </w:rPr>
        <w:t xml:space="preserve">In the </w:t>
      </w:r>
      <w:r w:rsidRPr="00052B41">
        <w:rPr>
          <w:i/>
          <w:sz w:val="22"/>
          <w:szCs w:val="22"/>
        </w:rPr>
        <w:t>USF/ICC Transformation Order</w:t>
      </w:r>
      <w:r w:rsidRPr="00052B41">
        <w:rPr>
          <w:sz w:val="22"/>
          <w:szCs w:val="22"/>
        </w:rPr>
        <w:t>, the Commission adopted several reforms to harmonize and update annual ETC reporting requirements.</w:t>
      </w:r>
      <w:r w:rsidRPr="005D641C">
        <w:rPr>
          <w:rStyle w:val="FootnoteReference"/>
          <w:sz w:val="22"/>
          <w:szCs w:val="22"/>
        </w:rPr>
        <w:footnoteReference w:id="4"/>
      </w:r>
      <w:r w:rsidRPr="00052B41">
        <w:rPr>
          <w:sz w:val="22"/>
          <w:szCs w:val="22"/>
        </w:rPr>
        <w:t xml:space="preserve">  The Commission extended reporting requirements for voice service to all ETCs and adopted new reporting requirements to reflect new broadband obligations.</w:t>
      </w:r>
      <w:r w:rsidRPr="005D641C">
        <w:rPr>
          <w:rStyle w:val="FootnoteReference"/>
          <w:sz w:val="22"/>
          <w:szCs w:val="22"/>
        </w:rPr>
        <w:footnoteReference w:id="5"/>
      </w:r>
      <w:r w:rsidRPr="00052B41">
        <w:rPr>
          <w:sz w:val="22"/>
          <w:szCs w:val="22"/>
        </w:rPr>
        <w:t xml:space="preserve">  The Commission required all ETCs subject to new broadband obligations to file five-year service quality improvement plans in a manner consistent with section 54.202(a)(1)(ii)</w:t>
      </w:r>
      <w:r>
        <w:rPr>
          <w:sz w:val="22"/>
          <w:szCs w:val="22"/>
        </w:rPr>
        <w:t xml:space="preserve"> </w:t>
      </w:r>
      <w:r w:rsidRPr="00052B41">
        <w:rPr>
          <w:sz w:val="22"/>
          <w:szCs w:val="22"/>
        </w:rPr>
        <w:t xml:space="preserve">in 2013, </w:t>
      </w:r>
      <w:r w:rsidRPr="00052B41">
        <w:rPr>
          <w:sz w:val="22"/>
          <w:szCs w:val="22"/>
        </w:rPr>
        <w:lastRenderedPageBreak/>
        <w:t>and annual progress reports thereafter.</w:t>
      </w:r>
      <w:r w:rsidRPr="005D641C">
        <w:rPr>
          <w:rStyle w:val="FootnoteReference"/>
          <w:sz w:val="22"/>
          <w:szCs w:val="22"/>
        </w:rPr>
        <w:footnoteReference w:id="6"/>
      </w:r>
      <w:r w:rsidRPr="00052B41">
        <w:rPr>
          <w:sz w:val="22"/>
          <w:szCs w:val="22"/>
        </w:rPr>
        <w:t xml:space="preserve">  Subsequently, the Bureau waived the requirement for price cap carriers to file five-year plans until after such carriers accept Connect America Phase II support.</w:t>
      </w:r>
      <w:r w:rsidRPr="005D641C">
        <w:rPr>
          <w:rStyle w:val="FootnoteReference"/>
          <w:sz w:val="22"/>
          <w:szCs w:val="22"/>
        </w:rPr>
        <w:footnoteReference w:id="7"/>
      </w:r>
    </w:p>
    <w:p w:rsidR="00052B41" w:rsidRPr="00052B41" w:rsidRDefault="00052B41" w:rsidP="00052B41">
      <w:pPr>
        <w:pStyle w:val="Heading1"/>
        <w:widowControl/>
        <w:numPr>
          <w:ilvl w:val="0"/>
          <w:numId w:val="1"/>
        </w:numPr>
        <w:rPr>
          <w:szCs w:val="22"/>
        </w:rPr>
      </w:pPr>
      <w:r w:rsidRPr="00052B41">
        <w:rPr>
          <w:szCs w:val="22"/>
        </w:rPr>
        <w:t>DISCUSSION</w:t>
      </w:r>
    </w:p>
    <w:p w:rsidR="00E55A6B" w:rsidRPr="00052B41" w:rsidRDefault="00E55A6B" w:rsidP="00C74B51">
      <w:pPr>
        <w:pStyle w:val="ParaNum"/>
        <w:widowControl/>
        <w:numPr>
          <w:ilvl w:val="0"/>
          <w:numId w:val="3"/>
        </w:numPr>
        <w:tabs>
          <w:tab w:val="clear" w:pos="1080"/>
        </w:tabs>
        <w:jc w:val="left"/>
        <w:rPr>
          <w:sz w:val="22"/>
          <w:szCs w:val="22"/>
        </w:rPr>
      </w:pPr>
      <w:r w:rsidRPr="00052B41">
        <w:rPr>
          <w:sz w:val="22"/>
          <w:szCs w:val="22"/>
        </w:rPr>
        <w:t xml:space="preserve">The Bureau reiterates that all ETCs will be required to file an annual report in 2013 pursuant to the OMB-approved sections </w:t>
      </w:r>
      <w:r w:rsidR="00052B41">
        <w:rPr>
          <w:sz w:val="22"/>
          <w:szCs w:val="22"/>
        </w:rPr>
        <w:t xml:space="preserve">of </w:t>
      </w:r>
      <w:r w:rsidRPr="00052B41">
        <w:rPr>
          <w:sz w:val="22"/>
          <w:szCs w:val="22"/>
        </w:rPr>
        <w:t>54.313.</w:t>
      </w:r>
      <w:r w:rsidRPr="00DE3AA5">
        <w:rPr>
          <w:rStyle w:val="FootnoteReference"/>
          <w:sz w:val="22"/>
          <w:szCs w:val="22"/>
        </w:rPr>
        <w:footnoteReference w:id="8"/>
      </w:r>
      <w:r>
        <w:rPr>
          <w:szCs w:val="22"/>
        </w:rPr>
        <w:t xml:space="preserve">  </w:t>
      </w:r>
      <w:r w:rsidRPr="005621BD">
        <w:rPr>
          <w:sz w:val="22"/>
          <w:szCs w:val="22"/>
        </w:rPr>
        <w:t xml:space="preserve">The Commission </w:t>
      </w:r>
      <w:r w:rsidR="00F50F51">
        <w:rPr>
          <w:sz w:val="22"/>
          <w:szCs w:val="22"/>
        </w:rPr>
        <w:t xml:space="preserve">announced that it had received </w:t>
      </w:r>
      <w:r>
        <w:rPr>
          <w:sz w:val="22"/>
          <w:szCs w:val="22"/>
        </w:rPr>
        <w:t xml:space="preserve">PRA </w:t>
      </w:r>
      <w:r w:rsidRPr="005621BD">
        <w:rPr>
          <w:sz w:val="22"/>
          <w:szCs w:val="22"/>
        </w:rPr>
        <w:t xml:space="preserve">approval for </w:t>
      </w:r>
      <w:r>
        <w:rPr>
          <w:sz w:val="22"/>
          <w:szCs w:val="22"/>
        </w:rPr>
        <w:t xml:space="preserve">the reporting </w:t>
      </w:r>
      <w:r w:rsidR="00052B41">
        <w:rPr>
          <w:sz w:val="22"/>
          <w:szCs w:val="22"/>
        </w:rPr>
        <w:t>on ETCs</w:t>
      </w:r>
      <w:r w:rsidR="009F7ED2">
        <w:rPr>
          <w:sz w:val="22"/>
          <w:szCs w:val="22"/>
        </w:rPr>
        <w:t>’</w:t>
      </w:r>
      <w:r w:rsidR="00052B41">
        <w:rPr>
          <w:sz w:val="22"/>
          <w:szCs w:val="22"/>
        </w:rPr>
        <w:t xml:space="preserve"> voice service </w:t>
      </w:r>
      <w:r>
        <w:rPr>
          <w:sz w:val="22"/>
          <w:szCs w:val="22"/>
        </w:rPr>
        <w:t xml:space="preserve">obligations in </w:t>
      </w:r>
      <w:r w:rsidRPr="005621BD">
        <w:rPr>
          <w:sz w:val="22"/>
          <w:szCs w:val="22"/>
        </w:rPr>
        <w:t>sec</w:t>
      </w:r>
      <w:r w:rsidR="00C74B51">
        <w:rPr>
          <w:sz w:val="22"/>
          <w:szCs w:val="22"/>
        </w:rPr>
        <w:t>tions 54.313(a)(1) through (a)(6</w:t>
      </w:r>
      <w:r w:rsidRPr="005621BD">
        <w:rPr>
          <w:sz w:val="22"/>
          <w:szCs w:val="22"/>
        </w:rPr>
        <w:t>) and (h) on May 8, 2012.</w:t>
      </w:r>
      <w:r>
        <w:rPr>
          <w:rStyle w:val="FootnoteReference"/>
          <w:sz w:val="22"/>
          <w:szCs w:val="22"/>
        </w:rPr>
        <w:footnoteReference w:id="9"/>
      </w:r>
      <w:r w:rsidRPr="005621BD">
        <w:rPr>
          <w:sz w:val="22"/>
          <w:szCs w:val="22"/>
        </w:rPr>
        <w:t xml:space="preserve">  </w:t>
      </w:r>
      <w:r>
        <w:rPr>
          <w:sz w:val="22"/>
          <w:szCs w:val="22"/>
        </w:rPr>
        <w:t xml:space="preserve">Pursuant to that existing approval, </w:t>
      </w:r>
      <w:r w:rsidRPr="00052B41">
        <w:rPr>
          <w:sz w:val="22"/>
          <w:szCs w:val="22"/>
        </w:rPr>
        <w:t>an incumbent carrier ETC</w:t>
      </w:r>
      <w:r w:rsidRPr="00DE3AA5">
        <w:rPr>
          <w:sz w:val="22"/>
          <w:szCs w:val="22"/>
        </w:rPr>
        <w:t>’</w:t>
      </w:r>
      <w:r w:rsidRPr="00052B41">
        <w:rPr>
          <w:sz w:val="22"/>
          <w:szCs w:val="22"/>
        </w:rPr>
        <w:t xml:space="preserve">s annual report filed in 2013 should include information as it relates to </w:t>
      </w:r>
      <w:r>
        <w:rPr>
          <w:sz w:val="22"/>
          <w:szCs w:val="22"/>
        </w:rPr>
        <w:t xml:space="preserve">its </w:t>
      </w:r>
      <w:r w:rsidRPr="00052B41">
        <w:rPr>
          <w:sz w:val="22"/>
          <w:szCs w:val="22"/>
        </w:rPr>
        <w:t>provision of voice service in calendar year 2012 in response to section 54.313(a)(2) through 54.313(a)(6)</w:t>
      </w:r>
      <w:r>
        <w:rPr>
          <w:sz w:val="22"/>
          <w:szCs w:val="22"/>
        </w:rPr>
        <w:t xml:space="preserve">.  </w:t>
      </w:r>
      <w:r w:rsidRPr="00052B41">
        <w:rPr>
          <w:sz w:val="22"/>
          <w:szCs w:val="22"/>
        </w:rPr>
        <w:t>ETCs thus are required to provide information in their 2013 annual report relating to their provision of voice service for those aspects of the rule requiring them to report data for the prior calendar year</w:t>
      </w:r>
      <w:r w:rsidRPr="0011723B">
        <w:rPr>
          <w:szCs w:val="22"/>
        </w:rPr>
        <w:t>.</w:t>
      </w:r>
      <w:r w:rsidRPr="00DE3AA5">
        <w:rPr>
          <w:rStyle w:val="FootnoteReference"/>
          <w:sz w:val="22"/>
          <w:szCs w:val="22"/>
        </w:rPr>
        <w:footnoteReference w:id="10"/>
      </w:r>
      <w:r w:rsidRPr="00052B41">
        <w:rPr>
          <w:sz w:val="22"/>
          <w:szCs w:val="22"/>
        </w:rPr>
        <w:t xml:space="preserve">  </w:t>
      </w:r>
      <w:r>
        <w:rPr>
          <w:sz w:val="22"/>
          <w:szCs w:val="22"/>
        </w:rPr>
        <w:t xml:space="preserve">Incumbent carrier ETCs also must report </w:t>
      </w:r>
      <w:r w:rsidRPr="00052B41">
        <w:rPr>
          <w:sz w:val="22"/>
          <w:szCs w:val="22"/>
        </w:rPr>
        <w:t xml:space="preserve">voice rates that were less than $14 as of June 1, </w:t>
      </w:r>
      <w:r w:rsidR="00F50F51">
        <w:rPr>
          <w:sz w:val="22"/>
          <w:szCs w:val="22"/>
        </w:rPr>
        <w:t>201</w:t>
      </w:r>
      <w:r w:rsidR="008A3BE9">
        <w:rPr>
          <w:sz w:val="22"/>
          <w:szCs w:val="22"/>
        </w:rPr>
        <w:t>3</w:t>
      </w:r>
      <w:r w:rsidR="00F50F51">
        <w:rPr>
          <w:sz w:val="22"/>
          <w:szCs w:val="22"/>
        </w:rPr>
        <w:t xml:space="preserve">, </w:t>
      </w:r>
      <w:r w:rsidRPr="00052B41">
        <w:rPr>
          <w:sz w:val="22"/>
          <w:szCs w:val="22"/>
        </w:rPr>
        <w:t xml:space="preserve">and the number of lines for each </w:t>
      </w:r>
      <w:r w:rsidR="00F50F51">
        <w:rPr>
          <w:sz w:val="22"/>
          <w:szCs w:val="22"/>
        </w:rPr>
        <w:t xml:space="preserve">such </w:t>
      </w:r>
      <w:r w:rsidRPr="00052B41">
        <w:rPr>
          <w:sz w:val="22"/>
          <w:szCs w:val="22"/>
        </w:rPr>
        <w:t>rate, in response to section 54.313(h).</w:t>
      </w:r>
      <w:r>
        <w:rPr>
          <w:szCs w:val="22"/>
        </w:rPr>
        <w:t xml:space="preserve">  </w:t>
      </w:r>
    </w:p>
    <w:p w:rsidR="00E55A6B" w:rsidRPr="00052B41" w:rsidRDefault="00E55A6B" w:rsidP="00C74B51">
      <w:pPr>
        <w:pStyle w:val="ParaNum"/>
        <w:widowControl/>
        <w:numPr>
          <w:ilvl w:val="0"/>
          <w:numId w:val="3"/>
        </w:numPr>
        <w:tabs>
          <w:tab w:val="clear" w:pos="1080"/>
        </w:tabs>
        <w:jc w:val="left"/>
        <w:rPr>
          <w:sz w:val="22"/>
          <w:szCs w:val="22"/>
        </w:rPr>
      </w:pPr>
      <w:r>
        <w:rPr>
          <w:sz w:val="22"/>
          <w:szCs w:val="22"/>
        </w:rPr>
        <w:t>T</w:t>
      </w:r>
      <w:r w:rsidRPr="005621BD">
        <w:rPr>
          <w:sz w:val="22"/>
          <w:szCs w:val="22"/>
        </w:rPr>
        <w:t xml:space="preserve">he Bureau is currently seeking approval for additional </w:t>
      </w:r>
      <w:r w:rsidR="004A5943">
        <w:rPr>
          <w:sz w:val="22"/>
          <w:szCs w:val="22"/>
        </w:rPr>
        <w:t xml:space="preserve">provisions of </w:t>
      </w:r>
      <w:r w:rsidRPr="005621BD">
        <w:rPr>
          <w:sz w:val="22"/>
          <w:szCs w:val="22"/>
        </w:rPr>
        <w:t>sections 54.313</w:t>
      </w:r>
      <w:r>
        <w:rPr>
          <w:sz w:val="22"/>
          <w:szCs w:val="22"/>
        </w:rPr>
        <w:t xml:space="preserve"> and anticipates receiving such approval shortly before the July 1</w:t>
      </w:r>
      <w:r w:rsidRPr="00052B41">
        <w:rPr>
          <w:sz w:val="22"/>
          <w:szCs w:val="22"/>
          <w:vertAlign w:val="superscript"/>
        </w:rPr>
        <w:t>st</w:t>
      </w:r>
      <w:r>
        <w:rPr>
          <w:sz w:val="22"/>
          <w:szCs w:val="22"/>
        </w:rPr>
        <w:t xml:space="preserve"> filing deadline.</w:t>
      </w:r>
      <w:r>
        <w:rPr>
          <w:rStyle w:val="FootnoteReference"/>
          <w:sz w:val="22"/>
          <w:szCs w:val="22"/>
        </w:rPr>
        <w:footnoteReference w:id="11"/>
      </w:r>
      <w:r>
        <w:rPr>
          <w:sz w:val="22"/>
          <w:szCs w:val="22"/>
        </w:rPr>
        <w:t xml:space="preserve">  The Bureau intends to provide </w:t>
      </w:r>
      <w:r w:rsidR="00F50F51">
        <w:rPr>
          <w:color w:val="010101"/>
          <w:sz w:val="22"/>
          <w:szCs w:val="22"/>
        </w:rPr>
        <w:t>affected</w:t>
      </w:r>
      <w:r w:rsidR="00F50F51" w:rsidRPr="005621BD">
        <w:rPr>
          <w:color w:val="010101"/>
          <w:sz w:val="22"/>
          <w:szCs w:val="22"/>
        </w:rPr>
        <w:t xml:space="preserve"> </w:t>
      </w:r>
      <w:r w:rsidRPr="005621BD">
        <w:rPr>
          <w:color w:val="010101"/>
          <w:sz w:val="22"/>
          <w:szCs w:val="22"/>
        </w:rPr>
        <w:t xml:space="preserve">ETCs </w:t>
      </w:r>
      <w:r>
        <w:rPr>
          <w:color w:val="010101"/>
          <w:sz w:val="22"/>
          <w:szCs w:val="22"/>
        </w:rPr>
        <w:t xml:space="preserve">with at least </w:t>
      </w:r>
      <w:r w:rsidR="00F50F51">
        <w:rPr>
          <w:color w:val="010101"/>
          <w:sz w:val="22"/>
          <w:szCs w:val="22"/>
        </w:rPr>
        <w:t xml:space="preserve">thirty </w:t>
      </w:r>
      <w:r>
        <w:rPr>
          <w:color w:val="010101"/>
          <w:sz w:val="22"/>
          <w:szCs w:val="22"/>
        </w:rPr>
        <w:t xml:space="preserve">days </w:t>
      </w:r>
      <w:r w:rsidRPr="005621BD">
        <w:rPr>
          <w:color w:val="010101"/>
          <w:sz w:val="22"/>
          <w:szCs w:val="22"/>
        </w:rPr>
        <w:t xml:space="preserve">after PRA approval is </w:t>
      </w:r>
      <w:r>
        <w:rPr>
          <w:color w:val="010101"/>
          <w:sz w:val="22"/>
          <w:szCs w:val="22"/>
        </w:rPr>
        <w:t xml:space="preserve">announced in the Federal Register </w:t>
      </w:r>
      <w:r w:rsidRPr="005621BD">
        <w:rPr>
          <w:color w:val="010101"/>
          <w:sz w:val="22"/>
          <w:szCs w:val="22"/>
        </w:rPr>
        <w:t>to file the relevant information</w:t>
      </w:r>
      <w:r>
        <w:rPr>
          <w:color w:val="010101"/>
          <w:sz w:val="22"/>
          <w:szCs w:val="22"/>
        </w:rPr>
        <w:t xml:space="preserve"> required in the 2013 annual report</w:t>
      </w:r>
      <w:r w:rsidRPr="005621BD">
        <w:rPr>
          <w:color w:val="010101"/>
          <w:sz w:val="22"/>
          <w:szCs w:val="22"/>
        </w:rPr>
        <w:t>.</w:t>
      </w:r>
    </w:p>
    <w:p w:rsidR="00E55A6B" w:rsidRDefault="00E55A6B" w:rsidP="00C74B51">
      <w:pPr>
        <w:pStyle w:val="ListParagraph"/>
        <w:numPr>
          <w:ilvl w:val="0"/>
          <w:numId w:val="3"/>
        </w:numPr>
        <w:tabs>
          <w:tab w:val="clear" w:pos="1080"/>
          <w:tab w:val="num" w:pos="360"/>
        </w:tabs>
        <w:autoSpaceDE w:val="0"/>
        <w:autoSpaceDN w:val="0"/>
        <w:adjustRightInd w:val="0"/>
        <w:spacing w:after="220"/>
        <w:ind w:left="0"/>
        <w:contextualSpacing w:val="0"/>
        <w:rPr>
          <w:szCs w:val="22"/>
        </w:rPr>
      </w:pPr>
      <w:r>
        <w:rPr>
          <w:szCs w:val="22"/>
        </w:rPr>
        <w:t>Subject to PRA approval, an incumbent carrier ETC will be required to file information for the following additional requirements:  its holding company, operating companies, ETC affiliates</w:t>
      </w:r>
      <w:r w:rsidR="004A5943">
        <w:rPr>
          <w:rStyle w:val="FootnoteReference"/>
          <w:szCs w:val="22"/>
        </w:rPr>
        <w:footnoteReference w:id="12"/>
      </w:r>
      <w:r>
        <w:rPr>
          <w:szCs w:val="22"/>
        </w:rPr>
        <w:t xml:space="preserve"> and any branding in response to section 54.313(a)(8); its CAF-ICC certification, if applicable, in response to section 54.313(d); its financial information, if a privately held rate-of-return carrier, in response to section 54.313(f)(2); and its satellite backhaul certification, if applicable, in response to section 54.313(g).</w:t>
      </w:r>
    </w:p>
    <w:p w:rsidR="00E55A6B" w:rsidRPr="00FA1EF1" w:rsidRDefault="00E55A6B" w:rsidP="00C74B51">
      <w:pPr>
        <w:pStyle w:val="ListParagraph"/>
        <w:numPr>
          <w:ilvl w:val="0"/>
          <w:numId w:val="3"/>
        </w:numPr>
        <w:tabs>
          <w:tab w:val="clear" w:pos="1080"/>
          <w:tab w:val="num" w:pos="360"/>
        </w:tabs>
        <w:autoSpaceDE w:val="0"/>
        <w:autoSpaceDN w:val="0"/>
        <w:adjustRightInd w:val="0"/>
        <w:spacing w:after="220"/>
        <w:ind w:left="0"/>
        <w:contextualSpacing w:val="0"/>
        <w:rPr>
          <w:szCs w:val="22"/>
        </w:rPr>
      </w:pPr>
      <w:r>
        <w:rPr>
          <w:szCs w:val="22"/>
        </w:rPr>
        <w:t xml:space="preserve">We also take this opportunity to clarify what broadband-related information rate-of-return ETCs will be required to report in 2014, once OMB approval is obtained.  </w:t>
      </w:r>
      <w:r w:rsidRPr="00C63D02">
        <w:t xml:space="preserve">In the </w:t>
      </w:r>
      <w:r w:rsidRPr="00AD53D4">
        <w:rPr>
          <w:i/>
        </w:rPr>
        <w:t>USF/ICC Transformation Order</w:t>
      </w:r>
      <w:r w:rsidRPr="00C63D02">
        <w:t xml:space="preserve">, as a condition of receiving support for ongoing operations </w:t>
      </w:r>
      <w:r>
        <w:t xml:space="preserve">of </w:t>
      </w:r>
      <w:r w:rsidRPr="00C63D02">
        <w:t>mixed-use facilities</w:t>
      </w:r>
      <w:r>
        <w:t xml:space="preserve"> </w:t>
      </w:r>
      <w:r w:rsidRPr="00C63D02">
        <w:t>capable of providing voice and broadband service, the Commission required rate-of-return carriers that receive HCLS, ICLS, or new CAF-ICC support to provide broadband service to their customers upon reasonable request.</w:t>
      </w:r>
      <w:r w:rsidRPr="00C63D02">
        <w:rPr>
          <w:rStyle w:val="FootnoteReference"/>
        </w:rPr>
        <w:footnoteReference w:id="13"/>
      </w:r>
      <w:r w:rsidRPr="00C63D02">
        <w:t xml:space="preserve">  </w:t>
      </w:r>
      <w:r>
        <w:t xml:space="preserve">We clarify that for purposes of reporting regarding this obligation, the relevant “customer” is the end-user customer of the retail </w:t>
      </w:r>
      <w:r w:rsidRPr="00C63D02">
        <w:t xml:space="preserve">broadband Internet access </w:t>
      </w:r>
      <w:r>
        <w:t xml:space="preserve">service, regardless of whether that customer purchases that retail service </w:t>
      </w:r>
      <w:r w:rsidR="008A3BE9">
        <w:t xml:space="preserve">directly </w:t>
      </w:r>
      <w:r>
        <w:t xml:space="preserve">from the ETC or </w:t>
      </w:r>
      <w:r w:rsidR="008A3BE9">
        <w:t xml:space="preserve">from </w:t>
      </w:r>
      <w:r>
        <w:t>an Internet service provider</w:t>
      </w:r>
      <w:r w:rsidR="008A3BE9">
        <w:t xml:space="preserve"> that </w:t>
      </w:r>
      <w:r w:rsidR="008A3BE9">
        <w:lastRenderedPageBreak/>
        <w:t xml:space="preserve">purchases the ETC’s wholesale </w:t>
      </w:r>
      <w:r w:rsidR="00ED1F48">
        <w:t xml:space="preserve">broadband </w:t>
      </w:r>
      <w:r w:rsidR="008A3BE9">
        <w:t>transmission service</w:t>
      </w:r>
      <w:r w:rsidR="00ED1F48">
        <w:t xml:space="preserve"> offering</w:t>
      </w:r>
      <w:r>
        <w:t>.  T</w:t>
      </w:r>
      <w:r w:rsidRPr="00C63D02">
        <w:t>he Commission required ETCs to include in their annual reports the number of unfulfilled requests for service from potential customers and the number of customer complaints, broken out separately for voice and broadband services.</w:t>
      </w:r>
      <w:r w:rsidRPr="00C63D02">
        <w:rPr>
          <w:rStyle w:val="FootnoteReference"/>
        </w:rPr>
        <w:footnoteReference w:id="14"/>
      </w:r>
      <w:r w:rsidRPr="00C63D02">
        <w:t xml:space="preserve">  Further, beginning July 1, 2014, all rate-of-return ETCs must certify that they are taking reasonable steps to offer broadband service meeting the Commission’s specific service requirements throughout their service area, and that requests for such service are met within a reasonable amount of time.</w:t>
      </w:r>
      <w:r w:rsidRPr="00C63D02">
        <w:rPr>
          <w:rStyle w:val="FootnoteReference"/>
        </w:rPr>
        <w:footnoteReference w:id="15"/>
      </w:r>
      <w:r w:rsidRPr="00C63D02">
        <w:t xml:space="preserve">  </w:t>
      </w:r>
      <w:r>
        <w:t>To give full effect to that rule, we clarify that such certifications must be made regarding the provision of broadband Internet access either directly or indirectly to end</w:t>
      </w:r>
      <w:r w:rsidR="00B95E11">
        <w:t>-</w:t>
      </w:r>
      <w:r>
        <w:t xml:space="preserve">user customers.  </w:t>
      </w:r>
    </w:p>
    <w:p w:rsidR="00E55A6B" w:rsidRPr="002738B5" w:rsidRDefault="00E55A6B" w:rsidP="00C74B51">
      <w:pPr>
        <w:pStyle w:val="ListParagraph"/>
        <w:numPr>
          <w:ilvl w:val="0"/>
          <w:numId w:val="3"/>
        </w:numPr>
        <w:tabs>
          <w:tab w:val="clear" w:pos="1080"/>
          <w:tab w:val="num" w:pos="360"/>
        </w:tabs>
        <w:autoSpaceDE w:val="0"/>
        <w:autoSpaceDN w:val="0"/>
        <w:adjustRightInd w:val="0"/>
        <w:spacing w:after="220"/>
        <w:ind w:left="0"/>
        <w:contextualSpacing w:val="0"/>
        <w:rPr>
          <w:szCs w:val="22"/>
        </w:rPr>
      </w:pPr>
      <w:r w:rsidRPr="00C63D02">
        <w:t>The Commission committed to monitoring ETCs’ annual reports to determine whether reasonable requests for broadband service are being fulfilled, and encouraged states and Tribal governments to do the same.</w:t>
      </w:r>
      <w:r w:rsidRPr="00C63D02">
        <w:rPr>
          <w:rStyle w:val="FootnoteReference"/>
        </w:rPr>
        <w:footnoteReference w:id="16"/>
      </w:r>
      <w:r w:rsidRPr="00C63D02">
        <w:t xml:space="preserve">  </w:t>
      </w:r>
      <w:r>
        <w:t>As a condition of receiving federal support, t</w:t>
      </w:r>
      <w:r w:rsidRPr="00C63D02">
        <w:t xml:space="preserve">he Commission required ETCs to report information in order to monitor progress in achieving its broadband goals and to assist the Commission in determining whether universal service </w:t>
      </w:r>
      <w:r w:rsidR="00F50F51">
        <w:t xml:space="preserve">funding </w:t>
      </w:r>
      <w:r w:rsidRPr="00C63D02">
        <w:t>is being used for the intended purposes.</w:t>
      </w:r>
      <w:r w:rsidRPr="00C63D02">
        <w:rPr>
          <w:rStyle w:val="FootnoteReference"/>
        </w:rPr>
        <w:footnoteReference w:id="17"/>
      </w:r>
      <w:r w:rsidRPr="00C63D02">
        <w:t xml:space="preserve">  The Commission expects that states (or the ETC if the state lacks jurisdiction) will use the information reported in July of each year in determining whether they can certify that carriers’ support has been used and will be used to maintain and extend modern networks capable of providing voice and broadband service.</w:t>
      </w:r>
      <w:r w:rsidRPr="00C63D02">
        <w:rPr>
          <w:rStyle w:val="FootnoteReference"/>
        </w:rPr>
        <w:footnoteReference w:id="18"/>
      </w:r>
      <w:r w:rsidRPr="00C63D02">
        <w:t xml:space="preserve">  </w:t>
      </w:r>
      <w:r>
        <w:t>To read the Commission’s rule as requiring only reporting with respect to the provision of broadband transmission service to an affiliated ISP would substantially thwart the Commission’s overall framework for accountability and oversight, as the Commission’s ultimate focus is on residential households, anchor institutions, and business customers across the nation.</w:t>
      </w:r>
      <w:r w:rsidR="00052B41">
        <w:rPr>
          <w:rStyle w:val="FootnoteReference"/>
        </w:rPr>
        <w:footnoteReference w:id="19"/>
      </w:r>
      <w:r>
        <w:t xml:space="preserve">  </w:t>
      </w:r>
      <w:r w:rsidRPr="00C63D02">
        <w:t xml:space="preserve">Therefore, once PRA approval is </w:t>
      </w:r>
      <w:r>
        <w:t>obtained</w:t>
      </w:r>
      <w:r w:rsidRPr="00C63D02">
        <w:t xml:space="preserve">, rate-of-return ETCs </w:t>
      </w:r>
      <w:r>
        <w:t xml:space="preserve">must </w:t>
      </w:r>
      <w:r w:rsidRPr="00C63D02">
        <w:t xml:space="preserve">begin collecting </w:t>
      </w:r>
      <w:r>
        <w:t xml:space="preserve">for calendar year 2013 </w:t>
      </w:r>
      <w:r w:rsidRPr="00C63D02">
        <w:t>the relevant information on broadband Internet access service provided either directly or indirectly to end-user customers, in satisfaction of their federal high-cost universal service obligations, in order to report such information in their 2014 annual report</w:t>
      </w:r>
      <w:r>
        <w:t>.</w:t>
      </w:r>
      <w:r>
        <w:rPr>
          <w:rStyle w:val="FootnoteReference"/>
        </w:rPr>
        <w:footnoteReference w:id="20"/>
      </w:r>
      <w:r>
        <w:t xml:space="preserve">  </w:t>
      </w:r>
    </w:p>
    <w:p w:rsidR="00E55A6B" w:rsidRDefault="00E55A6B" w:rsidP="00C74B51">
      <w:pPr>
        <w:pStyle w:val="ListParagraph"/>
        <w:numPr>
          <w:ilvl w:val="0"/>
          <w:numId w:val="3"/>
        </w:numPr>
        <w:tabs>
          <w:tab w:val="clear" w:pos="1080"/>
          <w:tab w:val="num" w:pos="360"/>
        </w:tabs>
        <w:autoSpaceDE w:val="0"/>
        <w:autoSpaceDN w:val="0"/>
        <w:adjustRightInd w:val="0"/>
        <w:spacing w:after="220"/>
        <w:ind w:left="0"/>
        <w:contextualSpacing w:val="0"/>
        <w:rPr>
          <w:szCs w:val="22"/>
        </w:rPr>
      </w:pPr>
      <w:r>
        <w:rPr>
          <w:szCs w:val="22"/>
        </w:rPr>
        <w:t>Finally, in response to the Rural Associations’ Petition,</w:t>
      </w:r>
      <w:r w:rsidRPr="00DF75CA">
        <w:rPr>
          <w:rStyle w:val="FootnoteReference"/>
          <w:szCs w:val="22"/>
        </w:rPr>
        <w:footnoteReference w:id="21"/>
      </w:r>
      <w:r>
        <w:rPr>
          <w:szCs w:val="22"/>
        </w:rPr>
        <w:t xml:space="preserve"> t</w:t>
      </w:r>
      <w:r w:rsidRPr="0011723B">
        <w:rPr>
          <w:szCs w:val="22"/>
        </w:rPr>
        <w:t>he Bureau finds that it is in the public interest to grant a limited waiver of the requirement that rate-of-return ETCs submit a five-year plan</w:t>
      </w:r>
      <w:r>
        <w:rPr>
          <w:szCs w:val="22"/>
        </w:rPr>
        <w:t xml:space="preserve"> </w:t>
      </w:r>
      <w:r w:rsidRPr="0011723B">
        <w:rPr>
          <w:szCs w:val="22"/>
        </w:rPr>
        <w:t>in 2013.</w:t>
      </w:r>
      <w:r w:rsidRPr="0011723B">
        <w:rPr>
          <w:rStyle w:val="FootnoteReference"/>
          <w:szCs w:val="22"/>
        </w:rPr>
        <w:footnoteReference w:id="22"/>
      </w:r>
      <w:r w:rsidRPr="0011723B">
        <w:rPr>
          <w:szCs w:val="22"/>
        </w:rPr>
        <w:t xml:space="preserve"> </w:t>
      </w:r>
      <w:r>
        <w:rPr>
          <w:szCs w:val="22"/>
        </w:rPr>
        <w:t xml:space="preserve"> </w:t>
      </w:r>
      <w:r w:rsidRPr="0011723B">
        <w:rPr>
          <w:szCs w:val="22"/>
        </w:rPr>
        <w:t xml:space="preserve">Instead, rate-of-return ETCs will be required to file five-year plans with their 2014 annual reports. </w:t>
      </w:r>
      <w:r w:rsidR="00595267">
        <w:rPr>
          <w:szCs w:val="22"/>
        </w:rPr>
        <w:t xml:space="preserve"> </w:t>
      </w:r>
      <w:r>
        <w:rPr>
          <w:szCs w:val="22"/>
        </w:rPr>
        <w:t>T</w:t>
      </w:r>
      <w:r w:rsidRPr="0011723B">
        <w:rPr>
          <w:szCs w:val="22"/>
        </w:rPr>
        <w:t>he Bureau notes that price-cap carriers that accept Connect America Phase II support are required to file their five-year plans on July 1, 2014.</w:t>
      </w:r>
      <w:r w:rsidRPr="0011723B">
        <w:rPr>
          <w:rStyle w:val="FootnoteReference"/>
          <w:szCs w:val="22"/>
        </w:rPr>
        <w:footnoteReference w:id="23"/>
      </w:r>
      <w:r w:rsidRPr="0011723B">
        <w:rPr>
          <w:szCs w:val="22"/>
        </w:rPr>
        <w:t xml:space="preserve">  By allowing rate-of-return ETCs to file their first five-year plan on July 1, 2014, we will bring conformity in filing dates across all incumbent ETCs, thereby simplifying administrative processing for USAC</w:t>
      </w:r>
      <w:r>
        <w:rPr>
          <w:szCs w:val="22"/>
        </w:rPr>
        <w:t xml:space="preserve">.  </w:t>
      </w:r>
    </w:p>
    <w:p w:rsidR="00052B41" w:rsidRDefault="00052B41" w:rsidP="006E0091">
      <w:pPr>
        <w:pStyle w:val="Heading1"/>
        <w:widowControl/>
        <w:numPr>
          <w:ilvl w:val="0"/>
          <w:numId w:val="1"/>
        </w:numPr>
        <w:jc w:val="left"/>
        <w:rPr>
          <w:szCs w:val="22"/>
        </w:rPr>
      </w:pPr>
      <w:r>
        <w:rPr>
          <w:szCs w:val="22"/>
        </w:rPr>
        <w:t>Ordering CLauses</w:t>
      </w:r>
    </w:p>
    <w:p w:rsidR="00E55A6B" w:rsidRPr="0011723B" w:rsidRDefault="00E55A6B" w:rsidP="00C74B51">
      <w:pPr>
        <w:pStyle w:val="ListParagraph"/>
        <w:numPr>
          <w:ilvl w:val="0"/>
          <w:numId w:val="3"/>
        </w:numPr>
        <w:tabs>
          <w:tab w:val="clear" w:pos="1080"/>
          <w:tab w:val="num" w:pos="360"/>
        </w:tabs>
        <w:autoSpaceDE w:val="0"/>
        <w:autoSpaceDN w:val="0"/>
        <w:adjustRightInd w:val="0"/>
        <w:spacing w:after="220"/>
        <w:ind w:left="0"/>
        <w:contextualSpacing w:val="0"/>
        <w:rPr>
          <w:sz w:val="24"/>
          <w:szCs w:val="24"/>
        </w:rPr>
      </w:pPr>
      <w:r w:rsidRPr="00885A9D">
        <w:rPr>
          <w:szCs w:val="22"/>
        </w:rPr>
        <w:t xml:space="preserve">Accordingly, IT IS ORDERED that, pursuant to sections 1, 4, and 254 of the Communications Act of 1934, as amended, 47 U.S.C. §§ 151, 154, 254, </w:t>
      </w:r>
      <w:r w:rsidR="003A6464">
        <w:rPr>
          <w:szCs w:val="22"/>
        </w:rPr>
        <w:t xml:space="preserve">and </w:t>
      </w:r>
      <w:r w:rsidRPr="00885A9D">
        <w:rPr>
          <w:szCs w:val="22"/>
        </w:rPr>
        <w:t xml:space="preserve">sections 0.91, 0.291, and 1.3 of the Commission’s rules, 47 C.F.R. §§ 0.91, 0.291, 1.3, the </w:t>
      </w:r>
      <w:r w:rsidRPr="00885A9D">
        <w:t>emergency petition for clarification, or in the alternative waiver, filed by NTCA – The Ru</w:t>
      </w:r>
      <w:r>
        <w:t>ral Broadband Association</w:t>
      </w:r>
      <w:r w:rsidRPr="00885A9D">
        <w:t xml:space="preserve">, the Eastern </w:t>
      </w:r>
      <w:r>
        <w:t>Rural Telecom Association</w:t>
      </w:r>
      <w:r w:rsidRPr="00885A9D">
        <w:t>, the Independent Telephone Te</w:t>
      </w:r>
      <w:r>
        <w:t>lecommunications Alliance</w:t>
      </w:r>
      <w:r w:rsidRPr="00885A9D">
        <w:t>, the National Exchange Carrier Association, Inc., the Unite</w:t>
      </w:r>
      <w:r>
        <w:t>d States Telecom Association</w:t>
      </w:r>
      <w:r w:rsidRPr="00885A9D">
        <w:t>, and the Western T</w:t>
      </w:r>
      <w:r>
        <w:t xml:space="preserve">elecommunications Alliance </w:t>
      </w:r>
      <w:r w:rsidRPr="00885A9D">
        <w:rPr>
          <w:szCs w:val="22"/>
        </w:rPr>
        <w:t>IS GRANTED IN PART, to the extent described herein, and DENIED IN PART, to the extent described herein</w:t>
      </w:r>
      <w:r>
        <w:rPr>
          <w:szCs w:val="22"/>
        </w:rPr>
        <w:t>.</w:t>
      </w:r>
    </w:p>
    <w:p w:rsidR="00E55A6B" w:rsidRPr="00F02D3D" w:rsidRDefault="00E55A6B" w:rsidP="00C74B51">
      <w:pPr>
        <w:pStyle w:val="ListParagraph"/>
        <w:numPr>
          <w:ilvl w:val="0"/>
          <w:numId w:val="3"/>
        </w:numPr>
        <w:tabs>
          <w:tab w:val="clear" w:pos="1080"/>
          <w:tab w:val="num" w:pos="360"/>
        </w:tabs>
        <w:autoSpaceDE w:val="0"/>
        <w:autoSpaceDN w:val="0"/>
        <w:adjustRightInd w:val="0"/>
        <w:spacing w:after="220"/>
        <w:ind w:left="0"/>
        <w:contextualSpacing w:val="0"/>
        <w:rPr>
          <w:sz w:val="24"/>
          <w:szCs w:val="24"/>
        </w:rPr>
      </w:pPr>
      <w:r w:rsidRPr="00885A9D">
        <w:rPr>
          <w:szCs w:val="22"/>
        </w:rPr>
        <w:t>IT</w:t>
      </w:r>
      <w:r w:rsidR="003A6464">
        <w:rPr>
          <w:szCs w:val="22"/>
        </w:rPr>
        <w:t xml:space="preserve"> </w:t>
      </w:r>
      <w:r w:rsidRPr="00885A9D">
        <w:rPr>
          <w:szCs w:val="22"/>
        </w:rPr>
        <w:t>IS FURTHER ORDERED that, pursuant to section 1.102(b)(1) of the Commission’s rules, 47 C.F.R. § 1.102(b)(1), this Order SHALL BE EFFECTIVE upon release</w:t>
      </w:r>
      <w:r>
        <w:rPr>
          <w:szCs w:val="22"/>
        </w:rPr>
        <w:t>.</w:t>
      </w:r>
    </w:p>
    <w:p w:rsidR="00E55A6B" w:rsidRPr="002F3CA7" w:rsidRDefault="00E55A6B">
      <w:pPr>
        <w:keepNext/>
        <w:ind w:left="4320"/>
        <w:rPr>
          <w:szCs w:val="22"/>
        </w:rPr>
      </w:pPr>
      <w:r w:rsidRPr="002F3CA7">
        <w:rPr>
          <w:szCs w:val="22"/>
        </w:rPr>
        <w:t>FEDERAL COMMUNICATIONS COMMISSION</w:t>
      </w:r>
    </w:p>
    <w:p w:rsidR="00E55A6B" w:rsidRPr="002F3CA7" w:rsidRDefault="00E55A6B">
      <w:pPr>
        <w:keepNext/>
        <w:ind w:left="4320"/>
        <w:rPr>
          <w:szCs w:val="22"/>
        </w:rPr>
      </w:pPr>
    </w:p>
    <w:p w:rsidR="00E55A6B" w:rsidRPr="002F3CA7" w:rsidRDefault="00E55A6B">
      <w:pPr>
        <w:keepNext/>
        <w:ind w:left="4320"/>
        <w:rPr>
          <w:szCs w:val="22"/>
        </w:rPr>
      </w:pPr>
    </w:p>
    <w:p w:rsidR="00E55A6B" w:rsidRPr="00635CD4" w:rsidRDefault="00E55A6B">
      <w:pPr>
        <w:keepNext/>
        <w:ind w:left="4320"/>
        <w:rPr>
          <w:szCs w:val="22"/>
        </w:rPr>
      </w:pPr>
    </w:p>
    <w:p w:rsidR="00E55A6B" w:rsidRPr="00301FAE" w:rsidRDefault="00E55A6B">
      <w:pPr>
        <w:keepNext/>
        <w:ind w:left="4320"/>
        <w:rPr>
          <w:szCs w:val="22"/>
        </w:rPr>
      </w:pPr>
    </w:p>
    <w:p w:rsidR="00E55A6B" w:rsidRPr="00301FAE" w:rsidRDefault="00E55A6B">
      <w:pPr>
        <w:keepNext/>
        <w:ind w:left="4320"/>
        <w:rPr>
          <w:szCs w:val="22"/>
        </w:rPr>
      </w:pPr>
      <w:r w:rsidRPr="00301FAE">
        <w:rPr>
          <w:szCs w:val="22"/>
        </w:rPr>
        <w:t xml:space="preserve">Julie </w:t>
      </w:r>
      <w:r>
        <w:rPr>
          <w:szCs w:val="22"/>
        </w:rPr>
        <w:t xml:space="preserve">A. </w:t>
      </w:r>
      <w:r w:rsidRPr="00301FAE">
        <w:rPr>
          <w:szCs w:val="22"/>
        </w:rPr>
        <w:t>Veach</w:t>
      </w:r>
    </w:p>
    <w:p w:rsidR="00E55A6B" w:rsidRPr="004A6F13" w:rsidRDefault="00E55A6B" w:rsidP="00D45166">
      <w:pPr>
        <w:keepNext/>
        <w:ind w:left="4320"/>
        <w:rPr>
          <w:szCs w:val="22"/>
        </w:rPr>
      </w:pPr>
      <w:r w:rsidRPr="00301FAE">
        <w:rPr>
          <w:szCs w:val="22"/>
        </w:rPr>
        <w:t>Chief, Wireline Competition Bureau</w:t>
      </w:r>
    </w:p>
    <w:p w:rsidR="00E55A6B" w:rsidRPr="00301FAE" w:rsidRDefault="00E55A6B" w:rsidP="006157B3">
      <w:pPr>
        <w:rPr>
          <w:szCs w:val="22"/>
        </w:rPr>
      </w:pPr>
    </w:p>
    <w:sectPr w:rsidR="00E55A6B" w:rsidRPr="00301FAE" w:rsidSect="002A30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C3" w:rsidRDefault="000134C3">
      <w:r>
        <w:separator/>
      </w:r>
    </w:p>
  </w:endnote>
  <w:endnote w:type="continuationSeparator" w:id="0">
    <w:p w:rsidR="000134C3" w:rsidRDefault="000134C3">
      <w:r>
        <w:continuationSeparator/>
      </w:r>
    </w:p>
  </w:endnote>
  <w:endnote w:type="continuationNotice" w:id="1">
    <w:p w:rsidR="000134C3" w:rsidRDefault="00013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0F" w:rsidRDefault="00C75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FD4286">
    <w:pPr>
      <w:pStyle w:val="Footer"/>
      <w:jc w:val="center"/>
    </w:pPr>
    <w:r>
      <w:rPr>
        <w:rStyle w:val="PageNumber"/>
      </w:rPr>
      <w:fldChar w:fldCharType="begin"/>
    </w:r>
    <w:r w:rsidR="00E55A6B">
      <w:rPr>
        <w:rStyle w:val="PageNumber"/>
      </w:rPr>
      <w:instrText xml:space="preserve"> PAGE </w:instrText>
    </w:r>
    <w:r>
      <w:rPr>
        <w:rStyle w:val="PageNumber"/>
      </w:rPr>
      <w:fldChar w:fldCharType="separate"/>
    </w:r>
    <w:r w:rsidR="00926B5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0F" w:rsidRDefault="00C75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C3" w:rsidRDefault="000134C3">
      <w:pPr>
        <w:rPr>
          <w:sz w:val="20"/>
        </w:rPr>
      </w:pPr>
      <w:r>
        <w:rPr>
          <w:sz w:val="20"/>
        </w:rPr>
        <w:separator/>
      </w:r>
    </w:p>
  </w:footnote>
  <w:footnote w:type="continuationSeparator" w:id="0">
    <w:p w:rsidR="000134C3" w:rsidRDefault="000134C3">
      <w:pPr>
        <w:rPr>
          <w:sz w:val="20"/>
        </w:rPr>
      </w:pPr>
      <w:r>
        <w:rPr>
          <w:sz w:val="20"/>
        </w:rPr>
        <w:separator/>
      </w:r>
    </w:p>
    <w:p w:rsidR="000134C3" w:rsidRDefault="000134C3">
      <w:pPr>
        <w:rPr>
          <w:sz w:val="20"/>
        </w:rPr>
      </w:pPr>
      <w:r>
        <w:rPr>
          <w:sz w:val="20"/>
        </w:rPr>
        <w:t>(...continued from previous page)</w:t>
      </w:r>
    </w:p>
  </w:footnote>
  <w:footnote w:type="continuationNotice" w:id="1">
    <w:p w:rsidR="000134C3" w:rsidRDefault="000134C3">
      <w:pPr>
        <w:jc w:val="right"/>
        <w:rPr>
          <w:sz w:val="20"/>
        </w:rPr>
      </w:pPr>
      <w:r>
        <w:rPr>
          <w:sz w:val="20"/>
        </w:rPr>
        <w:t>(continued....)</w:t>
      </w:r>
    </w:p>
  </w:footnote>
  <w:footnote w:id="2">
    <w:p w:rsidR="00E55A6B" w:rsidRDefault="00E55A6B" w:rsidP="007712B9">
      <w:pPr>
        <w:pStyle w:val="FootnoteText"/>
        <w:jc w:val="left"/>
      </w:pPr>
      <w:r>
        <w:rPr>
          <w:rStyle w:val="FootnoteReference"/>
        </w:rPr>
        <w:footnoteRef/>
      </w:r>
      <w:r>
        <w:t xml:space="preserve"> </w:t>
      </w:r>
      <w:r w:rsidRPr="00890AA0">
        <w:rPr>
          <w:spacing w:val="-3"/>
        </w:rPr>
        <w:t xml:space="preserve">Pursuant to the Paperwork Reduction Act of 1995, Public Law 104-13, the </w:t>
      </w:r>
      <w:r w:rsidRPr="00890AA0">
        <w:rPr>
          <w:color w:val="000000"/>
        </w:rPr>
        <w:t>Bureau is currently seeking approval from the Office of Management and Budget (OMB) for</w:t>
      </w:r>
      <w:r w:rsidRPr="00890AA0">
        <w:rPr>
          <w:spacing w:val="-3"/>
        </w:rPr>
        <w:t xml:space="preserve"> information collection number 3060-0986</w:t>
      </w:r>
      <w:r w:rsidRPr="00890AA0">
        <w:rPr>
          <w:color w:val="000000"/>
        </w:rPr>
        <w:t>.</w:t>
      </w:r>
    </w:p>
  </w:footnote>
  <w:footnote w:id="3">
    <w:p w:rsidR="00E55A6B" w:rsidRDefault="00E55A6B" w:rsidP="008A3BE9">
      <w:pPr>
        <w:pStyle w:val="FootnoteText"/>
        <w:jc w:val="left"/>
      </w:pPr>
      <w:r w:rsidRPr="00664F88">
        <w:rPr>
          <w:rStyle w:val="FootnoteReference"/>
        </w:rPr>
        <w:footnoteRef/>
      </w:r>
      <w:r w:rsidR="009F7ED2">
        <w:rPr>
          <w:i/>
        </w:rPr>
        <w:t xml:space="preserve"> </w:t>
      </w:r>
      <w:r w:rsidRPr="00664F88">
        <w:rPr>
          <w:i/>
        </w:rPr>
        <w:t xml:space="preserve">See </w:t>
      </w:r>
      <w:r>
        <w:t xml:space="preserve">Emergency </w:t>
      </w:r>
      <w:r w:rsidRPr="00664F88">
        <w:t>Petition for Clarification</w:t>
      </w:r>
      <w:r>
        <w:t>, or in the Alternative Waiver,</w:t>
      </w:r>
      <w:r w:rsidRPr="00664F88">
        <w:t xml:space="preserve"> of</w:t>
      </w:r>
      <w:r>
        <w:t xml:space="preserve"> NTCA – The Rural Broadband Association et al</w:t>
      </w:r>
      <w:r w:rsidRPr="00664F88">
        <w:t>., WC Docket No. 10-90</w:t>
      </w:r>
      <w:r>
        <w:t xml:space="preserve"> et al.</w:t>
      </w:r>
      <w:r w:rsidRPr="00664F88">
        <w:t xml:space="preserve"> (filed </w:t>
      </w:r>
      <w:r>
        <w:t>Apr. 1</w:t>
      </w:r>
      <w:r w:rsidRPr="00664F88">
        <w:t>,</w:t>
      </w:r>
      <w:r>
        <w:t xml:space="preserve"> 2013</w:t>
      </w:r>
      <w:r w:rsidRPr="00664F88">
        <w:t>) (</w:t>
      </w:r>
      <w:r>
        <w:t>Rural Associations Petition</w:t>
      </w:r>
      <w:r w:rsidRPr="00664F88">
        <w:t xml:space="preserve">); </w:t>
      </w:r>
      <w:r w:rsidRPr="00664F88">
        <w:rPr>
          <w:i/>
        </w:rPr>
        <w:t>see also Connect America Fund et al</w:t>
      </w:r>
      <w:r w:rsidRPr="00664F88">
        <w:t>., WC Docket No. 10-90 et al., Report and Order and Further Notice of Proposed Rulemaking, 26 FCC Rcd 17663 (2011) (</w:t>
      </w:r>
      <w:r w:rsidRPr="00664F88">
        <w:rPr>
          <w:i/>
        </w:rPr>
        <w:t>USF/ICC Transformation Order</w:t>
      </w:r>
      <w:r w:rsidRPr="00664F88">
        <w:t xml:space="preserve">), </w:t>
      </w:r>
      <w:r w:rsidRPr="00664F88">
        <w:rPr>
          <w:rStyle w:val="Emphasis"/>
          <w:iCs/>
        </w:rPr>
        <w:t>pets. for review pending</w:t>
      </w:r>
      <w:r w:rsidR="004A5943">
        <w:rPr>
          <w:rStyle w:val="Emphasis"/>
          <w:iCs/>
        </w:rPr>
        <w:t xml:space="preserve"> sub nom. In re: FCC 11-161</w:t>
      </w:r>
      <w:r w:rsidR="004A5943">
        <w:rPr>
          <w:rStyle w:val="Emphasis"/>
          <w:i w:val="0"/>
          <w:iCs/>
        </w:rPr>
        <w:t xml:space="preserve">, </w:t>
      </w:r>
      <w:r w:rsidRPr="00664F88">
        <w:t>No. 11-9</w:t>
      </w:r>
      <w:r w:rsidR="004A5943">
        <w:t>900</w:t>
      </w:r>
      <w:r w:rsidRPr="00664F88">
        <w:t xml:space="preserve"> (10th Cir. filed Dec. 8, 2011); </w:t>
      </w:r>
      <w:r w:rsidRPr="00664F88">
        <w:rPr>
          <w:i/>
        </w:rPr>
        <w:t>Connect America Fund et al</w:t>
      </w:r>
      <w:r w:rsidRPr="00664F88">
        <w:t>., WC Docket No. 10-90 et al., Third Order on Reconsideration, 27 FCC Rcd 5622 (2012) (</w:t>
      </w:r>
      <w:r w:rsidRPr="00664F88">
        <w:rPr>
          <w:i/>
        </w:rPr>
        <w:t>Third Reconsideration Order</w:t>
      </w:r>
      <w:r w:rsidRPr="00664F88">
        <w:t>)</w:t>
      </w:r>
      <w:r>
        <w:t xml:space="preserve">; </w:t>
      </w:r>
      <w:r w:rsidRPr="00664F88">
        <w:rPr>
          <w:i/>
        </w:rPr>
        <w:t>Connect America Fund et al</w:t>
      </w:r>
      <w:r w:rsidRPr="00664F88">
        <w:t>., WC</w:t>
      </w:r>
      <w:r>
        <w:t xml:space="preserve"> Docket No. 10-90 et al., </w:t>
      </w:r>
      <w:r w:rsidRPr="00664F88">
        <w:t>Order</w:t>
      </w:r>
      <w:r>
        <w:t>, 28 FCC Rcd 2051 (Wireline Comp. Bur. 2013) (</w:t>
      </w:r>
      <w:r>
        <w:rPr>
          <w:i/>
        </w:rPr>
        <w:t>ETC Reporting Clarification Order</w:t>
      </w:r>
      <w:r>
        <w:t>)</w:t>
      </w:r>
      <w:r w:rsidRPr="00664F88">
        <w:t>.</w:t>
      </w:r>
    </w:p>
  </w:footnote>
  <w:footnote w:id="4">
    <w:p w:rsidR="00E55A6B" w:rsidRDefault="00E55A6B" w:rsidP="008A3BE9">
      <w:pPr>
        <w:pStyle w:val="FootnoteText"/>
        <w:jc w:val="left"/>
      </w:pPr>
      <w:r w:rsidRPr="00664F88">
        <w:rPr>
          <w:rStyle w:val="FootnoteReference"/>
        </w:rPr>
        <w:footnoteRef/>
      </w:r>
      <w:r w:rsidR="009F7ED2">
        <w:rPr>
          <w:i/>
        </w:rPr>
        <w:t xml:space="preserve"> </w:t>
      </w:r>
      <w:r w:rsidRPr="00664F88">
        <w:rPr>
          <w:i/>
        </w:rPr>
        <w:t>USF/ICC Transformation Order</w:t>
      </w:r>
      <w:r w:rsidRPr="00664F88">
        <w:t>, 26 FCC Rcd at 17852</w:t>
      </w:r>
      <w:r w:rsidRPr="00664F88">
        <w:rPr>
          <w:i/>
        </w:rPr>
        <w:t xml:space="preserve">, </w:t>
      </w:r>
      <w:r w:rsidRPr="00664F88">
        <w:t>para. 579.</w:t>
      </w:r>
    </w:p>
  </w:footnote>
  <w:footnote w:id="5">
    <w:p w:rsidR="00E55A6B" w:rsidRDefault="00E55A6B">
      <w:pPr>
        <w:pStyle w:val="FootnoteText"/>
        <w:jc w:val="left"/>
      </w:pPr>
      <w:r w:rsidRPr="00664F88">
        <w:rPr>
          <w:rStyle w:val="FootnoteReference"/>
        </w:rPr>
        <w:footnoteRef/>
      </w:r>
      <w:r w:rsidR="009F7ED2">
        <w:rPr>
          <w:i/>
        </w:rPr>
        <w:t xml:space="preserve"> </w:t>
      </w:r>
      <w:r w:rsidRPr="00664F88">
        <w:rPr>
          <w:i/>
        </w:rPr>
        <w:t>Id.</w:t>
      </w:r>
    </w:p>
  </w:footnote>
  <w:footnote w:id="6">
    <w:p w:rsidR="00E55A6B" w:rsidRDefault="00E55A6B">
      <w:pPr>
        <w:pStyle w:val="FootnoteText"/>
        <w:jc w:val="left"/>
      </w:pPr>
      <w:r w:rsidRPr="00664F88">
        <w:rPr>
          <w:rStyle w:val="FootnoteReference"/>
        </w:rPr>
        <w:footnoteRef/>
      </w:r>
      <w:r w:rsidR="009F7ED2">
        <w:rPr>
          <w:i/>
        </w:rPr>
        <w:t xml:space="preserve"> </w:t>
      </w:r>
      <w:r>
        <w:rPr>
          <w:i/>
        </w:rPr>
        <w:t>Id.</w:t>
      </w:r>
      <w:r>
        <w:t xml:space="preserve"> at 17854, para. 587.</w:t>
      </w:r>
    </w:p>
  </w:footnote>
  <w:footnote w:id="7">
    <w:p w:rsidR="00E55A6B" w:rsidRDefault="00E55A6B">
      <w:pPr>
        <w:pStyle w:val="FootnoteText"/>
        <w:jc w:val="left"/>
      </w:pPr>
      <w:r>
        <w:rPr>
          <w:rStyle w:val="FootnoteReference"/>
        </w:rPr>
        <w:footnoteRef/>
      </w:r>
      <w:r w:rsidR="009F7ED2">
        <w:rPr>
          <w:i/>
        </w:rPr>
        <w:t xml:space="preserve"> </w:t>
      </w:r>
      <w:r>
        <w:rPr>
          <w:i/>
        </w:rPr>
        <w:t>See ETC Reporting Clarification Order</w:t>
      </w:r>
      <w:r>
        <w:t xml:space="preserve">, 28 FCC Rcd at 2054, para. 8.  Only those price cap ETCs that accept Phase II funding will be required to file five-year plans.  </w:t>
      </w:r>
    </w:p>
  </w:footnote>
  <w:footnote w:id="8">
    <w:p w:rsidR="00E55A6B" w:rsidRPr="006E0091" w:rsidRDefault="00E55A6B">
      <w:pPr>
        <w:pStyle w:val="FootnoteText"/>
        <w:jc w:val="left"/>
        <w:rPr>
          <w:b/>
        </w:rPr>
      </w:pPr>
      <w:r>
        <w:rPr>
          <w:rStyle w:val="FootnoteReference"/>
        </w:rPr>
        <w:footnoteRef/>
      </w:r>
      <w:r>
        <w:t xml:space="preserve"> ETCs should file pursuant to the instructions published by the Wireline Competition Bureau once PRA approval is received</w:t>
      </w:r>
      <w:r w:rsidR="008A3BE9">
        <w:t xml:space="preserve"> for the request currently pending with OMB</w:t>
      </w:r>
      <w:r>
        <w:t>.</w:t>
      </w:r>
    </w:p>
  </w:footnote>
  <w:footnote w:id="9">
    <w:p w:rsidR="00E55A6B" w:rsidRPr="006E0091" w:rsidRDefault="00E55A6B" w:rsidP="006E0091">
      <w:pPr>
        <w:pStyle w:val="FootnoteText"/>
        <w:jc w:val="left"/>
        <w:rPr>
          <w:b/>
        </w:rPr>
      </w:pPr>
      <w:r>
        <w:rPr>
          <w:rStyle w:val="FootnoteReference"/>
        </w:rPr>
        <w:footnoteRef/>
      </w:r>
      <w:r>
        <w:t xml:space="preserve"> </w:t>
      </w:r>
      <w:r w:rsidRPr="00052B41">
        <w:rPr>
          <w:i/>
        </w:rPr>
        <w:t xml:space="preserve">See </w:t>
      </w:r>
      <w:r w:rsidRPr="00052B41">
        <w:t>77 Fed. Reg. 26987 (May 8, 2012).</w:t>
      </w:r>
    </w:p>
  </w:footnote>
  <w:footnote w:id="10">
    <w:p w:rsidR="00E55A6B" w:rsidRDefault="00E55A6B" w:rsidP="006E0091">
      <w:pPr>
        <w:pStyle w:val="FootnoteText"/>
        <w:jc w:val="left"/>
      </w:pPr>
      <w:r>
        <w:rPr>
          <w:rStyle w:val="FootnoteReference"/>
        </w:rPr>
        <w:footnoteRef/>
      </w:r>
      <w:r>
        <w:t xml:space="preserve"> 47 C.F.R. § 54.313</w:t>
      </w:r>
      <w:r w:rsidR="008A3BE9">
        <w:t>(a)</w:t>
      </w:r>
      <w:r>
        <w:t>.</w:t>
      </w:r>
      <w:r w:rsidR="008A3BE9">
        <w:t xml:space="preserve">  ETCs should have begun collecting such information after May 8, 2012, when the Bureau announced PRA approval for those sections.</w:t>
      </w:r>
    </w:p>
  </w:footnote>
  <w:footnote w:id="11">
    <w:p w:rsidR="00E55A6B" w:rsidRDefault="00E55A6B" w:rsidP="006E0091">
      <w:pPr>
        <w:pStyle w:val="FootnoteText"/>
        <w:jc w:val="left"/>
      </w:pPr>
      <w:r>
        <w:rPr>
          <w:rStyle w:val="FootnoteReference"/>
        </w:rPr>
        <w:footnoteRef/>
      </w:r>
      <w:r>
        <w:t xml:space="preserve"> </w:t>
      </w:r>
      <w:r w:rsidRPr="00890AA0">
        <w:rPr>
          <w:spacing w:val="-3"/>
        </w:rPr>
        <w:t xml:space="preserve">Pursuant to the Paperwork Reduction Act of 1995 (PRA), Public Law 104-13, the </w:t>
      </w:r>
      <w:r w:rsidRPr="00890AA0">
        <w:rPr>
          <w:color w:val="000000"/>
        </w:rPr>
        <w:t>Bureau is currently seeking approval from the Office of Management and Budget (OMB) for</w:t>
      </w:r>
      <w:r w:rsidRPr="00890AA0">
        <w:rPr>
          <w:spacing w:val="-3"/>
        </w:rPr>
        <w:t xml:space="preserve"> information collection number 3060-0986</w:t>
      </w:r>
      <w:r w:rsidRPr="00890AA0">
        <w:rPr>
          <w:color w:val="000000"/>
        </w:rPr>
        <w:t>.</w:t>
      </w:r>
    </w:p>
  </w:footnote>
  <w:footnote w:id="12">
    <w:p w:rsidR="004A5943" w:rsidRDefault="004A5943" w:rsidP="006E0091">
      <w:pPr>
        <w:pStyle w:val="FootnoteText"/>
        <w:jc w:val="left"/>
      </w:pPr>
      <w:r>
        <w:rPr>
          <w:rStyle w:val="FootnoteReference"/>
        </w:rPr>
        <w:footnoteRef/>
      </w:r>
      <w:r>
        <w:t xml:space="preserve"> For purposes of this requirement, the ETC is required to report all affiliates as defined under section 3 of the Communications Act, 47 U.S.C. </w:t>
      </w:r>
      <w:r>
        <w:rPr>
          <w:rFonts w:ascii="Calibri" w:hAnsi="Calibri" w:cs="Calibri"/>
        </w:rPr>
        <w:t>§</w:t>
      </w:r>
      <w:r>
        <w:t xml:space="preserve"> 153(3), that are also designated as ETCs or that provide retail broadband Internet access to end-user customers.</w:t>
      </w:r>
    </w:p>
  </w:footnote>
  <w:footnote w:id="13">
    <w:p w:rsidR="00E55A6B" w:rsidRDefault="00E55A6B" w:rsidP="008A3BE9">
      <w:pPr>
        <w:pStyle w:val="FootnoteText"/>
        <w:jc w:val="left"/>
      </w:pPr>
      <w:r>
        <w:rPr>
          <w:rStyle w:val="FootnoteReference"/>
        </w:rPr>
        <w:footnoteRef/>
      </w:r>
      <w:r w:rsidR="006E0091">
        <w:rPr>
          <w:i/>
        </w:rPr>
        <w:t xml:space="preserve"> </w:t>
      </w:r>
      <w:r w:rsidRPr="00664F88">
        <w:rPr>
          <w:i/>
        </w:rPr>
        <w:t>USF/ICC Transformation Order</w:t>
      </w:r>
      <w:r>
        <w:t>, 26 FCC Rcd at 17740, para. 206.</w:t>
      </w:r>
    </w:p>
  </w:footnote>
  <w:footnote w:id="14">
    <w:p w:rsidR="00E55A6B" w:rsidRDefault="00E55A6B" w:rsidP="00ED1F48">
      <w:pPr>
        <w:pStyle w:val="FootnoteText"/>
        <w:jc w:val="left"/>
      </w:pPr>
      <w:r>
        <w:rPr>
          <w:rStyle w:val="FootnoteReference"/>
        </w:rPr>
        <w:footnoteRef/>
      </w:r>
      <w:r w:rsidR="006E0091">
        <w:rPr>
          <w:i/>
        </w:rPr>
        <w:t xml:space="preserve"> </w:t>
      </w:r>
      <w:r>
        <w:rPr>
          <w:i/>
        </w:rPr>
        <w:t xml:space="preserve">Id. </w:t>
      </w:r>
      <w:r>
        <w:t xml:space="preserve">at 17741, para. 208; </w:t>
      </w:r>
      <w:r>
        <w:rPr>
          <w:i/>
        </w:rPr>
        <w:t xml:space="preserve">see also </w:t>
      </w:r>
      <w:r>
        <w:t xml:space="preserve">47 C.F.R. </w:t>
      </w:r>
      <w:r>
        <w:rPr>
          <w:rFonts w:cs="Calibri"/>
        </w:rPr>
        <w:t>§ 54.313(a)(3)-(4)</w:t>
      </w:r>
      <w:r>
        <w:t>.</w:t>
      </w:r>
    </w:p>
  </w:footnote>
  <w:footnote w:id="15">
    <w:p w:rsidR="00E55A6B" w:rsidRDefault="00E55A6B">
      <w:pPr>
        <w:pStyle w:val="FootnoteText"/>
        <w:jc w:val="left"/>
      </w:pPr>
      <w:r>
        <w:rPr>
          <w:rStyle w:val="FootnoteReference"/>
        </w:rPr>
        <w:footnoteRef/>
      </w:r>
      <w:r w:rsidR="006E0091">
        <w:rPr>
          <w:i/>
        </w:rPr>
        <w:t xml:space="preserve"> </w:t>
      </w:r>
      <w:r w:rsidRPr="00664F88">
        <w:rPr>
          <w:i/>
        </w:rPr>
        <w:t>USF/ICC Transformation Order</w:t>
      </w:r>
      <w:r>
        <w:t xml:space="preserve">, 26 FCC Rcd at 17854, para. 588; </w:t>
      </w:r>
      <w:r>
        <w:rPr>
          <w:i/>
        </w:rPr>
        <w:t xml:space="preserve">see also </w:t>
      </w:r>
      <w:r>
        <w:t xml:space="preserve">47 C.F.R. </w:t>
      </w:r>
      <w:r>
        <w:rPr>
          <w:rFonts w:cs="Calibri"/>
        </w:rPr>
        <w:t>§ 54.313(f)(1)(i)</w:t>
      </w:r>
      <w:r>
        <w:t>.</w:t>
      </w:r>
    </w:p>
  </w:footnote>
  <w:footnote w:id="16">
    <w:p w:rsidR="00E55A6B" w:rsidRDefault="00E55A6B">
      <w:pPr>
        <w:pStyle w:val="FootnoteText"/>
        <w:jc w:val="left"/>
      </w:pPr>
      <w:r>
        <w:rPr>
          <w:rStyle w:val="FootnoteReference"/>
        </w:rPr>
        <w:footnoteRef/>
      </w:r>
      <w:r w:rsidR="006E0091">
        <w:rPr>
          <w:i/>
        </w:rPr>
        <w:t xml:space="preserve"> </w:t>
      </w:r>
      <w:r w:rsidRPr="00664F88">
        <w:rPr>
          <w:i/>
        </w:rPr>
        <w:t>USF/ICC Transformation Order</w:t>
      </w:r>
      <w:r>
        <w:t>, 26 FCC Rcd at 17741, para. 208.</w:t>
      </w:r>
    </w:p>
  </w:footnote>
  <w:footnote w:id="17">
    <w:p w:rsidR="00E55A6B" w:rsidRDefault="00E55A6B">
      <w:pPr>
        <w:pStyle w:val="FootnoteText"/>
        <w:jc w:val="left"/>
      </w:pPr>
      <w:r>
        <w:rPr>
          <w:rStyle w:val="FootnoteReference"/>
        </w:rPr>
        <w:footnoteRef/>
      </w:r>
      <w:r w:rsidR="006E0091">
        <w:rPr>
          <w:i/>
        </w:rPr>
        <w:t xml:space="preserve"> </w:t>
      </w:r>
      <w:r>
        <w:rPr>
          <w:i/>
        </w:rPr>
        <w:t xml:space="preserve">Id. </w:t>
      </w:r>
      <w:r>
        <w:t xml:space="preserve">at 17852, para. 580; </w:t>
      </w:r>
      <w:r>
        <w:rPr>
          <w:i/>
        </w:rPr>
        <w:t xml:space="preserve">see also </w:t>
      </w:r>
      <w:r>
        <w:t xml:space="preserve">47 U.S.C. </w:t>
      </w:r>
      <w:r>
        <w:rPr>
          <w:rFonts w:cs="Calibri"/>
        </w:rPr>
        <w:t>§ 254(e).</w:t>
      </w:r>
    </w:p>
  </w:footnote>
  <w:footnote w:id="18">
    <w:p w:rsidR="00E55A6B" w:rsidRDefault="00E55A6B">
      <w:pPr>
        <w:pStyle w:val="FootnoteText"/>
        <w:jc w:val="left"/>
      </w:pPr>
      <w:r>
        <w:rPr>
          <w:rStyle w:val="FootnoteReference"/>
        </w:rPr>
        <w:footnoteRef/>
      </w:r>
      <w:r w:rsidRPr="00664F88">
        <w:rPr>
          <w:i/>
        </w:rPr>
        <w:t>USF/ICC Transformation Order</w:t>
      </w:r>
      <w:r>
        <w:t xml:space="preserve">, 26 FCC Rcd at 17861, para. 612; </w:t>
      </w:r>
      <w:r>
        <w:rPr>
          <w:i/>
        </w:rPr>
        <w:t xml:space="preserve">see also </w:t>
      </w:r>
      <w:r>
        <w:t xml:space="preserve">47 C.F.R. </w:t>
      </w:r>
      <w:r>
        <w:rPr>
          <w:rFonts w:cs="Calibri"/>
        </w:rPr>
        <w:t>§ 54.314(a)</w:t>
      </w:r>
      <w:r>
        <w:t>.</w:t>
      </w:r>
    </w:p>
  </w:footnote>
  <w:footnote w:id="19">
    <w:p w:rsidR="00052B41" w:rsidRDefault="00052B41" w:rsidP="006E0091">
      <w:pPr>
        <w:pStyle w:val="FootnoteText"/>
        <w:jc w:val="left"/>
      </w:pPr>
      <w:r>
        <w:rPr>
          <w:rStyle w:val="FootnoteReference"/>
        </w:rPr>
        <w:footnoteRef/>
      </w:r>
      <w:r>
        <w:t xml:space="preserve"> </w:t>
      </w:r>
      <w:r w:rsidRPr="00664F88">
        <w:rPr>
          <w:i/>
        </w:rPr>
        <w:t>USF/ICC Transformation Order</w:t>
      </w:r>
      <w:r>
        <w:t>, 26 FCC Rcd at 17681, paras. 51-52.</w:t>
      </w:r>
    </w:p>
  </w:footnote>
  <w:footnote w:id="20">
    <w:p w:rsidR="00E55A6B" w:rsidRDefault="00E55A6B" w:rsidP="008A3BE9">
      <w:pPr>
        <w:pStyle w:val="FootnoteText"/>
        <w:jc w:val="left"/>
      </w:pPr>
      <w:r>
        <w:rPr>
          <w:rStyle w:val="FootnoteReference"/>
        </w:rPr>
        <w:footnoteRef/>
      </w:r>
      <w:r w:rsidR="006E0091">
        <w:rPr>
          <w:i/>
        </w:rPr>
        <w:t xml:space="preserve"> </w:t>
      </w:r>
      <w:r>
        <w:rPr>
          <w:i/>
        </w:rPr>
        <w:t xml:space="preserve">See </w:t>
      </w:r>
      <w:r>
        <w:t xml:space="preserve">47 C.F.R. </w:t>
      </w:r>
      <w:r>
        <w:rPr>
          <w:rFonts w:ascii="Calibri" w:hAnsi="Calibri" w:cs="Calibri"/>
        </w:rPr>
        <w:t>§</w:t>
      </w:r>
      <w:r>
        <w:t xml:space="preserve"> 54.313(a)(2)-(7).</w:t>
      </w:r>
    </w:p>
  </w:footnote>
  <w:footnote w:id="21">
    <w:p w:rsidR="00E55A6B" w:rsidRDefault="00E55A6B" w:rsidP="00ED1F48">
      <w:pPr>
        <w:pStyle w:val="FootnoteText"/>
        <w:jc w:val="left"/>
      </w:pPr>
      <w:r w:rsidRPr="00664F88">
        <w:rPr>
          <w:rStyle w:val="FootnoteReference"/>
        </w:rPr>
        <w:footnoteRef/>
      </w:r>
      <w:r w:rsidR="006E0091">
        <w:t xml:space="preserve"> </w:t>
      </w:r>
      <w:r>
        <w:t>Rural Associations Petition at 5-8</w:t>
      </w:r>
      <w:r w:rsidRPr="00664F88">
        <w:t>.</w:t>
      </w:r>
    </w:p>
  </w:footnote>
  <w:footnote w:id="22">
    <w:p w:rsidR="00E55A6B" w:rsidRDefault="00E55A6B">
      <w:pPr>
        <w:pStyle w:val="FootnoteText"/>
        <w:jc w:val="left"/>
      </w:pPr>
      <w:r>
        <w:rPr>
          <w:rStyle w:val="FootnoteReference"/>
        </w:rPr>
        <w:footnoteRef/>
      </w:r>
      <w:r>
        <w:t xml:space="preserve"> Generally, the Commission’s rules may be waived if good cause is shown.  47 C.F.R. § 1.3.  The Commission may exercise its discretion to waive a rule where the particular facts make strict compliance inconsistent with the public interest.  </w:t>
      </w:r>
      <w:r>
        <w:rPr>
          <w:i/>
          <w:iCs/>
        </w:rPr>
        <w:t>Northeast Cellular Telephone Co. v. FCC</w:t>
      </w:r>
      <w:r>
        <w:t>, 897 F.2d 1164, 1166 (D.C. Cir. 1990) (</w:t>
      </w:r>
      <w:r>
        <w:rPr>
          <w:i/>
          <w:iCs/>
        </w:rPr>
        <w:t>Northeast Cellular</w:t>
      </w:r>
      <w:r>
        <w:t xml:space="preserve">).  In addition, the Commission may take into account considerations of hardship, equity, or more effective implementation of overall policy on an individual basis. </w:t>
      </w:r>
      <w:r>
        <w:rPr>
          <w:i/>
          <w:iCs/>
        </w:rPr>
        <w:t>WAIT Radio v. FCC</w:t>
      </w:r>
      <w:r>
        <w:t xml:space="preserve">, 418 F.2d 1153, 1159 (D.C. Cir. 1969); </w:t>
      </w:r>
      <w:r>
        <w:rPr>
          <w:i/>
          <w:iCs/>
        </w:rPr>
        <w:t>Northeast Cellular</w:t>
      </w:r>
      <w:r>
        <w:t xml:space="preserve">, 897 F.2d at 1166. </w:t>
      </w:r>
      <w:r w:rsidR="004A5943">
        <w:t xml:space="preserve"> Waiver of the Commission’s rules is appropriate if special circumstances warrant a deviation from the general rule, and such deviation will serve the public interest.  </w:t>
      </w:r>
      <w:r w:rsidR="004A5943">
        <w:rPr>
          <w:i/>
          <w:iCs/>
        </w:rPr>
        <w:t>Northeast Cellular</w:t>
      </w:r>
      <w:r w:rsidR="004A5943">
        <w:t>, 897 F.2d at 1166.</w:t>
      </w:r>
    </w:p>
  </w:footnote>
  <w:footnote w:id="23">
    <w:p w:rsidR="00E55A6B" w:rsidRDefault="00E55A6B" w:rsidP="007712B9">
      <w:pPr>
        <w:pStyle w:val="FootnoteText"/>
        <w:jc w:val="left"/>
      </w:pPr>
      <w:r>
        <w:rPr>
          <w:rStyle w:val="FootnoteReference"/>
        </w:rPr>
        <w:footnoteRef/>
      </w:r>
      <w:r>
        <w:rPr>
          <w:i/>
        </w:rPr>
        <w:t>See ETC Reporting Clarification Order</w:t>
      </w:r>
      <w:r>
        <w:t>, 28 FCC Rcd at 2054,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0F" w:rsidRDefault="00C75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E55A6B">
    <w:pPr>
      <w:pStyle w:val="Header"/>
      <w:tabs>
        <w:tab w:val="clear" w:pos="4320"/>
        <w:tab w:val="clear" w:pos="8640"/>
        <w:tab w:val="center" w:pos="4680"/>
        <w:tab w:val="right" w:pos="9360"/>
      </w:tabs>
      <w:rPr>
        <w:b/>
      </w:rPr>
    </w:pPr>
    <w:r>
      <w:rPr>
        <w:b/>
      </w:rPr>
      <w:tab/>
      <w:t>Federal Com</w:t>
    </w:r>
    <w:r w:rsidR="004835E2">
      <w:rPr>
        <w:b/>
      </w:rPr>
      <w:t>munications Commission</w:t>
    </w:r>
    <w:r w:rsidR="004835E2">
      <w:rPr>
        <w:b/>
      </w:rPr>
      <w:tab/>
      <w:t>DA 13-1115</w:t>
    </w:r>
  </w:p>
  <w:p w:rsidR="00E55A6B" w:rsidRDefault="00926B5A">
    <w:pPr>
      <w:pStyle w:val="Header"/>
      <w:tabs>
        <w:tab w:val="clear" w:pos="8640"/>
        <w:tab w:val="right" w:pos="9360"/>
      </w:tabs>
    </w:pPr>
    <w:r>
      <w:rPr>
        <w:noProof/>
      </w:rPr>
      <w:pict>
        <v:line id="_x0000_s8194"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Cx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Paidp5M0RjgtBQunAefsfldJi44k9Ev8QiGA7QFm9UGxyNZywlbXuSdCXuaAlyrwQS6g5zq7&#10;NMSPeTpfzVazfJCPpqtBntb14OO6ygfTdfZhUo/rqqqzn0FalhetYIyroO7WnFn+NvOvz+TSVvf2&#10;vNcheWSPKYLY2z+KjmYG/y6dsNPsvLWhGsFX6McIvr6d0PB/riPq9wtf/gI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IqlCxEwIA&#10;ACkEAAAOAAAAAAAAAAAAAAAAAC4CAABkcnMvZTJvRG9jLnhtbFBLAQItABQABgAIAAAAIQDuKSiu&#10;2AAAAAQBAAAPAAAAAAAAAAAAAAAAAG0EAABkcnMvZG93bnJldi54bWxQSwUGAAAAAAQABADzAAAA&#10;cgUAAAAA&#10;" o:allowincell="f" strokeweight="1.5pt"/>
      </w:pict>
    </w:r>
    <w:r w:rsidR="004835E2">
      <w:rPr>
        <w:noProof/>
      </w:rPr>
      <w:t xml:space="preserve"> </w:t>
    </w:r>
    <w:r>
      <w:rPr>
        <w:noProof/>
      </w:rPr>
      <w:pict>
        <v:line id="Line 2" o:spid="_x0000_s8193"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p w:rsidR="00E55A6B" w:rsidRDefault="00E55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E55A6B">
    <w:pPr>
      <w:pStyle w:val="Header"/>
      <w:tabs>
        <w:tab w:val="clear" w:pos="4320"/>
        <w:tab w:val="clear" w:pos="8640"/>
        <w:tab w:val="center" w:pos="4680"/>
        <w:tab w:val="right" w:pos="9360"/>
      </w:tabs>
      <w:rPr>
        <w:b/>
      </w:rPr>
    </w:pPr>
    <w:r>
      <w:rPr>
        <w:b/>
      </w:rPr>
      <w:tab/>
      <w:t xml:space="preserve">Federal Communications </w:t>
    </w:r>
    <w:r w:rsidR="004835E2">
      <w:rPr>
        <w:b/>
      </w:rPr>
      <w:t>Commission</w:t>
    </w:r>
    <w:r w:rsidR="004835E2">
      <w:rPr>
        <w:b/>
      </w:rPr>
      <w:tab/>
      <w:t>DA 13-1115</w:t>
    </w:r>
  </w:p>
  <w:p w:rsidR="00E55A6B" w:rsidRDefault="00926B5A">
    <w:pPr>
      <w:pStyle w:val="Header"/>
      <w:tabs>
        <w:tab w:val="clear" w:pos="8640"/>
        <w:tab w:val="right" w:pos="9360"/>
      </w:tabs>
    </w:pPr>
    <w:r>
      <w:rPr>
        <w:noProof/>
      </w:rPr>
      <w:pict>
        <v:line id="Line 1" o:spid="_x0000_s8192"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83414D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
    <w:nsid w:val="541F6B38"/>
    <w:multiLevelType w:val="multilevel"/>
    <w:tmpl w:val="E602592A"/>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2"/>
  </w:num>
  <w:num w:numId="2">
    <w:abstractNumId w:val="3"/>
  </w:num>
  <w:num w:numId="3">
    <w:abstractNumId w:val="0"/>
  </w:num>
  <w:num w:numId="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5"/>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867BAC"/>
    <w:rsid w:val="00001BBE"/>
    <w:rsid w:val="00002E6A"/>
    <w:rsid w:val="000134C3"/>
    <w:rsid w:val="00015148"/>
    <w:rsid w:val="00015231"/>
    <w:rsid w:val="0002291C"/>
    <w:rsid w:val="00033ABD"/>
    <w:rsid w:val="00033E15"/>
    <w:rsid w:val="00036427"/>
    <w:rsid w:val="000413D6"/>
    <w:rsid w:val="0004696D"/>
    <w:rsid w:val="00052B41"/>
    <w:rsid w:val="000579F6"/>
    <w:rsid w:val="00061633"/>
    <w:rsid w:val="00072A29"/>
    <w:rsid w:val="0008096A"/>
    <w:rsid w:val="00083323"/>
    <w:rsid w:val="00084475"/>
    <w:rsid w:val="00095798"/>
    <w:rsid w:val="000A4657"/>
    <w:rsid w:val="000A5713"/>
    <w:rsid w:val="000C2B84"/>
    <w:rsid w:val="000C43E4"/>
    <w:rsid w:val="000C7D49"/>
    <w:rsid w:val="000D4FBF"/>
    <w:rsid w:val="000E00C6"/>
    <w:rsid w:val="000E74DF"/>
    <w:rsid w:val="000F285B"/>
    <w:rsid w:val="000F5825"/>
    <w:rsid w:val="0011723B"/>
    <w:rsid w:val="00120684"/>
    <w:rsid w:val="00132039"/>
    <w:rsid w:val="00140450"/>
    <w:rsid w:val="00143B3D"/>
    <w:rsid w:val="00144B43"/>
    <w:rsid w:val="00157F07"/>
    <w:rsid w:val="00165FEE"/>
    <w:rsid w:val="001915E8"/>
    <w:rsid w:val="001A78EF"/>
    <w:rsid w:val="001B138A"/>
    <w:rsid w:val="001C08A0"/>
    <w:rsid w:val="001C4401"/>
    <w:rsid w:val="001D1BC7"/>
    <w:rsid w:val="001D42E6"/>
    <w:rsid w:val="001D7FBF"/>
    <w:rsid w:val="001E2438"/>
    <w:rsid w:val="001E321D"/>
    <w:rsid w:val="001F5A1D"/>
    <w:rsid w:val="00200996"/>
    <w:rsid w:val="002110EB"/>
    <w:rsid w:val="002138A8"/>
    <w:rsid w:val="002228E7"/>
    <w:rsid w:val="00224D82"/>
    <w:rsid w:val="00232FE4"/>
    <w:rsid w:val="00241D77"/>
    <w:rsid w:val="00252C63"/>
    <w:rsid w:val="002646EA"/>
    <w:rsid w:val="002738B5"/>
    <w:rsid w:val="00273AFC"/>
    <w:rsid w:val="00277C43"/>
    <w:rsid w:val="002932C4"/>
    <w:rsid w:val="00296F24"/>
    <w:rsid w:val="002A1427"/>
    <w:rsid w:val="002A30FD"/>
    <w:rsid w:val="002B2800"/>
    <w:rsid w:val="002B3CF8"/>
    <w:rsid w:val="002C4BE2"/>
    <w:rsid w:val="002D755E"/>
    <w:rsid w:val="002E3211"/>
    <w:rsid w:val="002F0D30"/>
    <w:rsid w:val="002F1CAE"/>
    <w:rsid w:val="002F3CA7"/>
    <w:rsid w:val="003012F4"/>
    <w:rsid w:val="00301FAE"/>
    <w:rsid w:val="00304922"/>
    <w:rsid w:val="003124E0"/>
    <w:rsid w:val="00312739"/>
    <w:rsid w:val="00315AA1"/>
    <w:rsid w:val="00321D6C"/>
    <w:rsid w:val="003278F4"/>
    <w:rsid w:val="00344843"/>
    <w:rsid w:val="00370D6A"/>
    <w:rsid w:val="003734B8"/>
    <w:rsid w:val="00376D43"/>
    <w:rsid w:val="00383966"/>
    <w:rsid w:val="00384719"/>
    <w:rsid w:val="00394179"/>
    <w:rsid w:val="003A6464"/>
    <w:rsid w:val="003B12EA"/>
    <w:rsid w:val="003B75ED"/>
    <w:rsid w:val="003C4D28"/>
    <w:rsid w:val="003D55A1"/>
    <w:rsid w:val="003E2CE2"/>
    <w:rsid w:val="003E5490"/>
    <w:rsid w:val="003E659B"/>
    <w:rsid w:val="004019C8"/>
    <w:rsid w:val="00407E9E"/>
    <w:rsid w:val="00412947"/>
    <w:rsid w:val="004141FF"/>
    <w:rsid w:val="00415B87"/>
    <w:rsid w:val="004174B9"/>
    <w:rsid w:val="00426FD7"/>
    <w:rsid w:val="00465016"/>
    <w:rsid w:val="0046521A"/>
    <w:rsid w:val="0047582A"/>
    <w:rsid w:val="00477C3F"/>
    <w:rsid w:val="004835E2"/>
    <w:rsid w:val="004856BA"/>
    <w:rsid w:val="004941CA"/>
    <w:rsid w:val="004A5943"/>
    <w:rsid w:val="004A6F13"/>
    <w:rsid w:val="004B49B2"/>
    <w:rsid w:val="004C2611"/>
    <w:rsid w:val="004C6B7B"/>
    <w:rsid w:val="004E7862"/>
    <w:rsid w:val="004F066D"/>
    <w:rsid w:val="004F4603"/>
    <w:rsid w:val="005032F7"/>
    <w:rsid w:val="00503415"/>
    <w:rsid w:val="00514E6B"/>
    <w:rsid w:val="00522B1B"/>
    <w:rsid w:val="00526D6A"/>
    <w:rsid w:val="00527CC0"/>
    <w:rsid w:val="00533D45"/>
    <w:rsid w:val="00534A87"/>
    <w:rsid w:val="00537D67"/>
    <w:rsid w:val="00556893"/>
    <w:rsid w:val="00561BBD"/>
    <w:rsid w:val="005621BD"/>
    <w:rsid w:val="00562F5A"/>
    <w:rsid w:val="005631D3"/>
    <w:rsid w:val="00566210"/>
    <w:rsid w:val="0057335E"/>
    <w:rsid w:val="00584C85"/>
    <w:rsid w:val="005904B1"/>
    <w:rsid w:val="00591544"/>
    <w:rsid w:val="00591771"/>
    <w:rsid w:val="005929D7"/>
    <w:rsid w:val="00595267"/>
    <w:rsid w:val="005A0749"/>
    <w:rsid w:val="005A74E2"/>
    <w:rsid w:val="005A7DFF"/>
    <w:rsid w:val="005B3293"/>
    <w:rsid w:val="005C2E63"/>
    <w:rsid w:val="005C7C7A"/>
    <w:rsid w:val="005D641C"/>
    <w:rsid w:val="005D7933"/>
    <w:rsid w:val="005D7D47"/>
    <w:rsid w:val="005E5FAF"/>
    <w:rsid w:val="005F094F"/>
    <w:rsid w:val="005F0D2E"/>
    <w:rsid w:val="005F0EA3"/>
    <w:rsid w:val="005F5004"/>
    <w:rsid w:val="005F6A99"/>
    <w:rsid w:val="0060483E"/>
    <w:rsid w:val="006052F1"/>
    <w:rsid w:val="0060551E"/>
    <w:rsid w:val="00610862"/>
    <w:rsid w:val="0061567A"/>
    <w:rsid w:val="006157B3"/>
    <w:rsid w:val="00617818"/>
    <w:rsid w:val="00625203"/>
    <w:rsid w:val="00626B93"/>
    <w:rsid w:val="0063373F"/>
    <w:rsid w:val="00635CD4"/>
    <w:rsid w:val="00637966"/>
    <w:rsid w:val="00640F3C"/>
    <w:rsid w:val="00656751"/>
    <w:rsid w:val="00656BF1"/>
    <w:rsid w:val="00664F88"/>
    <w:rsid w:val="00671057"/>
    <w:rsid w:val="00680403"/>
    <w:rsid w:val="00681F84"/>
    <w:rsid w:val="00684402"/>
    <w:rsid w:val="006864DE"/>
    <w:rsid w:val="006A43CC"/>
    <w:rsid w:val="006B581C"/>
    <w:rsid w:val="006B5A05"/>
    <w:rsid w:val="006B5D6D"/>
    <w:rsid w:val="006B6671"/>
    <w:rsid w:val="006B68FB"/>
    <w:rsid w:val="006C2E3F"/>
    <w:rsid w:val="006C44A9"/>
    <w:rsid w:val="006D10AF"/>
    <w:rsid w:val="006D2A83"/>
    <w:rsid w:val="006D7D5B"/>
    <w:rsid w:val="006E0091"/>
    <w:rsid w:val="006E635B"/>
    <w:rsid w:val="006E6922"/>
    <w:rsid w:val="006F1BFA"/>
    <w:rsid w:val="006F6DF2"/>
    <w:rsid w:val="00707EE9"/>
    <w:rsid w:val="00710BEA"/>
    <w:rsid w:val="00722757"/>
    <w:rsid w:val="007262D3"/>
    <w:rsid w:val="007300B6"/>
    <w:rsid w:val="0074768F"/>
    <w:rsid w:val="007500EA"/>
    <w:rsid w:val="00761180"/>
    <w:rsid w:val="00762A6D"/>
    <w:rsid w:val="007712B9"/>
    <w:rsid w:val="00780457"/>
    <w:rsid w:val="007836CA"/>
    <w:rsid w:val="007917E1"/>
    <w:rsid w:val="00792A86"/>
    <w:rsid w:val="00793A19"/>
    <w:rsid w:val="007963EC"/>
    <w:rsid w:val="00797CF0"/>
    <w:rsid w:val="007A121A"/>
    <w:rsid w:val="007A3C79"/>
    <w:rsid w:val="007A3E41"/>
    <w:rsid w:val="007A494D"/>
    <w:rsid w:val="007A6B99"/>
    <w:rsid w:val="007A6D98"/>
    <w:rsid w:val="007B013E"/>
    <w:rsid w:val="007B022B"/>
    <w:rsid w:val="007B2CEB"/>
    <w:rsid w:val="007B3354"/>
    <w:rsid w:val="007B341B"/>
    <w:rsid w:val="007B4007"/>
    <w:rsid w:val="007C3B52"/>
    <w:rsid w:val="007C67A3"/>
    <w:rsid w:val="007D118F"/>
    <w:rsid w:val="007D1D93"/>
    <w:rsid w:val="007F0EE9"/>
    <w:rsid w:val="007F24BD"/>
    <w:rsid w:val="007F6E6B"/>
    <w:rsid w:val="00807D13"/>
    <w:rsid w:val="008204D2"/>
    <w:rsid w:val="00821B6D"/>
    <w:rsid w:val="008331E5"/>
    <w:rsid w:val="00833D98"/>
    <w:rsid w:val="008375E7"/>
    <w:rsid w:val="008455DB"/>
    <w:rsid w:val="00851060"/>
    <w:rsid w:val="00854BB7"/>
    <w:rsid w:val="008556DB"/>
    <w:rsid w:val="00856F6A"/>
    <w:rsid w:val="0086184F"/>
    <w:rsid w:val="008648B4"/>
    <w:rsid w:val="00867BAC"/>
    <w:rsid w:val="00870011"/>
    <w:rsid w:val="008701A7"/>
    <w:rsid w:val="00880C1A"/>
    <w:rsid w:val="00885A9D"/>
    <w:rsid w:val="0089026E"/>
    <w:rsid w:val="00890AA0"/>
    <w:rsid w:val="00893041"/>
    <w:rsid w:val="00893C38"/>
    <w:rsid w:val="008A3BE9"/>
    <w:rsid w:val="008C0DD9"/>
    <w:rsid w:val="008C6608"/>
    <w:rsid w:val="008C7564"/>
    <w:rsid w:val="008E562B"/>
    <w:rsid w:val="008E7F71"/>
    <w:rsid w:val="008F38A6"/>
    <w:rsid w:val="0090197F"/>
    <w:rsid w:val="0090387C"/>
    <w:rsid w:val="0090754B"/>
    <w:rsid w:val="009077BD"/>
    <w:rsid w:val="00915249"/>
    <w:rsid w:val="009175EB"/>
    <w:rsid w:val="009207C6"/>
    <w:rsid w:val="00926B5A"/>
    <w:rsid w:val="00930B72"/>
    <w:rsid w:val="00933AF6"/>
    <w:rsid w:val="00933D0B"/>
    <w:rsid w:val="009417BD"/>
    <w:rsid w:val="00942A9D"/>
    <w:rsid w:val="0094341C"/>
    <w:rsid w:val="00956516"/>
    <w:rsid w:val="009571CC"/>
    <w:rsid w:val="0096070A"/>
    <w:rsid w:val="00962A0B"/>
    <w:rsid w:val="00966CAE"/>
    <w:rsid w:val="009724A0"/>
    <w:rsid w:val="00972C9A"/>
    <w:rsid w:val="00977227"/>
    <w:rsid w:val="00977969"/>
    <w:rsid w:val="00977C9C"/>
    <w:rsid w:val="00982C65"/>
    <w:rsid w:val="0098594B"/>
    <w:rsid w:val="00994550"/>
    <w:rsid w:val="00995991"/>
    <w:rsid w:val="009A01D3"/>
    <w:rsid w:val="009A2A5F"/>
    <w:rsid w:val="009A4DF9"/>
    <w:rsid w:val="009C374F"/>
    <w:rsid w:val="009E708C"/>
    <w:rsid w:val="009F55BC"/>
    <w:rsid w:val="009F7ED2"/>
    <w:rsid w:val="00A00D5A"/>
    <w:rsid w:val="00A14165"/>
    <w:rsid w:val="00A2545B"/>
    <w:rsid w:val="00A362CB"/>
    <w:rsid w:val="00A36EC3"/>
    <w:rsid w:val="00A464FC"/>
    <w:rsid w:val="00A53140"/>
    <w:rsid w:val="00A568CE"/>
    <w:rsid w:val="00A65FF5"/>
    <w:rsid w:val="00A66E92"/>
    <w:rsid w:val="00A7101D"/>
    <w:rsid w:val="00A80E22"/>
    <w:rsid w:val="00A81202"/>
    <w:rsid w:val="00A91260"/>
    <w:rsid w:val="00A9508C"/>
    <w:rsid w:val="00A96269"/>
    <w:rsid w:val="00AA114A"/>
    <w:rsid w:val="00AB505C"/>
    <w:rsid w:val="00AB7FC3"/>
    <w:rsid w:val="00AC4B57"/>
    <w:rsid w:val="00AD53D4"/>
    <w:rsid w:val="00AD58B8"/>
    <w:rsid w:val="00AE033D"/>
    <w:rsid w:val="00AE3360"/>
    <w:rsid w:val="00AE5F72"/>
    <w:rsid w:val="00AE6DD3"/>
    <w:rsid w:val="00AE6E0B"/>
    <w:rsid w:val="00B028CA"/>
    <w:rsid w:val="00B04641"/>
    <w:rsid w:val="00B067EE"/>
    <w:rsid w:val="00B16D3A"/>
    <w:rsid w:val="00B17C90"/>
    <w:rsid w:val="00B20ECC"/>
    <w:rsid w:val="00B245F0"/>
    <w:rsid w:val="00B256C7"/>
    <w:rsid w:val="00B404EE"/>
    <w:rsid w:val="00B41A8C"/>
    <w:rsid w:val="00B44E9C"/>
    <w:rsid w:val="00B51226"/>
    <w:rsid w:val="00B55103"/>
    <w:rsid w:val="00B63295"/>
    <w:rsid w:val="00B66D55"/>
    <w:rsid w:val="00B75DF2"/>
    <w:rsid w:val="00B81F58"/>
    <w:rsid w:val="00B82C74"/>
    <w:rsid w:val="00B870A5"/>
    <w:rsid w:val="00B95E11"/>
    <w:rsid w:val="00BB2221"/>
    <w:rsid w:val="00BB770D"/>
    <w:rsid w:val="00BB772B"/>
    <w:rsid w:val="00BC4CD3"/>
    <w:rsid w:val="00BC597A"/>
    <w:rsid w:val="00BD5AE4"/>
    <w:rsid w:val="00C2164C"/>
    <w:rsid w:val="00C240A0"/>
    <w:rsid w:val="00C30116"/>
    <w:rsid w:val="00C4582B"/>
    <w:rsid w:val="00C53616"/>
    <w:rsid w:val="00C57505"/>
    <w:rsid w:val="00C63D02"/>
    <w:rsid w:val="00C66A56"/>
    <w:rsid w:val="00C71B84"/>
    <w:rsid w:val="00C74B51"/>
    <w:rsid w:val="00C75F0F"/>
    <w:rsid w:val="00C76EB7"/>
    <w:rsid w:val="00C8724D"/>
    <w:rsid w:val="00C962D3"/>
    <w:rsid w:val="00C964C6"/>
    <w:rsid w:val="00C97225"/>
    <w:rsid w:val="00CA47EB"/>
    <w:rsid w:val="00CA6755"/>
    <w:rsid w:val="00CA6C07"/>
    <w:rsid w:val="00CB0F21"/>
    <w:rsid w:val="00CB5FB9"/>
    <w:rsid w:val="00CC2597"/>
    <w:rsid w:val="00CC25EB"/>
    <w:rsid w:val="00CC2AD2"/>
    <w:rsid w:val="00CD203A"/>
    <w:rsid w:val="00CD782D"/>
    <w:rsid w:val="00CE7CAE"/>
    <w:rsid w:val="00CF40ED"/>
    <w:rsid w:val="00D017DA"/>
    <w:rsid w:val="00D01DA9"/>
    <w:rsid w:val="00D0545C"/>
    <w:rsid w:val="00D20154"/>
    <w:rsid w:val="00D26713"/>
    <w:rsid w:val="00D3539B"/>
    <w:rsid w:val="00D401E0"/>
    <w:rsid w:val="00D420D3"/>
    <w:rsid w:val="00D45166"/>
    <w:rsid w:val="00D4674C"/>
    <w:rsid w:val="00D4705D"/>
    <w:rsid w:val="00D529F0"/>
    <w:rsid w:val="00D61D5A"/>
    <w:rsid w:val="00D66819"/>
    <w:rsid w:val="00D677AE"/>
    <w:rsid w:val="00D728DC"/>
    <w:rsid w:val="00D75078"/>
    <w:rsid w:val="00D9286A"/>
    <w:rsid w:val="00DA33E9"/>
    <w:rsid w:val="00DB3307"/>
    <w:rsid w:val="00DB657F"/>
    <w:rsid w:val="00DD016C"/>
    <w:rsid w:val="00DD251D"/>
    <w:rsid w:val="00DE284D"/>
    <w:rsid w:val="00DE3AA5"/>
    <w:rsid w:val="00DE4292"/>
    <w:rsid w:val="00DF75CA"/>
    <w:rsid w:val="00E07E02"/>
    <w:rsid w:val="00E07FA5"/>
    <w:rsid w:val="00E111A2"/>
    <w:rsid w:val="00E1173E"/>
    <w:rsid w:val="00E11871"/>
    <w:rsid w:val="00E12660"/>
    <w:rsid w:val="00E2624F"/>
    <w:rsid w:val="00E3684E"/>
    <w:rsid w:val="00E5023C"/>
    <w:rsid w:val="00E55A6B"/>
    <w:rsid w:val="00E65A72"/>
    <w:rsid w:val="00E81DDB"/>
    <w:rsid w:val="00E83B20"/>
    <w:rsid w:val="00E9103B"/>
    <w:rsid w:val="00E92FDE"/>
    <w:rsid w:val="00E97538"/>
    <w:rsid w:val="00EA17BA"/>
    <w:rsid w:val="00EA2FE8"/>
    <w:rsid w:val="00EA409E"/>
    <w:rsid w:val="00EA4A3D"/>
    <w:rsid w:val="00EB2C54"/>
    <w:rsid w:val="00ED1F48"/>
    <w:rsid w:val="00ED4E67"/>
    <w:rsid w:val="00EE3480"/>
    <w:rsid w:val="00EF44D3"/>
    <w:rsid w:val="00EF5E41"/>
    <w:rsid w:val="00EF7777"/>
    <w:rsid w:val="00F02C08"/>
    <w:rsid w:val="00F02D3D"/>
    <w:rsid w:val="00F03293"/>
    <w:rsid w:val="00F03C96"/>
    <w:rsid w:val="00F056BB"/>
    <w:rsid w:val="00F152BA"/>
    <w:rsid w:val="00F174BE"/>
    <w:rsid w:val="00F37D13"/>
    <w:rsid w:val="00F4304B"/>
    <w:rsid w:val="00F4488E"/>
    <w:rsid w:val="00F5045C"/>
    <w:rsid w:val="00F50BBB"/>
    <w:rsid w:val="00F50F51"/>
    <w:rsid w:val="00F62226"/>
    <w:rsid w:val="00F65A82"/>
    <w:rsid w:val="00F725F6"/>
    <w:rsid w:val="00F737A6"/>
    <w:rsid w:val="00F73921"/>
    <w:rsid w:val="00F752D6"/>
    <w:rsid w:val="00F7720D"/>
    <w:rsid w:val="00F81271"/>
    <w:rsid w:val="00F85AA1"/>
    <w:rsid w:val="00F91B1F"/>
    <w:rsid w:val="00F95C87"/>
    <w:rsid w:val="00FA0A6F"/>
    <w:rsid w:val="00FA1312"/>
    <w:rsid w:val="00FA1B06"/>
    <w:rsid w:val="00FA1EF1"/>
    <w:rsid w:val="00FA6902"/>
    <w:rsid w:val="00FB0B77"/>
    <w:rsid w:val="00FB321E"/>
    <w:rsid w:val="00FB54EF"/>
    <w:rsid w:val="00FC41A8"/>
    <w:rsid w:val="00FC5C4A"/>
    <w:rsid w:val="00FC70DE"/>
    <w:rsid w:val="00FD4286"/>
    <w:rsid w:val="00FE7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basedOn w:val="DefaultParagraphFont"/>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basedOn w:val="DefaultParagraphFont"/>
    <w:link w:val="Heading4"/>
    <w:uiPriority w:val="99"/>
    <w:locked/>
    <w:rsid w:val="00143B3D"/>
    <w:rPr>
      <w:rFonts w:cs="Times New Roman"/>
      <w:b/>
      <w:sz w:val="20"/>
      <w:szCs w:val="20"/>
    </w:rPr>
  </w:style>
  <w:style w:type="character" w:customStyle="1" w:styleId="Heading5Char1">
    <w:name w:val="Heading 5 Char1"/>
    <w:aliases w:val="Heading 5 Char Char"/>
    <w:basedOn w:val="DefaultParagraphFont"/>
    <w:link w:val="Heading5"/>
    <w:uiPriority w:val="99"/>
    <w:locked/>
    <w:rsid w:val="00143B3D"/>
    <w:rPr>
      <w:rFonts w:cs="Times New Roman"/>
      <w:b/>
      <w:sz w:val="20"/>
      <w:szCs w:val="20"/>
    </w:rPr>
  </w:style>
  <w:style w:type="character" w:customStyle="1" w:styleId="Heading6Char">
    <w:name w:val="Heading 6 Char"/>
    <w:aliases w:val="h6 Char"/>
    <w:basedOn w:val="DefaultParagraphFont"/>
    <w:link w:val="Heading6"/>
    <w:uiPriority w:val="99"/>
    <w:locked/>
    <w:rsid w:val="00143B3D"/>
    <w:rPr>
      <w:rFonts w:cs="Times New Roman"/>
      <w:b/>
      <w:sz w:val="20"/>
      <w:szCs w:val="20"/>
    </w:rPr>
  </w:style>
  <w:style w:type="character" w:customStyle="1" w:styleId="Heading7Char1">
    <w:name w:val="Heading 7 Char1"/>
    <w:aliases w:val="Heading 7 Char Char"/>
    <w:basedOn w:val="DefaultParagraphFont"/>
    <w:link w:val="Heading7"/>
    <w:uiPriority w:val="99"/>
    <w:locked/>
    <w:rsid w:val="00143B3D"/>
    <w:rPr>
      <w:rFonts w:cs="Times New Roman"/>
      <w:b/>
      <w:sz w:val="20"/>
      <w:szCs w:val="20"/>
    </w:rPr>
  </w:style>
  <w:style w:type="character" w:customStyle="1" w:styleId="Heading8Char">
    <w:name w:val="Heading 8 Char"/>
    <w:basedOn w:val="DefaultParagraphFont"/>
    <w:link w:val="Heading8"/>
    <w:uiPriority w:val="99"/>
    <w:locked/>
    <w:rsid w:val="00143B3D"/>
    <w:rPr>
      <w:rFonts w:cs="Times New Roman"/>
      <w:b/>
      <w:sz w:val="20"/>
      <w:szCs w:val="20"/>
    </w:rPr>
  </w:style>
  <w:style w:type="character" w:customStyle="1" w:styleId="Heading9Char1">
    <w:name w:val="Heading 9 Char1"/>
    <w:aliases w:val="Heading 9 Char Char"/>
    <w:basedOn w:val="DefaultParagraphFont"/>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basedOn w:val="DefaultParagraphFont"/>
    <w:uiPriority w:val="99"/>
    <w:semiHidden/>
    <w:rsid w:val="00FD4286"/>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uiPriority w:val="99"/>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numPr>
        <w:numId w:val="2"/>
      </w:numPr>
      <w:tabs>
        <w:tab w:val="clear" w:pos="25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basedOn w:val="DefaultParagraphFont"/>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basedOn w:val="DefaultParagraphFont"/>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basedOn w:val="DefaultParagraphFont"/>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numPr>
        <w:numId w:val="4"/>
      </w:numPr>
      <w:tabs>
        <w:tab w:val="clear" w:pos="1080"/>
      </w:tabs>
      <w:spacing w:after="220"/>
      <w:ind w:firstLine="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basedOn w:val="DefaultParagraphFont"/>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basedOn w:val="DefaultParagraphFont"/>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uiPriority w:val="99"/>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basedOn w:val="DefaultParagraphFont"/>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basedOn w:val="DefaultParagraphFont"/>
    <w:uiPriority w:val="99"/>
    <w:locked/>
    <w:rsid w:val="002A30FD"/>
    <w:rPr>
      <w:rFonts w:ascii="Times New Roman" w:hAnsi="Times New Roman" w:cs="Times New Roman"/>
      <w:sz w:val="20"/>
    </w:rPr>
  </w:style>
  <w:style w:type="character" w:customStyle="1" w:styleId="CommentTextChar1">
    <w:name w:val="Comment Text Char1"/>
    <w:basedOn w:val="DefaultParagraphFont"/>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basedOn w:val="CommentTextChar1"/>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Cs w:val="20"/>
    </w:rPr>
  </w:style>
  <w:style w:type="character" w:styleId="Hyperlink">
    <w:name w:val="Hyperlink"/>
    <w:basedOn w:val="DefaultParagraphFont"/>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basedOn w:val="DefaultParagraphFont"/>
    <w:link w:val="EndnoteText"/>
    <w:uiPriority w:val="99"/>
    <w:locked/>
    <w:rsid w:val="002A30FD"/>
    <w:rPr>
      <w:rFonts w:cs="Times New Roman"/>
    </w:rPr>
  </w:style>
  <w:style w:type="character" w:styleId="EndnoteReference">
    <w:name w:val="endnote reference"/>
    <w:basedOn w:val="DefaultParagraphFont"/>
    <w:uiPriority w:val="99"/>
    <w:rsid w:val="002A30FD"/>
    <w:rPr>
      <w:rFonts w:cs="Times New Roman"/>
      <w:vertAlign w:val="superscript"/>
    </w:rPr>
  </w:style>
  <w:style w:type="character" w:styleId="Emphasis">
    <w:name w:val="Emphasis"/>
    <w:basedOn w:val="DefaultParagraphFont"/>
    <w:uiPriority w:val="99"/>
    <w:qFormat/>
    <w:rsid w:val="002A30FD"/>
    <w:rPr>
      <w:rFonts w:cs="Times New Roman"/>
      <w:i/>
    </w:rPr>
  </w:style>
  <w:style w:type="character" w:customStyle="1" w:styleId="apple-converted-space">
    <w:name w:val="apple-converted-space"/>
    <w:basedOn w:val="DefaultParagraphFont"/>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Cs w:val="20"/>
    </w:rPr>
  </w:style>
  <w:style w:type="character" w:styleId="PlaceholderText">
    <w:name w:val="Placeholder Text"/>
    <w:basedOn w:val="DefaultParagraphFon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basedOn w:val="DefaultParagraphFont"/>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basedOn w:val="DefaultParagraphFont"/>
    <w:link w:val="Heading4"/>
    <w:uiPriority w:val="99"/>
    <w:locked/>
    <w:rsid w:val="00143B3D"/>
    <w:rPr>
      <w:rFonts w:cs="Times New Roman"/>
      <w:b/>
      <w:sz w:val="20"/>
      <w:szCs w:val="20"/>
    </w:rPr>
  </w:style>
  <w:style w:type="character" w:customStyle="1" w:styleId="Heading5Char1">
    <w:name w:val="Heading 5 Char1"/>
    <w:aliases w:val="Heading 5 Char Char"/>
    <w:basedOn w:val="DefaultParagraphFont"/>
    <w:link w:val="Heading5"/>
    <w:uiPriority w:val="99"/>
    <w:locked/>
    <w:rsid w:val="00143B3D"/>
    <w:rPr>
      <w:rFonts w:cs="Times New Roman"/>
      <w:b/>
      <w:sz w:val="20"/>
      <w:szCs w:val="20"/>
    </w:rPr>
  </w:style>
  <w:style w:type="character" w:customStyle="1" w:styleId="Heading6Char">
    <w:name w:val="Heading 6 Char"/>
    <w:aliases w:val="h6 Char"/>
    <w:basedOn w:val="DefaultParagraphFont"/>
    <w:link w:val="Heading6"/>
    <w:uiPriority w:val="99"/>
    <w:locked/>
    <w:rsid w:val="00143B3D"/>
    <w:rPr>
      <w:rFonts w:cs="Times New Roman"/>
      <w:b/>
      <w:sz w:val="20"/>
      <w:szCs w:val="20"/>
    </w:rPr>
  </w:style>
  <w:style w:type="character" w:customStyle="1" w:styleId="Heading7Char1">
    <w:name w:val="Heading 7 Char1"/>
    <w:aliases w:val="Heading 7 Char Char"/>
    <w:basedOn w:val="DefaultParagraphFont"/>
    <w:link w:val="Heading7"/>
    <w:uiPriority w:val="99"/>
    <w:locked/>
    <w:rsid w:val="00143B3D"/>
    <w:rPr>
      <w:rFonts w:cs="Times New Roman"/>
      <w:b/>
      <w:sz w:val="20"/>
      <w:szCs w:val="20"/>
    </w:rPr>
  </w:style>
  <w:style w:type="character" w:customStyle="1" w:styleId="Heading8Char">
    <w:name w:val="Heading 8 Char"/>
    <w:basedOn w:val="DefaultParagraphFont"/>
    <w:link w:val="Heading8"/>
    <w:uiPriority w:val="99"/>
    <w:locked/>
    <w:rsid w:val="00143B3D"/>
    <w:rPr>
      <w:rFonts w:cs="Times New Roman"/>
      <w:b/>
      <w:sz w:val="20"/>
      <w:szCs w:val="20"/>
    </w:rPr>
  </w:style>
  <w:style w:type="character" w:customStyle="1" w:styleId="Heading9Char1">
    <w:name w:val="Heading 9 Char1"/>
    <w:aliases w:val="Heading 9 Char Char"/>
    <w:basedOn w:val="DefaultParagraphFont"/>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uiPriority w:val="99"/>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tabs>
        <w:tab w:val="num" w:pos="7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basedOn w:val="DefaultParagraphFont"/>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basedOn w:val="DefaultParagraphFont"/>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basedOn w:val="DefaultParagraphFont"/>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tabs>
        <w:tab w:val="num" w:pos="720"/>
      </w:tabs>
      <w:spacing w:after="220"/>
      <w:ind w:left="72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basedOn w:val="DefaultParagraphFont"/>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basedOn w:val="DefaultParagraphFont"/>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uiPriority w:val="99"/>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basedOn w:val="DefaultParagraphFont"/>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basedOn w:val="DefaultParagraphFont"/>
    <w:uiPriority w:val="99"/>
    <w:locked/>
    <w:rsid w:val="002A30FD"/>
    <w:rPr>
      <w:rFonts w:ascii="Times New Roman" w:hAnsi="Times New Roman" w:cs="Times New Roman"/>
      <w:sz w:val="20"/>
    </w:rPr>
  </w:style>
  <w:style w:type="character" w:customStyle="1" w:styleId="CommentTextChar1">
    <w:name w:val="Comment Text Char1"/>
    <w:basedOn w:val="DefaultParagraphFont"/>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basedOn w:val="CommentTextChar1"/>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Cs w:val="20"/>
    </w:rPr>
  </w:style>
  <w:style w:type="character" w:styleId="Hyperlink">
    <w:name w:val="Hyperlink"/>
    <w:basedOn w:val="DefaultParagraphFont"/>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basedOn w:val="DefaultParagraphFont"/>
    <w:link w:val="EndnoteText"/>
    <w:uiPriority w:val="99"/>
    <w:locked/>
    <w:rsid w:val="002A30FD"/>
    <w:rPr>
      <w:rFonts w:cs="Times New Roman"/>
    </w:rPr>
  </w:style>
  <w:style w:type="character" w:styleId="EndnoteReference">
    <w:name w:val="endnote reference"/>
    <w:basedOn w:val="DefaultParagraphFont"/>
    <w:uiPriority w:val="99"/>
    <w:rsid w:val="002A30FD"/>
    <w:rPr>
      <w:rFonts w:cs="Times New Roman"/>
      <w:vertAlign w:val="superscript"/>
    </w:rPr>
  </w:style>
  <w:style w:type="character" w:styleId="Emphasis">
    <w:name w:val="Emphasis"/>
    <w:basedOn w:val="DefaultParagraphFont"/>
    <w:uiPriority w:val="99"/>
    <w:qFormat/>
    <w:rsid w:val="002A30FD"/>
    <w:rPr>
      <w:rFonts w:cs="Times New Roman"/>
      <w:i/>
    </w:rPr>
  </w:style>
  <w:style w:type="character" w:customStyle="1" w:styleId="apple-converted-space">
    <w:name w:val="apple-converted-space"/>
    <w:basedOn w:val="DefaultParagraphFont"/>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Cs w:val="20"/>
    </w:rPr>
  </w:style>
  <w:style w:type="character" w:styleId="PlaceholderText">
    <w:name w:val="Placeholder Text"/>
    <w:basedOn w:val="DefaultParagraphFon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8702">
      <w:marLeft w:val="0"/>
      <w:marRight w:val="0"/>
      <w:marTop w:val="0"/>
      <w:marBottom w:val="0"/>
      <w:divBdr>
        <w:top w:val="none" w:sz="0" w:space="0" w:color="auto"/>
        <w:left w:val="none" w:sz="0" w:space="0" w:color="auto"/>
        <w:bottom w:val="none" w:sz="0" w:space="0" w:color="auto"/>
        <w:right w:val="none" w:sz="0" w:space="0" w:color="auto"/>
      </w:divBdr>
    </w:div>
    <w:div w:id="1045448703">
      <w:marLeft w:val="0"/>
      <w:marRight w:val="0"/>
      <w:marTop w:val="0"/>
      <w:marBottom w:val="0"/>
      <w:divBdr>
        <w:top w:val="none" w:sz="0" w:space="0" w:color="auto"/>
        <w:left w:val="none" w:sz="0" w:space="0" w:color="auto"/>
        <w:bottom w:val="none" w:sz="0" w:space="0" w:color="auto"/>
        <w:right w:val="none" w:sz="0" w:space="0" w:color="auto"/>
      </w:divBdr>
    </w:div>
    <w:div w:id="1045448704">
      <w:marLeft w:val="0"/>
      <w:marRight w:val="0"/>
      <w:marTop w:val="0"/>
      <w:marBottom w:val="0"/>
      <w:divBdr>
        <w:top w:val="none" w:sz="0" w:space="0" w:color="auto"/>
        <w:left w:val="none" w:sz="0" w:space="0" w:color="auto"/>
        <w:bottom w:val="none" w:sz="0" w:space="0" w:color="auto"/>
        <w:right w:val="none" w:sz="0" w:space="0" w:color="auto"/>
      </w:divBdr>
    </w:div>
    <w:div w:id="1045448705">
      <w:marLeft w:val="0"/>
      <w:marRight w:val="0"/>
      <w:marTop w:val="0"/>
      <w:marBottom w:val="0"/>
      <w:divBdr>
        <w:top w:val="none" w:sz="0" w:space="0" w:color="auto"/>
        <w:left w:val="none" w:sz="0" w:space="0" w:color="auto"/>
        <w:bottom w:val="none" w:sz="0" w:space="0" w:color="auto"/>
        <w:right w:val="none" w:sz="0" w:space="0" w:color="auto"/>
      </w:divBdr>
    </w:div>
    <w:div w:id="1045448707">
      <w:marLeft w:val="0"/>
      <w:marRight w:val="0"/>
      <w:marTop w:val="0"/>
      <w:marBottom w:val="0"/>
      <w:divBdr>
        <w:top w:val="none" w:sz="0" w:space="0" w:color="auto"/>
        <w:left w:val="none" w:sz="0" w:space="0" w:color="auto"/>
        <w:bottom w:val="none" w:sz="0" w:space="0" w:color="auto"/>
        <w:right w:val="none" w:sz="0" w:space="0" w:color="auto"/>
      </w:divBdr>
      <w:divsChild>
        <w:div w:id="1045448706">
          <w:marLeft w:val="0"/>
          <w:marRight w:val="0"/>
          <w:marTop w:val="0"/>
          <w:marBottom w:val="0"/>
          <w:divBdr>
            <w:top w:val="none" w:sz="0" w:space="0" w:color="auto"/>
            <w:left w:val="none" w:sz="0" w:space="0" w:color="auto"/>
            <w:bottom w:val="none" w:sz="0" w:space="0" w:color="auto"/>
            <w:right w:val="none" w:sz="0" w:space="0" w:color="auto"/>
          </w:divBdr>
        </w:div>
      </w:divsChild>
    </w:div>
    <w:div w:id="1045448708">
      <w:marLeft w:val="0"/>
      <w:marRight w:val="0"/>
      <w:marTop w:val="0"/>
      <w:marBottom w:val="0"/>
      <w:divBdr>
        <w:top w:val="none" w:sz="0" w:space="0" w:color="auto"/>
        <w:left w:val="none" w:sz="0" w:space="0" w:color="auto"/>
        <w:bottom w:val="none" w:sz="0" w:space="0" w:color="auto"/>
        <w:right w:val="none" w:sz="0" w:space="0" w:color="auto"/>
      </w:divBdr>
    </w:div>
    <w:div w:id="1045448709">
      <w:marLeft w:val="0"/>
      <w:marRight w:val="0"/>
      <w:marTop w:val="0"/>
      <w:marBottom w:val="0"/>
      <w:divBdr>
        <w:top w:val="none" w:sz="0" w:space="0" w:color="auto"/>
        <w:left w:val="none" w:sz="0" w:space="0" w:color="auto"/>
        <w:bottom w:val="none" w:sz="0" w:space="0" w:color="auto"/>
        <w:right w:val="none" w:sz="0" w:space="0" w:color="auto"/>
      </w:divBdr>
    </w:div>
    <w:div w:id="1045448710">
      <w:marLeft w:val="0"/>
      <w:marRight w:val="0"/>
      <w:marTop w:val="0"/>
      <w:marBottom w:val="0"/>
      <w:divBdr>
        <w:top w:val="none" w:sz="0" w:space="0" w:color="auto"/>
        <w:left w:val="none" w:sz="0" w:space="0" w:color="auto"/>
        <w:bottom w:val="none" w:sz="0" w:space="0" w:color="auto"/>
        <w:right w:val="none" w:sz="0" w:space="0" w:color="auto"/>
      </w:divBdr>
    </w:div>
    <w:div w:id="104544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1240</Words>
  <Characters>7177</Characters>
  <Application>Microsoft Office Word</Application>
  <DocSecurity>0</DocSecurity>
  <Lines>122</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2012-05-11T21:39:00Z</cp:lastPrinted>
  <dcterms:created xsi:type="dcterms:W3CDTF">2013-05-29T16:46:00Z</dcterms:created>
  <dcterms:modified xsi:type="dcterms:W3CDTF">2013-05-29T16:46:00Z</dcterms:modified>
  <cp:category> </cp:category>
  <cp:contentStatus> </cp:contentStatus>
</cp:coreProperties>
</file>