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7C" w:rsidRDefault="00EA24FF" w:rsidP="00672DDD">
      <w:pPr>
        <w:rPr>
          <w:szCs w:val="22"/>
        </w:rPr>
      </w:pPr>
      <w:bookmarkStart w:id="0" w:name="_GoBack"/>
      <w:bookmarkEnd w:id="0"/>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921E3F" w:rsidRPr="00490140" w:rsidRDefault="004F0B7C" w:rsidP="00672DDD">
      <w:pPr>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206A1" w:rsidRPr="00490140">
        <w:rPr>
          <w:b/>
          <w:szCs w:val="22"/>
        </w:rPr>
        <w:t xml:space="preserve">DA </w:t>
      </w:r>
      <w:r w:rsidR="00BA2124" w:rsidRPr="00BA2124">
        <w:rPr>
          <w:b/>
          <w:szCs w:val="22"/>
        </w:rPr>
        <w:t>13-1132</w:t>
      </w:r>
    </w:p>
    <w:p w:rsidR="00BB204B" w:rsidRPr="00BB204B" w:rsidRDefault="00921E3F" w:rsidP="00BB204B">
      <w:pPr>
        <w:rPr>
          <w:i/>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B204B" w:rsidRPr="00BB204B">
        <w:rPr>
          <w:i/>
          <w:szCs w:val="22"/>
        </w:rPr>
        <w:t xml:space="preserve">In Reply Refer to:  </w:t>
      </w:r>
    </w:p>
    <w:p w:rsidR="00BB204B" w:rsidRDefault="00BB204B" w:rsidP="00BB204B">
      <w:pPr>
        <w:rPr>
          <w:szCs w:val="22"/>
        </w:rPr>
      </w:pP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szCs w:val="22"/>
        </w:rPr>
        <w:t>1800B3-SS</w:t>
      </w:r>
    </w:p>
    <w:p w:rsidR="00C206A1" w:rsidRDefault="00C206A1" w:rsidP="00BB204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Released: </w:t>
      </w:r>
      <w:r w:rsidR="00FC61A9">
        <w:rPr>
          <w:szCs w:val="22"/>
        </w:rPr>
        <w:t>May 17, 2013</w:t>
      </w:r>
    </w:p>
    <w:p w:rsidR="00BB204B" w:rsidRDefault="00EA24FF" w:rsidP="00BB204B">
      <w:pPr>
        <w:rPr>
          <w:sz w:val="22"/>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5F1A71" w:rsidRDefault="00921E3F" w:rsidP="00BB204B">
      <w:pPr>
        <w:rPr>
          <w:sz w:val="22"/>
          <w:szCs w:val="22"/>
        </w:rPr>
      </w:pPr>
      <w:r>
        <w:rPr>
          <w:sz w:val="22"/>
          <w:szCs w:val="22"/>
        </w:rPr>
        <w:t>Mr. Gerald R. Proctor</w:t>
      </w:r>
    </w:p>
    <w:p w:rsidR="00921E3F" w:rsidRDefault="00921E3F" w:rsidP="00BB204B">
      <w:pPr>
        <w:rPr>
          <w:sz w:val="22"/>
          <w:szCs w:val="22"/>
        </w:rPr>
      </w:pPr>
      <w:r>
        <w:rPr>
          <w:sz w:val="22"/>
          <w:szCs w:val="22"/>
        </w:rPr>
        <w:t>137 Magnolia Bend Drive</w:t>
      </w:r>
    </w:p>
    <w:p w:rsidR="00BB204B" w:rsidRPr="00BB204B" w:rsidRDefault="00921E3F" w:rsidP="00BB204B">
      <w:pPr>
        <w:rPr>
          <w:sz w:val="22"/>
          <w:szCs w:val="22"/>
        </w:rPr>
      </w:pPr>
      <w:r>
        <w:rPr>
          <w:sz w:val="22"/>
          <w:szCs w:val="22"/>
        </w:rPr>
        <w:t>Livingston, TX  77351</w:t>
      </w:r>
    </w:p>
    <w:p w:rsidR="00BB204B" w:rsidRPr="00BB204B" w:rsidRDefault="00BB204B" w:rsidP="00BB204B">
      <w:pPr>
        <w:rPr>
          <w:sz w:val="22"/>
          <w:szCs w:val="22"/>
        </w:rPr>
      </w:pPr>
    </w:p>
    <w:p w:rsidR="009453E2" w:rsidRPr="009453E2" w:rsidRDefault="00BB204B" w:rsidP="009453E2">
      <w:pPr>
        <w:rPr>
          <w:bCs/>
          <w:sz w:val="22"/>
          <w:szCs w:val="22"/>
          <w:lang w:val="es-ES"/>
        </w:rPr>
      </w:pPr>
      <w:r w:rsidRPr="00BB204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B204B">
        <w:rPr>
          <w:b/>
          <w:bCs/>
          <w:sz w:val="22"/>
          <w:szCs w:val="22"/>
          <w:lang w:val="es-ES"/>
        </w:rPr>
        <w:t xml:space="preserve">In re:  </w:t>
      </w:r>
      <w:r>
        <w:rPr>
          <w:b/>
          <w:bCs/>
          <w:sz w:val="22"/>
          <w:szCs w:val="22"/>
          <w:lang w:val="es-ES"/>
        </w:rPr>
        <w:t xml:space="preserve"> </w:t>
      </w:r>
      <w:r w:rsidR="009453E2" w:rsidRPr="009453E2">
        <w:rPr>
          <w:b/>
          <w:bCs/>
          <w:sz w:val="22"/>
          <w:szCs w:val="22"/>
          <w:lang w:val="es-ES"/>
        </w:rPr>
        <w:t>NEW FM T</w:t>
      </w:r>
      <w:r w:rsidR="003F3D53">
        <w:rPr>
          <w:b/>
          <w:bCs/>
          <w:sz w:val="22"/>
          <w:szCs w:val="22"/>
          <w:lang w:val="es-ES"/>
        </w:rPr>
        <w:t>ranslator</w:t>
      </w:r>
      <w:r w:rsidR="006A1BC8">
        <w:rPr>
          <w:b/>
          <w:bCs/>
          <w:sz w:val="22"/>
          <w:szCs w:val="22"/>
          <w:lang w:val="es-ES"/>
        </w:rPr>
        <w:t xml:space="preserve"> </w:t>
      </w:r>
      <w:r w:rsidR="009453E2" w:rsidRPr="009453E2">
        <w:rPr>
          <w:b/>
          <w:bCs/>
          <w:sz w:val="22"/>
          <w:szCs w:val="22"/>
          <w:lang w:val="es-ES"/>
        </w:rPr>
        <w:t>S</w:t>
      </w:r>
      <w:r w:rsidR="003F3D53">
        <w:rPr>
          <w:b/>
          <w:bCs/>
          <w:sz w:val="22"/>
          <w:szCs w:val="22"/>
          <w:lang w:val="es-ES"/>
        </w:rPr>
        <w:t>tation</w:t>
      </w:r>
      <w:r w:rsidR="009453E2" w:rsidRPr="009453E2">
        <w:rPr>
          <w:b/>
          <w:bCs/>
          <w:sz w:val="22"/>
          <w:szCs w:val="22"/>
          <w:lang w:val="es-ES"/>
        </w:rPr>
        <w:t xml:space="preserve">, </w:t>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6A1BC8">
        <w:rPr>
          <w:b/>
          <w:bCs/>
          <w:sz w:val="22"/>
          <w:szCs w:val="22"/>
          <w:lang w:val="es-ES"/>
        </w:rPr>
        <w:tab/>
      </w:r>
      <w:r w:rsidR="006A1BC8">
        <w:rPr>
          <w:b/>
          <w:bCs/>
          <w:sz w:val="22"/>
          <w:szCs w:val="22"/>
          <w:lang w:val="es-ES"/>
        </w:rPr>
        <w:tab/>
      </w:r>
      <w:r w:rsidR="00921E3F">
        <w:rPr>
          <w:b/>
          <w:bCs/>
          <w:sz w:val="22"/>
          <w:szCs w:val="22"/>
          <w:lang w:val="es-ES"/>
        </w:rPr>
        <w:t>Willis, TX</w:t>
      </w:r>
      <w:r w:rsidR="009453E2" w:rsidRPr="009453E2">
        <w:rPr>
          <w:b/>
          <w:bCs/>
          <w:sz w:val="22"/>
          <w:szCs w:val="22"/>
          <w:lang w:val="es-ES"/>
        </w:rPr>
        <w:tab/>
      </w:r>
    </w:p>
    <w:p w:rsidR="009453E2" w:rsidRPr="009453E2" w:rsidRDefault="009453E2" w:rsidP="009453E2">
      <w:pPr>
        <w:rPr>
          <w:bCs/>
          <w:sz w:val="22"/>
          <w:szCs w:val="22"/>
          <w:lang w:val="es-ES"/>
        </w:rPr>
      </w:pP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t xml:space="preserve">Facility ID No. </w:t>
      </w:r>
      <w:r w:rsidR="00921E3F">
        <w:rPr>
          <w:bCs/>
          <w:sz w:val="22"/>
          <w:szCs w:val="22"/>
          <w:lang w:val="es-ES"/>
        </w:rPr>
        <w:t>150776</w:t>
      </w:r>
    </w:p>
    <w:p w:rsidR="009453E2" w:rsidRDefault="009453E2" w:rsidP="00BB204B">
      <w:pPr>
        <w:rPr>
          <w:b/>
          <w:bCs/>
          <w:sz w:val="22"/>
          <w:szCs w:val="22"/>
          <w:lang w:val="es-ES"/>
        </w:rPr>
      </w:pP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t>File No. BNPFT-2003031</w:t>
      </w:r>
      <w:r w:rsidR="00921E3F">
        <w:rPr>
          <w:bCs/>
          <w:sz w:val="22"/>
          <w:szCs w:val="22"/>
          <w:lang w:val="es-ES"/>
        </w:rPr>
        <w:t>7AGP</w:t>
      </w:r>
      <w:r w:rsidRPr="009453E2">
        <w:rPr>
          <w:bCs/>
          <w:sz w:val="22"/>
          <w:szCs w:val="22"/>
          <w:lang w:val="es-ES"/>
        </w:rPr>
        <w:tab/>
      </w:r>
    </w:p>
    <w:p w:rsidR="009453E2" w:rsidRDefault="009453E2" w:rsidP="00BB204B">
      <w:pPr>
        <w:rPr>
          <w:b/>
          <w:bCs/>
          <w:sz w:val="22"/>
          <w:szCs w:val="22"/>
          <w:lang w:val="es-ES"/>
        </w:rPr>
      </w:pPr>
    </w:p>
    <w:p w:rsidR="005F1A71" w:rsidRDefault="009453E2" w:rsidP="00BB204B">
      <w:pPr>
        <w:rPr>
          <w:b/>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005F1A71">
        <w:rPr>
          <w:b/>
          <w:bCs/>
          <w:sz w:val="22"/>
          <w:szCs w:val="22"/>
          <w:lang w:val="es-ES"/>
        </w:rPr>
        <w:t>NEW FM T</w:t>
      </w:r>
      <w:r w:rsidR="003F3D53">
        <w:rPr>
          <w:b/>
          <w:bCs/>
          <w:sz w:val="22"/>
          <w:szCs w:val="22"/>
          <w:lang w:val="es-ES"/>
        </w:rPr>
        <w:t>ranslator</w:t>
      </w:r>
      <w:r w:rsidR="005F1A71">
        <w:rPr>
          <w:b/>
          <w:bCs/>
          <w:sz w:val="22"/>
          <w:szCs w:val="22"/>
          <w:lang w:val="es-ES"/>
        </w:rPr>
        <w:t xml:space="preserve"> S</w:t>
      </w:r>
      <w:r w:rsidR="003F3D53">
        <w:rPr>
          <w:b/>
          <w:bCs/>
          <w:sz w:val="22"/>
          <w:szCs w:val="22"/>
          <w:lang w:val="es-ES"/>
        </w:rPr>
        <w:t>tation</w:t>
      </w:r>
      <w:r w:rsidR="005F1A71">
        <w:rPr>
          <w:b/>
          <w:bCs/>
          <w:sz w:val="22"/>
          <w:szCs w:val="22"/>
          <w:lang w:val="es-ES"/>
        </w:rPr>
        <w:t xml:space="preserve">, </w:t>
      </w:r>
    </w:p>
    <w:p w:rsidR="00BB204B" w:rsidRPr="00BB204B" w:rsidRDefault="005F1A71" w:rsidP="00197B0B">
      <w:pPr>
        <w:rPr>
          <w:b/>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00921E3F">
        <w:rPr>
          <w:b/>
          <w:bCs/>
          <w:sz w:val="22"/>
          <w:szCs w:val="22"/>
          <w:lang w:val="es-ES"/>
        </w:rPr>
        <w:t>Cleveland, TX</w:t>
      </w:r>
    </w:p>
    <w:p w:rsidR="00BB204B" w:rsidRPr="00BB204B" w:rsidRDefault="00BB204B" w:rsidP="00BB204B">
      <w:pPr>
        <w:rPr>
          <w:bCs/>
          <w:sz w:val="22"/>
          <w:szCs w:val="22"/>
          <w:lang w:val="es-ES"/>
        </w:rPr>
      </w:pPr>
      <w:r w:rsidRPr="00BB204B">
        <w:rPr>
          <w:b/>
          <w:bCs/>
          <w:sz w:val="22"/>
          <w:szCs w:val="22"/>
          <w:lang w:val="es-ES"/>
        </w:rPr>
        <w:tab/>
      </w:r>
      <w:r w:rsidRPr="00BB204B">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Pr="00BB204B">
        <w:rPr>
          <w:bCs/>
          <w:sz w:val="22"/>
          <w:szCs w:val="22"/>
          <w:lang w:val="es-ES"/>
        </w:rPr>
        <w:t xml:space="preserve">Facility ID No. </w:t>
      </w:r>
      <w:r w:rsidR="00921E3F">
        <w:rPr>
          <w:bCs/>
          <w:sz w:val="22"/>
          <w:szCs w:val="22"/>
          <w:lang w:val="es-ES"/>
        </w:rPr>
        <w:t>150748</w:t>
      </w:r>
    </w:p>
    <w:p w:rsidR="00BB204B" w:rsidRDefault="00BB204B" w:rsidP="00BB204B">
      <w:pPr>
        <w:rPr>
          <w:bCs/>
          <w:sz w:val="22"/>
          <w:szCs w:val="22"/>
          <w:lang w:val="es-ES"/>
        </w:rPr>
      </w:pPr>
      <w:r w:rsidRPr="00BB204B">
        <w:rPr>
          <w:bCs/>
          <w:sz w:val="22"/>
          <w:szCs w:val="22"/>
          <w:lang w:val="es-ES"/>
        </w:rPr>
        <w:tab/>
      </w:r>
      <w:r w:rsidRPr="00BB204B">
        <w:rPr>
          <w:bCs/>
          <w:sz w:val="22"/>
          <w:szCs w:val="22"/>
          <w:lang w:val="es-ES"/>
        </w:rPr>
        <w:tab/>
      </w:r>
      <w:r>
        <w:rPr>
          <w:bCs/>
          <w:sz w:val="22"/>
          <w:szCs w:val="22"/>
          <w:lang w:val="es-ES"/>
        </w:rPr>
        <w:tab/>
      </w:r>
      <w:r>
        <w:rPr>
          <w:bCs/>
          <w:sz w:val="22"/>
          <w:szCs w:val="22"/>
          <w:lang w:val="es-ES"/>
        </w:rPr>
        <w:tab/>
      </w:r>
      <w:r>
        <w:rPr>
          <w:bCs/>
          <w:sz w:val="22"/>
          <w:szCs w:val="22"/>
          <w:lang w:val="es-ES"/>
        </w:rPr>
        <w:tab/>
      </w:r>
      <w:r>
        <w:rPr>
          <w:bCs/>
          <w:sz w:val="22"/>
          <w:szCs w:val="22"/>
          <w:lang w:val="es-ES"/>
        </w:rPr>
        <w:tab/>
      </w:r>
      <w:r>
        <w:rPr>
          <w:bCs/>
          <w:sz w:val="22"/>
          <w:szCs w:val="22"/>
          <w:lang w:val="es-ES"/>
        </w:rPr>
        <w:tab/>
      </w:r>
      <w:r w:rsidRPr="00BB204B">
        <w:rPr>
          <w:bCs/>
          <w:sz w:val="22"/>
          <w:szCs w:val="22"/>
          <w:lang w:val="es-ES"/>
        </w:rPr>
        <w:t xml:space="preserve">File No. </w:t>
      </w:r>
      <w:r w:rsidR="00197B0B">
        <w:rPr>
          <w:bCs/>
          <w:sz w:val="22"/>
          <w:szCs w:val="22"/>
          <w:lang w:val="es-ES"/>
        </w:rPr>
        <w:t>BNPFT</w:t>
      </w:r>
      <w:r w:rsidRPr="00BB204B">
        <w:rPr>
          <w:bCs/>
          <w:sz w:val="22"/>
          <w:szCs w:val="22"/>
          <w:lang w:val="es-ES"/>
        </w:rPr>
        <w:t>-20</w:t>
      </w:r>
      <w:r w:rsidR="00197B0B">
        <w:rPr>
          <w:bCs/>
          <w:sz w:val="22"/>
          <w:szCs w:val="22"/>
          <w:lang w:val="es-ES"/>
        </w:rPr>
        <w:t>03031</w:t>
      </w:r>
      <w:r w:rsidR="00921E3F">
        <w:rPr>
          <w:bCs/>
          <w:sz w:val="22"/>
          <w:szCs w:val="22"/>
          <w:lang w:val="es-ES"/>
        </w:rPr>
        <w:t>7AGA</w:t>
      </w:r>
    </w:p>
    <w:p w:rsidR="00BB204B" w:rsidRPr="00BB204B" w:rsidRDefault="00BB204B" w:rsidP="00BB204B">
      <w:pPr>
        <w:rPr>
          <w:sz w:val="22"/>
          <w:szCs w:val="22"/>
        </w:rPr>
      </w:pPr>
    </w:p>
    <w:p w:rsidR="00FD37E6" w:rsidRPr="00921E3F" w:rsidRDefault="00BB204B" w:rsidP="00FD37E6">
      <w:pPr>
        <w:rPr>
          <w:b/>
          <w:sz w:val="22"/>
          <w:szCs w:val="22"/>
        </w:rPr>
      </w:pPr>
      <w:r w:rsidRPr="00BB204B">
        <w:rPr>
          <w:sz w:val="22"/>
          <w:szCs w:val="22"/>
        </w:rPr>
        <w:tab/>
      </w:r>
      <w:r w:rsidRPr="00BB204B">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21E3F" w:rsidRPr="00921E3F">
        <w:rPr>
          <w:b/>
          <w:sz w:val="22"/>
          <w:szCs w:val="22"/>
        </w:rPr>
        <w:t>Petition</w:t>
      </w:r>
      <w:r w:rsidR="009E73F8">
        <w:rPr>
          <w:b/>
          <w:sz w:val="22"/>
          <w:szCs w:val="22"/>
        </w:rPr>
        <w:t>s</w:t>
      </w:r>
      <w:r w:rsidR="00921E3F" w:rsidRPr="00921E3F">
        <w:rPr>
          <w:b/>
          <w:sz w:val="22"/>
          <w:szCs w:val="22"/>
        </w:rPr>
        <w:t xml:space="preserve"> for Reconsideration</w:t>
      </w:r>
      <w:r w:rsidR="0056462E" w:rsidRPr="00921E3F">
        <w:rPr>
          <w:b/>
          <w:sz w:val="22"/>
          <w:szCs w:val="22"/>
        </w:rPr>
        <w:t xml:space="preserve"> </w:t>
      </w:r>
    </w:p>
    <w:p w:rsidR="00BB204B" w:rsidRPr="00BB204B" w:rsidRDefault="00BB204B" w:rsidP="00BB204B">
      <w:pPr>
        <w:rPr>
          <w:sz w:val="22"/>
          <w:szCs w:val="22"/>
        </w:rPr>
      </w:pPr>
    </w:p>
    <w:p w:rsidR="00BB204B" w:rsidRDefault="00BB204B" w:rsidP="00BB204B">
      <w:pPr>
        <w:rPr>
          <w:sz w:val="22"/>
          <w:szCs w:val="22"/>
        </w:rPr>
      </w:pPr>
      <w:r w:rsidRPr="00BB204B">
        <w:rPr>
          <w:sz w:val="22"/>
          <w:szCs w:val="22"/>
        </w:rPr>
        <w:t>Dear M</w:t>
      </w:r>
      <w:r w:rsidR="00921E3F">
        <w:rPr>
          <w:sz w:val="22"/>
          <w:szCs w:val="22"/>
        </w:rPr>
        <w:t>r</w:t>
      </w:r>
      <w:r w:rsidRPr="00BB204B">
        <w:rPr>
          <w:sz w:val="22"/>
          <w:szCs w:val="22"/>
        </w:rPr>
        <w:t xml:space="preserve">. </w:t>
      </w:r>
      <w:r w:rsidR="00921E3F">
        <w:rPr>
          <w:sz w:val="22"/>
          <w:szCs w:val="22"/>
        </w:rPr>
        <w:t>Proctor</w:t>
      </w:r>
      <w:r w:rsidRPr="00BB204B">
        <w:rPr>
          <w:sz w:val="22"/>
          <w:szCs w:val="22"/>
        </w:rPr>
        <w:t>:</w:t>
      </w:r>
    </w:p>
    <w:p w:rsidR="00197B0B" w:rsidRPr="00BB204B" w:rsidRDefault="00197B0B" w:rsidP="00BB204B">
      <w:pPr>
        <w:rPr>
          <w:sz w:val="22"/>
          <w:szCs w:val="22"/>
        </w:rPr>
      </w:pPr>
    </w:p>
    <w:p w:rsidR="00BB204B" w:rsidRPr="00BB204B" w:rsidRDefault="00BB204B" w:rsidP="00BB204B">
      <w:pPr>
        <w:rPr>
          <w:sz w:val="22"/>
          <w:szCs w:val="22"/>
        </w:rPr>
      </w:pPr>
      <w:r w:rsidRPr="00BB204B">
        <w:rPr>
          <w:sz w:val="22"/>
          <w:szCs w:val="22"/>
        </w:rPr>
        <w:tab/>
        <w:t xml:space="preserve">This letter concerns the </w:t>
      </w:r>
      <w:r w:rsidR="009453E2">
        <w:rPr>
          <w:sz w:val="22"/>
          <w:szCs w:val="22"/>
        </w:rPr>
        <w:t xml:space="preserve">March </w:t>
      </w:r>
      <w:r w:rsidR="00921E3F">
        <w:rPr>
          <w:sz w:val="22"/>
          <w:szCs w:val="22"/>
        </w:rPr>
        <w:t>17</w:t>
      </w:r>
      <w:r w:rsidR="009453E2">
        <w:rPr>
          <w:sz w:val="22"/>
          <w:szCs w:val="22"/>
        </w:rPr>
        <w:t>, 2003</w:t>
      </w:r>
      <w:r w:rsidRPr="00BB204B">
        <w:rPr>
          <w:sz w:val="22"/>
          <w:szCs w:val="22"/>
        </w:rPr>
        <w:t>, application</w:t>
      </w:r>
      <w:r w:rsidR="005D27F0">
        <w:rPr>
          <w:sz w:val="22"/>
          <w:szCs w:val="22"/>
        </w:rPr>
        <w:t>s</w:t>
      </w:r>
      <w:r w:rsidRPr="00BB204B">
        <w:rPr>
          <w:sz w:val="22"/>
          <w:szCs w:val="22"/>
        </w:rPr>
        <w:t xml:space="preserve"> (“</w:t>
      </w:r>
      <w:r w:rsidR="00921E3F">
        <w:rPr>
          <w:sz w:val="22"/>
          <w:szCs w:val="22"/>
        </w:rPr>
        <w:t>Willis</w:t>
      </w:r>
      <w:r w:rsidR="009453E2">
        <w:rPr>
          <w:sz w:val="22"/>
          <w:szCs w:val="22"/>
        </w:rPr>
        <w:t xml:space="preserve"> </w:t>
      </w:r>
      <w:r w:rsidRPr="00BB204B">
        <w:rPr>
          <w:sz w:val="22"/>
          <w:szCs w:val="22"/>
        </w:rPr>
        <w:t>Application”</w:t>
      </w:r>
      <w:r w:rsidR="005D27F0">
        <w:rPr>
          <w:sz w:val="22"/>
          <w:szCs w:val="22"/>
        </w:rPr>
        <w:t xml:space="preserve"> and “</w:t>
      </w:r>
      <w:r w:rsidR="00921E3F">
        <w:rPr>
          <w:sz w:val="22"/>
          <w:szCs w:val="22"/>
        </w:rPr>
        <w:t>Cleveland</w:t>
      </w:r>
      <w:r w:rsidR="005D27F0">
        <w:rPr>
          <w:sz w:val="22"/>
          <w:szCs w:val="22"/>
        </w:rPr>
        <w:t xml:space="preserve"> Application,” respectively</w:t>
      </w:r>
      <w:r w:rsidRPr="00BB204B">
        <w:rPr>
          <w:sz w:val="22"/>
          <w:szCs w:val="22"/>
        </w:rPr>
        <w:t xml:space="preserve">) filed by </w:t>
      </w:r>
      <w:r w:rsidR="00921E3F">
        <w:rPr>
          <w:sz w:val="22"/>
          <w:szCs w:val="22"/>
        </w:rPr>
        <w:t>Gerald R. Proctor</w:t>
      </w:r>
      <w:r w:rsidR="009453E2">
        <w:rPr>
          <w:sz w:val="22"/>
          <w:szCs w:val="22"/>
        </w:rPr>
        <w:t xml:space="preserve"> </w:t>
      </w:r>
      <w:r w:rsidRPr="00BB204B">
        <w:rPr>
          <w:sz w:val="22"/>
          <w:szCs w:val="22"/>
        </w:rPr>
        <w:t>(“</w:t>
      </w:r>
      <w:r w:rsidR="00921E3F">
        <w:rPr>
          <w:sz w:val="22"/>
          <w:szCs w:val="22"/>
        </w:rPr>
        <w:t>Proctor</w:t>
      </w:r>
      <w:r w:rsidRPr="00BB204B">
        <w:rPr>
          <w:sz w:val="22"/>
          <w:szCs w:val="22"/>
        </w:rPr>
        <w:t xml:space="preserve">”) </w:t>
      </w:r>
      <w:r w:rsidR="009453E2">
        <w:rPr>
          <w:sz w:val="22"/>
          <w:szCs w:val="22"/>
        </w:rPr>
        <w:t>for construction permit</w:t>
      </w:r>
      <w:r w:rsidR="005D27F0">
        <w:rPr>
          <w:sz w:val="22"/>
          <w:szCs w:val="22"/>
        </w:rPr>
        <w:t>s</w:t>
      </w:r>
      <w:r w:rsidR="009453E2">
        <w:rPr>
          <w:sz w:val="22"/>
          <w:szCs w:val="22"/>
        </w:rPr>
        <w:t xml:space="preserve"> for new FM </w:t>
      </w:r>
      <w:r w:rsidR="00174F90">
        <w:rPr>
          <w:sz w:val="22"/>
          <w:szCs w:val="22"/>
        </w:rPr>
        <w:t>t</w:t>
      </w:r>
      <w:r w:rsidR="009453E2">
        <w:rPr>
          <w:sz w:val="22"/>
          <w:szCs w:val="22"/>
        </w:rPr>
        <w:t xml:space="preserve">ranslator </w:t>
      </w:r>
      <w:r w:rsidR="00174F90">
        <w:rPr>
          <w:sz w:val="22"/>
          <w:szCs w:val="22"/>
        </w:rPr>
        <w:t>s</w:t>
      </w:r>
      <w:r w:rsidR="009453E2">
        <w:rPr>
          <w:sz w:val="22"/>
          <w:szCs w:val="22"/>
        </w:rPr>
        <w:t>tation</w:t>
      </w:r>
      <w:r w:rsidR="005D27F0">
        <w:rPr>
          <w:sz w:val="22"/>
          <w:szCs w:val="22"/>
        </w:rPr>
        <w:t>s</w:t>
      </w:r>
      <w:r w:rsidR="009453E2">
        <w:rPr>
          <w:sz w:val="22"/>
          <w:szCs w:val="22"/>
        </w:rPr>
        <w:t xml:space="preserve"> at </w:t>
      </w:r>
      <w:r w:rsidR="00921E3F">
        <w:rPr>
          <w:sz w:val="22"/>
          <w:szCs w:val="22"/>
        </w:rPr>
        <w:t>Willis and Cleveland</w:t>
      </w:r>
      <w:r w:rsidR="009453E2">
        <w:rPr>
          <w:sz w:val="22"/>
          <w:szCs w:val="22"/>
        </w:rPr>
        <w:t>,</w:t>
      </w:r>
      <w:r w:rsidR="005D27F0">
        <w:rPr>
          <w:sz w:val="22"/>
          <w:szCs w:val="22"/>
        </w:rPr>
        <w:t xml:space="preserve"> </w:t>
      </w:r>
      <w:r w:rsidR="00921E3F">
        <w:rPr>
          <w:sz w:val="22"/>
          <w:szCs w:val="22"/>
        </w:rPr>
        <w:t>Texas</w:t>
      </w:r>
      <w:r w:rsidR="003F3D53">
        <w:rPr>
          <w:sz w:val="22"/>
          <w:szCs w:val="22"/>
        </w:rPr>
        <w:t>.  The staff dismissed the Willis and Cleveland Applications</w:t>
      </w:r>
      <w:r w:rsidR="00DE515B">
        <w:rPr>
          <w:sz w:val="22"/>
          <w:szCs w:val="22"/>
        </w:rPr>
        <w:t xml:space="preserve"> on Feb</w:t>
      </w:r>
      <w:r w:rsidR="00F51DF3">
        <w:rPr>
          <w:sz w:val="22"/>
          <w:szCs w:val="22"/>
        </w:rPr>
        <w:t>ruary 15, 2013</w:t>
      </w:r>
      <w:r w:rsidR="003F3D53">
        <w:rPr>
          <w:sz w:val="22"/>
          <w:szCs w:val="22"/>
        </w:rPr>
        <w:t>.</w:t>
      </w:r>
      <w:r w:rsidR="00DE515B" w:rsidRPr="00DE515B">
        <w:rPr>
          <w:sz w:val="22"/>
          <w:szCs w:val="22"/>
          <w:vertAlign w:val="superscript"/>
        </w:rPr>
        <w:footnoteReference w:id="2"/>
      </w:r>
      <w:r w:rsidR="00DA4596">
        <w:rPr>
          <w:sz w:val="22"/>
          <w:szCs w:val="22"/>
        </w:rPr>
        <w:t xml:space="preserve"> </w:t>
      </w:r>
      <w:r w:rsidR="003F3D53">
        <w:rPr>
          <w:sz w:val="22"/>
          <w:szCs w:val="22"/>
        </w:rPr>
        <w:t xml:space="preserve"> In response, </w:t>
      </w:r>
      <w:r w:rsidR="00921E3F">
        <w:rPr>
          <w:sz w:val="22"/>
          <w:szCs w:val="22"/>
        </w:rPr>
        <w:t>Proctor</w:t>
      </w:r>
      <w:r w:rsidR="003F3D53">
        <w:rPr>
          <w:sz w:val="22"/>
          <w:szCs w:val="22"/>
        </w:rPr>
        <w:t xml:space="preserve"> filed </w:t>
      </w:r>
      <w:r w:rsidR="00DE515B">
        <w:rPr>
          <w:sz w:val="22"/>
          <w:szCs w:val="22"/>
        </w:rPr>
        <w:t xml:space="preserve">two </w:t>
      </w:r>
      <w:r w:rsidR="00E519D5">
        <w:rPr>
          <w:sz w:val="22"/>
          <w:szCs w:val="22"/>
        </w:rPr>
        <w:t>March 11, 2013</w:t>
      </w:r>
      <w:r w:rsidRPr="00BB204B">
        <w:rPr>
          <w:sz w:val="22"/>
          <w:szCs w:val="22"/>
        </w:rPr>
        <w:t xml:space="preserve">, </w:t>
      </w:r>
      <w:r w:rsidR="00E519D5">
        <w:rPr>
          <w:sz w:val="22"/>
          <w:szCs w:val="22"/>
        </w:rPr>
        <w:t>Petitions for Reconsideration (collectively, the “Petition</w:t>
      </w:r>
      <w:r w:rsidR="00A44B7C">
        <w:rPr>
          <w:sz w:val="22"/>
          <w:szCs w:val="22"/>
        </w:rPr>
        <w:t>s</w:t>
      </w:r>
      <w:r w:rsidR="00E519D5">
        <w:rPr>
          <w:sz w:val="22"/>
          <w:szCs w:val="22"/>
        </w:rPr>
        <w:t>”)</w:t>
      </w:r>
      <w:r w:rsidR="00EA3C60">
        <w:rPr>
          <w:sz w:val="22"/>
          <w:szCs w:val="22"/>
        </w:rPr>
        <w:t>, seeking</w:t>
      </w:r>
      <w:r w:rsidR="00E519D5">
        <w:rPr>
          <w:sz w:val="22"/>
          <w:szCs w:val="22"/>
        </w:rPr>
        <w:t xml:space="preserve"> reinstatement of the Willis and Cleveland Applications</w:t>
      </w:r>
      <w:r w:rsidR="00DE515B">
        <w:rPr>
          <w:sz w:val="22"/>
          <w:szCs w:val="22"/>
        </w:rPr>
        <w:t xml:space="preserve">.  </w:t>
      </w:r>
      <w:r w:rsidRPr="00BB204B">
        <w:rPr>
          <w:sz w:val="22"/>
          <w:szCs w:val="22"/>
        </w:rPr>
        <w:t xml:space="preserve">For the reasons set forth below, we deny </w:t>
      </w:r>
      <w:r w:rsidR="00AD242D">
        <w:rPr>
          <w:sz w:val="22"/>
          <w:szCs w:val="22"/>
        </w:rPr>
        <w:t>the</w:t>
      </w:r>
      <w:r w:rsidR="00E519D5">
        <w:rPr>
          <w:sz w:val="22"/>
          <w:szCs w:val="22"/>
        </w:rPr>
        <w:t xml:space="preserve"> Petition</w:t>
      </w:r>
      <w:r w:rsidR="00AD242D">
        <w:rPr>
          <w:sz w:val="22"/>
          <w:szCs w:val="22"/>
        </w:rPr>
        <w:t>s.</w:t>
      </w:r>
      <w:r w:rsidRPr="00BB204B">
        <w:rPr>
          <w:sz w:val="22"/>
          <w:szCs w:val="22"/>
        </w:rPr>
        <w:t xml:space="preserve">  </w:t>
      </w:r>
    </w:p>
    <w:p w:rsidR="00BB204B" w:rsidRPr="00BB204B" w:rsidRDefault="00BB204B" w:rsidP="00BB204B">
      <w:pPr>
        <w:rPr>
          <w:sz w:val="22"/>
          <w:szCs w:val="22"/>
        </w:rPr>
      </w:pPr>
    </w:p>
    <w:p w:rsidR="00DE515B" w:rsidRDefault="00BB204B" w:rsidP="00BB204B">
      <w:pPr>
        <w:rPr>
          <w:sz w:val="22"/>
          <w:szCs w:val="22"/>
        </w:rPr>
      </w:pPr>
      <w:r w:rsidRPr="00BB204B">
        <w:rPr>
          <w:sz w:val="22"/>
          <w:szCs w:val="22"/>
        </w:rPr>
        <w:t xml:space="preserve"> </w:t>
      </w:r>
      <w:r w:rsidRPr="00BB204B">
        <w:rPr>
          <w:sz w:val="22"/>
          <w:szCs w:val="22"/>
        </w:rPr>
        <w:tab/>
      </w:r>
      <w:r w:rsidRPr="00BB204B">
        <w:rPr>
          <w:b/>
          <w:sz w:val="22"/>
          <w:szCs w:val="22"/>
        </w:rPr>
        <w:t>Background</w:t>
      </w:r>
      <w:r w:rsidRPr="00BB204B">
        <w:rPr>
          <w:sz w:val="22"/>
          <w:szCs w:val="22"/>
        </w:rPr>
        <w:t xml:space="preserve">.  </w:t>
      </w:r>
      <w:r w:rsidR="00A8721A">
        <w:rPr>
          <w:sz w:val="22"/>
          <w:szCs w:val="22"/>
        </w:rPr>
        <w:t xml:space="preserve">The </w:t>
      </w:r>
      <w:r w:rsidR="00E519D5">
        <w:rPr>
          <w:sz w:val="22"/>
          <w:szCs w:val="22"/>
        </w:rPr>
        <w:t xml:space="preserve">Willis </w:t>
      </w:r>
      <w:r w:rsidR="00A8721A">
        <w:rPr>
          <w:sz w:val="22"/>
          <w:szCs w:val="22"/>
        </w:rPr>
        <w:t xml:space="preserve">and </w:t>
      </w:r>
      <w:r w:rsidR="00E519D5">
        <w:rPr>
          <w:sz w:val="22"/>
          <w:szCs w:val="22"/>
        </w:rPr>
        <w:t>Cleveland</w:t>
      </w:r>
      <w:r w:rsidR="00A8721A">
        <w:rPr>
          <w:sz w:val="22"/>
          <w:szCs w:val="22"/>
        </w:rPr>
        <w:t xml:space="preserve"> Applications</w:t>
      </w:r>
      <w:r w:rsidR="00E90CE2">
        <w:rPr>
          <w:sz w:val="22"/>
          <w:szCs w:val="22"/>
        </w:rPr>
        <w:t xml:space="preserve"> were</w:t>
      </w:r>
      <w:r w:rsidR="00C255F2">
        <w:rPr>
          <w:sz w:val="22"/>
          <w:szCs w:val="22"/>
        </w:rPr>
        <w:t xml:space="preserve"> filed in the </w:t>
      </w:r>
      <w:r w:rsidR="00BC5999">
        <w:rPr>
          <w:sz w:val="22"/>
          <w:szCs w:val="22"/>
        </w:rPr>
        <w:t xml:space="preserve">March </w:t>
      </w:r>
      <w:r w:rsidR="00C255F2">
        <w:rPr>
          <w:sz w:val="22"/>
          <w:szCs w:val="22"/>
        </w:rPr>
        <w:t xml:space="preserve">2003 FM non-reserved band translator </w:t>
      </w:r>
      <w:r w:rsidR="0038785F">
        <w:rPr>
          <w:sz w:val="22"/>
          <w:szCs w:val="22"/>
        </w:rPr>
        <w:t xml:space="preserve">(Auction 83) </w:t>
      </w:r>
      <w:r w:rsidR="00C255F2">
        <w:rPr>
          <w:sz w:val="22"/>
          <w:szCs w:val="22"/>
        </w:rPr>
        <w:t>filing window</w:t>
      </w:r>
      <w:r w:rsidR="00E90CE2">
        <w:rPr>
          <w:sz w:val="22"/>
          <w:szCs w:val="22"/>
        </w:rPr>
        <w:t>.</w:t>
      </w:r>
      <w:r w:rsidR="00513353">
        <w:rPr>
          <w:rStyle w:val="FootnoteReference"/>
          <w:sz w:val="22"/>
          <w:szCs w:val="22"/>
        </w:rPr>
        <w:footnoteReference w:id="3"/>
      </w:r>
      <w:r w:rsidR="00A8721A">
        <w:rPr>
          <w:sz w:val="22"/>
          <w:szCs w:val="22"/>
        </w:rPr>
        <w:t xml:space="preserve"> </w:t>
      </w:r>
      <w:r w:rsidR="00E90CE2">
        <w:rPr>
          <w:sz w:val="22"/>
          <w:szCs w:val="22"/>
        </w:rPr>
        <w:t xml:space="preserve"> B</w:t>
      </w:r>
      <w:r w:rsidR="00427189">
        <w:rPr>
          <w:sz w:val="22"/>
          <w:szCs w:val="22"/>
        </w:rPr>
        <w:t xml:space="preserve">oth </w:t>
      </w:r>
      <w:r w:rsidR="00E90CE2">
        <w:rPr>
          <w:sz w:val="22"/>
          <w:szCs w:val="22"/>
        </w:rPr>
        <w:t xml:space="preserve">are </w:t>
      </w:r>
      <w:r w:rsidR="00427189">
        <w:rPr>
          <w:sz w:val="22"/>
          <w:szCs w:val="22"/>
        </w:rPr>
        <w:t xml:space="preserve">in the </w:t>
      </w:r>
      <w:r w:rsidR="00E90CE2">
        <w:rPr>
          <w:sz w:val="22"/>
          <w:szCs w:val="22"/>
        </w:rPr>
        <w:t xml:space="preserve">“Appendix A” market of </w:t>
      </w:r>
      <w:r w:rsidR="00E519D5">
        <w:rPr>
          <w:sz w:val="22"/>
          <w:szCs w:val="22"/>
        </w:rPr>
        <w:t>Houston, Texas</w:t>
      </w:r>
      <w:r w:rsidR="009971B6">
        <w:rPr>
          <w:sz w:val="22"/>
          <w:szCs w:val="22"/>
        </w:rPr>
        <w:t>,</w:t>
      </w:r>
      <w:r w:rsidR="00E90CE2">
        <w:rPr>
          <w:sz w:val="22"/>
          <w:szCs w:val="22"/>
        </w:rPr>
        <w:t xml:space="preserve"> as specified</w:t>
      </w:r>
      <w:r w:rsidR="00A8721A">
        <w:rPr>
          <w:sz w:val="22"/>
          <w:szCs w:val="22"/>
        </w:rPr>
        <w:t xml:space="preserve"> in </w:t>
      </w:r>
      <w:r w:rsidR="003B5BA6">
        <w:rPr>
          <w:sz w:val="22"/>
          <w:szCs w:val="22"/>
        </w:rPr>
        <w:t>the</w:t>
      </w:r>
      <w:r w:rsidR="00A8721A">
        <w:rPr>
          <w:i/>
          <w:sz w:val="22"/>
          <w:szCs w:val="22"/>
        </w:rPr>
        <w:t xml:space="preserve"> Fourth Report and Order</w:t>
      </w:r>
      <w:r w:rsidR="00DE515B">
        <w:rPr>
          <w:i/>
          <w:sz w:val="22"/>
          <w:szCs w:val="22"/>
        </w:rPr>
        <w:t>,</w:t>
      </w:r>
      <w:r w:rsidR="00F812FD" w:rsidRPr="00F812FD">
        <w:rPr>
          <w:rStyle w:val="FootnoteReference"/>
          <w:sz w:val="22"/>
          <w:szCs w:val="22"/>
        </w:rPr>
        <w:footnoteReference w:id="4"/>
      </w:r>
      <w:r w:rsidR="003B5BA6" w:rsidRPr="00F812FD">
        <w:rPr>
          <w:i/>
          <w:sz w:val="22"/>
          <w:szCs w:val="22"/>
        </w:rPr>
        <w:t xml:space="preserve"> </w:t>
      </w:r>
      <w:r w:rsidR="00E90CE2">
        <w:rPr>
          <w:sz w:val="22"/>
          <w:szCs w:val="22"/>
        </w:rPr>
        <w:t xml:space="preserve">in which the Commission </w:t>
      </w:r>
      <w:r w:rsidR="003B5BA6">
        <w:rPr>
          <w:sz w:val="22"/>
          <w:szCs w:val="22"/>
        </w:rPr>
        <w:t>adopt</w:t>
      </w:r>
      <w:r w:rsidR="00E90CE2">
        <w:rPr>
          <w:sz w:val="22"/>
          <w:szCs w:val="22"/>
        </w:rPr>
        <w:t>ed</w:t>
      </w:r>
      <w:r w:rsidR="003B5BA6">
        <w:rPr>
          <w:sz w:val="22"/>
          <w:szCs w:val="22"/>
        </w:rPr>
        <w:t xml:space="preserve"> market-specific FM translator application processing policies designed to effectuate the Local Community Radio Act</w:t>
      </w:r>
      <w:r w:rsidR="007F6823">
        <w:rPr>
          <w:sz w:val="22"/>
          <w:szCs w:val="22"/>
        </w:rPr>
        <w:t>.</w:t>
      </w:r>
      <w:r w:rsidR="00F812FD">
        <w:rPr>
          <w:rStyle w:val="FootnoteReference"/>
          <w:sz w:val="22"/>
          <w:szCs w:val="22"/>
        </w:rPr>
        <w:footnoteReference w:id="5"/>
      </w:r>
      <w:r w:rsidR="003B5BA6">
        <w:rPr>
          <w:sz w:val="22"/>
          <w:szCs w:val="22"/>
        </w:rPr>
        <w:t xml:space="preserve"> </w:t>
      </w:r>
      <w:r w:rsidR="003F2BC8">
        <w:rPr>
          <w:sz w:val="22"/>
          <w:szCs w:val="22"/>
        </w:rPr>
        <w:t xml:space="preserve"> </w:t>
      </w:r>
      <w:r w:rsidR="00513353">
        <w:rPr>
          <w:sz w:val="22"/>
          <w:szCs w:val="22"/>
        </w:rPr>
        <w:t>I</w:t>
      </w:r>
      <w:r w:rsidR="003F2BC8">
        <w:rPr>
          <w:sz w:val="22"/>
          <w:szCs w:val="22"/>
        </w:rPr>
        <w:t xml:space="preserve">n the </w:t>
      </w:r>
      <w:r w:rsidR="003F2BC8" w:rsidRPr="003F2BC8">
        <w:rPr>
          <w:i/>
          <w:sz w:val="22"/>
          <w:szCs w:val="22"/>
        </w:rPr>
        <w:t>Fifth Order on Reconsideration</w:t>
      </w:r>
      <w:r w:rsidR="003F2BC8">
        <w:rPr>
          <w:sz w:val="22"/>
          <w:szCs w:val="22"/>
        </w:rPr>
        <w:t>,</w:t>
      </w:r>
      <w:r w:rsidR="00FE5E61">
        <w:rPr>
          <w:sz w:val="22"/>
          <w:szCs w:val="22"/>
        </w:rPr>
        <w:t xml:space="preserve"> </w:t>
      </w:r>
      <w:r w:rsidR="003F2BC8">
        <w:rPr>
          <w:sz w:val="22"/>
          <w:szCs w:val="22"/>
        </w:rPr>
        <w:t>the Commission decided that</w:t>
      </w:r>
      <w:r w:rsidR="0009586C">
        <w:rPr>
          <w:sz w:val="22"/>
          <w:szCs w:val="22"/>
        </w:rPr>
        <w:t xml:space="preserve"> it would allow </w:t>
      </w:r>
      <w:r w:rsidR="00E74E67">
        <w:rPr>
          <w:sz w:val="22"/>
          <w:szCs w:val="22"/>
        </w:rPr>
        <w:t xml:space="preserve">Auction 83 </w:t>
      </w:r>
      <w:r w:rsidR="0009586C">
        <w:rPr>
          <w:sz w:val="22"/>
          <w:szCs w:val="22"/>
        </w:rPr>
        <w:t xml:space="preserve">applicants to </w:t>
      </w:r>
      <w:r w:rsidR="0009586C">
        <w:rPr>
          <w:sz w:val="22"/>
          <w:szCs w:val="22"/>
        </w:rPr>
        <w:lastRenderedPageBreak/>
        <w:t>prosecute a maximum of three applications in</w:t>
      </w:r>
      <w:r w:rsidR="000419D5">
        <w:rPr>
          <w:sz w:val="22"/>
          <w:szCs w:val="22"/>
        </w:rPr>
        <w:t xml:space="preserve"> an </w:t>
      </w:r>
      <w:r w:rsidR="0049270C">
        <w:rPr>
          <w:sz w:val="22"/>
          <w:szCs w:val="22"/>
        </w:rPr>
        <w:t xml:space="preserve">“Appendix A” </w:t>
      </w:r>
      <w:r w:rsidR="009D6D8F">
        <w:rPr>
          <w:sz w:val="22"/>
          <w:szCs w:val="22"/>
        </w:rPr>
        <w:t>market</w:t>
      </w:r>
      <w:r w:rsidR="0009586C">
        <w:rPr>
          <w:sz w:val="22"/>
          <w:szCs w:val="22"/>
        </w:rPr>
        <w:t>, provided that</w:t>
      </w:r>
      <w:r w:rsidR="002F42FE">
        <w:rPr>
          <w:sz w:val="22"/>
          <w:szCs w:val="22"/>
        </w:rPr>
        <w:t>:  (1)</w:t>
      </w:r>
      <w:r w:rsidR="0049270C">
        <w:rPr>
          <w:sz w:val="22"/>
          <w:szCs w:val="22"/>
        </w:rPr>
        <w:t xml:space="preserve"> </w:t>
      </w:r>
      <w:r w:rsidR="003F2BC8">
        <w:rPr>
          <w:sz w:val="22"/>
          <w:szCs w:val="22"/>
        </w:rPr>
        <w:t xml:space="preserve">the </w:t>
      </w:r>
      <w:r w:rsidR="003F2BC8" w:rsidRPr="003F2BC8">
        <w:rPr>
          <w:sz w:val="22"/>
          <w:szCs w:val="22"/>
        </w:rPr>
        <w:t>protected (60 dB</w:t>
      </w:r>
      <w:r w:rsidR="009D6D8F">
        <w:rPr>
          <w:sz w:val="22"/>
          <w:szCs w:val="22"/>
        </w:rPr>
        <w:t>µ</w:t>
      </w:r>
      <w:r w:rsidR="003F2BC8" w:rsidRPr="003F2BC8">
        <w:rPr>
          <w:sz w:val="22"/>
          <w:szCs w:val="22"/>
        </w:rPr>
        <w:t xml:space="preserve">) contour (calculated in accordance with Section 74.1204(b) of </w:t>
      </w:r>
      <w:r w:rsidR="003F2BC8">
        <w:rPr>
          <w:sz w:val="22"/>
          <w:szCs w:val="22"/>
        </w:rPr>
        <w:t>the</w:t>
      </w:r>
      <w:r w:rsidR="003F2BC8" w:rsidRPr="003F2BC8">
        <w:rPr>
          <w:sz w:val="22"/>
          <w:szCs w:val="22"/>
        </w:rPr>
        <w:t xml:space="preserve"> </w:t>
      </w:r>
      <w:r w:rsidR="00D32405">
        <w:rPr>
          <w:sz w:val="22"/>
          <w:szCs w:val="22"/>
        </w:rPr>
        <w:t xml:space="preserve">Commission’s </w:t>
      </w:r>
      <w:r w:rsidR="003F2BC8" w:rsidRPr="003F2BC8">
        <w:rPr>
          <w:sz w:val="22"/>
          <w:szCs w:val="22"/>
        </w:rPr>
        <w:t>Rules</w:t>
      </w:r>
      <w:r w:rsidR="00330845">
        <w:rPr>
          <w:sz w:val="22"/>
          <w:szCs w:val="22"/>
        </w:rPr>
        <w:t xml:space="preserve"> (the “Rules”</w:t>
      </w:r>
      <w:r w:rsidR="003F2BC8" w:rsidRPr="003F2BC8">
        <w:rPr>
          <w:sz w:val="22"/>
          <w:szCs w:val="22"/>
        </w:rPr>
        <w:t xml:space="preserve">) of </w:t>
      </w:r>
      <w:r w:rsidR="003F2BC8">
        <w:rPr>
          <w:sz w:val="22"/>
          <w:szCs w:val="22"/>
        </w:rPr>
        <w:t>a</w:t>
      </w:r>
      <w:r w:rsidR="003F2BC8" w:rsidRPr="003F2BC8">
        <w:rPr>
          <w:sz w:val="22"/>
          <w:szCs w:val="22"/>
        </w:rPr>
        <w:t xml:space="preserve"> proposed translator station </w:t>
      </w:r>
      <w:r w:rsidR="00DE515B">
        <w:rPr>
          <w:sz w:val="22"/>
          <w:szCs w:val="22"/>
        </w:rPr>
        <w:t>did</w:t>
      </w:r>
      <w:r w:rsidR="003F2BC8" w:rsidRPr="003F2BC8">
        <w:rPr>
          <w:sz w:val="22"/>
          <w:szCs w:val="22"/>
        </w:rPr>
        <w:t xml:space="preserve"> not overlap the protected contour of any other translator application filed by that applicant </w:t>
      </w:r>
      <w:r w:rsidR="00A76F39">
        <w:rPr>
          <w:sz w:val="22"/>
          <w:szCs w:val="22"/>
        </w:rPr>
        <w:t xml:space="preserve">in </w:t>
      </w:r>
      <w:r w:rsidR="0038785F">
        <w:rPr>
          <w:sz w:val="22"/>
          <w:szCs w:val="22"/>
        </w:rPr>
        <w:t xml:space="preserve">Auction 83 </w:t>
      </w:r>
      <w:r w:rsidR="003F2BC8" w:rsidRPr="003F2BC8">
        <w:rPr>
          <w:sz w:val="22"/>
          <w:szCs w:val="22"/>
        </w:rPr>
        <w:t xml:space="preserve">or </w:t>
      </w:r>
      <w:r w:rsidR="00311622">
        <w:rPr>
          <w:sz w:val="22"/>
          <w:szCs w:val="22"/>
        </w:rPr>
        <w:t xml:space="preserve">any </w:t>
      </w:r>
      <w:r w:rsidR="003F2BC8" w:rsidRPr="003F2BC8">
        <w:rPr>
          <w:sz w:val="22"/>
          <w:szCs w:val="22"/>
        </w:rPr>
        <w:t>translator authorization held by that applicant</w:t>
      </w:r>
      <w:r w:rsidR="000617AB">
        <w:rPr>
          <w:sz w:val="22"/>
          <w:szCs w:val="22"/>
        </w:rPr>
        <w:t xml:space="preserve"> as of </w:t>
      </w:r>
      <w:r w:rsidR="00EA15F6">
        <w:rPr>
          <w:sz w:val="22"/>
          <w:szCs w:val="22"/>
        </w:rPr>
        <w:t>December 4, 2012</w:t>
      </w:r>
      <w:r w:rsidR="002F42FE">
        <w:rPr>
          <w:sz w:val="22"/>
          <w:szCs w:val="22"/>
        </w:rPr>
        <w:t xml:space="preserve">; and (2) </w:t>
      </w:r>
      <w:r w:rsidR="002F42FE" w:rsidRPr="002F42FE">
        <w:rPr>
          <w:sz w:val="22"/>
          <w:szCs w:val="22"/>
        </w:rPr>
        <w:t xml:space="preserve">the translator application </w:t>
      </w:r>
      <w:r w:rsidR="00DE515B">
        <w:rPr>
          <w:sz w:val="22"/>
          <w:szCs w:val="22"/>
        </w:rPr>
        <w:t>did</w:t>
      </w:r>
      <w:r w:rsidR="002F42FE" w:rsidRPr="002F42FE">
        <w:rPr>
          <w:sz w:val="22"/>
          <w:szCs w:val="22"/>
        </w:rPr>
        <w:t xml:space="preserve"> not preclude grant of a future </w:t>
      </w:r>
      <w:r w:rsidR="007F6823">
        <w:rPr>
          <w:sz w:val="22"/>
          <w:szCs w:val="22"/>
        </w:rPr>
        <w:t>low power FM (“</w:t>
      </w:r>
      <w:r w:rsidR="002F42FE" w:rsidRPr="002F42FE">
        <w:rPr>
          <w:sz w:val="22"/>
          <w:szCs w:val="22"/>
        </w:rPr>
        <w:t>LPFM</w:t>
      </w:r>
      <w:r w:rsidR="007F6823">
        <w:rPr>
          <w:sz w:val="22"/>
          <w:szCs w:val="22"/>
        </w:rPr>
        <w:t>”)</w:t>
      </w:r>
      <w:r w:rsidR="002F42FE" w:rsidRPr="002F42FE">
        <w:rPr>
          <w:sz w:val="22"/>
          <w:szCs w:val="22"/>
        </w:rPr>
        <w:t xml:space="preserve"> application in the </w:t>
      </w:r>
      <w:r w:rsidR="00445269">
        <w:rPr>
          <w:sz w:val="22"/>
          <w:szCs w:val="22"/>
        </w:rPr>
        <w:t>“</w:t>
      </w:r>
      <w:r w:rsidR="002F42FE" w:rsidRPr="002F42FE">
        <w:rPr>
          <w:sz w:val="22"/>
          <w:szCs w:val="22"/>
        </w:rPr>
        <w:t>grid</w:t>
      </w:r>
      <w:r w:rsidR="00445269">
        <w:rPr>
          <w:sz w:val="22"/>
          <w:szCs w:val="22"/>
        </w:rPr>
        <w:t>”</w:t>
      </w:r>
      <w:r w:rsidR="002F42FE" w:rsidRPr="002F42FE">
        <w:rPr>
          <w:sz w:val="22"/>
          <w:szCs w:val="22"/>
        </w:rPr>
        <w:t xml:space="preserve"> for that market.</w:t>
      </w:r>
      <w:r w:rsidR="00B14E69">
        <w:rPr>
          <w:rStyle w:val="FootnoteReference"/>
          <w:sz w:val="22"/>
          <w:szCs w:val="22"/>
        </w:rPr>
        <w:footnoteReference w:id="6"/>
      </w:r>
      <w:r w:rsidR="002F42FE">
        <w:rPr>
          <w:sz w:val="22"/>
          <w:szCs w:val="22"/>
        </w:rPr>
        <w:t xml:space="preserve">  </w:t>
      </w:r>
    </w:p>
    <w:p w:rsidR="00DE515B" w:rsidRDefault="00DE515B" w:rsidP="00BB204B">
      <w:pPr>
        <w:rPr>
          <w:sz w:val="22"/>
          <w:szCs w:val="22"/>
        </w:rPr>
      </w:pPr>
    </w:p>
    <w:p w:rsidR="0070370E" w:rsidRDefault="00DE515B" w:rsidP="00BB204B">
      <w:pPr>
        <w:rPr>
          <w:sz w:val="22"/>
          <w:szCs w:val="22"/>
        </w:rPr>
      </w:pPr>
      <w:r>
        <w:rPr>
          <w:sz w:val="22"/>
          <w:szCs w:val="22"/>
        </w:rPr>
        <w:tab/>
      </w:r>
      <w:r w:rsidR="00087C2E">
        <w:rPr>
          <w:sz w:val="22"/>
          <w:szCs w:val="22"/>
        </w:rPr>
        <w:t xml:space="preserve">On </w:t>
      </w:r>
      <w:r w:rsidR="003F3D53">
        <w:rPr>
          <w:sz w:val="22"/>
          <w:szCs w:val="22"/>
        </w:rPr>
        <w:t>December 21, 2012, the</w:t>
      </w:r>
      <w:r w:rsidR="0070370E">
        <w:rPr>
          <w:sz w:val="22"/>
          <w:szCs w:val="22"/>
        </w:rPr>
        <w:t xml:space="preserve"> </w:t>
      </w:r>
      <w:r w:rsidR="00C83AF5">
        <w:rPr>
          <w:sz w:val="22"/>
          <w:szCs w:val="22"/>
        </w:rPr>
        <w:t>Media Bureau</w:t>
      </w:r>
      <w:r w:rsidR="0070370E">
        <w:rPr>
          <w:sz w:val="22"/>
          <w:szCs w:val="22"/>
        </w:rPr>
        <w:t xml:space="preserve"> </w:t>
      </w:r>
      <w:r w:rsidR="007E1F54">
        <w:rPr>
          <w:sz w:val="22"/>
          <w:szCs w:val="22"/>
        </w:rPr>
        <w:t xml:space="preserve">(“Bureau”) </w:t>
      </w:r>
      <w:r w:rsidR="003F3D53">
        <w:rPr>
          <w:sz w:val="22"/>
          <w:szCs w:val="22"/>
        </w:rPr>
        <w:t xml:space="preserve">issued a </w:t>
      </w:r>
      <w:r w:rsidR="0070370E">
        <w:rPr>
          <w:sz w:val="22"/>
          <w:szCs w:val="22"/>
        </w:rPr>
        <w:t>Public Notice</w:t>
      </w:r>
      <w:r w:rsidR="00E55863">
        <w:rPr>
          <w:rStyle w:val="FootnoteReference"/>
          <w:sz w:val="22"/>
          <w:szCs w:val="22"/>
        </w:rPr>
        <w:footnoteReference w:id="7"/>
      </w:r>
      <w:r w:rsidR="0070370E">
        <w:rPr>
          <w:sz w:val="22"/>
          <w:szCs w:val="22"/>
        </w:rPr>
        <w:t xml:space="preserve"> </w:t>
      </w:r>
      <w:r w:rsidR="003E2A21">
        <w:rPr>
          <w:sz w:val="22"/>
          <w:szCs w:val="22"/>
        </w:rPr>
        <w:t xml:space="preserve">that, </w:t>
      </w:r>
      <w:r w:rsidR="003E2A21" w:rsidRPr="003E2A21">
        <w:rPr>
          <w:i/>
          <w:sz w:val="22"/>
          <w:szCs w:val="22"/>
        </w:rPr>
        <w:t>inter alia</w:t>
      </w:r>
      <w:r w:rsidR="003E2A21">
        <w:rPr>
          <w:i/>
          <w:sz w:val="22"/>
          <w:szCs w:val="22"/>
        </w:rPr>
        <w:t>,</w:t>
      </w:r>
      <w:r w:rsidR="003E2A21" w:rsidRPr="003E2A21">
        <w:rPr>
          <w:i/>
          <w:sz w:val="22"/>
          <w:szCs w:val="22"/>
        </w:rPr>
        <w:t xml:space="preserve"> </w:t>
      </w:r>
      <w:r w:rsidR="003E2A21">
        <w:rPr>
          <w:sz w:val="22"/>
          <w:szCs w:val="22"/>
        </w:rPr>
        <w:t xml:space="preserve">required </w:t>
      </w:r>
      <w:r w:rsidR="00F521C8" w:rsidRPr="00F521C8">
        <w:rPr>
          <w:sz w:val="22"/>
          <w:szCs w:val="22"/>
        </w:rPr>
        <w:t>applicants</w:t>
      </w:r>
      <w:r w:rsidR="00F521C8">
        <w:rPr>
          <w:sz w:val="22"/>
          <w:szCs w:val="22"/>
        </w:rPr>
        <w:t xml:space="preserve"> </w:t>
      </w:r>
      <w:r w:rsidR="00E666DD">
        <w:rPr>
          <w:sz w:val="22"/>
          <w:szCs w:val="22"/>
        </w:rPr>
        <w:t xml:space="preserve">in </w:t>
      </w:r>
      <w:r w:rsidR="00A37742">
        <w:rPr>
          <w:sz w:val="22"/>
          <w:szCs w:val="22"/>
        </w:rPr>
        <w:t>“</w:t>
      </w:r>
      <w:r w:rsidR="00E666DD">
        <w:rPr>
          <w:sz w:val="22"/>
          <w:szCs w:val="22"/>
        </w:rPr>
        <w:t>Appendix A</w:t>
      </w:r>
      <w:r w:rsidR="00A37742">
        <w:rPr>
          <w:sz w:val="22"/>
          <w:szCs w:val="22"/>
        </w:rPr>
        <w:t>”</w:t>
      </w:r>
      <w:r w:rsidR="00E666DD">
        <w:rPr>
          <w:sz w:val="22"/>
          <w:szCs w:val="22"/>
        </w:rPr>
        <w:t xml:space="preserve"> markets </w:t>
      </w:r>
      <w:r w:rsidR="00F521C8" w:rsidRPr="00F521C8">
        <w:rPr>
          <w:sz w:val="22"/>
          <w:szCs w:val="22"/>
        </w:rPr>
        <w:t xml:space="preserve">to submit certain </w:t>
      </w:r>
      <w:r w:rsidR="00E666DD">
        <w:rPr>
          <w:sz w:val="22"/>
          <w:szCs w:val="22"/>
        </w:rPr>
        <w:t>“cap showings” as described above</w:t>
      </w:r>
      <w:r w:rsidR="00F521C8">
        <w:rPr>
          <w:sz w:val="22"/>
          <w:szCs w:val="22"/>
        </w:rPr>
        <w:t xml:space="preserve"> </w:t>
      </w:r>
      <w:r w:rsidR="00F521C8" w:rsidRPr="00F521C8">
        <w:rPr>
          <w:sz w:val="22"/>
          <w:szCs w:val="22"/>
        </w:rPr>
        <w:t xml:space="preserve">during </w:t>
      </w:r>
      <w:r w:rsidR="00E74E67">
        <w:rPr>
          <w:sz w:val="22"/>
          <w:szCs w:val="22"/>
        </w:rPr>
        <w:t>a</w:t>
      </w:r>
      <w:r w:rsidR="00F521C8" w:rsidRPr="00F521C8">
        <w:rPr>
          <w:sz w:val="22"/>
          <w:szCs w:val="22"/>
        </w:rPr>
        <w:t xml:space="preserve"> window opened for these filings</w:t>
      </w:r>
      <w:r w:rsidR="003F3D53">
        <w:rPr>
          <w:sz w:val="22"/>
          <w:szCs w:val="22"/>
        </w:rPr>
        <w:t>.  In response, on January 11, 2013</w:t>
      </w:r>
      <w:r w:rsidR="001E27C1">
        <w:rPr>
          <w:sz w:val="22"/>
          <w:szCs w:val="22"/>
        </w:rPr>
        <w:t>,</w:t>
      </w:r>
      <w:r w:rsidR="003F3D53">
        <w:rPr>
          <w:sz w:val="22"/>
          <w:szCs w:val="22"/>
        </w:rPr>
        <w:t xml:space="preserve"> </w:t>
      </w:r>
      <w:r w:rsidR="00E519D5">
        <w:rPr>
          <w:sz w:val="22"/>
          <w:szCs w:val="22"/>
        </w:rPr>
        <w:t xml:space="preserve">Proctor </w:t>
      </w:r>
      <w:r w:rsidR="00F521C8">
        <w:rPr>
          <w:sz w:val="22"/>
          <w:szCs w:val="22"/>
        </w:rPr>
        <w:t xml:space="preserve">requested that the </w:t>
      </w:r>
      <w:r w:rsidR="002461D8">
        <w:rPr>
          <w:sz w:val="22"/>
          <w:szCs w:val="22"/>
        </w:rPr>
        <w:t>Willis and Cleveland Applications</w:t>
      </w:r>
      <w:r w:rsidR="004C7353">
        <w:rPr>
          <w:sz w:val="22"/>
          <w:szCs w:val="22"/>
        </w:rPr>
        <w:t>,</w:t>
      </w:r>
      <w:r w:rsidR="002461D8">
        <w:rPr>
          <w:sz w:val="22"/>
          <w:szCs w:val="22"/>
        </w:rPr>
        <w:t xml:space="preserve"> as well as seven other </w:t>
      </w:r>
      <w:r w:rsidR="006239F4">
        <w:rPr>
          <w:sz w:val="22"/>
          <w:szCs w:val="22"/>
        </w:rPr>
        <w:t xml:space="preserve">applications </w:t>
      </w:r>
      <w:r w:rsidR="002461D8">
        <w:rPr>
          <w:sz w:val="22"/>
          <w:szCs w:val="22"/>
        </w:rPr>
        <w:t>he filed</w:t>
      </w:r>
      <w:r w:rsidR="004C7353">
        <w:rPr>
          <w:sz w:val="22"/>
          <w:szCs w:val="22"/>
        </w:rPr>
        <w:t>,</w:t>
      </w:r>
      <w:r w:rsidR="006239F4">
        <w:rPr>
          <w:rStyle w:val="FootnoteReference"/>
          <w:sz w:val="22"/>
          <w:szCs w:val="22"/>
        </w:rPr>
        <w:footnoteReference w:id="8"/>
      </w:r>
      <w:r w:rsidR="002461D8">
        <w:rPr>
          <w:sz w:val="22"/>
          <w:szCs w:val="22"/>
        </w:rPr>
        <w:t xml:space="preserve"> </w:t>
      </w:r>
      <w:r w:rsidR="00F521C8">
        <w:rPr>
          <w:sz w:val="22"/>
          <w:szCs w:val="22"/>
        </w:rPr>
        <w:t>be processed</w:t>
      </w:r>
      <w:r w:rsidR="002461D8">
        <w:rPr>
          <w:sz w:val="22"/>
          <w:szCs w:val="22"/>
        </w:rPr>
        <w:t xml:space="preserve">, </w:t>
      </w:r>
      <w:r>
        <w:rPr>
          <w:sz w:val="22"/>
          <w:szCs w:val="22"/>
        </w:rPr>
        <w:t xml:space="preserve">but he did not submit the requisite cap showing for the Willis </w:t>
      </w:r>
      <w:r w:rsidR="00E74E67">
        <w:rPr>
          <w:sz w:val="22"/>
          <w:szCs w:val="22"/>
        </w:rPr>
        <w:t>and</w:t>
      </w:r>
      <w:r>
        <w:rPr>
          <w:sz w:val="22"/>
          <w:szCs w:val="22"/>
        </w:rPr>
        <w:t xml:space="preserve"> Cleveland Applications.  Rather, Proctor stated </w:t>
      </w:r>
      <w:r w:rsidR="006239F4">
        <w:rPr>
          <w:sz w:val="22"/>
          <w:szCs w:val="22"/>
        </w:rPr>
        <w:t>that “Commission Rules and Regulations have changed and evolved to the point where understanding those changes and . . . instructions present a real challenge.  What was once relatively simple has now become very complex and – to me – extremely confusing.”</w:t>
      </w:r>
      <w:r w:rsidR="004C7353" w:rsidRPr="004C7353">
        <w:rPr>
          <w:sz w:val="22"/>
          <w:szCs w:val="22"/>
          <w:vertAlign w:val="superscript"/>
        </w:rPr>
        <w:footnoteReference w:id="9"/>
      </w:r>
      <w:r w:rsidR="002C10CE">
        <w:rPr>
          <w:sz w:val="22"/>
          <w:szCs w:val="22"/>
        </w:rPr>
        <w:t xml:space="preserve">  On February 15, 2013</w:t>
      </w:r>
      <w:r w:rsidR="00D867FA">
        <w:rPr>
          <w:sz w:val="22"/>
          <w:szCs w:val="22"/>
        </w:rPr>
        <w:t>, the staff dismissed the Willis and Cleveland Applications for failure to file cap compliance showing amendments.  On March 11, 2013, Proctor filed the Petition.</w:t>
      </w:r>
      <w:r w:rsidR="002461D8">
        <w:rPr>
          <w:sz w:val="22"/>
          <w:szCs w:val="22"/>
        </w:rPr>
        <w:t xml:space="preserve"> </w:t>
      </w:r>
      <w:r w:rsidR="00F521C8">
        <w:rPr>
          <w:sz w:val="22"/>
          <w:szCs w:val="22"/>
        </w:rPr>
        <w:t xml:space="preserve">    </w:t>
      </w:r>
      <w:r w:rsidR="0070370E">
        <w:rPr>
          <w:sz w:val="22"/>
          <w:szCs w:val="22"/>
        </w:rPr>
        <w:t xml:space="preserve"> </w:t>
      </w:r>
      <w:r w:rsidR="00AD538C">
        <w:rPr>
          <w:sz w:val="22"/>
          <w:szCs w:val="22"/>
        </w:rPr>
        <w:t xml:space="preserve">  </w:t>
      </w:r>
    </w:p>
    <w:p w:rsidR="00BB204B" w:rsidRPr="00BB204B" w:rsidRDefault="00BB204B" w:rsidP="00BB204B">
      <w:pPr>
        <w:rPr>
          <w:sz w:val="22"/>
          <w:szCs w:val="22"/>
        </w:rPr>
      </w:pPr>
    </w:p>
    <w:p w:rsidR="000A2601" w:rsidRDefault="00BB204B" w:rsidP="000A2601">
      <w:pPr>
        <w:rPr>
          <w:sz w:val="22"/>
          <w:szCs w:val="22"/>
        </w:rPr>
      </w:pPr>
      <w:r w:rsidRPr="00BB204B">
        <w:rPr>
          <w:sz w:val="22"/>
          <w:szCs w:val="22"/>
        </w:rPr>
        <w:tab/>
      </w:r>
      <w:r w:rsidR="003F3D53">
        <w:rPr>
          <w:sz w:val="22"/>
          <w:szCs w:val="22"/>
        </w:rPr>
        <w:t>On reconsideration,</w:t>
      </w:r>
      <w:r w:rsidR="004F0B7C">
        <w:rPr>
          <w:sz w:val="22"/>
          <w:szCs w:val="22"/>
        </w:rPr>
        <w:t xml:space="preserve"> </w:t>
      </w:r>
      <w:r w:rsidR="002C10CE">
        <w:rPr>
          <w:sz w:val="22"/>
          <w:szCs w:val="22"/>
        </w:rPr>
        <w:t>Proctor</w:t>
      </w:r>
      <w:r w:rsidRPr="00BB204B">
        <w:rPr>
          <w:sz w:val="22"/>
          <w:szCs w:val="22"/>
        </w:rPr>
        <w:t xml:space="preserve"> </w:t>
      </w:r>
      <w:r w:rsidR="00EF68A0">
        <w:rPr>
          <w:sz w:val="22"/>
          <w:szCs w:val="22"/>
        </w:rPr>
        <w:t xml:space="preserve">contends that </w:t>
      </w:r>
      <w:r w:rsidR="00F14855">
        <w:rPr>
          <w:sz w:val="22"/>
          <w:szCs w:val="22"/>
        </w:rPr>
        <w:t xml:space="preserve">he failed to </w:t>
      </w:r>
      <w:r w:rsidR="00F1095B">
        <w:rPr>
          <w:sz w:val="22"/>
          <w:szCs w:val="22"/>
        </w:rPr>
        <w:t xml:space="preserve">timely </w:t>
      </w:r>
      <w:r w:rsidR="00F14855">
        <w:rPr>
          <w:sz w:val="22"/>
          <w:szCs w:val="22"/>
        </w:rPr>
        <w:t xml:space="preserve">file amendments showing that each </w:t>
      </w:r>
      <w:r w:rsidR="00AE1A50">
        <w:rPr>
          <w:sz w:val="22"/>
          <w:szCs w:val="22"/>
        </w:rPr>
        <w:t xml:space="preserve">application </w:t>
      </w:r>
      <w:r w:rsidR="00F14855">
        <w:rPr>
          <w:sz w:val="22"/>
          <w:szCs w:val="22"/>
        </w:rPr>
        <w:t xml:space="preserve">would </w:t>
      </w:r>
      <w:r w:rsidR="00F14855" w:rsidRPr="00F14855">
        <w:rPr>
          <w:sz w:val="22"/>
          <w:szCs w:val="22"/>
        </w:rPr>
        <w:t xml:space="preserve">not preclude grant of a future LPFM application in the grid for </w:t>
      </w:r>
      <w:r w:rsidR="00E666DD">
        <w:rPr>
          <w:sz w:val="22"/>
          <w:szCs w:val="22"/>
        </w:rPr>
        <w:t xml:space="preserve">the Houston </w:t>
      </w:r>
      <w:r w:rsidR="00F14855" w:rsidRPr="00F14855">
        <w:rPr>
          <w:sz w:val="22"/>
          <w:szCs w:val="22"/>
        </w:rPr>
        <w:t>market</w:t>
      </w:r>
      <w:r w:rsidR="00F14855">
        <w:rPr>
          <w:sz w:val="22"/>
          <w:szCs w:val="22"/>
        </w:rPr>
        <w:t xml:space="preserve"> due to his “confusion.”</w:t>
      </w:r>
      <w:r w:rsidR="00892100">
        <w:rPr>
          <w:rStyle w:val="FootnoteReference"/>
          <w:sz w:val="22"/>
          <w:szCs w:val="22"/>
        </w:rPr>
        <w:footnoteReference w:id="10"/>
      </w:r>
      <w:r w:rsidR="00F14855">
        <w:rPr>
          <w:sz w:val="22"/>
          <w:szCs w:val="22"/>
        </w:rPr>
        <w:t xml:space="preserve">  </w:t>
      </w:r>
      <w:r w:rsidR="00AE1A50">
        <w:rPr>
          <w:sz w:val="22"/>
          <w:szCs w:val="22"/>
        </w:rPr>
        <w:t xml:space="preserve">Proctor </w:t>
      </w:r>
      <w:r w:rsidR="00892100">
        <w:rPr>
          <w:sz w:val="22"/>
          <w:szCs w:val="22"/>
        </w:rPr>
        <w:t xml:space="preserve">argues that </w:t>
      </w:r>
      <w:r w:rsidR="00AE1A50">
        <w:rPr>
          <w:sz w:val="22"/>
          <w:szCs w:val="22"/>
        </w:rPr>
        <w:t xml:space="preserve">because of </w:t>
      </w:r>
      <w:r w:rsidR="00DE515B">
        <w:rPr>
          <w:sz w:val="22"/>
          <w:szCs w:val="22"/>
        </w:rPr>
        <w:t>t</w:t>
      </w:r>
      <w:r w:rsidR="00AE1A50">
        <w:rPr>
          <w:sz w:val="22"/>
          <w:szCs w:val="22"/>
        </w:rPr>
        <w:t xml:space="preserve">his confusion, he should </w:t>
      </w:r>
      <w:r w:rsidR="00DE515B">
        <w:rPr>
          <w:sz w:val="22"/>
          <w:szCs w:val="22"/>
        </w:rPr>
        <w:t xml:space="preserve">now </w:t>
      </w:r>
      <w:r w:rsidR="00AE1A50">
        <w:rPr>
          <w:sz w:val="22"/>
          <w:szCs w:val="22"/>
        </w:rPr>
        <w:t xml:space="preserve">be allowed to submit a Preclusion Study indicating that </w:t>
      </w:r>
      <w:r w:rsidR="00E74E67">
        <w:rPr>
          <w:sz w:val="22"/>
          <w:szCs w:val="22"/>
        </w:rPr>
        <w:t xml:space="preserve">neither the Willis nor Cleveland Applications would preclude LPFM licensing opportunities within the Houston grid.  </w:t>
      </w:r>
      <w:r w:rsidR="00EC6668">
        <w:rPr>
          <w:sz w:val="22"/>
          <w:szCs w:val="22"/>
        </w:rPr>
        <w:t xml:space="preserve">Proctor </w:t>
      </w:r>
      <w:r w:rsidR="00F57012">
        <w:rPr>
          <w:sz w:val="22"/>
          <w:szCs w:val="22"/>
        </w:rPr>
        <w:t>c</w:t>
      </w:r>
      <w:r w:rsidR="00EF68A0">
        <w:rPr>
          <w:sz w:val="22"/>
          <w:szCs w:val="22"/>
        </w:rPr>
        <w:t>laims</w:t>
      </w:r>
      <w:r w:rsidR="00F57012">
        <w:rPr>
          <w:sz w:val="22"/>
          <w:szCs w:val="22"/>
        </w:rPr>
        <w:t xml:space="preserve"> that</w:t>
      </w:r>
      <w:r w:rsidR="00EC6668">
        <w:rPr>
          <w:sz w:val="22"/>
          <w:szCs w:val="22"/>
        </w:rPr>
        <w:t xml:space="preserve"> reinstatement of the Willis and Cleveland Applications will serve the public interest and that no party will be prejudiced </w:t>
      </w:r>
      <w:r w:rsidR="00311622">
        <w:rPr>
          <w:sz w:val="22"/>
          <w:szCs w:val="22"/>
        </w:rPr>
        <w:t xml:space="preserve">by </w:t>
      </w:r>
      <w:r w:rsidR="00EC6668">
        <w:rPr>
          <w:sz w:val="22"/>
          <w:szCs w:val="22"/>
        </w:rPr>
        <w:t>their reinstatement.</w:t>
      </w:r>
      <w:r w:rsidR="00472E0E">
        <w:rPr>
          <w:rStyle w:val="FootnoteReference"/>
          <w:sz w:val="22"/>
          <w:szCs w:val="22"/>
        </w:rPr>
        <w:footnoteReference w:id="11"/>
      </w:r>
      <w:r w:rsidR="00472E0E">
        <w:rPr>
          <w:sz w:val="22"/>
          <w:szCs w:val="22"/>
        </w:rPr>
        <w:t xml:space="preserve">  </w:t>
      </w:r>
    </w:p>
    <w:p w:rsidR="00BB204B" w:rsidRPr="00BB204B" w:rsidRDefault="00BB204B" w:rsidP="00BB204B">
      <w:pPr>
        <w:rPr>
          <w:sz w:val="22"/>
          <w:szCs w:val="22"/>
        </w:rPr>
      </w:pPr>
      <w:r w:rsidRPr="00BB204B">
        <w:rPr>
          <w:sz w:val="22"/>
          <w:szCs w:val="22"/>
        </w:rPr>
        <w:t xml:space="preserve">        </w:t>
      </w:r>
    </w:p>
    <w:p w:rsidR="00476C46" w:rsidRDefault="00BB204B" w:rsidP="00476C46">
      <w:pPr>
        <w:rPr>
          <w:sz w:val="22"/>
          <w:szCs w:val="22"/>
        </w:rPr>
      </w:pPr>
      <w:r w:rsidRPr="00BB204B">
        <w:rPr>
          <w:sz w:val="22"/>
          <w:szCs w:val="22"/>
        </w:rPr>
        <w:tab/>
      </w:r>
      <w:r w:rsidRPr="00BB204B">
        <w:rPr>
          <w:b/>
          <w:sz w:val="22"/>
          <w:szCs w:val="22"/>
        </w:rPr>
        <w:t>Discussion</w:t>
      </w:r>
      <w:r w:rsidRPr="00BB204B">
        <w:rPr>
          <w:sz w:val="22"/>
          <w:szCs w:val="22"/>
        </w:rPr>
        <w:t xml:space="preserve">.  </w:t>
      </w:r>
      <w:r w:rsidR="00E67619" w:rsidRPr="00E67619">
        <w:rPr>
          <w:sz w:val="22"/>
          <w:szCs w:val="22"/>
        </w:rPr>
        <w:t xml:space="preserve">The Commission will consider a </w:t>
      </w:r>
      <w:bookmarkStart w:id="5" w:name="SR;929"/>
      <w:bookmarkEnd w:id="5"/>
      <w:r w:rsidR="00E67619">
        <w:rPr>
          <w:sz w:val="22"/>
          <w:szCs w:val="22"/>
        </w:rPr>
        <w:t>petition for reconsideration</w:t>
      </w:r>
      <w:bookmarkStart w:id="6" w:name="SR;931"/>
      <w:bookmarkEnd w:id="6"/>
      <w:r w:rsidR="00E67619" w:rsidRPr="00E67619">
        <w:rPr>
          <w:sz w:val="22"/>
          <w:szCs w:val="22"/>
        </w:rPr>
        <w:t xml:space="preserve"> only when the petitioner shows either a material error in the Commission's original order, or raises additional facts, not </w:t>
      </w:r>
    </w:p>
    <w:p w:rsidR="006A1BC8" w:rsidRDefault="00E67619" w:rsidP="006A1BC8">
      <w:pPr>
        <w:autoSpaceDE w:val="0"/>
        <w:autoSpaceDN w:val="0"/>
        <w:adjustRightInd w:val="0"/>
        <w:rPr>
          <w:sz w:val="22"/>
          <w:szCs w:val="22"/>
        </w:rPr>
      </w:pPr>
      <w:r w:rsidRPr="00E67619">
        <w:rPr>
          <w:sz w:val="22"/>
          <w:szCs w:val="22"/>
        </w:rPr>
        <w:t>known or existing at the time of the petitioner's last opportunity to present such matters.</w:t>
      </w:r>
      <w:bookmarkStart w:id="7" w:name="FN[FN13]"/>
      <w:bookmarkEnd w:id="7"/>
      <w:r>
        <w:rPr>
          <w:rStyle w:val="FootnoteReference"/>
          <w:sz w:val="22"/>
          <w:szCs w:val="22"/>
        </w:rPr>
        <w:footnoteReference w:id="12"/>
      </w:r>
      <w:r>
        <w:rPr>
          <w:sz w:val="22"/>
          <w:szCs w:val="22"/>
        </w:rPr>
        <w:t xml:space="preserve">  Proctor</w:t>
      </w:r>
      <w:r w:rsidRPr="00E67619">
        <w:rPr>
          <w:sz w:val="22"/>
          <w:szCs w:val="22"/>
        </w:rPr>
        <w:t xml:space="preserve"> has not met this burden.</w:t>
      </w:r>
      <w:r w:rsidRPr="00E67619">
        <w:rPr>
          <w:sz w:val="22"/>
          <w:szCs w:val="22"/>
        </w:rPr>
        <w:br/>
      </w:r>
      <w:r>
        <w:rPr>
          <w:sz w:val="22"/>
          <w:szCs w:val="22"/>
        </w:rPr>
        <w:tab/>
      </w:r>
    </w:p>
    <w:p w:rsidR="001D1652" w:rsidRPr="00EB5261" w:rsidRDefault="006A1BC8" w:rsidP="006A1BC8">
      <w:pPr>
        <w:autoSpaceDE w:val="0"/>
        <w:autoSpaceDN w:val="0"/>
        <w:adjustRightInd w:val="0"/>
        <w:rPr>
          <w:sz w:val="22"/>
          <w:szCs w:val="22"/>
        </w:rPr>
      </w:pPr>
      <w:r>
        <w:rPr>
          <w:sz w:val="22"/>
          <w:szCs w:val="22"/>
        </w:rPr>
        <w:lastRenderedPageBreak/>
        <w:tab/>
      </w:r>
      <w:r w:rsidR="00A26536">
        <w:rPr>
          <w:sz w:val="22"/>
          <w:szCs w:val="22"/>
        </w:rPr>
        <w:t xml:space="preserve">Without specifically stating </w:t>
      </w:r>
      <w:r w:rsidR="00311622">
        <w:rPr>
          <w:sz w:val="22"/>
          <w:szCs w:val="22"/>
        </w:rPr>
        <w:t>so</w:t>
      </w:r>
      <w:r w:rsidR="00A26536">
        <w:rPr>
          <w:sz w:val="22"/>
          <w:szCs w:val="22"/>
        </w:rPr>
        <w:t xml:space="preserve">, </w:t>
      </w:r>
      <w:r w:rsidR="001C471F">
        <w:rPr>
          <w:sz w:val="22"/>
          <w:szCs w:val="22"/>
        </w:rPr>
        <w:t>Proctor requests</w:t>
      </w:r>
      <w:r w:rsidR="00EC6668">
        <w:rPr>
          <w:sz w:val="22"/>
          <w:szCs w:val="22"/>
        </w:rPr>
        <w:t xml:space="preserve"> a waiver </w:t>
      </w:r>
      <w:r w:rsidR="00A26536">
        <w:rPr>
          <w:sz w:val="22"/>
          <w:szCs w:val="22"/>
        </w:rPr>
        <w:t xml:space="preserve">of </w:t>
      </w:r>
      <w:r w:rsidR="00BA0556">
        <w:rPr>
          <w:sz w:val="22"/>
          <w:szCs w:val="22"/>
        </w:rPr>
        <w:t>the Commission requirement that FM translator applications in “Appendix A” markets file their cap showings by January 25, 2013</w:t>
      </w:r>
      <w:r w:rsidR="00A26536">
        <w:rPr>
          <w:sz w:val="22"/>
          <w:szCs w:val="22"/>
        </w:rPr>
        <w:t>.</w:t>
      </w:r>
      <w:r w:rsidR="00EC6668">
        <w:rPr>
          <w:sz w:val="22"/>
          <w:szCs w:val="22"/>
        </w:rPr>
        <w:t xml:space="preserve">  </w:t>
      </w:r>
      <w:r w:rsidR="00E63067">
        <w:rPr>
          <w:sz w:val="22"/>
          <w:szCs w:val="22"/>
        </w:rPr>
        <w:t>In this regard, t</w:t>
      </w:r>
      <w:r w:rsidR="00E63067" w:rsidRPr="00B4397C">
        <w:rPr>
          <w:sz w:val="22"/>
          <w:szCs w:val="22"/>
        </w:rPr>
        <w:t>he Bureau clearly stated that “[Preclusion] Caps Showings may not be submitted, amended, corrected or resubmitted for further consideration after the Caps Deadline [of January 25, 2013]</w:t>
      </w:r>
      <w:r w:rsidR="00E63067">
        <w:rPr>
          <w:sz w:val="22"/>
          <w:szCs w:val="22"/>
        </w:rPr>
        <w:t xml:space="preserve">.  </w:t>
      </w:r>
      <w:r w:rsidR="00E63067" w:rsidRPr="00B4397C">
        <w:rPr>
          <w:bCs/>
          <w:color w:val="010101"/>
          <w:sz w:val="22"/>
          <w:szCs w:val="22"/>
        </w:rPr>
        <w:t>Neither a Selection List nor a Caps Showing will</w:t>
      </w:r>
      <w:r w:rsidR="00E63067">
        <w:rPr>
          <w:bCs/>
          <w:color w:val="010101"/>
          <w:sz w:val="22"/>
          <w:szCs w:val="22"/>
        </w:rPr>
        <w:t xml:space="preserve"> </w:t>
      </w:r>
      <w:r w:rsidR="00E63067" w:rsidRPr="00B4397C">
        <w:rPr>
          <w:bCs/>
          <w:color w:val="010101"/>
          <w:sz w:val="22"/>
          <w:szCs w:val="22"/>
        </w:rPr>
        <w:t>be treated as a matter subject to amendment, correction or completion pursuant to 47 C.F.R. § 73.3522(a)</w:t>
      </w:r>
      <w:r w:rsidR="00E63067" w:rsidRPr="00B4397C">
        <w:rPr>
          <w:sz w:val="22"/>
          <w:szCs w:val="22"/>
        </w:rPr>
        <w:t>. . . .”</w:t>
      </w:r>
      <w:r w:rsidR="00E63067" w:rsidRPr="00B4397C">
        <w:rPr>
          <w:rStyle w:val="FootnoteReference"/>
          <w:sz w:val="22"/>
          <w:szCs w:val="22"/>
        </w:rPr>
        <w:footnoteReference w:id="13"/>
      </w:r>
      <w:r w:rsidR="00E63067">
        <w:rPr>
          <w:sz w:val="22"/>
          <w:szCs w:val="22"/>
        </w:rPr>
        <w:t xml:space="preserve">  </w:t>
      </w:r>
      <w:r w:rsidR="00BB204B" w:rsidRPr="00BB204B">
        <w:rPr>
          <w:sz w:val="22"/>
          <w:szCs w:val="22"/>
        </w:rPr>
        <w:t>Section 1.3 of the Rules expressly provides that any provision of the Rules may be waived by the Commission in whole or in part, for good cause shown.</w:t>
      </w:r>
      <w:r w:rsidR="00BB204B" w:rsidRPr="00BB204B">
        <w:rPr>
          <w:sz w:val="22"/>
          <w:szCs w:val="22"/>
          <w:vertAlign w:val="superscript"/>
        </w:rPr>
        <w:footnoteReference w:id="14"/>
      </w:r>
      <w:r w:rsidR="00BB204B" w:rsidRPr="00BB204B">
        <w:rPr>
          <w:sz w:val="22"/>
          <w:szCs w:val="22"/>
        </w:rPr>
        <w:t xml:space="preserve">  </w:t>
      </w:r>
      <w:r w:rsidR="00C816E5" w:rsidRPr="00C816E5">
        <w:rPr>
          <w:sz w:val="22"/>
          <w:szCs w:val="22"/>
        </w:rPr>
        <w:t xml:space="preserve">An applicant seeking a </w:t>
      </w:r>
      <w:bookmarkStart w:id="8" w:name="SR;1211"/>
      <w:bookmarkStart w:id="9" w:name="SearchTerm"/>
      <w:bookmarkEnd w:id="8"/>
      <w:r w:rsidR="00236EA3">
        <w:rPr>
          <w:sz w:val="22"/>
          <w:szCs w:val="22"/>
        </w:rPr>
        <w:t>waiver</w:t>
      </w:r>
      <w:r w:rsidR="00C816E5" w:rsidRPr="00C816E5">
        <w:rPr>
          <w:sz w:val="22"/>
          <w:szCs w:val="22"/>
        </w:rPr>
        <w:t xml:space="preserve"> has the burden to plead with particularity the facts and circumstances that warrant such action.</w:t>
      </w:r>
      <w:bookmarkStart w:id="10" w:name="FN[FN18]"/>
      <w:bookmarkEnd w:id="10"/>
      <w:r w:rsidR="00236EA3">
        <w:rPr>
          <w:rStyle w:val="FootnoteReference"/>
          <w:sz w:val="22"/>
          <w:szCs w:val="22"/>
        </w:rPr>
        <w:footnoteReference w:id="15"/>
      </w:r>
      <w:r w:rsidR="00236EA3">
        <w:rPr>
          <w:sz w:val="22"/>
          <w:szCs w:val="22"/>
        </w:rPr>
        <w:t xml:space="preserve">  </w:t>
      </w:r>
      <w:r w:rsidR="00C816E5" w:rsidRPr="00C816E5">
        <w:rPr>
          <w:sz w:val="22"/>
          <w:szCs w:val="22"/>
        </w:rPr>
        <w:t xml:space="preserve">The Commission must give </w:t>
      </w:r>
      <w:bookmarkStart w:id="11" w:name="SR;1233"/>
      <w:bookmarkEnd w:id="11"/>
      <w:r w:rsidR="00236EA3">
        <w:rPr>
          <w:sz w:val="22"/>
          <w:szCs w:val="22"/>
        </w:rPr>
        <w:t>waiver</w:t>
      </w:r>
      <w:r w:rsidR="00C816E5" w:rsidRPr="00C816E5">
        <w:rPr>
          <w:sz w:val="22"/>
          <w:szCs w:val="22"/>
        </w:rPr>
        <w:t xml:space="preserve"> requests “a hard look,” but an applicant for </w:t>
      </w:r>
      <w:bookmarkStart w:id="12" w:name="SR;1242"/>
      <w:bookmarkEnd w:id="12"/>
      <w:r w:rsidR="00236EA3">
        <w:rPr>
          <w:sz w:val="22"/>
          <w:szCs w:val="22"/>
        </w:rPr>
        <w:t>waiver</w:t>
      </w:r>
      <w:r w:rsidR="00C816E5" w:rsidRPr="00C816E5">
        <w:rPr>
          <w:sz w:val="22"/>
          <w:szCs w:val="22"/>
        </w:rPr>
        <w:t xml:space="preserve"> “faces a high hurdle even at the starting gate”</w:t>
      </w:r>
      <w:bookmarkStart w:id="13" w:name="FN[FN19]"/>
      <w:bookmarkEnd w:id="13"/>
      <w:r w:rsidR="00236EA3">
        <w:rPr>
          <w:rStyle w:val="FootnoteReference"/>
          <w:sz w:val="22"/>
          <w:szCs w:val="22"/>
        </w:rPr>
        <w:footnoteReference w:id="16"/>
      </w:r>
      <w:r w:rsidR="00C816E5" w:rsidRPr="00C816E5">
        <w:rPr>
          <w:sz w:val="22"/>
          <w:szCs w:val="22"/>
        </w:rPr>
        <w:t xml:space="preserve"> and must support its </w:t>
      </w:r>
      <w:bookmarkStart w:id="14" w:name="SR;1257"/>
      <w:bookmarkEnd w:id="14"/>
      <w:r w:rsidR="00236EA3">
        <w:rPr>
          <w:sz w:val="22"/>
          <w:szCs w:val="22"/>
        </w:rPr>
        <w:t>waiver</w:t>
      </w:r>
      <w:r w:rsidR="00C816E5" w:rsidRPr="00C816E5">
        <w:rPr>
          <w:sz w:val="22"/>
          <w:szCs w:val="22"/>
        </w:rPr>
        <w:t xml:space="preserve"> request with a compelling showing.</w:t>
      </w:r>
      <w:bookmarkStart w:id="15" w:name="FN[FN20]"/>
      <w:bookmarkEnd w:id="15"/>
      <w:r w:rsidR="00236EA3">
        <w:rPr>
          <w:rStyle w:val="FootnoteReference"/>
          <w:sz w:val="22"/>
          <w:szCs w:val="22"/>
        </w:rPr>
        <w:footnoteReference w:id="17"/>
      </w:r>
      <w:r w:rsidR="001E27C1">
        <w:rPr>
          <w:sz w:val="22"/>
          <w:szCs w:val="22"/>
        </w:rPr>
        <w:t xml:space="preserve">  </w:t>
      </w:r>
      <w:r w:rsidR="00C816E5" w:rsidRPr="00C816E5">
        <w:rPr>
          <w:sz w:val="22"/>
          <w:szCs w:val="22"/>
        </w:rPr>
        <w:t>The Commission may exercise its discretion to waive a policy or rule where the particular facts make strict compliance inconsistent with the public interest.</w:t>
      </w:r>
      <w:bookmarkStart w:id="16" w:name="FN[FN21]"/>
      <w:bookmarkEnd w:id="16"/>
      <w:r w:rsidR="00236EA3">
        <w:rPr>
          <w:rStyle w:val="FootnoteReference"/>
          <w:sz w:val="22"/>
          <w:szCs w:val="22"/>
        </w:rPr>
        <w:footnoteReference w:id="18"/>
      </w:r>
      <w:r w:rsidR="00236EA3">
        <w:rPr>
          <w:sz w:val="22"/>
          <w:szCs w:val="22"/>
        </w:rPr>
        <w:t xml:space="preserve">  </w:t>
      </w:r>
      <w:r w:rsidR="00C816E5" w:rsidRPr="00C816E5">
        <w:rPr>
          <w:sz w:val="22"/>
          <w:szCs w:val="22"/>
        </w:rPr>
        <w:t>In addition, the Commission may take into account considerations of hardship, equity, or more effective implementation of overall policy on an individual basis.</w:t>
      </w:r>
      <w:bookmarkStart w:id="17" w:name="FN[FN22]"/>
      <w:bookmarkEnd w:id="17"/>
      <w:r w:rsidR="00236EA3">
        <w:rPr>
          <w:rStyle w:val="FootnoteReference"/>
          <w:sz w:val="22"/>
          <w:szCs w:val="22"/>
        </w:rPr>
        <w:footnoteReference w:id="19"/>
      </w:r>
      <w:r w:rsidR="00236EA3">
        <w:rPr>
          <w:sz w:val="22"/>
          <w:szCs w:val="22"/>
        </w:rPr>
        <w:t xml:space="preserve">  </w:t>
      </w:r>
      <w:r w:rsidR="00C816E5" w:rsidRPr="00C816E5">
        <w:rPr>
          <w:sz w:val="22"/>
          <w:szCs w:val="22"/>
        </w:rPr>
        <w:t xml:space="preserve">However, </w:t>
      </w:r>
      <w:bookmarkStart w:id="18" w:name="SR;1317"/>
      <w:bookmarkEnd w:id="9"/>
      <w:bookmarkEnd w:id="18"/>
      <w:r w:rsidR="00236EA3">
        <w:rPr>
          <w:sz w:val="22"/>
          <w:szCs w:val="22"/>
        </w:rPr>
        <w:t>waiver</w:t>
      </w:r>
      <w:r w:rsidR="00C816E5" w:rsidRPr="00C816E5">
        <w:rPr>
          <w:sz w:val="22"/>
          <w:szCs w:val="22"/>
        </w:rPr>
        <w:t xml:space="preserve"> of the Commission's policies or rules is appropriate only </w:t>
      </w:r>
      <w:r w:rsidR="00236EA3">
        <w:rPr>
          <w:sz w:val="22"/>
          <w:szCs w:val="22"/>
        </w:rPr>
        <w:t>i</w:t>
      </w:r>
      <w:r w:rsidR="00C816E5" w:rsidRPr="00C816E5">
        <w:rPr>
          <w:sz w:val="22"/>
          <w:szCs w:val="22"/>
        </w:rPr>
        <w:t>f both (i) special circumstances warrant a deviation from the general rule, and (ii) such deviation will serve the public interest.</w:t>
      </w:r>
      <w:bookmarkStart w:id="19" w:name="FN[FN23]"/>
      <w:bookmarkEnd w:id="19"/>
      <w:r w:rsidR="00236EA3">
        <w:rPr>
          <w:rStyle w:val="FootnoteReference"/>
          <w:sz w:val="22"/>
          <w:szCs w:val="22"/>
        </w:rPr>
        <w:footnoteReference w:id="20"/>
      </w:r>
      <w:bookmarkStart w:id="21" w:name="SR;528"/>
      <w:bookmarkStart w:id="22" w:name="SR;530"/>
      <w:bookmarkStart w:id="23" w:name="SR;531"/>
      <w:bookmarkStart w:id="24" w:name="SR;547"/>
      <w:bookmarkStart w:id="25" w:name="SR;552"/>
      <w:bookmarkStart w:id="26" w:name="SR;571"/>
      <w:bookmarkStart w:id="27" w:name="SR;588"/>
      <w:bookmarkStart w:id="28" w:name="SR;599"/>
      <w:bookmarkStart w:id="29" w:name="SR;607"/>
      <w:bookmarkStart w:id="30" w:name="SR;608"/>
      <w:bookmarkStart w:id="31" w:name="SR;616"/>
      <w:bookmarkStart w:id="32" w:name="SR;686"/>
      <w:bookmarkStart w:id="33" w:name="SR;1401"/>
      <w:bookmarkStart w:id="34" w:name="SR;1418"/>
      <w:bookmarkStart w:id="35" w:name="SR;14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2E0504" w:rsidRPr="00EB5261">
        <w:rPr>
          <w:i/>
          <w:sz w:val="22"/>
          <w:szCs w:val="22"/>
        </w:rPr>
        <w:t xml:space="preserve">  </w:t>
      </w:r>
      <w:r w:rsidR="001D1652" w:rsidRPr="00EB5261">
        <w:rPr>
          <w:i/>
          <w:sz w:val="22"/>
          <w:szCs w:val="22"/>
        </w:rPr>
        <w:t xml:space="preserve"> </w:t>
      </w:r>
    </w:p>
    <w:p w:rsidR="00CC2B4D" w:rsidRDefault="001D1652" w:rsidP="00BB204B">
      <w:pPr>
        <w:rPr>
          <w:sz w:val="22"/>
          <w:szCs w:val="22"/>
        </w:rPr>
      </w:pPr>
      <w:r>
        <w:rPr>
          <w:sz w:val="22"/>
          <w:szCs w:val="22"/>
        </w:rPr>
        <w:tab/>
      </w:r>
      <w:bookmarkStart w:id="36" w:name="FN[FN111]"/>
      <w:bookmarkStart w:id="37" w:name="SR;572"/>
      <w:bookmarkStart w:id="38" w:name="SR;573"/>
      <w:bookmarkStart w:id="39" w:name="SR;5434"/>
      <w:bookmarkStart w:id="40" w:name="SR;941"/>
      <w:bookmarkStart w:id="41" w:name="SR;5453"/>
      <w:bookmarkStart w:id="42" w:name="SR;5454"/>
      <w:bookmarkStart w:id="43" w:name="SR;946"/>
      <w:bookmarkStart w:id="44" w:name="SR;947"/>
      <w:bookmarkStart w:id="45" w:name="SR;5439"/>
      <w:bookmarkEnd w:id="36"/>
      <w:bookmarkEnd w:id="37"/>
      <w:bookmarkEnd w:id="38"/>
      <w:bookmarkEnd w:id="39"/>
      <w:bookmarkEnd w:id="40"/>
      <w:bookmarkEnd w:id="41"/>
      <w:bookmarkEnd w:id="42"/>
      <w:bookmarkEnd w:id="43"/>
      <w:bookmarkEnd w:id="44"/>
      <w:bookmarkEnd w:id="45"/>
    </w:p>
    <w:p w:rsidR="006A0BE1" w:rsidRDefault="005277AA" w:rsidP="00D110B0">
      <w:pPr>
        <w:autoSpaceDE w:val="0"/>
        <w:autoSpaceDN w:val="0"/>
        <w:adjustRightInd w:val="0"/>
        <w:rPr>
          <w:sz w:val="22"/>
          <w:szCs w:val="22"/>
        </w:rPr>
      </w:pPr>
      <w:r w:rsidRPr="00E53011">
        <w:rPr>
          <w:sz w:val="22"/>
          <w:szCs w:val="22"/>
        </w:rPr>
        <w:tab/>
      </w:r>
      <w:bookmarkStart w:id="46" w:name="SR;1086"/>
      <w:bookmarkStart w:id="47" w:name="FN[FN114]"/>
      <w:bookmarkStart w:id="48" w:name="FN[FN115]"/>
      <w:bookmarkEnd w:id="46"/>
      <w:bookmarkEnd w:id="47"/>
      <w:bookmarkEnd w:id="48"/>
      <w:r w:rsidR="004E3984">
        <w:rPr>
          <w:sz w:val="22"/>
          <w:szCs w:val="22"/>
        </w:rPr>
        <w:t xml:space="preserve">  </w:t>
      </w:r>
      <w:r w:rsidR="00174F90" w:rsidRPr="00B4397C">
        <w:rPr>
          <w:sz w:val="22"/>
          <w:szCs w:val="22"/>
        </w:rPr>
        <w:t xml:space="preserve">The facts presented by Proctor do not meet this burden.  </w:t>
      </w:r>
      <w:r w:rsidR="00B57194">
        <w:rPr>
          <w:sz w:val="22"/>
          <w:szCs w:val="22"/>
        </w:rPr>
        <w:t xml:space="preserve">Proctor states in the Petition and in the </w:t>
      </w:r>
      <w:r w:rsidR="00B57194" w:rsidRPr="00B57194">
        <w:rPr>
          <w:i/>
          <w:sz w:val="22"/>
          <w:szCs w:val="22"/>
        </w:rPr>
        <w:t>Proctor Letter</w:t>
      </w:r>
      <w:r w:rsidR="00B57194">
        <w:rPr>
          <w:sz w:val="22"/>
          <w:szCs w:val="22"/>
        </w:rPr>
        <w:t xml:space="preserve"> that he missed the filing deadline due to </w:t>
      </w:r>
      <w:r w:rsidR="006725F3">
        <w:rPr>
          <w:sz w:val="22"/>
          <w:szCs w:val="22"/>
        </w:rPr>
        <w:t xml:space="preserve">his “confusion” as to what was </w:t>
      </w:r>
      <w:r w:rsidR="00B57194">
        <w:rPr>
          <w:sz w:val="22"/>
          <w:szCs w:val="22"/>
        </w:rPr>
        <w:t>required by the Commission.</w:t>
      </w:r>
      <w:r w:rsidR="00B57194">
        <w:rPr>
          <w:rStyle w:val="FootnoteReference"/>
          <w:sz w:val="22"/>
          <w:szCs w:val="22"/>
        </w:rPr>
        <w:footnoteReference w:id="21"/>
      </w:r>
      <w:r w:rsidR="00BA0556">
        <w:rPr>
          <w:sz w:val="22"/>
          <w:szCs w:val="22"/>
        </w:rPr>
        <w:t xml:space="preserve">  </w:t>
      </w:r>
      <w:r w:rsidR="00BA0556" w:rsidRPr="00BA0556">
        <w:rPr>
          <w:sz w:val="22"/>
          <w:szCs w:val="22"/>
        </w:rPr>
        <w:t xml:space="preserve">Such an error is the applicant’s responsibility, and lack of knowledge </w:t>
      </w:r>
      <w:r w:rsidR="006A0BE1">
        <w:rPr>
          <w:sz w:val="22"/>
          <w:szCs w:val="22"/>
        </w:rPr>
        <w:t xml:space="preserve">of or failure to understand </w:t>
      </w:r>
      <w:r w:rsidR="00BA0556" w:rsidRPr="00BA0556">
        <w:rPr>
          <w:sz w:val="22"/>
          <w:szCs w:val="22"/>
        </w:rPr>
        <w:t>the Commission’s rules and policies does not excuse failure to meet a filing deadline.</w:t>
      </w:r>
      <w:r w:rsidR="00BA0556" w:rsidRPr="00BA0556">
        <w:rPr>
          <w:sz w:val="22"/>
          <w:szCs w:val="22"/>
          <w:vertAlign w:val="superscript"/>
        </w:rPr>
        <w:footnoteReference w:id="22"/>
      </w:r>
      <w:r w:rsidR="009A5B59">
        <w:rPr>
          <w:sz w:val="22"/>
          <w:szCs w:val="22"/>
        </w:rPr>
        <w:t xml:space="preserve">  </w:t>
      </w:r>
      <w:r w:rsidR="00D40377">
        <w:rPr>
          <w:sz w:val="22"/>
          <w:szCs w:val="22"/>
        </w:rPr>
        <w:t xml:space="preserve">Indeed, </w:t>
      </w:r>
      <w:r w:rsidR="009A5B59">
        <w:rPr>
          <w:sz w:val="22"/>
          <w:szCs w:val="22"/>
        </w:rPr>
        <w:t>t</w:t>
      </w:r>
      <w:r w:rsidR="009A5B59" w:rsidRPr="009A5B59">
        <w:rPr>
          <w:sz w:val="22"/>
          <w:szCs w:val="22"/>
        </w:rPr>
        <w:t xml:space="preserve">he </w:t>
      </w:r>
      <w:r w:rsidR="009A5B59" w:rsidRPr="009A5B59">
        <w:rPr>
          <w:i/>
          <w:iCs/>
          <w:sz w:val="22"/>
          <w:szCs w:val="22"/>
        </w:rPr>
        <w:t>Selection PN</w:t>
      </w:r>
      <w:r w:rsidR="009A5B59" w:rsidRPr="009A5B59">
        <w:rPr>
          <w:sz w:val="22"/>
          <w:szCs w:val="22"/>
        </w:rPr>
        <w:t xml:space="preserve"> contained contact points of Bureau representatives for applicants requiring additional guidance.</w:t>
      </w:r>
      <w:r w:rsidR="009A5B59">
        <w:rPr>
          <w:rStyle w:val="FootnoteReference"/>
          <w:sz w:val="22"/>
          <w:szCs w:val="22"/>
        </w:rPr>
        <w:footnoteReference w:id="23"/>
      </w:r>
      <w:r w:rsidR="009A5B59">
        <w:rPr>
          <w:sz w:val="22"/>
          <w:szCs w:val="22"/>
        </w:rPr>
        <w:t xml:space="preserve">  </w:t>
      </w:r>
      <w:r w:rsidR="00BA0556" w:rsidRPr="00BA0556">
        <w:rPr>
          <w:sz w:val="22"/>
          <w:szCs w:val="22"/>
        </w:rPr>
        <w:t xml:space="preserve">The Bureau has routinely stated that </w:t>
      </w:r>
      <w:bookmarkStart w:id="52" w:name="SR;662"/>
      <w:bookmarkEnd w:id="52"/>
      <w:r w:rsidR="00BA0556" w:rsidRPr="00BA0556">
        <w:rPr>
          <w:sz w:val="22"/>
          <w:szCs w:val="22"/>
        </w:rPr>
        <w:t xml:space="preserve">applicants are charged with </w:t>
      </w:r>
      <w:bookmarkStart w:id="53" w:name="SR;666"/>
      <w:bookmarkEnd w:id="53"/>
      <w:r w:rsidR="00BA0556" w:rsidRPr="00BA0556">
        <w:rPr>
          <w:sz w:val="22"/>
          <w:szCs w:val="22"/>
        </w:rPr>
        <w:t xml:space="preserve">knowledge of the </w:t>
      </w:r>
      <w:r w:rsidR="006A0BE1">
        <w:rPr>
          <w:sz w:val="22"/>
          <w:szCs w:val="22"/>
        </w:rPr>
        <w:t>processing</w:t>
      </w:r>
      <w:r w:rsidR="00BA0556" w:rsidRPr="00BA0556">
        <w:rPr>
          <w:sz w:val="22"/>
          <w:szCs w:val="22"/>
        </w:rPr>
        <w:t xml:space="preserve"> </w:t>
      </w:r>
      <w:bookmarkStart w:id="54" w:name="SR;670"/>
      <w:bookmarkEnd w:id="54"/>
      <w:r w:rsidR="00BA0556" w:rsidRPr="00BA0556">
        <w:rPr>
          <w:sz w:val="22"/>
          <w:szCs w:val="22"/>
        </w:rPr>
        <w:t>rules,</w:t>
      </w:r>
      <w:bookmarkStart w:id="55" w:name="FN[FN9]"/>
      <w:bookmarkEnd w:id="55"/>
      <w:r w:rsidR="00BA0556" w:rsidRPr="00BA0556">
        <w:rPr>
          <w:sz w:val="22"/>
          <w:szCs w:val="22"/>
        </w:rPr>
        <w:t xml:space="preserve"> and the burden of providing information and demonstrating qualifications by the applicable deadlines falls upon the </w:t>
      </w:r>
      <w:bookmarkStart w:id="56" w:name="SR;688"/>
      <w:bookmarkEnd w:id="56"/>
      <w:r w:rsidR="00BA0556" w:rsidRPr="00BA0556">
        <w:rPr>
          <w:sz w:val="22"/>
          <w:szCs w:val="22"/>
        </w:rPr>
        <w:t>applicants.</w:t>
      </w:r>
      <w:bookmarkStart w:id="57" w:name="sp_4493_15345"/>
      <w:bookmarkStart w:id="58" w:name="SDU_15345"/>
      <w:bookmarkStart w:id="59" w:name="citeas((Cite_as:_14_FCC_Rcd._15343,_*153"/>
      <w:bookmarkStart w:id="60" w:name="FN[FN11]"/>
      <w:bookmarkStart w:id="61" w:name="FN[FN12]"/>
      <w:bookmarkEnd w:id="57"/>
      <w:bookmarkEnd w:id="58"/>
      <w:bookmarkEnd w:id="59"/>
      <w:bookmarkEnd w:id="60"/>
      <w:bookmarkEnd w:id="61"/>
      <w:r w:rsidR="00BA0556" w:rsidRPr="00BA0556">
        <w:rPr>
          <w:sz w:val="22"/>
          <w:szCs w:val="22"/>
          <w:vertAlign w:val="superscript"/>
        </w:rPr>
        <w:footnoteReference w:id="24"/>
      </w:r>
      <w:r w:rsidR="00BA0556" w:rsidRPr="00BA0556">
        <w:rPr>
          <w:sz w:val="22"/>
          <w:szCs w:val="22"/>
        </w:rPr>
        <w:t xml:space="preserve">  </w:t>
      </w:r>
    </w:p>
    <w:p w:rsidR="009A5B59" w:rsidRDefault="009A5B59" w:rsidP="00D110B0">
      <w:pPr>
        <w:autoSpaceDE w:val="0"/>
        <w:autoSpaceDN w:val="0"/>
        <w:adjustRightInd w:val="0"/>
        <w:rPr>
          <w:sz w:val="22"/>
          <w:szCs w:val="22"/>
        </w:rPr>
      </w:pPr>
    </w:p>
    <w:p w:rsidR="00D110B0" w:rsidRPr="00D110B0" w:rsidRDefault="006A0BE1" w:rsidP="00D110B0">
      <w:pPr>
        <w:autoSpaceDE w:val="0"/>
        <w:autoSpaceDN w:val="0"/>
        <w:adjustRightInd w:val="0"/>
        <w:rPr>
          <w:sz w:val="22"/>
          <w:szCs w:val="22"/>
        </w:rPr>
      </w:pPr>
      <w:r>
        <w:rPr>
          <w:sz w:val="22"/>
          <w:szCs w:val="22"/>
        </w:rPr>
        <w:tab/>
      </w:r>
      <w:r w:rsidR="00BA0556">
        <w:rPr>
          <w:sz w:val="22"/>
          <w:szCs w:val="22"/>
        </w:rPr>
        <w:t xml:space="preserve">Additionally, </w:t>
      </w:r>
      <w:r w:rsidR="00D110B0">
        <w:rPr>
          <w:sz w:val="22"/>
          <w:szCs w:val="22"/>
        </w:rPr>
        <w:t>Proctor has</w:t>
      </w:r>
      <w:r w:rsidR="00D110B0" w:rsidRPr="00D110B0">
        <w:rPr>
          <w:sz w:val="22"/>
          <w:szCs w:val="22"/>
        </w:rPr>
        <w:t xml:space="preserve"> </w:t>
      </w:r>
      <w:r>
        <w:rPr>
          <w:sz w:val="22"/>
          <w:szCs w:val="22"/>
        </w:rPr>
        <w:t xml:space="preserve">not </w:t>
      </w:r>
      <w:r w:rsidR="00D110B0" w:rsidRPr="00D110B0">
        <w:rPr>
          <w:sz w:val="22"/>
          <w:szCs w:val="22"/>
        </w:rPr>
        <w:t xml:space="preserve">demonstrated that </w:t>
      </w:r>
      <w:r w:rsidR="009A0796">
        <w:rPr>
          <w:sz w:val="22"/>
          <w:szCs w:val="22"/>
        </w:rPr>
        <w:t>waiver</w:t>
      </w:r>
      <w:r w:rsidR="00D110B0" w:rsidRPr="00D110B0">
        <w:rPr>
          <w:sz w:val="22"/>
          <w:szCs w:val="22"/>
        </w:rPr>
        <w:t xml:space="preserve"> of the </w:t>
      </w:r>
      <w:r>
        <w:rPr>
          <w:sz w:val="22"/>
          <w:szCs w:val="22"/>
        </w:rPr>
        <w:t xml:space="preserve">cap showing </w:t>
      </w:r>
      <w:r w:rsidR="00D110B0" w:rsidRPr="00D110B0">
        <w:rPr>
          <w:sz w:val="22"/>
          <w:szCs w:val="22"/>
        </w:rPr>
        <w:t xml:space="preserve">deadline in </w:t>
      </w:r>
      <w:r w:rsidR="00B57194">
        <w:rPr>
          <w:sz w:val="22"/>
          <w:szCs w:val="22"/>
        </w:rPr>
        <w:t>this</w:t>
      </w:r>
      <w:r w:rsidR="00D110B0" w:rsidRPr="00D110B0">
        <w:rPr>
          <w:sz w:val="22"/>
          <w:szCs w:val="22"/>
        </w:rPr>
        <w:t xml:space="preserve"> case would </w:t>
      </w:r>
      <w:r w:rsidR="009A0796">
        <w:rPr>
          <w:sz w:val="22"/>
          <w:szCs w:val="22"/>
        </w:rPr>
        <w:t xml:space="preserve">not </w:t>
      </w:r>
      <w:r w:rsidR="00D110B0" w:rsidRPr="00D110B0">
        <w:rPr>
          <w:sz w:val="22"/>
          <w:szCs w:val="22"/>
        </w:rPr>
        <w:t xml:space="preserve">undercut or frustrate </w:t>
      </w:r>
      <w:r w:rsidR="00E74E67">
        <w:rPr>
          <w:sz w:val="22"/>
          <w:szCs w:val="22"/>
        </w:rPr>
        <w:t>the processing efficiencies which the filing deadline was designed to promote.</w:t>
      </w:r>
      <w:r w:rsidR="009C3DE7" w:rsidRPr="009C3DE7">
        <w:rPr>
          <w:sz w:val="22"/>
          <w:szCs w:val="22"/>
          <w:vertAlign w:val="superscript"/>
        </w:rPr>
        <w:footnoteReference w:id="25"/>
      </w:r>
      <w:r w:rsidR="00174F90">
        <w:rPr>
          <w:sz w:val="22"/>
          <w:szCs w:val="22"/>
        </w:rPr>
        <w:t xml:space="preserve">  The </w:t>
      </w:r>
      <w:r w:rsidR="00174F90">
        <w:rPr>
          <w:i/>
          <w:sz w:val="22"/>
          <w:szCs w:val="22"/>
        </w:rPr>
        <w:t xml:space="preserve">Selection PN </w:t>
      </w:r>
      <w:r w:rsidR="00174F90">
        <w:rPr>
          <w:sz w:val="22"/>
          <w:szCs w:val="22"/>
        </w:rPr>
        <w:t xml:space="preserve">provided detailed information about filing requirements.  In addition, Proctor does not dispute the fact that he received adequate notice regarding the filing deadline for his </w:t>
      </w:r>
      <w:r w:rsidR="00780830">
        <w:rPr>
          <w:sz w:val="22"/>
          <w:szCs w:val="22"/>
        </w:rPr>
        <w:t>“</w:t>
      </w:r>
      <w:r w:rsidR="00174F90">
        <w:rPr>
          <w:sz w:val="22"/>
          <w:szCs w:val="22"/>
        </w:rPr>
        <w:t>Appendix A</w:t>
      </w:r>
      <w:r w:rsidR="00780830">
        <w:rPr>
          <w:sz w:val="22"/>
          <w:szCs w:val="22"/>
        </w:rPr>
        <w:t>”</w:t>
      </w:r>
      <w:r w:rsidR="00174F90">
        <w:rPr>
          <w:sz w:val="22"/>
          <w:szCs w:val="22"/>
        </w:rPr>
        <w:t xml:space="preserve"> filings.  </w:t>
      </w:r>
      <w:bookmarkStart w:id="62" w:name="FN[FN10]"/>
      <w:bookmarkEnd w:id="62"/>
      <w:r w:rsidR="00D110B0" w:rsidRPr="00D110B0">
        <w:rPr>
          <w:sz w:val="22"/>
          <w:szCs w:val="22"/>
        </w:rPr>
        <w:t>The Commission's rules are best served by applying deadlines in a fair and consistent manner</w:t>
      </w:r>
      <w:r w:rsidR="00451F85">
        <w:rPr>
          <w:sz w:val="22"/>
          <w:szCs w:val="22"/>
        </w:rPr>
        <w:t xml:space="preserve">.  Permitting Proctor to file his preclusion showings after the well-published deadline – based solely on his </w:t>
      </w:r>
      <w:r w:rsidR="009A0796">
        <w:rPr>
          <w:sz w:val="22"/>
          <w:szCs w:val="22"/>
        </w:rPr>
        <w:t xml:space="preserve">“confusion” and </w:t>
      </w:r>
      <w:r w:rsidR="00451F85">
        <w:rPr>
          <w:sz w:val="22"/>
          <w:szCs w:val="22"/>
        </w:rPr>
        <w:t xml:space="preserve">failure to become familiar with the </w:t>
      </w:r>
      <w:r w:rsidR="00D710C8">
        <w:rPr>
          <w:sz w:val="22"/>
          <w:szCs w:val="22"/>
        </w:rPr>
        <w:t xml:space="preserve">Commission’s </w:t>
      </w:r>
      <w:r w:rsidR="00451F85">
        <w:rPr>
          <w:sz w:val="22"/>
          <w:szCs w:val="22"/>
        </w:rPr>
        <w:t xml:space="preserve">revised </w:t>
      </w:r>
      <w:r w:rsidR="007B7B67">
        <w:rPr>
          <w:sz w:val="22"/>
          <w:szCs w:val="22"/>
        </w:rPr>
        <w:t xml:space="preserve">FM </w:t>
      </w:r>
      <w:r w:rsidR="00451F85">
        <w:rPr>
          <w:sz w:val="22"/>
          <w:szCs w:val="22"/>
        </w:rPr>
        <w:t>translator processing policies -- would be both patently unfair to the many applicants who timely filed such showings and in</w:t>
      </w:r>
      <w:r w:rsidR="00547011">
        <w:rPr>
          <w:sz w:val="22"/>
          <w:szCs w:val="22"/>
        </w:rPr>
        <w:t>imical</w:t>
      </w:r>
      <w:r w:rsidR="00451F85">
        <w:rPr>
          <w:sz w:val="22"/>
          <w:szCs w:val="22"/>
        </w:rPr>
        <w:t xml:space="preserve"> to </w:t>
      </w:r>
      <w:r w:rsidR="00691DA3">
        <w:rPr>
          <w:sz w:val="22"/>
          <w:szCs w:val="22"/>
        </w:rPr>
        <w:t xml:space="preserve">the </w:t>
      </w:r>
      <w:r w:rsidR="00451F85">
        <w:rPr>
          <w:sz w:val="22"/>
          <w:szCs w:val="22"/>
        </w:rPr>
        <w:t xml:space="preserve">efficient </w:t>
      </w:r>
      <w:r w:rsidR="00691DA3">
        <w:rPr>
          <w:sz w:val="22"/>
          <w:szCs w:val="22"/>
        </w:rPr>
        <w:t>processing of the remaining Auction 83 applications</w:t>
      </w:r>
      <w:r w:rsidR="00451F85">
        <w:rPr>
          <w:sz w:val="22"/>
          <w:szCs w:val="22"/>
        </w:rPr>
        <w:t>.</w:t>
      </w:r>
      <w:r w:rsidR="008722F2">
        <w:rPr>
          <w:rStyle w:val="FootnoteReference"/>
          <w:sz w:val="22"/>
          <w:szCs w:val="22"/>
        </w:rPr>
        <w:footnoteReference w:id="26"/>
      </w:r>
      <w:r w:rsidR="00D110B0">
        <w:rPr>
          <w:sz w:val="22"/>
          <w:szCs w:val="22"/>
        </w:rPr>
        <w:t xml:space="preserve">  </w:t>
      </w:r>
      <w:bookmarkStart w:id="68" w:name="SR;739"/>
      <w:bookmarkStart w:id="69" w:name="SR;749"/>
      <w:bookmarkStart w:id="70" w:name="SR;751"/>
      <w:bookmarkStart w:id="71" w:name="SR;752"/>
      <w:bookmarkStart w:id="72" w:name="SR;756"/>
      <w:bookmarkEnd w:id="68"/>
      <w:bookmarkEnd w:id="69"/>
      <w:bookmarkEnd w:id="70"/>
      <w:bookmarkEnd w:id="71"/>
      <w:bookmarkEnd w:id="72"/>
      <w:r w:rsidR="00D110B0" w:rsidRPr="00D110B0">
        <w:rPr>
          <w:sz w:val="22"/>
          <w:szCs w:val="22"/>
          <w:vertAlign w:val="superscript"/>
        </w:rPr>
        <w:t xml:space="preserve">  </w:t>
      </w:r>
      <w:bookmarkStart w:id="73" w:name="FN[FN78]"/>
      <w:bookmarkEnd w:id="73"/>
    </w:p>
    <w:p w:rsidR="00D110B0" w:rsidRPr="00D110B0" w:rsidRDefault="00D110B0" w:rsidP="00D110B0">
      <w:pPr>
        <w:autoSpaceDE w:val="0"/>
        <w:autoSpaceDN w:val="0"/>
        <w:adjustRightInd w:val="0"/>
        <w:rPr>
          <w:sz w:val="22"/>
          <w:szCs w:val="22"/>
        </w:rPr>
      </w:pPr>
    </w:p>
    <w:p w:rsidR="00BB204B" w:rsidRDefault="009D1C29" w:rsidP="00BB204B">
      <w:pPr>
        <w:rPr>
          <w:sz w:val="22"/>
          <w:szCs w:val="22"/>
        </w:rPr>
      </w:pPr>
      <w:r w:rsidRPr="00C21985">
        <w:rPr>
          <w:sz w:val="22"/>
          <w:szCs w:val="22"/>
        </w:rPr>
        <w:t xml:space="preserve">             </w:t>
      </w:r>
      <w:r w:rsidR="004F59C0" w:rsidRPr="00C21985">
        <w:rPr>
          <w:b/>
          <w:sz w:val="22"/>
          <w:szCs w:val="22"/>
        </w:rPr>
        <w:t>Con</w:t>
      </w:r>
      <w:r w:rsidR="00BB204B" w:rsidRPr="00C21985">
        <w:rPr>
          <w:b/>
          <w:sz w:val="22"/>
          <w:szCs w:val="22"/>
        </w:rPr>
        <w:t>clusion/Actions</w:t>
      </w:r>
      <w:r w:rsidR="00BB204B" w:rsidRPr="00C21985">
        <w:rPr>
          <w:sz w:val="22"/>
          <w:szCs w:val="22"/>
        </w:rPr>
        <w:t>.</w:t>
      </w:r>
      <w:r w:rsidR="00BB204B" w:rsidRPr="00BB204B">
        <w:rPr>
          <w:sz w:val="22"/>
          <w:szCs w:val="22"/>
        </w:rPr>
        <w:t xml:space="preserve">  </w:t>
      </w:r>
      <w:r w:rsidR="00490140" w:rsidRPr="00490140">
        <w:rPr>
          <w:sz w:val="22"/>
          <w:szCs w:val="22"/>
        </w:rPr>
        <w:t xml:space="preserve">We find that </w:t>
      </w:r>
      <w:r w:rsidR="00490140">
        <w:rPr>
          <w:sz w:val="22"/>
          <w:szCs w:val="22"/>
        </w:rPr>
        <w:t>Proctor</w:t>
      </w:r>
      <w:r w:rsidR="00490140" w:rsidRPr="00490140">
        <w:rPr>
          <w:sz w:val="22"/>
          <w:szCs w:val="22"/>
        </w:rPr>
        <w:t xml:space="preserve"> has not set forth an error of fact or law, or presented new facts or changed circumstances which raise substantial or material questions of fact that otherwise warrant reconsideration of the </w:t>
      </w:r>
      <w:r w:rsidR="00490140">
        <w:rPr>
          <w:sz w:val="22"/>
          <w:szCs w:val="22"/>
        </w:rPr>
        <w:t>staff’s action</w:t>
      </w:r>
      <w:r w:rsidR="00490140" w:rsidRPr="00490140">
        <w:rPr>
          <w:sz w:val="22"/>
          <w:szCs w:val="22"/>
        </w:rPr>
        <w:t>.</w:t>
      </w:r>
      <w:r w:rsidR="00490140">
        <w:rPr>
          <w:sz w:val="22"/>
          <w:szCs w:val="22"/>
        </w:rPr>
        <w:t xml:space="preserve">  </w:t>
      </w:r>
      <w:r w:rsidR="00BB204B" w:rsidRPr="00BB204B">
        <w:rPr>
          <w:sz w:val="22"/>
          <w:szCs w:val="22"/>
        </w:rPr>
        <w:t xml:space="preserve">Accordingly, </w:t>
      </w:r>
      <w:bookmarkStart w:id="74" w:name="SR;3654"/>
      <w:bookmarkEnd w:id="74"/>
      <w:r w:rsidR="00BB204B" w:rsidRPr="00BB204B">
        <w:rPr>
          <w:sz w:val="22"/>
          <w:szCs w:val="22"/>
        </w:rPr>
        <w:t xml:space="preserve">for the reasons set forth above, IT </w:t>
      </w:r>
      <w:bookmarkStart w:id="75" w:name="SR;3655"/>
      <w:bookmarkEnd w:id="75"/>
      <w:r w:rsidR="00BB204B" w:rsidRPr="00BB204B">
        <w:rPr>
          <w:sz w:val="22"/>
          <w:szCs w:val="22"/>
        </w:rPr>
        <w:t xml:space="preserve">IS </w:t>
      </w:r>
      <w:bookmarkStart w:id="76" w:name="SR;3656"/>
      <w:bookmarkEnd w:id="76"/>
      <w:r w:rsidR="00BB204B" w:rsidRPr="00BB204B">
        <w:rPr>
          <w:sz w:val="22"/>
          <w:szCs w:val="22"/>
        </w:rPr>
        <w:t>ORDERED, that the</w:t>
      </w:r>
      <w:r w:rsidR="0095080F">
        <w:rPr>
          <w:sz w:val="22"/>
          <w:szCs w:val="22"/>
        </w:rPr>
        <w:t xml:space="preserve"> two</w:t>
      </w:r>
      <w:r w:rsidR="00BB204B" w:rsidRPr="00BB204B">
        <w:rPr>
          <w:sz w:val="22"/>
          <w:szCs w:val="22"/>
        </w:rPr>
        <w:t xml:space="preserve"> </w:t>
      </w:r>
      <w:bookmarkStart w:id="77" w:name="SR;3659"/>
      <w:bookmarkEnd w:id="77"/>
      <w:r w:rsidR="000B43AF">
        <w:rPr>
          <w:sz w:val="22"/>
          <w:szCs w:val="22"/>
        </w:rPr>
        <w:t>March 11, 2013</w:t>
      </w:r>
      <w:r w:rsidR="00087C2E">
        <w:rPr>
          <w:sz w:val="22"/>
          <w:szCs w:val="22"/>
        </w:rPr>
        <w:t xml:space="preserve">, </w:t>
      </w:r>
      <w:r w:rsidR="000B43AF">
        <w:rPr>
          <w:sz w:val="22"/>
          <w:szCs w:val="22"/>
        </w:rPr>
        <w:t xml:space="preserve">Petitions for Reconsideration filed by Gerald R. Proctor ARE </w:t>
      </w:r>
      <w:bookmarkStart w:id="78" w:name="SR;3666"/>
      <w:bookmarkEnd w:id="78"/>
      <w:r w:rsidR="00BB204B" w:rsidRPr="00BB204B">
        <w:rPr>
          <w:sz w:val="22"/>
          <w:szCs w:val="22"/>
        </w:rPr>
        <w:t>DENIED.</w:t>
      </w:r>
    </w:p>
    <w:p w:rsidR="007A06B6" w:rsidRDefault="007A06B6" w:rsidP="00BB204B">
      <w:pPr>
        <w:rPr>
          <w:sz w:val="22"/>
          <w:szCs w:val="22"/>
        </w:rPr>
      </w:pPr>
    </w:p>
    <w:p w:rsidR="00BB204B" w:rsidRPr="00BB204B" w:rsidRDefault="00C414C6" w:rsidP="00BB204B">
      <w:pPr>
        <w:rPr>
          <w:sz w:val="22"/>
          <w:szCs w:val="22"/>
        </w:rPr>
      </w:pPr>
      <w:r>
        <w:rPr>
          <w:sz w:val="22"/>
          <w:szCs w:val="22"/>
        </w:rPr>
        <w:tab/>
      </w:r>
      <w:bookmarkStart w:id="79" w:name="SR;1878"/>
      <w:bookmarkStart w:id="80" w:name="SR;1906"/>
      <w:bookmarkStart w:id="81" w:name="SR;1908"/>
      <w:bookmarkStart w:id="82" w:name="SR;1914"/>
      <w:bookmarkStart w:id="83" w:name="FN[FN33]"/>
      <w:bookmarkStart w:id="84" w:name="FN[FN34]"/>
      <w:bookmarkStart w:id="85" w:name="SR;1491"/>
      <w:bookmarkEnd w:id="79"/>
      <w:bookmarkEnd w:id="80"/>
      <w:bookmarkEnd w:id="81"/>
      <w:bookmarkEnd w:id="82"/>
      <w:bookmarkEnd w:id="83"/>
      <w:bookmarkEnd w:id="84"/>
      <w:bookmarkEnd w:id="85"/>
      <w:r w:rsidR="000B43AF">
        <w:rPr>
          <w:sz w:val="22"/>
          <w:szCs w:val="22"/>
        </w:rPr>
        <w:tab/>
      </w:r>
      <w:r w:rsidR="000B43AF">
        <w:rPr>
          <w:sz w:val="22"/>
          <w:szCs w:val="22"/>
        </w:rPr>
        <w:tab/>
      </w:r>
      <w:r w:rsidR="004430E4">
        <w:rPr>
          <w:sz w:val="22"/>
          <w:szCs w:val="22"/>
        </w:rPr>
        <w:tab/>
      </w:r>
      <w:r w:rsidR="004430E4">
        <w:rPr>
          <w:sz w:val="22"/>
          <w:szCs w:val="22"/>
        </w:rPr>
        <w:tab/>
      </w:r>
      <w:r w:rsidR="004430E4">
        <w:rPr>
          <w:sz w:val="22"/>
          <w:szCs w:val="22"/>
        </w:rPr>
        <w:tab/>
      </w:r>
      <w:r w:rsidR="004430E4">
        <w:rPr>
          <w:sz w:val="22"/>
          <w:szCs w:val="22"/>
        </w:rPr>
        <w:tab/>
      </w:r>
      <w:r w:rsidR="00BB204B" w:rsidRPr="00BB204B">
        <w:rPr>
          <w:sz w:val="22"/>
          <w:szCs w:val="22"/>
        </w:rPr>
        <w:t>Sincerely,</w:t>
      </w:r>
    </w:p>
    <w:p w:rsidR="006A1BC8" w:rsidRDefault="00BB204B" w:rsidP="00BB204B">
      <w:pPr>
        <w:rPr>
          <w:sz w:val="22"/>
          <w:szCs w:val="22"/>
        </w:rPr>
      </w:pPr>
      <w:r w:rsidRPr="00BB204B">
        <w:rPr>
          <w:sz w:val="22"/>
          <w:szCs w:val="22"/>
        </w:rPr>
        <w:t xml:space="preserve">   </w:t>
      </w:r>
      <w:r w:rsidRPr="00BB204B">
        <w:rPr>
          <w:sz w:val="22"/>
          <w:szCs w:val="22"/>
        </w:rPr>
        <w:tab/>
      </w:r>
    </w:p>
    <w:p w:rsidR="00BB204B" w:rsidRDefault="00BB204B" w:rsidP="00BB204B">
      <w:pPr>
        <w:rPr>
          <w:sz w:val="22"/>
          <w:szCs w:val="22"/>
        </w:rPr>
      </w:pPr>
      <w:r w:rsidRPr="00BB204B">
        <w:rPr>
          <w:sz w:val="22"/>
          <w:szCs w:val="22"/>
        </w:rPr>
        <w:tab/>
      </w:r>
      <w:r w:rsidRPr="00BB204B">
        <w:rPr>
          <w:sz w:val="22"/>
          <w:szCs w:val="22"/>
        </w:rPr>
        <w:tab/>
        <w:t xml:space="preserve"> </w:t>
      </w:r>
    </w:p>
    <w:p w:rsidR="00DC267B" w:rsidRPr="00BB204B" w:rsidRDefault="00DC267B" w:rsidP="00BB204B">
      <w:pPr>
        <w:rPr>
          <w:sz w:val="22"/>
          <w:szCs w:val="22"/>
        </w:rPr>
      </w:pPr>
    </w:p>
    <w:p w:rsidR="00BB204B" w:rsidRPr="00BB204B" w:rsidRDefault="00BB204B" w:rsidP="00BB204B">
      <w:pPr>
        <w:rPr>
          <w:sz w:val="22"/>
          <w:szCs w:val="22"/>
        </w:rPr>
      </w:pP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rPr>
        <w:t>Peter H. Doyle</w:t>
      </w:r>
      <w:r w:rsidRPr="00BB204B">
        <w:rPr>
          <w:sz w:val="22"/>
          <w:szCs w:val="22"/>
        </w:rPr>
        <w:tab/>
        <w:t xml:space="preserve">    </w:t>
      </w:r>
      <w:r w:rsidRPr="00BB204B">
        <w:rPr>
          <w:sz w:val="22"/>
          <w:szCs w:val="22"/>
        </w:rPr>
        <w:tab/>
      </w:r>
      <w:r w:rsidRPr="00BB204B">
        <w:rPr>
          <w:sz w:val="22"/>
          <w:szCs w:val="22"/>
        </w:rPr>
        <w:tab/>
      </w:r>
      <w:r w:rsidRPr="00BB204B">
        <w:rPr>
          <w:sz w:val="22"/>
          <w:szCs w:val="22"/>
        </w:rPr>
        <w:tab/>
      </w: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rPr>
        <w:t>Chief, Audio Division</w:t>
      </w:r>
    </w:p>
    <w:p w:rsidR="00BB204B" w:rsidRDefault="00BB204B" w:rsidP="00BB204B">
      <w:pPr>
        <w:rPr>
          <w:sz w:val="22"/>
          <w:szCs w:val="22"/>
          <w:lang w:val="es-ES_tradnl"/>
        </w:rPr>
      </w:pPr>
      <w:r w:rsidRPr="00BB204B">
        <w:rPr>
          <w:sz w:val="22"/>
          <w:szCs w:val="22"/>
        </w:rPr>
        <w:t xml:space="preserve">    </w:t>
      </w: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lang w:val="es-ES_tradnl"/>
        </w:rPr>
        <w:t>Media Bureau</w:t>
      </w:r>
    </w:p>
    <w:sectPr w:rsidR="00BB204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D1" w:rsidRDefault="001439D1">
      <w:r>
        <w:separator/>
      </w:r>
    </w:p>
  </w:endnote>
  <w:endnote w:type="continuationSeparator" w:id="0">
    <w:p w:rsidR="001439D1" w:rsidRDefault="0014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E" w:rsidRDefault="007B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C8" w:rsidRDefault="00F521C8">
    <w:pPr>
      <w:pStyle w:val="Footer"/>
      <w:jc w:val="center"/>
    </w:pPr>
    <w:r>
      <w:fldChar w:fldCharType="begin"/>
    </w:r>
    <w:r>
      <w:instrText xml:space="preserve"> PAGE   \* MERGEFORMAT </w:instrText>
    </w:r>
    <w:r>
      <w:fldChar w:fldCharType="separate"/>
    </w:r>
    <w:r w:rsidR="00E47CBF">
      <w:rPr>
        <w:noProof/>
      </w:rPr>
      <w:t>2</w:t>
    </w:r>
    <w:r>
      <w:rPr>
        <w:noProof/>
      </w:rPr>
      <w:fldChar w:fldCharType="end"/>
    </w:r>
  </w:p>
  <w:p w:rsidR="00F521C8" w:rsidRDefault="00F52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E" w:rsidRDefault="007B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D1" w:rsidRDefault="001439D1">
      <w:r>
        <w:separator/>
      </w:r>
    </w:p>
  </w:footnote>
  <w:footnote w:type="continuationSeparator" w:id="0">
    <w:p w:rsidR="001439D1" w:rsidRDefault="001439D1">
      <w:r>
        <w:continuationSeparator/>
      </w:r>
    </w:p>
    <w:p w:rsidR="001439D1" w:rsidRDefault="001439D1">
      <w:r>
        <w:t>(Continued from previous page)</w:t>
      </w:r>
    </w:p>
  </w:footnote>
  <w:footnote w:type="continuationNotice" w:id="1">
    <w:p w:rsidR="001439D1" w:rsidRDefault="001439D1">
      <w:r>
        <w:t>(continued . . .)</w:t>
      </w:r>
    </w:p>
  </w:footnote>
  <w:footnote w:id="2">
    <w:p w:rsidR="00DE515B" w:rsidRDefault="00DE515B" w:rsidP="00DE515B">
      <w:pPr>
        <w:pStyle w:val="FootnoteText"/>
        <w:spacing w:after="120"/>
      </w:pPr>
      <w:r>
        <w:rPr>
          <w:rStyle w:val="FootnoteReference"/>
        </w:rPr>
        <w:footnoteRef/>
      </w:r>
      <w:r>
        <w:t xml:space="preserve"> </w:t>
      </w:r>
      <w:r>
        <w:rPr>
          <w:i/>
        </w:rPr>
        <w:t xml:space="preserve">See Media Bureau Dismisses FM Translator Form 349 “Tech Box” Proposals with Defective Caps Showings, </w:t>
      </w:r>
      <w:r>
        <w:t xml:space="preserve">Public Notice, 28 FCC Rcd 1268 (rel. Feb. 15, 2013). </w:t>
      </w:r>
    </w:p>
  </w:footnote>
  <w:footnote w:id="3">
    <w:p w:rsidR="00513353" w:rsidRPr="006872A5" w:rsidRDefault="00513353" w:rsidP="00D867FA">
      <w:pPr>
        <w:pStyle w:val="FootnoteText"/>
        <w:spacing w:after="120"/>
      </w:pPr>
      <w:r w:rsidRPr="006872A5">
        <w:rPr>
          <w:rStyle w:val="FootnoteReference"/>
        </w:rPr>
        <w:footnoteRef/>
      </w:r>
      <w:r w:rsidRPr="006872A5">
        <w:t xml:space="preserve"> </w:t>
      </w:r>
      <w:r w:rsidRPr="006872A5">
        <w:rPr>
          <w:i/>
          <w:iCs/>
        </w:rPr>
        <w:t xml:space="preserve">See </w:t>
      </w:r>
      <w:bookmarkStart w:id="1" w:name="SR;1111"/>
      <w:bookmarkEnd w:id="1"/>
      <w:r w:rsidRPr="006872A5">
        <w:fldChar w:fldCharType="begin"/>
      </w:r>
      <w:r w:rsidR="00E47CBF">
        <w:instrText>HYPERLINK "http://web2.westlaw.com/find/default.wl?mt=Westlaw&amp;db=0004493&amp;tc=-1&amp;rp=%2ffind%2fdefault.wl&amp;findtype=Y&amp;ordoc=2030146671&amp;serialnum=2003136688&amp;vr=2.0&amp;fn=_top&amp;sv=Split&amp;tf=-1&amp;pbc=33133162&amp;rs=WLW13.01" \t "_top"</w:instrText>
      </w:r>
      <w:r w:rsidRPr="006872A5">
        <w:fldChar w:fldCharType="separate"/>
      </w:r>
      <w:r w:rsidRPr="006872A5">
        <w:rPr>
          <w:rStyle w:val="Hyperlink"/>
          <w:bCs/>
          <w:i/>
          <w:iCs/>
          <w:color w:val="auto"/>
          <w:u w:val="none"/>
        </w:rPr>
        <w:t>FM</w:t>
      </w:r>
      <w:r w:rsidRPr="006872A5">
        <w:rPr>
          <w:rStyle w:val="Hyperlink"/>
          <w:i/>
          <w:iCs/>
          <w:color w:val="auto"/>
          <w:u w:val="none"/>
        </w:rPr>
        <w:t xml:space="preserve"> </w:t>
      </w:r>
      <w:r w:rsidRPr="006872A5">
        <w:rPr>
          <w:rStyle w:val="Hyperlink"/>
          <w:bCs/>
          <w:i/>
          <w:iCs/>
          <w:color w:val="auto"/>
          <w:u w:val="none"/>
        </w:rPr>
        <w:t>Translator</w:t>
      </w:r>
      <w:r w:rsidRPr="006872A5">
        <w:rPr>
          <w:rStyle w:val="Hyperlink"/>
          <w:i/>
          <w:iCs/>
          <w:color w:val="auto"/>
          <w:u w:val="none"/>
        </w:rPr>
        <w:t xml:space="preserve"> Auction </w:t>
      </w:r>
      <w:r w:rsidRPr="006872A5">
        <w:rPr>
          <w:rStyle w:val="Hyperlink"/>
          <w:bCs/>
          <w:i/>
          <w:iCs/>
          <w:color w:val="auto"/>
          <w:u w:val="none"/>
        </w:rPr>
        <w:t>Filing</w:t>
      </w:r>
      <w:r w:rsidRPr="006872A5">
        <w:rPr>
          <w:rStyle w:val="Hyperlink"/>
          <w:i/>
          <w:iCs/>
          <w:color w:val="auto"/>
          <w:u w:val="none"/>
        </w:rPr>
        <w:t xml:space="preserve"> Window and Application Freeze</w:t>
      </w:r>
      <w:r w:rsidRPr="006872A5">
        <w:rPr>
          <w:rStyle w:val="Hyperlink"/>
          <w:color w:val="auto"/>
          <w:u w:val="none"/>
        </w:rPr>
        <w:t xml:space="preserve">, </w:t>
      </w:r>
      <w:r w:rsidRPr="006872A5">
        <w:rPr>
          <w:rStyle w:val="Hyperlink"/>
          <w:bCs/>
          <w:color w:val="auto"/>
          <w:u w:val="none"/>
        </w:rPr>
        <w:t>Public</w:t>
      </w:r>
      <w:r w:rsidRPr="006872A5">
        <w:rPr>
          <w:rStyle w:val="Hyperlink"/>
          <w:color w:val="auto"/>
          <w:u w:val="none"/>
        </w:rPr>
        <w:t xml:space="preserve"> </w:t>
      </w:r>
      <w:r w:rsidRPr="006872A5">
        <w:rPr>
          <w:rStyle w:val="Hyperlink"/>
          <w:bCs/>
          <w:color w:val="auto"/>
          <w:u w:val="none"/>
        </w:rPr>
        <w:t>Notice</w:t>
      </w:r>
      <w:r w:rsidRPr="006872A5">
        <w:rPr>
          <w:rStyle w:val="Hyperlink"/>
          <w:color w:val="auto"/>
          <w:u w:val="none"/>
        </w:rPr>
        <w:t xml:space="preserve">, 18 FCC Rcd 1565 (MB/WTB </w:t>
      </w:r>
      <w:r w:rsidRPr="006872A5">
        <w:rPr>
          <w:rStyle w:val="Hyperlink"/>
          <w:bCs/>
          <w:color w:val="auto"/>
          <w:u w:val="none"/>
        </w:rPr>
        <w:t>2003</w:t>
      </w:r>
      <w:r w:rsidRPr="006872A5">
        <w:rPr>
          <w:rStyle w:val="Hyperlink"/>
          <w:color w:val="auto"/>
          <w:u w:val="none"/>
        </w:rPr>
        <w:t>)</w:t>
      </w:r>
      <w:r w:rsidRPr="006872A5">
        <w:fldChar w:fldCharType="end"/>
      </w:r>
      <w:r w:rsidRPr="006872A5">
        <w:t xml:space="preserve">.  The filing window was subsequently extended to March 17, 2003.  </w:t>
      </w:r>
      <w:bookmarkStart w:id="2" w:name="SR;1143"/>
      <w:bookmarkEnd w:id="2"/>
      <w:r w:rsidRPr="006872A5">
        <w:fldChar w:fldCharType="begin"/>
      </w:r>
      <w:r w:rsidR="00E47CBF">
        <w:instrText>HYPERLINK "http://web2.westlaw.com/find/default.wl?mt=Westlaw&amp;db=0004493&amp;tc=-1&amp;rp=%2ffind%2fdefault.wl&amp;findtype=Y&amp;ordoc=2030146671&amp;serialnum=2003197721&amp;vr=2.0&amp;fn=_top&amp;sv=Split&amp;tf=-1&amp;pbc=33133162&amp;rs=WLW13.01" \t "_top"</w:instrText>
      </w:r>
      <w:r w:rsidRPr="006872A5">
        <w:fldChar w:fldCharType="separate"/>
      </w:r>
      <w:r w:rsidRPr="006872A5">
        <w:rPr>
          <w:rStyle w:val="Hyperlink"/>
          <w:bCs/>
          <w:i/>
          <w:iCs/>
          <w:color w:val="auto"/>
          <w:u w:val="none"/>
        </w:rPr>
        <w:t>FM</w:t>
      </w:r>
      <w:r w:rsidRPr="006872A5">
        <w:rPr>
          <w:rStyle w:val="Hyperlink"/>
          <w:i/>
          <w:iCs/>
          <w:color w:val="auto"/>
          <w:u w:val="none"/>
        </w:rPr>
        <w:t xml:space="preserve"> </w:t>
      </w:r>
      <w:r w:rsidRPr="006872A5">
        <w:rPr>
          <w:rStyle w:val="Hyperlink"/>
          <w:bCs/>
          <w:i/>
          <w:iCs/>
          <w:color w:val="auto"/>
          <w:u w:val="none"/>
        </w:rPr>
        <w:t>Translator</w:t>
      </w:r>
      <w:r w:rsidRPr="006872A5">
        <w:rPr>
          <w:rStyle w:val="Hyperlink"/>
          <w:i/>
          <w:iCs/>
          <w:color w:val="auto"/>
          <w:u w:val="none"/>
        </w:rPr>
        <w:t xml:space="preserve"> Auction </w:t>
      </w:r>
      <w:r w:rsidRPr="006872A5">
        <w:rPr>
          <w:rStyle w:val="Hyperlink"/>
          <w:bCs/>
          <w:i/>
          <w:iCs/>
          <w:color w:val="auto"/>
          <w:u w:val="none"/>
        </w:rPr>
        <w:t>Filing</w:t>
      </w:r>
      <w:r w:rsidRPr="006872A5">
        <w:rPr>
          <w:rStyle w:val="Hyperlink"/>
          <w:i/>
          <w:iCs/>
          <w:color w:val="auto"/>
          <w:u w:val="none"/>
        </w:rPr>
        <w:t xml:space="preserve"> Window and Application Freeze Extended to March 17, </w:t>
      </w:r>
      <w:r w:rsidRPr="006872A5">
        <w:rPr>
          <w:rStyle w:val="Hyperlink"/>
          <w:bCs/>
          <w:i/>
          <w:iCs/>
          <w:color w:val="auto"/>
          <w:u w:val="none"/>
        </w:rPr>
        <w:t>2003</w:t>
      </w:r>
      <w:r w:rsidRPr="006872A5">
        <w:rPr>
          <w:rStyle w:val="Hyperlink"/>
          <w:color w:val="auto"/>
          <w:u w:val="none"/>
        </w:rPr>
        <w:t xml:space="preserve">, </w:t>
      </w:r>
      <w:r w:rsidRPr="006872A5">
        <w:rPr>
          <w:rStyle w:val="Hyperlink"/>
          <w:bCs/>
          <w:color w:val="auto"/>
          <w:u w:val="none"/>
        </w:rPr>
        <w:t>Public</w:t>
      </w:r>
      <w:r w:rsidRPr="006872A5">
        <w:rPr>
          <w:rStyle w:val="Hyperlink"/>
          <w:color w:val="auto"/>
          <w:u w:val="none"/>
        </w:rPr>
        <w:t xml:space="preserve"> </w:t>
      </w:r>
      <w:r w:rsidRPr="006872A5">
        <w:rPr>
          <w:rStyle w:val="Hyperlink"/>
          <w:bCs/>
          <w:color w:val="auto"/>
          <w:u w:val="none"/>
        </w:rPr>
        <w:t>Notice</w:t>
      </w:r>
      <w:r w:rsidRPr="006872A5">
        <w:rPr>
          <w:rStyle w:val="Hyperlink"/>
          <w:color w:val="auto"/>
          <w:u w:val="none"/>
        </w:rPr>
        <w:t xml:space="preserve">, 18 FCC Rcd 3275 (MB/WTB </w:t>
      </w:r>
      <w:r w:rsidRPr="006872A5">
        <w:rPr>
          <w:rStyle w:val="Hyperlink"/>
          <w:bCs/>
          <w:color w:val="auto"/>
          <w:u w:val="none"/>
        </w:rPr>
        <w:t>2003</w:t>
      </w:r>
      <w:r w:rsidRPr="006872A5">
        <w:rPr>
          <w:rStyle w:val="Hyperlink"/>
          <w:color w:val="auto"/>
          <w:u w:val="none"/>
        </w:rPr>
        <w:t>)</w:t>
      </w:r>
      <w:r w:rsidRPr="006872A5">
        <w:fldChar w:fldCharType="end"/>
      </w:r>
      <w:r w:rsidRPr="006872A5">
        <w:t>.</w:t>
      </w:r>
      <w:bookmarkStart w:id="3" w:name="SR;1167"/>
      <w:bookmarkEnd w:id="3"/>
    </w:p>
  </w:footnote>
  <w:footnote w:id="4">
    <w:p w:rsidR="00F812FD" w:rsidRPr="006872A5" w:rsidRDefault="00F812FD" w:rsidP="00D867FA">
      <w:pPr>
        <w:pStyle w:val="FootnoteText"/>
        <w:spacing w:after="120"/>
      </w:pPr>
      <w:r w:rsidRPr="006872A5">
        <w:rPr>
          <w:rStyle w:val="FootnoteReference"/>
        </w:rPr>
        <w:footnoteRef/>
      </w:r>
      <w:r w:rsidR="00513353" w:rsidRPr="006872A5">
        <w:t xml:space="preserve"> </w:t>
      </w:r>
      <w:hyperlink r:id="rId1" w:tgtFrame="_top" w:history="1">
        <w:r w:rsidRPr="006872A5">
          <w:rPr>
            <w:rStyle w:val="Hyperlink"/>
            <w:i/>
            <w:iCs/>
            <w:color w:val="auto"/>
            <w:u w:val="none"/>
          </w:rPr>
          <w:t>Creation of a Low Power Radio Service and Amendment of Service and Eligibility Rules for FM Broadcast Translator Stations</w:t>
        </w:r>
        <w:r w:rsidRPr="006872A5">
          <w:rPr>
            <w:rStyle w:val="Hyperlink"/>
            <w:color w:val="auto"/>
            <w:u w:val="none"/>
          </w:rPr>
          <w:t>, Fourth Report and Order and Third Order on Reconsideration, 27 FCC Rcd 3364 (2012)</w:t>
        </w:r>
      </w:hyperlink>
      <w:r w:rsidRPr="006872A5">
        <w:t xml:space="preserve"> (“</w:t>
      </w:r>
      <w:r w:rsidRPr="006872A5">
        <w:rPr>
          <w:i/>
          <w:iCs/>
        </w:rPr>
        <w:t>Fourth Report and Order</w:t>
      </w:r>
      <w:r w:rsidRPr="006872A5">
        <w:t>”).</w:t>
      </w:r>
    </w:p>
  </w:footnote>
  <w:footnote w:id="5">
    <w:p w:rsidR="00F812FD" w:rsidRPr="006872A5" w:rsidRDefault="00F812FD" w:rsidP="00D867FA">
      <w:pPr>
        <w:pStyle w:val="FootnoteText"/>
        <w:spacing w:after="120"/>
      </w:pPr>
      <w:r w:rsidRPr="006872A5">
        <w:rPr>
          <w:rStyle w:val="FootnoteReference"/>
        </w:rPr>
        <w:footnoteRef/>
      </w:r>
      <w:r w:rsidRPr="006872A5">
        <w:t xml:space="preserve"> </w:t>
      </w:r>
      <w:hyperlink r:id="rId2" w:tgtFrame="_top" w:history="1">
        <w:r w:rsidRPr="006872A5">
          <w:rPr>
            <w:rStyle w:val="Hyperlink"/>
            <w:color w:val="auto"/>
            <w:u w:val="none"/>
          </w:rPr>
          <w:t>Pub. L. No. 111-371,</w:t>
        </w:r>
        <w:r w:rsidR="0070370E" w:rsidRPr="006872A5">
          <w:rPr>
            <w:rStyle w:val="Hyperlink"/>
            <w:color w:val="auto"/>
            <w:u w:val="none"/>
          </w:rPr>
          <w:t xml:space="preserve"> </w:t>
        </w:r>
        <w:r w:rsidRPr="006872A5">
          <w:rPr>
            <w:rStyle w:val="Hyperlink"/>
            <w:color w:val="auto"/>
            <w:u w:val="none"/>
          </w:rPr>
          <w:t>124 Stat. 4072 (2011).</w:t>
        </w:r>
      </w:hyperlink>
    </w:p>
  </w:footnote>
  <w:footnote w:id="6">
    <w:p w:rsidR="00B14E69" w:rsidRPr="006872A5" w:rsidRDefault="00B14E69" w:rsidP="00B14E69">
      <w:pPr>
        <w:pStyle w:val="FootnoteText"/>
        <w:spacing w:after="120"/>
      </w:pPr>
      <w:r w:rsidRPr="0009043B">
        <w:rPr>
          <w:rStyle w:val="FootnoteReference"/>
        </w:rPr>
        <w:footnoteRef/>
      </w:r>
      <w:r w:rsidRPr="0009043B">
        <w:t xml:space="preserve"> </w:t>
      </w:r>
      <w:r w:rsidRPr="0009043B">
        <w:rPr>
          <w:i/>
        </w:rPr>
        <w:t xml:space="preserve">See </w:t>
      </w:r>
      <w:hyperlink r:id="rId3" w:tgtFrame="_top" w:history="1">
        <w:r w:rsidRPr="0009043B">
          <w:rPr>
            <w:rStyle w:val="Hyperlink"/>
            <w:i/>
            <w:iCs/>
            <w:color w:val="auto"/>
            <w:u w:val="none"/>
          </w:rPr>
          <w:t>Creation of a Low Power Radio Service and Amendment of Service and Eligibility Rules for FM Broadcast Translator Stations</w:t>
        </w:r>
        <w:r w:rsidRPr="0009043B">
          <w:rPr>
            <w:rStyle w:val="Hyperlink"/>
            <w:i/>
            <w:color w:val="auto"/>
            <w:u w:val="none"/>
          </w:rPr>
          <w:t xml:space="preserve">, </w:t>
        </w:r>
        <w:r>
          <w:rPr>
            <w:rStyle w:val="Hyperlink"/>
            <w:color w:val="auto"/>
            <w:u w:val="none"/>
          </w:rPr>
          <w:t>Fifth Order on Reconsideration and Sixth Report and Order, 27 FCC Rcd 15402, 15410</w:t>
        </w:r>
        <w:r w:rsidR="00FF2014">
          <w:rPr>
            <w:rStyle w:val="Hyperlink"/>
            <w:color w:val="auto"/>
            <w:u w:val="none"/>
          </w:rPr>
          <w:t>,</w:t>
        </w:r>
        <w:r>
          <w:rPr>
            <w:rStyle w:val="Hyperlink"/>
            <w:color w:val="auto"/>
            <w:u w:val="none"/>
          </w:rPr>
          <w:t xml:space="preserve"> 15421</w:t>
        </w:r>
        <w:r w:rsidR="00FF2014">
          <w:rPr>
            <w:rStyle w:val="Hyperlink"/>
            <w:color w:val="auto"/>
            <w:u w:val="none"/>
          </w:rPr>
          <w:t>-22</w:t>
        </w:r>
        <w:r>
          <w:rPr>
            <w:rStyle w:val="Hyperlink"/>
            <w:color w:val="auto"/>
            <w:u w:val="none"/>
          </w:rPr>
          <w:t xml:space="preserve"> (2012) (</w:t>
        </w:r>
      </w:hyperlink>
      <w:r>
        <w:rPr>
          <w:i/>
        </w:rPr>
        <w:t>“</w:t>
      </w:r>
      <w:r w:rsidRPr="0009043B">
        <w:rPr>
          <w:i/>
          <w:iCs/>
        </w:rPr>
        <w:t>Fifth Order on Reconsideration</w:t>
      </w:r>
      <w:r w:rsidRPr="0009043B">
        <w:rPr>
          <w:i/>
        </w:rPr>
        <w:t>”</w:t>
      </w:r>
      <w:r>
        <w:t>)</w:t>
      </w:r>
      <w:r w:rsidRPr="0009043B">
        <w:rPr>
          <w:i/>
        </w:rPr>
        <w:t>.</w:t>
      </w:r>
    </w:p>
  </w:footnote>
  <w:footnote w:id="7">
    <w:p w:rsidR="00E55863" w:rsidRPr="006872A5" w:rsidRDefault="00E55863" w:rsidP="00AE1A50">
      <w:pPr>
        <w:pStyle w:val="FootnoteText"/>
        <w:spacing w:after="120"/>
      </w:pPr>
      <w:r w:rsidRPr="006872A5">
        <w:rPr>
          <w:rStyle w:val="FootnoteReference"/>
        </w:rPr>
        <w:footnoteRef/>
      </w:r>
      <w:r w:rsidRPr="006872A5">
        <w:t xml:space="preserve"> </w:t>
      </w:r>
      <w:r w:rsidRPr="006872A5">
        <w:rPr>
          <w:i/>
          <w:iCs/>
        </w:rPr>
        <w:t xml:space="preserve">See </w:t>
      </w:r>
      <w:bookmarkStart w:id="4" w:name="SR;414"/>
      <w:bookmarkEnd w:id="4"/>
      <w:r w:rsidRPr="006872A5">
        <w:rPr>
          <w:i/>
          <w:iCs/>
        </w:rPr>
        <w:t>Media Bureau Announces January 10</w:t>
      </w:r>
      <w:r w:rsidR="00C83AF5" w:rsidRPr="006872A5">
        <w:rPr>
          <w:i/>
          <w:iCs/>
        </w:rPr>
        <w:t xml:space="preserve"> -</w:t>
      </w:r>
      <w:r w:rsidRPr="006872A5">
        <w:rPr>
          <w:i/>
          <w:iCs/>
        </w:rPr>
        <w:t xml:space="preserve"> January 25, 2013 Filing Window for Auction 83 FM Translator Application Selections and Caps Showings</w:t>
      </w:r>
      <w:r w:rsidRPr="006872A5">
        <w:t xml:space="preserve">, </w:t>
      </w:r>
      <w:r w:rsidR="00C83AF5" w:rsidRPr="006872A5">
        <w:t xml:space="preserve">Public Notice, 27 FCC Rcd 15961 </w:t>
      </w:r>
      <w:r w:rsidRPr="006872A5">
        <w:t>(</w:t>
      </w:r>
      <w:r w:rsidR="00C83AF5" w:rsidRPr="006872A5">
        <w:t xml:space="preserve">MB </w:t>
      </w:r>
      <w:r w:rsidRPr="006872A5">
        <w:t>2012)</w:t>
      </w:r>
      <w:r w:rsidR="00F14855">
        <w:t xml:space="preserve"> (“</w:t>
      </w:r>
      <w:r w:rsidR="005C51A7">
        <w:rPr>
          <w:i/>
        </w:rPr>
        <w:t>Selection</w:t>
      </w:r>
      <w:r w:rsidR="00F14855" w:rsidRPr="00F14855">
        <w:rPr>
          <w:i/>
        </w:rPr>
        <w:t xml:space="preserve"> PN</w:t>
      </w:r>
      <w:r w:rsidR="00F14855">
        <w:t>”)</w:t>
      </w:r>
      <w:r w:rsidRPr="006872A5">
        <w:t>.</w:t>
      </w:r>
    </w:p>
  </w:footnote>
  <w:footnote w:id="8">
    <w:p w:rsidR="006239F4" w:rsidRDefault="006239F4" w:rsidP="00AE1A50">
      <w:pPr>
        <w:pStyle w:val="FootnoteText"/>
        <w:spacing w:after="120"/>
      </w:pPr>
      <w:r>
        <w:rPr>
          <w:rStyle w:val="FootnoteReference"/>
        </w:rPr>
        <w:footnoteRef/>
      </w:r>
      <w:r>
        <w:t xml:space="preserve"> Proctor also </w:t>
      </w:r>
      <w:r w:rsidR="00DE515B">
        <w:t>selected</w:t>
      </w:r>
      <w:r>
        <w:t xml:space="preserve"> the following FM translator applications:  File Nos. BNPFT-20030317AFN; BNPFT-20030317AFB; BNPFT-20030317AEO; BNPFT-20030314ARY; BNPFT-20030314AQX, all at Huntsville, Texas; BNPFT-20030314APU, Livingston, Texas; and BNPFT-20030314AOL, Buna, Texas.    </w:t>
      </w:r>
    </w:p>
  </w:footnote>
  <w:footnote w:id="9">
    <w:p w:rsidR="004C7353" w:rsidRDefault="004C7353" w:rsidP="00AE1A50">
      <w:pPr>
        <w:pStyle w:val="FootnoteText"/>
        <w:spacing w:after="120"/>
      </w:pPr>
      <w:r>
        <w:rPr>
          <w:rStyle w:val="FootnoteReference"/>
        </w:rPr>
        <w:footnoteRef/>
      </w:r>
      <w:r>
        <w:t xml:space="preserve"> </w:t>
      </w:r>
      <w:r>
        <w:rPr>
          <w:i/>
        </w:rPr>
        <w:t xml:space="preserve">See Letter to Marlene H. Dortch, Secretary, Federal Communications Commission, </w:t>
      </w:r>
      <w:r>
        <w:t>submitted January 11, 2013</w:t>
      </w:r>
      <w:r w:rsidR="00B57194">
        <w:t xml:space="preserve"> (“</w:t>
      </w:r>
      <w:r w:rsidR="00B57194" w:rsidRPr="00B57194">
        <w:rPr>
          <w:i/>
        </w:rPr>
        <w:t>Proctor Letter</w:t>
      </w:r>
      <w:r w:rsidR="00B57194">
        <w:t>”)</w:t>
      </w:r>
      <w:r>
        <w:t>.</w:t>
      </w:r>
      <w:r>
        <w:rPr>
          <w:i/>
        </w:rPr>
        <w:t xml:space="preserve"> </w:t>
      </w:r>
      <w:r>
        <w:t xml:space="preserve"> </w:t>
      </w:r>
    </w:p>
  </w:footnote>
  <w:footnote w:id="10">
    <w:p w:rsidR="00892100" w:rsidRPr="006872A5" w:rsidRDefault="00892100" w:rsidP="00AE1A50">
      <w:pPr>
        <w:pStyle w:val="FootnoteText"/>
        <w:spacing w:after="120"/>
      </w:pPr>
      <w:r w:rsidRPr="006872A5">
        <w:rPr>
          <w:rStyle w:val="FootnoteReference"/>
        </w:rPr>
        <w:footnoteRef/>
      </w:r>
      <w:r w:rsidRPr="006872A5">
        <w:t xml:space="preserve"> </w:t>
      </w:r>
      <w:r w:rsidR="00F14855">
        <w:t xml:space="preserve">Petition </w:t>
      </w:r>
      <w:r w:rsidRPr="006872A5">
        <w:t xml:space="preserve">at </w:t>
      </w:r>
      <w:r w:rsidR="00F14855">
        <w:t>2</w:t>
      </w:r>
      <w:r w:rsidRPr="006872A5">
        <w:t>.</w:t>
      </w:r>
    </w:p>
  </w:footnote>
  <w:footnote w:id="11">
    <w:p w:rsidR="001A19CF" w:rsidRPr="006872A5" w:rsidRDefault="00472E0E" w:rsidP="00AE1A50">
      <w:pPr>
        <w:pStyle w:val="FootnoteText"/>
        <w:spacing w:after="120"/>
        <w:rPr>
          <w:b/>
        </w:rPr>
      </w:pPr>
      <w:r w:rsidRPr="006872A5">
        <w:rPr>
          <w:rStyle w:val="FootnoteReference"/>
        </w:rPr>
        <w:footnoteRef/>
      </w:r>
      <w:r w:rsidRPr="006872A5">
        <w:rPr>
          <w:i/>
        </w:rPr>
        <w:t xml:space="preserve"> </w:t>
      </w:r>
      <w:r w:rsidR="00EC6668">
        <w:t xml:space="preserve">Petition at 3.  </w:t>
      </w:r>
      <w:r w:rsidR="00BB64A0" w:rsidRPr="006872A5">
        <w:t xml:space="preserve">  </w:t>
      </w:r>
      <w:r w:rsidR="00DC15B2" w:rsidRPr="006872A5">
        <w:rPr>
          <w:i/>
        </w:rPr>
        <w:t xml:space="preserve">  </w:t>
      </w:r>
    </w:p>
  </w:footnote>
  <w:footnote w:id="12">
    <w:p w:rsidR="00E67619" w:rsidRPr="00E67619" w:rsidRDefault="00E67619" w:rsidP="00E67619">
      <w:pPr>
        <w:pStyle w:val="FootnoteText"/>
        <w:spacing w:after="120"/>
      </w:pPr>
      <w:r w:rsidRPr="00E67619">
        <w:rPr>
          <w:rStyle w:val="FootnoteReference"/>
        </w:rPr>
        <w:footnoteRef/>
      </w:r>
      <w:r w:rsidRPr="00E67619">
        <w:t xml:space="preserve"> </w:t>
      </w:r>
      <w:r w:rsidRPr="00E67619">
        <w:rPr>
          <w:i/>
          <w:iCs/>
        </w:rPr>
        <w:t>See</w:t>
      </w:r>
      <w:r w:rsidRPr="00E67619">
        <w:t xml:space="preserve"> </w:t>
      </w:r>
      <w:hyperlink r:id="rId4" w:tgtFrame="_top" w:history="1">
        <w:r w:rsidRPr="00E67619">
          <w:rPr>
            <w:rStyle w:val="Hyperlink"/>
            <w:color w:val="auto"/>
            <w:u w:val="none"/>
          </w:rPr>
          <w:t>47 C.F.R § 1.106(c)</w:t>
        </w:r>
      </w:hyperlink>
      <w:r w:rsidRPr="00E67619">
        <w:t>,</w:t>
      </w:r>
      <w:hyperlink r:id="rId5" w:tgtFrame="_top" w:history="1">
        <w:r w:rsidRPr="00E67619">
          <w:rPr>
            <w:rStyle w:val="Hyperlink"/>
            <w:color w:val="auto"/>
            <w:u w:val="none"/>
          </w:rPr>
          <w:t>(d)</w:t>
        </w:r>
      </w:hyperlink>
      <w:r w:rsidRPr="00E67619">
        <w:t xml:space="preserve">. </w:t>
      </w:r>
      <w:r w:rsidRPr="00E67619">
        <w:rPr>
          <w:i/>
          <w:iCs/>
        </w:rPr>
        <w:t>See also WWIZ, Inc.</w:t>
      </w:r>
      <w:r w:rsidRPr="00E67619">
        <w:t xml:space="preserve">, Memorandum Opinion and Order, </w:t>
      </w:r>
      <w:hyperlink r:id="rId6" w:tgtFrame="_top" w:history="1">
        <w:r w:rsidRPr="00E67619">
          <w:rPr>
            <w:rStyle w:val="Hyperlink"/>
            <w:color w:val="auto"/>
            <w:u w:val="none"/>
          </w:rPr>
          <w:t>37 FCC 685, 686 (1964)</w:t>
        </w:r>
      </w:hyperlink>
      <w:r w:rsidRPr="00E67619">
        <w:t xml:space="preserve">, </w:t>
      </w:r>
      <w:r w:rsidRPr="00E67619">
        <w:rPr>
          <w:i/>
          <w:iCs/>
        </w:rPr>
        <w:t xml:space="preserve">aff'd sub nom. </w:t>
      </w:r>
      <w:hyperlink r:id="rId7" w:tgtFrame="_top" w:history="1">
        <w:r w:rsidRPr="00E67619">
          <w:rPr>
            <w:rStyle w:val="Hyperlink"/>
            <w:i/>
            <w:iCs/>
            <w:color w:val="auto"/>
            <w:u w:val="none"/>
          </w:rPr>
          <w:t>Lorain Journal Co. v. FCC</w:t>
        </w:r>
        <w:r w:rsidRPr="00E67619">
          <w:rPr>
            <w:rStyle w:val="Hyperlink"/>
            <w:color w:val="auto"/>
            <w:u w:val="none"/>
          </w:rPr>
          <w:t>, 351 F.2d 824 (D.C. Cir. 1965)</w:t>
        </w:r>
      </w:hyperlink>
      <w:r w:rsidRPr="00E67619">
        <w:t xml:space="preserve">, </w:t>
      </w:r>
      <w:r w:rsidRPr="00E67619">
        <w:rPr>
          <w:i/>
          <w:iCs/>
        </w:rPr>
        <w:t>cert. denied</w:t>
      </w:r>
      <w:r w:rsidRPr="00E67619">
        <w:t>, 387 U.S. 967 (1966).</w:t>
      </w:r>
    </w:p>
  </w:footnote>
  <w:footnote w:id="13">
    <w:p w:rsidR="00E63067" w:rsidRPr="00BD6646" w:rsidRDefault="00E63067" w:rsidP="00E63067">
      <w:pPr>
        <w:pStyle w:val="FootnoteText"/>
        <w:spacing w:after="120"/>
      </w:pPr>
      <w:r>
        <w:rPr>
          <w:rStyle w:val="FootnoteReference"/>
        </w:rPr>
        <w:footnoteRef/>
      </w:r>
      <w:r>
        <w:t xml:space="preserve"> </w:t>
      </w:r>
      <w:r>
        <w:rPr>
          <w:i/>
        </w:rPr>
        <w:t>Selection PN</w:t>
      </w:r>
      <w:r w:rsidRPr="00D809EA">
        <w:rPr>
          <w:i/>
        </w:rPr>
        <w:t xml:space="preserve">, </w:t>
      </w:r>
      <w:r w:rsidRPr="00D809EA">
        <w:t>27 FCC Rcd</w:t>
      </w:r>
      <w:r>
        <w:rPr>
          <w:i/>
        </w:rPr>
        <w:t xml:space="preserve"> </w:t>
      </w:r>
      <w:r>
        <w:t>at 15964.</w:t>
      </w:r>
    </w:p>
  </w:footnote>
  <w:footnote w:id="14">
    <w:p w:rsidR="00BB204B" w:rsidRPr="00E67619" w:rsidRDefault="00BB204B" w:rsidP="00E67619">
      <w:pPr>
        <w:pStyle w:val="FootnoteText"/>
        <w:spacing w:after="120"/>
      </w:pPr>
      <w:r w:rsidRPr="00E67619">
        <w:rPr>
          <w:rStyle w:val="FootnoteReference"/>
        </w:rPr>
        <w:footnoteRef/>
      </w:r>
      <w:r w:rsidRPr="00E67619">
        <w:t xml:space="preserve"> 47 C.F.R. § 1.3.</w:t>
      </w:r>
    </w:p>
  </w:footnote>
  <w:footnote w:id="15">
    <w:p w:rsidR="00236EA3" w:rsidRPr="006872A5" w:rsidRDefault="00236EA3" w:rsidP="00E67619">
      <w:pPr>
        <w:pStyle w:val="FootnoteText"/>
        <w:spacing w:after="120"/>
      </w:pPr>
      <w:r w:rsidRPr="006872A5">
        <w:rPr>
          <w:rStyle w:val="FootnoteReference"/>
        </w:rPr>
        <w:footnoteRef/>
      </w:r>
      <w:r w:rsidRPr="006872A5">
        <w:t xml:space="preserve">  </w:t>
      </w:r>
      <w:r w:rsidRPr="006872A5">
        <w:rPr>
          <w:i/>
          <w:iCs/>
        </w:rPr>
        <w:t xml:space="preserve">See </w:t>
      </w:r>
      <w:hyperlink r:id="rId8" w:tgtFrame="_top" w:history="1">
        <w:r w:rsidRPr="006872A5">
          <w:rPr>
            <w:rStyle w:val="Hyperlink"/>
            <w:i/>
            <w:iCs/>
            <w:color w:val="auto"/>
            <w:u w:val="none"/>
          </w:rPr>
          <w:t>Columbia Communications Corp. v. FCC</w:t>
        </w:r>
        <w:r w:rsidRPr="006872A5">
          <w:rPr>
            <w:rStyle w:val="Hyperlink"/>
            <w:color w:val="auto"/>
            <w:u w:val="none"/>
          </w:rPr>
          <w:t>, 832 F.2d 189, 192 (D.C. Cir. 1987)</w:t>
        </w:r>
      </w:hyperlink>
      <w:r w:rsidRPr="006872A5">
        <w:t>.</w:t>
      </w:r>
    </w:p>
  </w:footnote>
  <w:footnote w:id="16">
    <w:p w:rsidR="00236EA3" w:rsidRPr="006872A5" w:rsidRDefault="00236EA3" w:rsidP="00E67619">
      <w:pPr>
        <w:pStyle w:val="FootnoteText"/>
        <w:spacing w:after="120"/>
      </w:pPr>
      <w:r w:rsidRPr="006872A5">
        <w:rPr>
          <w:rStyle w:val="FootnoteReference"/>
        </w:rPr>
        <w:footnoteRef/>
      </w:r>
      <w:r w:rsidRPr="006872A5">
        <w:t xml:space="preserve"> </w:t>
      </w:r>
      <w:r w:rsidRPr="006872A5">
        <w:rPr>
          <w:i/>
          <w:iCs/>
        </w:rPr>
        <w:t xml:space="preserve">See </w:t>
      </w:r>
      <w:hyperlink r:id="rId9" w:tgtFrame="_top" w:history="1">
        <w:r w:rsidRPr="006872A5">
          <w:rPr>
            <w:rStyle w:val="Hyperlink"/>
            <w:i/>
            <w:iCs/>
            <w:color w:val="auto"/>
            <w:u w:val="none"/>
          </w:rPr>
          <w:t>WAIT Radio v. FCC</w:t>
        </w:r>
        <w:r w:rsidRPr="006872A5">
          <w:rPr>
            <w:rStyle w:val="Hyperlink"/>
            <w:color w:val="auto"/>
            <w:u w:val="none"/>
          </w:rPr>
          <w:t>, 418 F.2d 1153, 1157 (D.C. Cir. 1969)</w:t>
        </w:r>
      </w:hyperlink>
      <w:r w:rsidRPr="006872A5">
        <w:t>,</w:t>
      </w:r>
      <w:r w:rsidRPr="006872A5">
        <w:rPr>
          <w:i/>
          <w:iCs/>
        </w:rPr>
        <w:t xml:space="preserve"> aff'd.</w:t>
      </w:r>
      <w:r w:rsidRPr="006872A5">
        <w:t xml:space="preserve">, </w:t>
      </w:r>
      <w:hyperlink r:id="rId10" w:tgtFrame="_top" w:history="1">
        <w:r w:rsidRPr="006872A5">
          <w:rPr>
            <w:rStyle w:val="Hyperlink"/>
            <w:color w:val="auto"/>
            <w:u w:val="none"/>
          </w:rPr>
          <w:t>459 F.2d 1203 (1972)</w:t>
        </w:r>
      </w:hyperlink>
      <w:r w:rsidRPr="006872A5">
        <w:t xml:space="preserve">, </w:t>
      </w:r>
      <w:r w:rsidRPr="006872A5">
        <w:rPr>
          <w:i/>
          <w:iCs/>
        </w:rPr>
        <w:t>cert. denied</w:t>
      </w:r>
      <w:r w:rsidRPr="006872A5">
        <w:t xml:space="preserve">, </w:t>
      </w:r>
      <w:hyperlink r:id="rId11" w:tgtFrame="_top" w:history="1">
        <w:r w:rsidRPr="006872A5">
          <w:rPr>
            <w:rStyle w:val="Hyperlink"/>
            <w:color w:val="auto"/>
            <w:u w:val="none"/>
          </w:rPr>
          <w:t>93 S.Ct. 461 (1972)</w:t>
        </w:r>
      </w:hyperlink>
      <w:r w:rsidRPr="006872A5">
        <w:t xml:space="preserve"> (“</w:t>
      </w:r>
      <w:r w:rsidRPr="006872A5">
        <w:rPr>
          <w:i/>
          <w:iCs/>
        </w:rPr>
        <w:t>WAIT Radio”</w:t>
      </w:r>
      <w:r w:rsidRPr="006872A5">
        <w:t xml:space="preserve">). </w:t>
      </w:r>
      <w:r w:rsidR="00330845">
        <w:t xml:space="preserve"> </w:t>
      </w:r>
      <w:r w:rsidRPr="006872A5">
        <w:rPr>
          <w:i/>
          <w:iCs/>
        </w:rPr>
        <w:t xml:space="preserve">See also </w:t>
      </w:r>
      <w:hyperlink r:id="rId12" w:tgtFrame="_top" w:history="1">
        <w:r w:rsidRPr="006872A5">
          <w:rPr>
            <w:rStyle w:val="Hyperlink"/>
            <w:i/>
            <w:iCs/>
            <w:color w:val="auto"/>
            <w:u w:val="none"/>
          </w:rPr>
          <w:t>Thomas Radio v. FCC</w:t>
        </w:r>
        <w:r w:rsidRPr="006872A5">
          <w:rPr>
            <w:rStyle w:val="Hyperlink"/>
            <w:color w:val="auto"/>
            <w:u w:val="none"/>
          </w:rPr>
          <w:t>, 716 F.2d 921, 924 (D.C. Cir. 1983)</w:t>
        </w:r>
      </w:hyperlink>
      <w:r w:rsidRPr="006872A5">
        <w:t>.</w:t>
      </w:r>
    </w:p>
  </w:footnote>
  <w:footnote w:id="17">
    <w:p w:rsidR="00236EA3" w:rsidRPr="006872A5" w:rsidRDefault="00236EA3" w:rsidP="00E67619">
      <w:pPr>
        <w:pStyle w:val="FootnoteText"/>
        <w:spacing w:after="120"/>
      </w:pPr>
      <w:r w:rsidRPr="006872A5">
        <w:rPr>
          <w:rStyle w:val="FootnoteReference"/>
        </w:rPr>
        <w:footnoteRef/>
      </w:r>
      <w:r w:rsidRPr="006872A5">
        <w:t xml:space="preserve"> </w:t>
      </w:r>
      <w:hyperlink r:id="rId13" w:tgtFrame="_top" w:history="1">
        <w:r w:rsidRPr="006872A5">
          <w:rPr>
            <w:rStyle w:val="Hyperlink"/>
            <w:i/>
            <w:iCs/>
            <w:color w:val="auto"/>
            <w:u w:val="none"/>
          </w:rPr>
          <w:t>Greater Media Radio Co., Inc.</w:t>
        </w:r>
        <w:r w:rsidRPr="006872A5">
          <w:rPr>
            <w:rStyle w:val="Hyperlink"/>
            <w:color w:val="auto"/>
            <w:u w:val="none"/>
          </w:rPr>
          <w:t>, Memorandum Opinion and Order, 15 FCC Rcd 7090 (1999)</w:t>
        </w:r>
      </w:hyperlink>
      <w:r w:rsidRPr="006872A5">
        <w:t xml:space="preserve"> (citing </w:t>
      </w:r>
      <w:hyperlink r:id="rId14" w:tgtFrame="_top" w:history="1">
        <w:r w:rsidRPr="006872A5">
          <w:rPr>
            <w:rStyle w:val="Hyperlink"/>
            <w:i/>
            <w:iCs/>
            <w:color w:val="auto"/>
            <w:u w:val="none"/>
          </w:rPr>
          <w:t>Stoner Broadcasting System, Inc.</w:t>
        </w:r>
        <w:r w:rsidRPr="006872A5">
          <w:rPr>
            <w:rStyle w:val="Hyperlink"/>
            <w:color w:val="auto"/>
            <w:u w:val="none"/>
          </w:rPr>
          <w:t>, Memorandum Opinion and Order, 49 FCC 2d 1011, 1012 (1974)</w:t>
        </w:r>
      </w:hyperlink>
      <w:r w:rsidRPr="006872A5">
        <w:t>).</w:t>
      </w:r>
    </w:p>
  </w:footnote>
  <w:footnote w:id="18">
    <w:p w:rsidR="00236EA3" w:rsidRPr="006872A5" w:rsidRDefault="00236EA3" w:rsidP="00E67619">
      <w:pPr>
        <w:pStyle w:val="FootnoteText"/>
        <w:spacing w:after="120"/>
      </w:pPr>
      <w:r w:rsidRPr="006872A5">
        <w:rPr>
          <w:rStyle w:val="FootnoteReference"/>
        </w:rPr>
        <w:footnoteRef/>
      </w:r>
      <w:hyperlink r:id="rId15" w:tgtFrame="_top" w:history="1">
        <w:r w:rsidRPr="006872A5">
          <w:rPr>
            <w:rStyle w:val="Hyperlink"/>
            <w:i/>
            <w:iCs/>
            <w:color w:val="auto"/>
            <w:u w:val="none"/>
          </w:rPr>
          <w:t>Northeast Cellular Telephone Co. v. FCC</w:t>
        </w:r>
        <w:r w:rsidRPr="006872A5">
          <w:rPr>
            <w:rStyle w:val="Hyperlink"/>
            <w:color w:val="auto"/>
            <w:u w:val="none"/>
          </w:rPr>
          <w:t>, 897 F.2d 1164, 1166 (D.C. Cir. 1990)</w:t>
        </w:r>
      </w:hyperlink>
      <w:r w:rsidRPr="006872A5">
        <w:t xml:space="preserve"> (“</w:t>
      </w:r>
      <w:r w:rsidRPr="006872A5">
        <w:rPr>
          <w:i/>
          <w:iCs/>
        </w:rPr>
        <w:t>Northeast Cellular</w:t>
      </w:r>
      <w:r w:rsidRPr="006872A5">
        <w:t xml:space="preserve">”). </w:t>
      </w:r>
    </w:p>
  </w:footnote>
  <w:footnote w:id="19">
    <w:p w:rsidR="00236EA3" w:rsidRPr="006872A5" w:rsidRDefault="00236EA3" w:rsidP="00E67619">
      <w:pPr>
        <w:pStyle w:val="FootnoteText"/>
        <w:spacing w:after="120"/>
      </w:pPr>
      <w:r w:rsidRPr="006872A5">
        <w:rPr>
          <w:rStyle w:val="FootnoteReference"/>
        </w:rPr>
        <w:footnoteRef/>
      </w:r>
      <w:r w:rsidRPr="006872A5">
        <w:t xml:space="preserve"> </w:t>
      </w:r>
      <w:hyperlink r:id="rId16" w:tgtFrame="_top" w:history="1">
        <w:r w:rsidRPr="006872A5">
          <w:rPr>
            <w:rStyle w:val="Hyperlink"/>
            <w:i/>
            <w:iCs/>
            <w:color w:val="auto"/>
            <w:u w:val="none"/>
          </w:rPr>
          <w:t>WAIT Radio</w:t>
        </w:r>
        <w:r w:rsidRPr="006872A5">
          <w:rPr>
            <w:rStyle w:val="Hyperlink"/>
            <w:color w:val="auto"/>
            <w:u w:val="none"/>
          </w:rPr>
          <w:t>, 418 F.2d at 1159;</w:t>
        </w:r>
      </w:hyperlink>
      <w:r w:rsidRPr="006872A5">
        <w:t xml:space="preserve"> </w:t>
      </w:r>
      <w:hyperlink r:id="rId17" w:tgtFrame="_top" w:history="1">
        <w:r w:rsidRPr="006872A5">
          <w:rPr>
            <w:rStyle w:val="Hyperlink"/>
            <w:i/>
            <w:iCs/>
            <w:color w:val="auto"/>
            <w:u w:val="none"/>
          </w:rPr>
          <w:t>Northeast Cellular</w:t>
        </w:r>
        <w:r w:rsidRPr="006872A5">
          <w:rPr>
            <w:rStyle w:val="Hyperlink"/>
            <w:color w:val="auto"/>
            <w:u w:val="none"/>
          </w:rPr>
          <w:t>, 897 F.2d at 1166</w:t>
        </w:r>
      </w:hyperlink>
      <w:r w:rsidRPr="006872A5">
        <w:t>.</w:t>
      </w:r>
    </w:p>
  </w:footnote>
  <w:footnote w:id="20">
    <w:p w:rsidR="00236EA3" w:rsidRPr="00362535" w:rsidRDefault="00236EA3" w:rsidP="00E67619">
      <w:pPr>
        <w:pStyle w:val="FootnoteText"/>
        <w:spacing w:after="120"/>
      </w:pPr>
      <w:r w:rsidRPr="006872A5">
        <w:rPr>
          <w:rStyle w:val="FootnoteReference"/>
        </w:rPr>
        <w:footnoteRef/>
      </w:r>
      <w:r w:rsidRPr="006872A5">
        <w:t xml:space="preserve"> </w:t>
      </w:r>
      <w:hyperlink r:id="rId18" w:tgtFrame="_top" w:history="1">
        <w:r w:rsidRPr="006872A5">
          <w:rPr>
            <w:rStyle w:val="Hyperlink"/>
            <w:bCs/>
            <w:i/>
            <w:iCs/>
            <w:color w:val="auto"/>
            <w:u w:val="none"/>
          </w:rPr>
          <w:t>NetworkIP</w:t>
        </w:r>
        <w:r w:rsidRPr="006872A5">
          <w:rPr>
            <w:rStyle w:val="Hyperlink"/>
            <w:i/>
            <w:iCs/>
            <w:color w:val="auto"/>
            <w:u w:val="none"/>
          </w:rPr>
          <w:t>, LLC v. FCC</w:t>
        </w:r>
        <w:r w:rsidRPr="006872A5">
          <w:rPr>
            <w:rStyle w:val="Hyperlink"/>
            <w:color w:val="auto"/>
            <w:u w:val="none"/>
          </w:rPr>
          <w:t>, 548 F.3d 116, 125-128 (D.C. Cir. 2008)</w:t>
        </w:r>
      </w:hyperlink>
      <w:r w:rsidRPr="006872A5">
        <w:t xml:space="preserve"> (“</w:t>
      </w:r>
      <w:bookmarkStart w:id="20" w:name="SR;2751"/>
      <w:bookmarkEnd w:id="20"/>
      <w:r w:rsidRPr="006872A5">
        <w:rPr>
          <w:bCs/>
          <w:i/>
          <w:iCs/>
        </w:rPr>
        <w:t>NetworkIP</w:t>
      </w:r>
      <w:r w:rsidRPr="006872A5">
        <w:t xml:space="preserve">”); </w:t>
      </w:r>
      <w:hyperlink r:id="rId19" w:tgtFrame="_top" w:history="1">
        <w:r w:rsidRPr="00362535">
          <w:rPr>
            <w:rStyle w:val="Hyperlink"/>
            <w:i/>
            <w:iCs/>
            <w:color w:val="auto"/>
            <w:u w:val="none"/>
          </w:rPr>
          <w:t>Northeast Cellular</w:t>
        </w:r>
        <w:r w:rsidRPr="00362535">
          <w:rPr>
            <w:rStyle w:val="Hyperlink"/>
            <w:color w:val="auto"/>
            <w:u w:val="none"/>
          </w:rPr>
          <w:t>, 897 F.2d at 1166</w:t>
        </w:r>
      </w:hyperlink>
      <w:r w:rsidRPr="00362535">
        <w:t xml:space="preserve">. </w:t>
      </w:r>
    </w:p>
  </w:footnote>
  <w:footnote w:id="21">
    <w:p w:rsidR="00B57194" w:rsidRDefault="00B57194" w:rsidP="00AA7396">
      <w:pPr>
        <w:pStyle w:val="FootnoteText"/>
        <w:spacing w:after="120"/>
      </w:pPr>
      <w:r>
        <w:rPr>
          <w:rStyle w:val="FootnoteReference"/>
        </w:rPr>
        <w:footnoteRef/>
      </w:r>
      <w:r>
        <w:t xml:space="preserve"> Petition at 2; </w:t>
      </w:r>
      <w:r w:rsidRPr="00B57194">
        <w:rPr>
          <w:i/>
        </w:rPr>
        <w:t>Proctor Letter</w:t>
      </w:r>
      <w:r>
        <w:t xml:space="preserve"> at 1.</w:t>
      </w:r>
    </w:p>
  </w:footnote>
  <w:footnote w:id="22">
    <w:p w:rsidR="00BA0556" w:rsidRPr="000234DA" w:rsidRDefault="00BA0556" w:rsidP="00BA0556">
      <w:pPr>
        <w:pStyle w:val="FootnoteText"/>
        <w:spacing w:after="120"/>
      </w:pPr>
      <w:r w:rsidRPr="000234DA">
        <w:rPr>
          <w:rStyle w:val="FootnoteReference"/>
        </w:rPr>
        <w:footnoteRef/>
      </w:r>
      <w:r w:rsidRPr="000234DA">
        <w:t xml:space="preserve"> </w:t>
      </w:r>
      <w:r w:rsidRPr="000234DA">
        <w:rPr>
          <w:i/>
        </w:rPr>
        <w:t xml:space="preserve">See </w:t>
      </w:r>
      <w:r w:rsidR="000234DA" w:rsidRPr="000234DA">
        <w:rPr>
          <w:i/>
        </w:rPr>
        <w:t>Alamo Navajo School Board, Inc.,</w:t>
      </w:r>
      <w:r w:rsidR="000234DA" w:rsidRPr="000234DA">
        <w:t xml:space="preserve"> Forfeiture Order, 25 FCC Rcd 17057, 17059 (MB 2010) (rejecting argument that late-filing should be excused because licensee’s staff was “</w:t>
      </w:r>
      <w:r w:rsidR="000234DA" w:rsidRPr="000234DA">
        <w:rPr>
          <w:color w:val="000000"/>
        </w:rPr>
        <w:t>simply daunted and</w:t>
      </w:r>
      <w:bookmarkStart w:id="49" w:name="SR;915"/>
      <w:bookmarkEnd w:id="49"/>
      <w:r w:rsidR="000234DA" w:rsidRPr="000234DA">
        <w:rPr>
          <w:color w:val="000000"/>
        </w:rPr>
        <w:t xml:space="preserve"> confused by the arcane requirements</w:t>
      </w:r>
      <w:bookmarkStart w:id="50" w:name="SR;919"/>
      <w:bookmarkEnd w:id="50"/>
      <w:r w:rsidR="000234DA" w:rsidRPr="000234DA">
        <w:rPr>
          <w:color w:val="000000"/>
        </w:rPr>
        <w:t xml:space="preserve"> </w:t>
      </w:r>
      <w:r w:rsidR="000234DA">
        <w:rPr>
          <w:color w:val="000000"/>
        </w:rPr>
        <w:t>of the [Commission’s] electronic filing system</w:t>
      </w:r>
      <w:r w:rsidR="000234DA" w:rsidRPr="000234DA">
        <w:rPr>
          <w:color w:val="000000"/>
        </w:rPr>
        <w:t>”</w:t>
      </w:r>
      <w:r w:rsidR="000234DA">
        <w:rPr>
          <w:color w:val="000000"/>
        </w:rPr>
        <w:t>);</w:t>
      </w:r>
      <w:r w:rsidR="000234DA" w:rsidRPr="000234DA">
        <w:rPr>
          <w:i/>
        </w:rPr>
        <w:t xml:space="preserve"> </w:t>
      </w:r>
      <w:r w:rsidR="003F1ABE" w:rsidRPr="003F1ABE">
        <w:rPr>
          <w:i/>
          <w:iCs/>
        </w:rPr>
        <w:t>Community-First Broadcasters, Inc.</w:t>
      </w:r>
      <w:r w:rsidR="003F1ABE" w:rsidRPr="003F1ABE">
        <w:t xml:space="preserve">, Forfeiture Order, 23 FCC Rcd 10923, 10923-24 (MB 2008) </w:t>
      </w:r>
      <w:r w:rsidR="003F1ABE" w:rsidRPr="003F1ABE">
        <w:rPr>
          <w:color w:val="000000"/>
        </w:rPr>
        <w:t>(</w:t>
      </w:r>
      <w:r w:rsidR="003F1ABE">
        <w:rPr>
          <w:color w:val="000000"/>
        </w:rPr>
        <w:t>same,</w:t>
      </w:r>
      <w:r w:rsidR="003F1ABE" w:rsidRPr="003F1ABE">
        <w:rPr>
          <w:color w:val="000000"/>
        </w:rPr>
        <w:t xml:space="preserve"> for licensee who was “</w:t>
      </w:r>
      <w:bookmarkStart w:id="51" w:name="SR;1653"/>
      <w:bookmarkEnd w:id="51"/>
      <w:r w:rsidR="003F1ABE">
        <w:rPr>
          <w:color w:val="000000"/>
        </w:rPr>
        <w:t>flummoxed</w:t>
      </w:r>
      <w:r w:rsidR="003F1ABE" w:rsidRPr="003F1ABE">
        <w:rPr>
          <w:color w:val="000000"/>
        </w:rPr>
        <w:t>” by the Commission's electronic filing procedures)</w:t>
      </w:r>
      <w:r w:rsidR="003F1ABE">
        <w:rPr>
          <w:color w:val="000000"/>
        </w:rPr>
        <w:t>.</w:t>
      </w:r>
    </w:p>
  </w:footnote>
  <w:footnote w:id="23">
    <w:p w:rsidR="009A5B59" w:rsidRDefault="009A5B59">
      <w:pPr>
        <w:pStyle w:val="FootnoteText"/>
      </w:pPr>
      <w:r>
        <w:rPr>
          <w:rStyle w:val="FootnoteReference"/>
        </w:rPr>
        <w:footnoteRef/>
      </w:r>
      <w:r>
        <w:t xml:space="preserve"> </w:t>
      </w:r>
      <w:r w:rsidRPr="009A5B59">
        <w:rPr>
          <w:i/>
        </w:rPr>
        <w:t xml:space="preserve">Selection PN, </w:t>
      </w:r>
      <w:r w:rsidRPr="009A5B59">
        <w:t>27 FCC Rcd</w:t>
      </w:r>
      <w:r w:rsidRPr="009A5B59">
        <w:rPr>
          <w:i/>
        </w:rPr>
        <w:t xml:space="preserve"> </w:t>
      </w:r>
      <w:r w:rsidRPr="009A5B59">
        <w:t>at 1596</w:t>
      </w:r>
      <w:r>
        <w:t xml:space="preserve">5. </w:t>
      </w:r>
    </w:p>
  </w:footnote>
  <w:footnote w:id="24">
    <w:p w:rsidR="00BA0556" w:rsidRDefault="00BA0556" w:rsidP="00BA0556">
      <w:pPr>
        <w:pStyle w:val="FootnoteText"/>
        <w:spacing w:after="120"/>
      </w:pPr>
      <w:r>
        <w:rPr>
          <w:rStyle w:val="FootnoteReference"/>
        </w:rPr>
        <w:footnoteRef/>
      </w:r>
      <w:r>
        <w:t xml:space="preserve"> </w:t>
      </w:r>
      <w:r>
        <w:rPr>
          <w:i/>
        </w:rPr>
        <w:t xml:space="preserve">See L.T. Simes II and Raymond Simes, </w:t>
      </w:r>
      <w:r>
        <w:t>Letter, 21 FCC Rcd 1421, 1422 (MB 2006) (</w:t>
      </w:r>
      <w:r w:rsidRPr="00BA5A24">
        <w:t>burden of providing information and demonstrating qualifications by the applicable</w:t>
      </w:r>
      <w:r>
        <w:t xml:space="preserve"> </w:t>
      </w:r>
      <w:r w:rsidRPr="00BA5A24">
        <w:t xml:space="preserve">deadline falls upon the </w:t>
      </w:r>
      <w:r>
        <w:t xml:space="preserve">applicant). </w:t>
      </w:r>
    </w:p>
  </w:footnote>
  <w:footnote w:id="25">
    <w:p w:rsidR="009C3DE7" w:rsidRDefault="009C3DE7" w:rsidP="008722F2">
      <w:pPr>
        <w:pStyle w:val="FootnoteText"/>
        <w:spacing w:after="120"/>
      </w:pPr>
      <w:r>
        <w:rPr>
          <w:rStyle w:val="FootnoteReference"/>
        </w:rPr>
        <w:footnoteRef/>
      </w:r>
      <w:r>
        <w:t xml:space="preserve"> </w:t>
      </w:r>
      <w:r>
        <w:rPr>
          <w:i/>
        </w:rPr>
        <w:t xml:space="preserve">See Glorious Communications Channel Broadcasting, LLC, </w:t>
      </w:r>
      <w:r>
        <w:t xml:space="preserve">Letter, 20 FCC Rcd 11887, 11888 (MB 2005) (waiver request denied where applicant, </w:t>
      </w:r>
      <w:r w:rsidR="00630CEC">
        <w:t xml:space="preserve">aware of filing deadline but </w:t>
      </w:r>
      <w:r>
        <w:t xml:space="preserve">“distracted by personal problems,” </w:t>
      </w:r>
      <w:r w:rsidR="00630CEC">
        <w:t>failed to make submission</w:t>
      </w:r>
      <w:r>
        <w:t xml:space="preserve">).  </w:t>
      </w:r>
      <w:r>
        <w:rPr>
          <w:i/>
        </w:rPr>
        <w:t xml:space="preserve"> </w:t>
      </w:r>
      <w:r>
        <w:t xml:space="preserve"> </w:t>
      </w:r>
    </w:p>
  </w:footnote>
  <w:footnote w:id="26">
    <w:p w:rsidR="008722F2" w:rsidRDefault="008722F2" w:rsidP="008722F2">
      <w:pPr>
        <w:pStyle w:val="FootnoteText"/>
        <w:spacing w:after="120"/>
      </w:pPr>
      <w:r>
        <w:rPr>
          <w:rStyle w:val="FootnoteReference"/>
        </w:rPr>
        <w:footnoteRef/>
      </w:r>
      <w:r>
        <w:t xml:space="preserve"> </w:t>
      </w:r>
      <w:r>
        <w:rPr>
          <w:i/>
        </w:rPr>
        <w:t xml:space="preserve">See Gregg P. Skall, Esq., Womble, Carlyle, Sandridge &amp; Rice, </w:t>
      </w:r>
      <w:r>
        <w:t>Letter, 20 FCC Rcd 11889, 11890 (MB/WTB 2005) (“</w:t>
      </w:r>
      <w:r w:rsidRPr="008722F2">
        <w:t xml:space="preserve">The Commission's auction rules are best served by </w:t>
      </w:r>
      <w:r>
        <w:t>applying deadlines in a fair and consistent</w:t>
      </w:r>
      <w:bookmarkStart w:id="63" w:name="SR;575"/>
      <w:bookmarkStart w:id="64" w:name="SR;577"/>
      <w:bookmarkEnd w:id="63"/>
      <w:bookmarkEnd w:id="64"/>
      <w:r w:rsidRPr="008722F2">
        <w:t xml:space="preserve"> </w:t>
      </w:r>
      <w:bookmarkStart w:id="65" w:name="SR;578"/>
      <w:bookmarkEnd w:id="65"/>
      <w:r>
        <w:t>manner</w:t>
      </w:r>
      <w:r w:rsidRPr="008722F2">
        <w:t>.</w:t>
      </w:r>
      <w:r>
        <w:t xml:space="preserve">  </w:t>
      </w:r>
      <w:r w:rsidRPr="008722F2">
        <w:t xml:space="preserve">By having an announced procedure which </w:t>
      </w:r>
      <w:bookmarkStart w:id="66" w:name="SR;586"/>
      <w:bookmarkEnd w:id="66"/>
      <w:r>
        <w:t>applies</w:t>
      </w:r>
      <w:r w:rsidRPr="008722F2">
        <w:t xml:space="preserve"> uniformly, we created a predictable and </w:t>
      </w:r>
      <w:bookmarkStart w:id="67" w:name="SR;593"/>
      <w:bookmarkEnd w:id="67"/>
      <w:r>
        <w:t>fair</w:t>
      </w:r>
      <w:r w:rsidRPr="008722F2">
        <w:t xml:space="preserve"> procedure for all applicants in </w:t>
      </w:r>
      <w:r>
        <w:t xml:space="preserve">[the] </w:t>
      </w:r>
      <w:r w:rsidRPr="008722F2">
        <w:t>Auction</w:t>
      </w:r>
      <w:r>
        <w:t xml:space="preserve"> . . . .”).</w:t>
      </w:r>
      <w:r w:rsidRPr="008722F2">
        <w:t xml:space="preserve"> </w:t>
      </w:r>
      <w:r>
        <w:t xml:space="preserve"> </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E" w:rsidRDefault="007B6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E" w:rsidRDefault="007B6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DD" w:rsidRDefault="00E47CB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30285204" r:id="rId2"/>
      </w:pict>
    </w:r>
    <w:r w:rsidR="00672DDD">
      <w:rPr>
        <w:rFonts w:ascii="CG Times (W1)" w:hAnsi="CG Times (W1)"/>
        <w:sz w:val="28"/>
      </w:rPr>
      <w:t>Federal Communications Commission</w:t>
    </w:r>
  </w:p>
  <w:p w:rsidR="00672DDD" w:rsidRDefault="00672DDD">
    <w:pPr>
      <w:jc w:val="center"/>
      <w:rPr>
        <w:rFonts w:ascii="CG Times (W1)" w:hAnsi="CG Times (W1)"/>
        <w:sz w:val="28"/>
      </w:rPr>
    </w:pPr>
    <w:r>
      <w:rPr>
        <w:rFonts w:ascii="CG Times (W1)" w:hAnsi="CG Times (W1)"/>
        <w:sz w:val="28"/>
      </w:rPr>
      <w:t>Washington, D.C. 20554</w:t>
    </w:r>
  </w:p>
  <w:p w:rsidR="00921E3F" w:rsidRDefault="00921E3F">
    <w:pPr>
      <w:jc w:val="center"/>
    </w:pPr>
  </w:p>
  <w:p w:rsidR="00672DDD" w:rsidRPr="00756425" w:rsidRDefault="00FC61A9">
    <w:pPr>
      <w:pStyle w:val="Header"/>
      <w:tabs>
        <w:tab w:val="clear" w:pos="4320"/>
      </w:tabs>
      <w:jc w:val="center"/>
      <w:rPr>
        <w:b/>
      </w:rPr>
    </w:pPr>
    <w:r>
      <w:rPr>
        <w:b/>
      </w:rPr>
      <w:t>May 17,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DD"/>
    <w:rsid w:val="00001CA7"/>
    <w:rsid w:val="00001CFE"/>
    <w:rsid w:val="000024C2"/>
    <w:rsid w:val="00004D22"/>
    <w:rsid w:val="00006FC0"/>
    <w:rsid w:val="000119BB"/>
    <w:rsid w:val="00012922"/>
    <w:rsid w:val="00013BDA"/>
    <w:rsid w:val="0001485C"/>
    <w:rsid w:val="00015E6A"/>
    <w:rsid w:val="00020223"/>
    <w:rsid w:val="0002268E"/>
    <w:rsid w:val="000234DA"/>
    <w:rsid w:val="000350E5"/>
    <w:rsid w:val="00035908"/>
    <w:rsid w:val="000401DE"/>
    <w:rsid w:val="000419D5"/>
    <w:rsid w:val="0005083C"/>
    <w:rsid w:val="0005439C"/>
    <w:rsid w:val="000551A9"/>
    <w:rsid w:val="000617AB"/>
    <w:rsid w:val="000620CC"/>
    <w:rsid w:val="0006410F"/>
    <w:rsid w:val="00077550"/>
    <w:rsid w:val="00087C2E"/>
    <w:rsid w:val="0009043B"/>
    <w:rsid w:val="00092A05"/>
    <w:rsid w:val="0009586C"/>
    <w:rsid w:val="000A2601"/>
    <w:rsid w:val="000A4802"/>
    <w:rsid w:val="000A5C7A"/>
    <w:rsid w:val="000B42C1"/>
    <w:rsid w:val="000B43AF"/>
    <w:rsid w:val="000B5714"/>
    <w:rsid w:val="000C289B"/>
    <w:rsid w:val="000D0B45"/>
    <w:rsid w:val="000E0657"/>
    <w:rsid w:val="000E3884"/>
    <w:rsid w:val="000F4C11"/>
    <w:rsid w:val="000F57B1"/>
    <w:rsid w:val="000F7DB2"/>
    <w:rsid w:val="000F7FD7"/>
    <w:rsid w:val="001003BB"/>
    <w:rsid w:val="00106257"/>
    <w:rsid w:val="00107686"/>
    <w:rsid w:val="001121CF"/>
    <w:rsid w:val="00112429"/>
    <w:rsid w:val="00115DDC"/>
    <w:rsid w:val="00123467"/>
    <w:rsid w:val="00130AFE"/>
    <w:rsid w:val="00134D61"/>
    <w:rsid w:val="00142ADF"/>
    <w:rsid w:val="001439D1"/>
    <w:rsid w:val="00145593"/>
    <w:rsid w:val="00153B4A"/>
    <w:rsid w:val="00160C6A"/>
    <w:rsid w:val="00174F90"/>
    <w:rsid w:val="00177AF1"/>
    <w:rsid w:val="00181D4C"/>
    <w:rsid w:val="00182305"/>
    <w:rsid w:val="0018465A"/>
    <w:rsid w:val="00194765"/>
    <w:rsid w:val="00197B0B"/>
    <w:rsid w:val="001A0358"/>
    <w:rsid w:val="001A19CF"/>
    <w:rsid w:val="001B2526"/>
    <w:rsid w:val="001B6523"/>
    <w:rsid w:val="001C034F"/>
    <w:rsid w:val="001C117B"/>
    <w:rsid w:val="001C471F"/>
    <w:rsid w:val="001C5DAA"/>
    <w:rsid w:val="001C631E"/>
    <w:rsid w:val="001D1652"/>
    <w:rsid w:val="001D2C1F"/>
    <w:rsid w:val="001E27C1"/>
    <w:rsid w:val="001E5794"/>
    <w:rsid w:val="001E5E0D"/>
    <w:rsid w:val="001F2271"/>
    <w:rsid w:val="00203254"/>
    <w:rsid w:val="0020381C"/>
    <w:rsid w:val="002047C5"/>
    <w:rsid w:val="002064F4"/>
    <w:rsid w:val="00214084"/>
    <w:rsid w:val="00226172"/>
    <w:rsid w:val="002278C0"/>
    <w:rsid w:val="00236EA3"/>
    <w:rsid w:val="002461D8"/>
    <w:rsid w:val="0025056D"/>
    <w:rsid w:val="00252CF2"/>
    <w:rsid w:val="0025408B"/>
    <w:rsid w:val="00254E86"/>
    <w:rsid w:val="00256E7C"/>
    <w:rsid w:val="002679BF"/>
    <w:rsid w:val="002712D6"/>
    <w:rsid w:val="00271558"/>
    <w:rsid w:val="002823A7"/>
    <w:rsid w:val="00286C78"/>
    <w:rsid w:val="00295D34"/>
    <w:rsid w:val="002B5872"/>
    <w:rsid w:val="002C0747"/>
    <w:rsid w:val="002C10CE"/>
    <w:rsid w:val="002C3081"/>
    <w:rsid w:val="002D13B3"/>
    <w:rsid w:val="002D56AE"/>
    <w:rsid w:val="002E0504"/>
    <w:rsid w:val="002F42FE"/>
    <w:rsid w:val="00310589"/>
    <w:rsid w:val="003109BD"/>
    <w:rsid w:val="00311622"/>
    <w:rsid w:val="00312303"/>
    <w:rsid w:val="00330845"/>
    <w:rsid w:val="00335977"/>
    <w:rsid w:val="003422F0"/>
    <w:rsid w:val="00342CC1"/>
    <w:rsid w:val="003437E4"/>
    <w:rsid w:val="003508E3"/>
    <w:rsid w:val="0035455F"/>
    <w:rsid w:val="00362535"/>
    <w:rsid w:val="00364FF1"/>
    <w:rsid w:val="00370045"/>
    <w:rsid w:val="00375E3C"/>
    <w:rsid w:val="00376684"/>
    <w:rsid w:val="00381FB3"/>
    <w:rsid w:val="00382F24"/>
    <w:rsid w:val="0038785F"/>
    <w:rsid w:val="003A3D95"/>
    <w:rsid w:val="003A4627"/>
    <w:rsid w:val="003A56C9"/>
    <w:rsid w:val="003A7DBD"/>
    <w:rsid w:val="003B50B7"/>
    <w:rsid w:val="003B5BA6"/>
    <w:rsid w:val="003B699E"/>
    <w:rsid w:val="003C142D"/>
    <w:rsid w:val="003C27FB"/>
    <w:rsid w:val="003C2EC5"/>
    <w:rsid w:val="003C7054"/>
    <w:rsid w:val="003D53A4"/>
    <w:rsid w:val="003E2A21"/>
    <w:rsid w:val="003E61C0"/>
    <w:rsid w:val="003E7438"/>
    <w:rsid w:val="003F1ABE"/>
    <w:rsid w:val="003F2BC8"/>
    <w:rsid w:val="003F3D53"/>
    <w:rsid w:val="004006F9"/>
    <w:rsid w:val="00402329"/>
    <w:rsid w:val="00427189"/>
    <w:rsid w:val="004323CD"/>
    <w:rsid w:val="004323F3"/>
    <w:rsid w:val="004374D6"/>
    <w:rsid w:val="004430E4"/>
    <w:rsid w:val="00443D95"/>
    <w:rsid w:val="00445269"/>
    <w:rsid w:val="00446978"/>
    <w:rsid w:val="00451F85"/>
    <w:rsid w:val="004549AC"/>
    <w:rsid w:val="00454B05"/>
    <w:rsid w:val="00464631"/>
    <w:rsid w:val="00472E0E"/>
    <w:rsid w:val="00476C46"/>
    <w:rsid w:val="00486906"/>
    <w:rsid w:val="00487479"/>
    <w:rsid w:val="00490140"/>
    <w:rsid w:val="0049270C"/>
    <w:rsid w:val="004951A9"/>
    <w:rsid w:val="004A4455"/>
    <w:rsid w:val="004B4120"/>
    <w:rsid w:val="004C3D0F"/>
    <w:rsid w:val="004C6C2F"/>
    <w:rsid w:val="004C7353"/>
    <w:rsid w:val="004D12EA"/>
    <w:rsid w:val="004D1EF5"/>
    <w:rsid w:val="004E3984"/>
    <w:rsid w:val="004E3C8D"/>
    <w:rsid w:val="004F0B7C"/>
    <w:rsid w:val="004F13D9"/>
    <w:rsid w:val="004F27C4"/>
    <w:rsid w:val="004F59C0"/>
    <w:rsid w:val="004F6EDF"/>
    <w:rsid w:val="00500F26"/>
    <w:rsid w:val="0050276E"/>
    <w:rsid w:val="00513353"/>
    <w:rsid w:val="00517927"/>
    <w:rsid w:val="005258DA"/>
    <w:rsid w:val="00526027"/>
    <w:rsid w:val="005277AA"/>
    <w:rsid w:val="005305E7"/>
    <w:rsid w:val="00530884"/>
    <w:rsid w:val="00530F71"/>
    <w:rsid w:val="005432CD"/>
    <w:rsid w:val="00547011"/>
    <w:rsid w:val="005509B8"/>
    <w:rsid w:val="0056462E"/>
    <w:rsid w:val="00575502"/>
    <w:rsid w:val="00581E4C"/>
    <w:rsid w:val="005A14D0"/>
    <w:rsid w:val="005A6C80"/>
    <w:rsid w:val="005B0DBB"/>
    <w:rsid w:val="005B4DEB"/>
    <w:rsid w:val="005B7EFA"/>
    <w:rsid w:val="005C51A7"/>
    <w:rsid w:val="005D1EFD"/>
    <w:rsid w:val="005D27F0"/>
    <w:rsid w:val="005E3CF2"/>
    <w:rsid w:val="005F08D5"/>
    <w:rsid w:val="005F1A71"/>
    <w:rsid w:val="00607D9F"/>
    <w:rsid w:val="00617533"/>
    <w:rsid w:val="00620E98"/>
    <w:rsid w:val="006239F4"/>
    <w:rsid w:val="00627D92"/>
    <w:rsid w:val="00630CEC"/>
    <w:rsid w:val="00632D8A"/>
    <w:rsid w:val="006374EB"/>
    <w:rsid w:val="00641317"/>
    <w:rsid w:val="00642566"/>
    <w:rsid w:val="006446BB"/>
    <w:rsid w:val="0065061D"/>
    <w:rsid w:val="006552D3"/>
    <w:rsid w:val="006725F3"/>
    <w:rsid w:val="00672DDD"/>
    <w:rsid w:val="0067472B"/>
    <w:rsid w:val="006805EE"/>
    <w:rsid w:val="006846D4"/>
    <w:rsid w:val="006872A5"/>
    <w:rsid w:val="00691DA3"/>
    <w:rsid w:val="00692A92"/>
    <w:rsid w:val="00692CC2"/>
    <w:rsid w:val="00697493"/>
    <w:rsid w:val="006A0BE1"/>
    <w:rsid w:val="006A1BC8"/>
    <w:rsid w:val="006B5954"/>
    <w:rsid w:val="006C56D9"/>
    <w:rsid w:val="006C5BFC"/>
    <w:rsid w:val="006C684C"/>
    <w:rsid w:val="006D6C51"/>
    <w:rsid w:val="006D6EB9"/>
    <w:rsid w:val="006E493A"/>
    <w:rsid w:val="006E7CB3"/>
    <w:rsid w:val="006F2977"/>
    <w:rsid w:val="006F52A3"/>
    <w:rsid w:val="0070310F"/>
    <w:rsid w:val="0070370E"/>
    <w:rsid w:val="00717803"/>
    <w:rsid w:val="00745885"/>
    <w:rsid w:val="00755F6F"/>
    <w:rsid w:val="00756425"/>
    <w:rsid w:val="00766E33"/>
    <w:rsid w:val="00780830"/>
    <w:rsid w:val="0079706E"/>
    <w:rsid w:val="00797E23"/>
    <w:rsid w:val="007A06B6"/>
    <w:rsid w:val="007B081A"/>
    <w:rsid w:val="007B692E"/>
    <w:rsid w:val="007B7B67"/>
    <w:rsid w:val="007C48BB"/>
    <w:rsid w:val="007C52A7"/>
    <w:rsid w:val="007D02CD"/>
    <w:rsid w:val="007D2985"/>
    <w:rsid w:val="007E1F54"/>
    <w:rsid w:val="007F4520"/>
    <w:rsid w:val="007F6823"/>
    <w:rsid w:val="007F6850"/>
    <w:rsid w:val="008021D2"/>
    <w:rsid w:val="00815D79"/>
    <w:rsid w:val="0082029C"/>
    <w:rsid w:val="00824541"/>
    <w:rsid w:val="00834728"/>
    <w:rsid w:val="008427E1"/>
    <w:rsid w:val="00843CF3"/>
    <w:rsid w:val="0084688C"/>
    <w:rsid w:val="00855FBB"/>
    <w:rsid w:val="008722F2"/>
    <w:rsid w:val="00872774"/>
    <w:rsid w:val="00872C0B"/>
    <w:rsid w:val="00880578"/>
    <w:rsid w:val="008837D4"/>
    <w:rsid w:val="00887123"/>
    <w:rsid w:val="008902A7"/>
    <w:rsid w:val="00892100"/>
    <w:rsid w:val="00893A9D"/>
    <w:rsid w:val="008964C2"/>
    <w:rsid w:val="008A1F82"/>
    <w:rsid w:val="008A3529"/>
    <w:rsid w:val="008B4026"/>
    <w:rsid w:val="008C34C9"/>
    <w:rsid w:val="008D191D"/>
    <w:rsid w:val="008D1CD2"/>
    <w:rsid w:val="008D4FFB"/>
    <w:rsid w:val="008F2A23"/>
    <w:rsid w:val="008F47A1"/>
    <w:rsid w:val="008F4B3D"/>
    <w:rsid w:val="009006EA"/>
    <w:rsid w:val="00904CFA"/>
    <w:rsid w:val="0092093F"/>
    <w:rsid w:val="00921A92"/>
    <w:rsid w:val="00921E3F"/>
    <w:rsid w:val="009260E0"/>
    <w:rsid w:val="009305E1"/>
    <w:rsid w:val="00936CB4"/>
    <w:rsid w:val="009415C7"/>
    <w:rsid w:val="0094360E"/>
    <w:rsid w:val="00944533"/>
    <w:rsid w:val="009453E2"/>
    <w:rsid w:val="0095080F"/>
    <w:rsid w:val="0096111A"/>
    <w:rsid w:val="00973611"/>
    <w:rsid w:val="00975C71"/>
    <w:rsid w:val="00987270"/>
    <w:rsid w:val="009959DD"/>
    <w:rsid w:val="009971B6"/>
    <w:rsid w:val="009A0796"/>
    <w:rsid w:val="009A5B59"/>
    <w:rsid w:val="009A76CB"/>
    <w:rsid w:val="009B7807"/>
    <w:rsid w:val="009B7A9B"/>
    <w:rsid w:val="009C284A"/>
    <w:rsid w:val="009C3DE7"/>
    <w:rsid w:val="009D0672"/>
    <w:rsid w:val="009D1C29"/>
    <w:rsid w:val="009D2FC9"/>
    <w:rsid w:val="009D4EFC"/>
    <w:rsid w:val="009D6D8F"/>
    <w:rsid w:val="009E01D7"/>
    <w:rsid w:val="009E087D"/>
    <w:rsid w:val="009E0BA7"/>
    <w:rsid w:val="009E73F8"/>
    <w:rsid w:val="00A0206D"/>
    <w:rsid w:val="00A16EFA"/>
    <w:rsid w:val="00A259C5"/>
    <w:rsid w:val="00A264E1"/>
    <w:rsid w:val="00A26536"/>
    <w:rsid w:val="00A35260"/>
    <w:rsid w:val="00A35885"/>
    <w:rsid w:val="00A37742"/>
    <w:rsid w:val="00A41757"/>
    <w:rsid w:val="00A423CE"/>
    <w:rsid w:val="00A44B7C"/>
    <w:rsid w:val="00A47C05"/>
    <w:rsid w:val="00A50B49"/>
    <w:rsid w:val="00A51B31"/>
    <w:rsid w:val="00A664AA"/>
    <w:rsid w:val="00A713EA"/>
    <w:rsid w:val="00A71CE8"/>
    <w:rsid w:val="00A76F39"/>
    <w:rsid w:val="00A8721A"/>
    <w:rsid w:val="00A876C7"/>
    <w:rsid w:val="00AA7396"/>
    <w:rsid w:val="00AA7C7C"/>
    <w:rsid w:val="00AB1351"/>
    <w:rsid w:val="00AB1FA4"/>
    <w:rsid w:val="00AB24A2"/>
    <w:rsid w:val="00AB28A4"/>
    <w:rsid w:val="00AB4BFD"/>
    <w:rsid w:val="00AB50D2"/>
    <w:rsid w:val="00AB5C3E"/>
    <w:rsid w:val="00AB7D55"/>
    <w:rsid w:val="00AC5B65"/>
    <w:rsid w:val="00AC74E1"/>
    <w:rsid w:val="00AD01CA"/>
    <w:rsid w:val="00AD242D"/>
    <w:rsid w:val="00AD35F7"/>
    <w:rsid w:val="00AD538C"/>
    <w:rsid w:val="00AD76A1"/>
    <w:rsid w:val="00AE1A50"/>
    <w:rsid w:val="00AE72F0"/>
    <w:rsid w:val="00AF142F"/>
    <w:rsid w:val="00AF6C02"/>
    <w:rsid w:val="00B0126B"/>
    <w:rsid w:val="00B06A5B"/>
    <w:rsid w:val="00B07CC7"/>
    <w:rsid w:val="00B10FC9"/>
    <w:rsid w:val="00B14E69"/>
    <w:rsid w:val="00B2461E"/>
    <w:rsid w:val="00B26A35"/>
    <w:rsid w:val="00B4397C"/>
    <w:rsid w:val="00B45066"/>
    <w:rsid w:val="00B474D0"/>
    <w:rsid w:val="00B57194"/>
    <w:rsid w:val="00B610E5"/>
    <w:rsid w:val="00B64479"/>
    <w:rsid w:val="00B70CD9"/>
    <w:rsid w:val="00B76F13"/>
    <w:rsid w:val="00B77819"/>
    <w:rsid w:val="00B84288"/>
    <w:rsid w:val="00B912ED"/>
    <w:rsid w:val="00B92951"/>
    <w:rsid w:val="00B97845"/>
    <w:rsid w:val="00BA0556"/>
    <w:rsid w:val="00BA2124"/>
    <w:rsid w:val="00BA30F4"/>
    <w:rsid w:val="00BA4ED0"/>
    <w:rsid w:val="00BA5A24"/>
    <w:rsid w:val="00BB204B"/>
    <w:rsid w:val="00BB64A0"/>
    <w:rsid w:val="00BC2CE3"/>
    <w:rsid w:val="00BC5999"/>
    <w:rsid w:val="00BD56FF"/>
    <w:rsid w:val="00BD6646"/>
    <w:rsid w:val="00BE0B45"/>
    <w:rsid w:val="00BE4079"/>
    <w:rsid w:val="00BE530D"/>
    <w:rsid w:val="00BF30E9"/>
    <w:rsid w:val="00BF4F4D"/>
    <w:rsid w:val="00C0507F"/>
    <w:rsid w:val="00C07F62"/>
    <w:rsid w:val="00C1692C"/>
    <w:rsid w:val="00C206A1"/>
    <w:rsid w:val="00C21985"/>
    <w:rsid w:val="00C24243"/>
    <w:rsid w:val="00C255F2"/>
    <w:rsid w:val="00C26F47"/>
    <w:rsid w:val="00C30B14"/>
    <w:rsid w:val="00C34CCC"/>
    <w:rsid w:val="00C36045"/>
    <w:rsid w:val="00C414C6"/>
    <w:rsid w:val="00C51A24"/>
    <w:rsid w:val="00C52ECF"/>
    <w:rsid w:val="00C530CB"/>
    <w:rsid w:val="00C56BC2"/>
    <w:rsid w:val="00C57019"/>
    <w:rsid w:val="00C60C8F"/>
    <w:rsid w:val="00C63C56"/>
    <w:rsid w:val="00C64403"/>
    <w:rsid w:val="00C70654"/>
    <w:rsid w:val="00C73956"/>
    <w:rsid w:val="00C75EBA"/>
    <w:rsid w:val="00C7746A"/>
    <w:rsid w:val="00C81405"/>
    <w:rsid w:val="00C816E5"/>
    <w:rsid w:val="00C82CDB"/>
    <w:rsid w:val="00C8333F"/>
    <w:rsid w:val="00C83AF5"/>
    <w:rsid w:val="00C84B74"/>
    <w:rsid w:val="00C867B4"/>
    <w:rsid w:val="00C951CE"/>
    <w:rsid w:val="00CA714B"/>
    <w:rsid w:val="00CB1E50"/>
    <w:rsid w:val="00CB2A18"/>
    <w:rsid w:val="00CB72E0"/>
    <w:rsid w:val="00CC0E4F"/>
    <w:rsid w:val="00CC2B4D"/>
    <w:rsid w:val="00CC6211"/>
    <w:rsid w:val="00CD2639"/>
    <w:rsid w:val="00CD6062"/>
    <w:rsid w:val="00CE0B30"/>
    <w:rsid w:val="00CF4135"/>
    <w:rsid w:val="00CF4693"/>
    <w:rsid w:val="00CF5587"/>
    <w:rsid w:val="00D00CF5"/>
    <w:rsid w:val="00D110B0"/>
    <w:rsid w:val="00D111FF"/>
    <w:rsid w:val="00D11759"/>
    <w:rsid w:val="00D166F7"/>
    <w:rsid w:val="00D221EE"/>
    <w:rsid w:val="00D32405"/>
    <w:rsid w:val="00D40377"/>
    <w:rsid w:val="00D43EA9"/>
    <w:rsid w:val="00D45401"/>
    <w:rsid w:val="00D527C0"/>
    <w:rsid w:val="00D613EA"/>
    <w:rsid w:val="00D63089"/>
    <w:rsid w:val="00D710C8"/>
    <w:rsid w:val="00D71638"/>
    <w:rsid w:val="00D73E6F"/>
    <w:rsid w:val="00D75010"/>
    <w:rsid w:val="00D77B2F"/>
    <w:rsid w:val="00D809EA"/>
    <w:rsid w:val="00D80E4C"/>
    <w:rsid w:val="00D867FA"/>
    <w:rsid w:val="00DA3F15"/>
    <w:rsid w:val="00DA4596"/>
    <w:rsid w:val="00DA55F2"/>
    <w:rsid w:val="00DA730A"/>
    <w:rsid w:val="00DB1336"/>
    <w:rsid w:val="00DC15B2"/>
    <w:rsid w:val="00DC267B"/>
    <w:rsid w:val="00DD1E95"/>
    <w:rsid w:val="00DD4A43"/>
    <w:rsid w:val="00DE5048"/>
    <w:rsid w:val="00DE515B"/>
    <w:rsid w:val="00E04460"/>
    <w:rsid w:val="00E12773"/>
    <w:rsid w:val="00E21CB9"/>
    <w:rsid w:val="00E347EE"/>
    <w:rsid w:val="00E42F00"/>
    <w:rsid w:val="00E43AEB"/>
    <w:rsid w:val="00E44958"/>
    <w:rsid w:val="00E47CBF"/>
    <w:rsid w:val="00E519D5"/>
    <w:rsid w:val="00E52B78"/>
    <w:rsid w:val="00E53011"/>
    <w:rsid w:val="00E55863"/>
    <w:rsid w:val="00E618B9"/>
    <w:rsid w:val="00E622E2"/>
    <w:rsid w:val="00E63067"/>
    <w:rsid w:val="00E666DD"/>
    <w:rsid w:val="00E6675F"/>
    <w:rsid w:val="00E67619"/>
    <w:rsid w:val="00E7345D"/>
    <w:rsid w:val="00E74E67"/>
    <w:rsid w:val="00E90CE2"/>
    <w:rsid w:val="00EA15F6"/>
    <w:rsid w:val="00EA24FF"/>
    <w:rsid w:val="00EA3C60"/>
    <w:rsid w:val="00EB5261"/>
    <w:rsid w:val="00EB5539"/>
    <w:rsid w:val="00EC0122"/>
    <w:rsid w:val="00EC0999"/>
    <w:rsid w:val="00EC0E76"/>
    <w:rsid w:val="00EC6668"/>
    <w:rsid w:val="00EC749B"/>
    <w:rsid w:val="00EF2342"/>
    <w:rsid w:val="00EF68A0"/>
    <w:rsid w:val="00F05E15"/>
    <w:rsid w:val="00F07986"/>
    <w:rsid w:val="00F1095B"/>
    <w:rsid w:val="00F119CE"/>
    <w:rsid w:val="00F14855"/>
    <w:rsid w:val="00F165CC"/>
    <w:rsid w:val="00F25563"/>
    <w:rsid w:val="00F36859"/>
    <w:rsid w:val="00F4138E"/>
    <w:rsid w:val="00F4642C"/>
    <w:rsid w:val="00F47D19"/>
    <w:rsid w:val="00F50F7A"/>
    <w:rsid w:val="00F51DF3"/>
    <w:rsid w:val="00F521C8"/>
    <w:rsid w:val="00F57012"/>
    <w:rsid w:val="00F634A0"/>
    <w:rsid w:val="00F65BAF"/>
    <w:rsid w:val="00F812FD"/>
    <w:rsid w:val="00F92DE1"/>
    <w:rsid w:val="00F94EF5"/>
    <w:rsid w:val="00F96A03"/>
    <w:rsid w:val="00FA0B2C"/>
    <w:rsid w:val="00FA1F8D"/>
    <w:rsid w:val="00FA5509"/>
    <w:rsid w:val="00FA5B8B"/>
    <w:rsid w:val="00FA6CD6"/>
    <w:rsid w:val="00FB4230"/>
    <w:rsid w:val="00FB612D"/>
    <w:rsid w:val="00FB6BE8"/>
    <w:rsid w:val="00FC0E08"/>
    <w:rsid w:val="00FC22EA"/>
    <w:rsid w:val="00FC3BD7"/>
    <w:rsid w:val="00FC4814"/>
    <w:rsid w:val="00FC4AFE"/>
    <w:rsid w:val="00FC61A9"/>
    <w:rsid w:val="00FD1D91"/>
    <w:rsid w:val="00FD33DE"/>
    <w:rsid w:val="00FD37E6"/>
    <w:rsid w:val="00FE5E61"/>
    <w:rsid w:val="00FF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C6C2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w:basedOn w:val="Normal"/>
    <w:link w:val="FootnoteTextChar"/>
    <w:semiHidden/>
    <w:rsid w:val="00672DDD"/>
  </w:style>
  <w:style w:type="character" w:styleId="FootnoteReference">
    <w:name w:val="footnote reference"/>
    <w:aliases w:val="Style 12,(NECG) Footnote Reference,o,fr,Style 3,Appel note de bas de p,Style 124,Style 13"/>
    <w:semiHidden/>
    <w:rsid w:val="00672DDD"/>
    <w:rPr>
      <w:vertAlign w:val="superscript"/>
    </w:rPr>
  </w:style>
  <w:style w:type="character" w:styleId="Hyperlink">
    <w:name w:val="Hyperlink"/>
    <w:rsid w:val="00F812FD"/>
    <w:rPr>
      <w:color w:val="0000FF"/>
      <w:u w:val="single"/>
    </w:rPr>
  </w:style>
  <w:style w:type="character" w:customStyle="1" w:styleId="FooterChar">
    <w:name w:val="Footer Char"/>
    <w:link w:val="Footer"/>
    <w:uiPriority w:val="99"/>
    <w:rsid w:val="00F521C8"/>
  </w:style>
  <w:style w:type="character" w:styleId="CommentReference">
    <w:name w:val="annotation reference"/>
    <w:rsid w:val="00A51B31"/>
    <w:rPr>
      <w:sz w:val="16"/>
      <w:szCs w:val="16"/>
    </w:rPr>
  </w:style>
  <w:style w:type="paragraph" w:styleId="CommentText">
    <w:name w:val="annotation text"/>
    <w:basedOn w:val="Normal"/>
    <w:link w:val="CommentTextChar"/>
    <w:rsid w:val="00A51B31"/>
  </w:style>
  <w:style w:type="character" w:customStyle="1" w:styleId="CommentTextChar">
    <w:name w:val="Comment Text Char"/>
    <w:basedOn w:val="DefaultParagraphFont"/>
    <w:link w:val="CommentText"/>
    <w:rsid w:val="00A51B31"/>
  </w:style>
  <w:style w:type="paragraph" w:styleId="CommentSubject">
    <w:name w:val="annotation subject"/>
    <w:basedOn w:val="CommentText"/>
    <w:next w:val="CommentText"/>
    <w:link w:val="CommentSubjectChar"/>
    <w:rsid w:val="00A51B31"/>
    <w:rPr>
      <w:b/>
      <w:bCs/>
    </w:rPr>
  </w:style>
  <w:style w:type="character" w:customStyle="1" w:styleId="CommentSubjectChar">
    <w:name w:val="Comment Subject Char"/>
    <w:link w:val="CommentSubject"/>
    <w:rsid w:val="00A51B31"/>
    <w:rPr>
      <w:b/>
      <w:bCs/>
    </w:rPr>
  </w:style>
  <w:style w:type="paragraph" w:styleId="BalloonText">
    <w:name w:val="Balloon Text"/>
    <w:basedOn w:val="Normal"/>
    <w:link w:val="BalloonTextChar"/>
    <w:rsid w:val="00A51B31"/>
    <w:rPr>
      <w:rFonts w:ascii="Tahoma" w:hAnsi="Tahoma" w:cs="Tahoma"/>
      <w:sz w:val="16"/>
      <w:szCs w:val="16"/>
    </w:rPr>
  </w:style>
  <w:style w:type="character" w:customStyle="1" w:styleId="BalloonTextChar">
    <w:name w:val="Balloon Text Char"/>
    <w:link w:val="BalloonText"/>
    <w:rsid w:val="00A51B31"/>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semiHidden/>
    <w:rsid w:val="00B26A35"/>
  </w:style>
  <w:style w:type="character" w:styleId="Emphasis">
    <w:name w:val="Emphasis"/>
    <w:qFormat/>
    <w:rsid w:val="004C6C2F"/>
    <w:rPr>
      <w:i/>
      <w:iCs/>
    </w:rPr>
  </w:style>
  <w:style w:type="character" w:customStyle="1" w:styleId="Heading1Char">
    <w:name w:val="Heading 1 Char"/>
    <w:link w:val="Heading1"/>
    <w:rsid w:val="004C6C2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C6C2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w:basedOn w:val="Normal"/>
    <w:link w:val="FootnoteTextChar"/>
    <w:semiHidden/>
    <w:rsid w:val="00672DDD"/>
  </w:style>
  <w:style w:type="character" w:styleId="FootnoteReference">
    <w:name w:val="footnote reference"/>
    <w:aliases w:val="Style 12,(NECG) Footnote Reference,o,fr,Style 3,Appel note de bas de p,Style 124,Style 13"/>
    <w:semiHidden/>
    <w:rsid w:val="00672DDD"/>
    <w:rPr>
      <w:vertAlign w:val="superscript"/>
    </w:rPr>
  </w:style>
  <w:style w:type="character" w:styleId="Hyperlink">
    <w:name w:val="Hyperlink"/>
    <w:rsid w:val="00F812FD"/>
    <w:rPr>
      <w:color w:val="0000FF"/>
      <w:u w:val="single"/>
    </w:rPr>
  </w:style>
  <w:style w:type="character" w:customStyle="1" w:styleId="FooterChar">
    <w:name w:val="Footer Char"/>
    <w:link w:val="Footer"/>
    <w:uiPriority w:val="99"/>
    <w:rsid w:val="00F521C8"/>
  </w:style>
  <w:style w:type="character" w:styleId="CommentReference">
    <w:name w:val="annotation reference"/>
    <w:rsid w:val="00A51B31"/>
    <w:rPr>
      <w:sz w:val="16"/>
      <w:szCs w:val="16"/>
    </w:rPr>
  </w:style>
  <w:style w:type="paragraph" w:styleId="CommentText">
    <w:name w:val="annotation text"/>
    <w:basedOn w:val="Normal"/>
    <w:link w:val="CommentTextChar"/>
    <w:rsid w:val="00A51B31"/>
  </w:style>
  <w:style w:type="character" w:customStyle="1" w:styleId="CommentTextChar">
    <w:name w:val="Comment Text Char"/>
    <w:basedOn w:val="DefaultParagraphFont"/>
    <w:link w:val="CommentText"/>
    <w:rsid w:val="00A51B31"/>
  </w:style>
  <w:style w:type="paragraph" w:styleId="CommentSubject">
    <w:name w:val="annotation subject"/>
    <w:basedOn w:val="CommentText"/>
    <w:next w:val="CommentText"/>
    <w:link w:val="CommentSubjectChar"/>
    <w:rsid w:val="00A51B31"/>
    <w:rPr>
      <w:b/>
      <w:bCs/>
    </w:rPr>
  </w:style>
  <w:style w:type="character" w:customStyle="1" w:styleId="CommentSubjectChar">
    <w:name w:val="Comment Subject Char"/>
    <w:link w:val="CommentSubject"/>
    <w:rsid w:val="00A51B31"/>
    <w:rPr>
      <w:b/>
      <w:bCs/>
    </w:rPr>
  </w:style>
  <w:style w:type="paragraph" w:styleId="BalloonText">
    <w:name w:val="Balloon Text"/>
    <w:basedOn w:val="Normal"/>
    <w:link w:val="BalloonTextChar"/>
    <w:rsid w:val="00A51B31"/>
    <w:rPr>
      <w:rFonts w:ascii="Tahoma" w:hAnsi="Tahoma" w:cs="Tahoma"/>
      <w:sz w:val="16"/>
      <w:szCs w:val="16"/>
    </w:rPr>
  </w:style>
  <w:style w:type="character" w:customStyle="1" w:styleId="BalloonTextChar">
    <w:name w:val="Balloon Text Char"/>
    <w:link w:val="BalloonText"/>
    <w:rsid w:val="00A51B31"/>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semiHidden/>
    <w:rsid w:val="00B26A35"/>
  </w:style>
  <w:style w:type="character" w:styleId="Emphasis">
    <w:name w:val="Emphasis"/>
    <w:qFormat/>
    <w:rsid w:val="004C6C2F"/>
    <w:rPr>
      <w:i/>
      <w:iCs/>
    </w:rPr>
  </w:style>
  <w:style w:type="character" w:customStyle="1" w:styleId="Heading1Char">
    <w:name w:val="Heading 1 Char"/>
    <w:link w:val="Heading1"/>
    <w:rsid w:val="004C6C2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2712">
      <w:bodyDiv w:val="1"/>
      <w:marLeft w:val="30"/>
      <w:marRight w:val="30"/>
      <w:marTop w:val="30"/>
      <w:marBottom w:val="30"/>
      <w:divBdr>
        <w:top w:val="none" w:sz="0" w:space="0" w:color="auto"/>
        <w:left w:val="none" w:sz="0" w:space="0" w:color="auto"/>
        <w:bottom w:val="none" w:sz="0" w:space="0" w:color="auto"/>
        <w:right w:val="none" w:sz="0" w:space="0" w:color="auto"/>
      </w:divBdr>
      <w:divsChild>
        <w:div w:id="984118712">
          <w:marLeft w:val="0"/>
          <w:marRight w:val="0"/>
          <w:marTop w:val="0"/>
          <w:marBottom w:val="0"/>
          <w:divBdr>
            <w:top w:val="none" w:sz="0" w:space="0" w:color="auto"/>
            <w:left w:val="none" w:sz="0" w:space="0" w:color="auto"/>
            <w:bottom w:val="none" w:sz="0" w:space="0" w:color="auto"/>
            <w:right w:val="none" w:sz="0" w:space="0" w:color="auto"/>
          </w:divBdr>
          <w:divsChild>
            <w:div w:id="10381110">
              <w:marLeft w:val="45"/>
              <w:marRight w:val="45"/>
              <w:marTop w:val="45"/>
              <w:marBottom w:val="45"/>
              <w:divBdr>
                <w:top w:val="none" w:sz="0" w:space="0" w:color="auto"/>
                <w:left w:val="none" w:sz="0" w:space="0" w:color="auto"/>
                <w:bottom w:val="none" w:sz="0" w:space="0" w:color="auto"/>
                <w:right w:val="none" w:sz="0" w:space="0" w:color="auto"/>
              </w:divBdr>
              <w:divsChild>
                <w:div w:id="1902397088">
                  <w:marLeft w:val="0"/>
                  <w:marRight w:val="0"/>
                  <w:marTop w:val="0"/>
                  <w:marBottom w:val="0"/>
                  <w:divBdr>
                    <w:top w:val="none" w:sz="0" w:space="0" w:color="auto"/>
                    <w:left w:val="none" w:sz="0" w:space="0" w:color="auto"/>
                    <w:bottom w:val="none" w:sz="0" w:space="0" w:color="auto"/>
                    <w:right w:val="none" w:sz="0" w:space="0" w:color="auto"/>
                  </w:divBdr>
                  <w:divsChild>
                    <w:div w:id="127108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4808250">
      <w:bodyDiv w:val="1"/>
      <w:marLeft w:val="0"/>
      <w:marRight w:val="0"/>
      <w:marTop w:val="0"/>
      <w:marBottom w:val="0"/>
      <w:divBdr>
        <w:top w:val="none" w:sz="0" w:space="0" w:color="auto"/>
        <w:left w:val="none" w:sz="0" w:space="0" w:color="auto"/>
        <w:bottom w:val="none" w:sz="0" w:space="0" w:color="auto"/>
        <w:right w:val="none" w:sz="0" w:space="0" w:color="auto"/>
      </w:divBdr>
    </w:div>
    <w:div w:id="1431315678">
      <w:bodyDiv w:val="1"/>
      <w:marLeft w:val="30"/>
      <w:marRight w:val="30"/>
      <w:marTop w:val="30"/>
      <w:marBottom w:val="30"/>
      <w:divBdr>
        <w:top w:val="none" w:sz="0" w:space="0" w:color="auto"/>
        <w:left w:val="none" w:sz="0" w:space="0" w:color="auto"/>
        <w:bottom w:val="none" w:sz="0" w:space="0" w:color="auto"/>
        <w:right w:val="none" w:sz="0" w:space="0" w:color="auto"/>
      </w:divBdr>
      <w:divsChild>
        <w:div w:id="778183811">
          <w:marLeft w:val="0"/>
          <w:marRight w:val="0"/>
          <w:marTop w:val="0"/>
          <w:marBottom w:val="0"/>
          <w:divBdr>
            <w:top w:val="none" w:sz="0" w:space="0" w:color="auto"/>
            <w:left w:val="none" w:sz="0" w:space="0" w:color="auto"/>
            <w:bottom w:val="none" w:sz="0" w:space="0" w:color="auto"/>
            <w:right w:val="none" w:sz="0" w:space="0" w:color="auto"/>
          </w:divBdr>
          <w:divsChild>
            <w:div w:id="1991714016">
              <w:marLeft w:val="45"/>
              <w:marRight w:val="45"/>
              <w:marTop w:val="45"/>
              <w:marBottom w:val="45"/>
              <w:divBdr>
                <w:top w:val="none" w:sz="0" w:space="0" w:color="auto"/>
                <w:left w:val="none" w:sz="0" w:space="0" w:color="auto"/>
                <w:bottom w:val="none" w:sz="0" w:space="0" w:color="auto"/>
                <w:right w:val="none" w:sz="0" w:space="0" w:color="auto"/>
              </w:divBdr>
              <w:divsChild>
                <w:div w:id="909845379">
                  <w:marLeft w:val="0"/>
                  <w:marRight w:val="0"/>
                  <w:marTop w:val="0"/>
                  <w:marBottom w:val="0"/>
                  <w:divBdr>
                    <w:top w:val="none" w:sz="0" w:space="0" w:color="auto"/>
                    <w:left w:val="none" w:sz="0" w:space="0" w:color="auto"/>
                    <w:bottom w:val="none" w:sz="0" w:space="0" w:color="auto"/>
                    <w:right w:val="none" w:sz="0" w:space="0" w:color="auto"/>
                  </w:divBdr>
                  <w:divsChild>
                    <w:div w:id="157485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9231583">
      <w:bodyDiv w:val="1"/>
      <w:marLeft w:val="30"/>
      <w:marRight w:val="30"/>
      <w:marTop w:val="30"/>
      <w:marBottom w:val="30"/>
      <w:divBdr>
        <w:top w:val="none" w:sz="0" w:space="0" w:color="auto"/>
        <w:left w:val="none" w:sz="0" w:space="0" w:color="auto"/>
        <w:bottom w:val="none" w:sz="0" w:space="0" w:color="auto"/>
        <w:right w:val="none" w:sz="0" w:space="0" w:color="auto"/>
      </w:divBdr>
      <w:divsChild>
        <w:div w:id="1553154746">
          <w:marLeft w:val="0"/>
          <w:marRight w:val="0"/>
          <w:marTop w:val="0"/>
          <w:marBottom w:val="0"/>
          <w:divBdr>
            <w:top w:val="none" w:sz="0" w:space="0" w:color="auto"/>
            <w:left w:val="none" w:sz="0" w:space="0" w:color="auto"/>
            <w:bottom w:val="none" w:sz="0" w:space="0" w:color="auto"/>
            <w:right w:val="none" w:sz="0" w:space="0" w:color="auto"/>
          </w:divBdr>
          <w:divsChild>
            <w:div w:id="2000965637">
              <w:marLeft w:val="45"/>
              <w:marRight w:val="45"/>
              <w:marTop w:val="45"/>
              <w:marBottom w:val="45"/>
              <w:divBdr>
                <w:top w:val="none" w:sz="0" w:space="0" w:color="auto"/>
                <w:left w:val="none" w:sz="0" w:space="0" w:color="auto"/>
                <w:bottom w:val="none" w:sz="0" w:space="0" w:color="auto"/>
                <w:right w:val="none" w:sz="0" w:space="0" w:color="auto"/>
              </w:divBdr>
              <w:divsChild>
                <w:div w:id="1409575306">
                  <w:marLeft w:val="0"/>
                  <w:marRight w:val="0"/>
                  <w:marTop w:val="0"/>
                  <w:marBottom w:val="0"/>
                  <w:divBdr>
                    <w:top w:val="none" w:sz="0" w:space="0" w:color="auto"/>
                    <w:left w:val="none" w:sz="0" w:space="0" w:color="auto"/>
                    <w:bottom w:val="none" w:sz="0" w:space="0" w:color="auto"/>
                    <w:right w:val="none" w:sz="0" w:space="0" w:color="auto"/>
                  </w:divBdr>
                  <w:divsChild>
                    <w:div w:id="48971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1718671">
      <w:bodyDiv w:val="1"/>
      <w:marLeft w:val="30"/>
      <w:marRight w:val="30"/>
      <w:marTop w:val="30"/>
      <w:marBottom w:val="30"/>
      <w:divBdr>
        <w:top w:val="none" w:sz="0" w:space="0" w:color="auto"/>
        <w:left w:val="none" w:sz="0" w:space="0" w:color="auto"/>
        <w:bottom w:val="none" w:sz="0" w:space="0" w:color="auto"/>
        <w:right w:val="none" w:sz="0" w:space="0" w:color="auto"/>
      </w:divBdr>
      <w:divsChild>
        <w:div w:id="1145505916">
          <w:marLeft w:val="0"/>
          <w:marRight w:val="0"/>
          <w:marTop w:val="0"/>
          <w:marBottom w:val="0"/>
          <w:divBdr>
            <w:top w:val="none" w:sz="0" w:space="0" w:color="auto"/>
            <w:left w:val="none" w:sz="0" w:space="0" w:color="auto"/>
            <w:bottom w:val="none" w:sz="0" w:space="0" w:color="auto"/>
            <w:right w:val="none" w:sz="0" w:space="0" w:color="auto"/>
          </w:divBdr>
          <w:divsChild>
            <w:div w:id="1597597768">
              <w:marLeft w:val="45"/>
              <w:marRight w:val="45"/>
              <w:marTop w:val="45"/>
              <w:marBottom w:val="45"/>
              <w:divBdr>
                <w:top w:val="none" w:sz="0" w:space="0" w:color="auto"/>
                <w:left w:val="none" w:sz="0" w:space="0" w:color="auto"/>
                <w:bottom w:val="none" w:sz="0" w:space="0" w:color="auto"/>
                <w:right w:val="none" w:sz="0" w:space="0" w:color="auto"/>
              </w:divBdr>
              <w:divsChild>
                <w:div w:id="1974671694">
                  <w:marLeft w:val="0"/>
                  <w:marRight w:val="0"/>
                  <w:marTop w:val="0"/>
                  <w:marBottom w:val="0"/>
                  <w:divBdr>
                    <w:top w:val="none" w:sz="0" w:space="0" w:color="auto"/>
                    <w:left w:val="none" w:sz="0" w:space="0" w:color="auto"/>
                    <w:bottom w:val="none" w:sz="0" w:space="0" w:color="auto"/>
                    <w:right w:val="none" w:sz="0" w:space="0" w:color="auto"/>
                  </w:divBdr>
                  <w:divsChild>
                    <w:div w:id="951742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942008">
      <w:bodyDiv w:val="1"/>
      <w:marLeft w:val="30"/>
      <w:marRight w:val="30"/>
      <w:marTop w:val="30"/>
      <w:marBottom w:val="30"/>
      <w:divBdr>
        <w:top w:val="none" w:sz="0" w:space="0" w:color="auto"/>
        <w:left w:val="none" w:sz="0" w:space="0" w:color="auto"/>
        <w:bottom w:val="none" w:sz="0" w:space="0" w:color="auto"/>
        <w:right w:val="none" w:sz="0" w:space="0" w:color="auto"/>
      </w:divBdr>
      <w:divsChild>
        <w:div w:id="209659796">
          <w:marLeft w:val="0"/>
          <w:marRight w:val="0"/>
          <w:marTop w:val="0"/>
          <w:marBottom w:val="0"/>
          <w:divBdr>
            <w:top w:val="none" w:sz="0" w:space="0" w:color="auto"/>
            <w:left w:val="none" w:sz="0" w:space="0" w:color="auto"/>
            <w:bottom w:val="none" w:sz="0" w:space="0" w:color="auto"/>
            <w:right w:val="none" w:sz="0" w:space="0" w:color="auto"/>
          </w:divBdr>
          <w:divsChild>
            <w:div w:id="382025249">
              <w:marLeft w:val="45"/>
              <w:marRight w:val="45"/>
              <w:marTop w:val="45"/>
              <w:marBottom w:val="45"/>
              <w:divBdr>
                <w:top w:val="none" w:sz="0" w:space="0" w:color="auto"/>
                <w:left w:val="none" w:sz="0" w:space="0" w:color="auto"/>
                <w:bottom w:val="none" w:sz="0" w:space="0" w:color="auto"/>
                <w:right w:val="none" w:sz="0" w:space="0" w:color="auto"/>
              </w:divBdr>
              <w:divsChild>
                <w:div w:id="836506532">
                  <w:marLeft w:val="0"/>
                  <w:marRight w:val="0"/>
                  <w:marTop w:val="0"/>
                  <w:marBottom w:val="0"/>
                  <w:divBdr>
                    <w:top w:val="none" w:sz="0" w:space="0" w:color="auto"/>
                    <w:left w:val="none" w:sz="0" w:space="0" w:color="auto"/>
                    <w:bottom w:val="none" w:sz="0" w:space="0" w:color="auto"/>
                    <w:right w:val="none" w:sz="0" w:space="0" w:color="auto"/>
                  </w:divBdr>
                  <w:divsChild>
                    <w:div w:id="187468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Westlaw&amp;db=350&amp;tc=-1&amp;rp=%2ffind%2fdefault.wl&amp;findtype=Y&amp;ordoc=2028584870&amp;serialnum=1987135777&amp;vr=2.0&amp;fn=_top&amp;sv=Split&amp;tf=-1&amp;referencepositiontype=S&amp;pbc=5EBD8341&amp;referenceposition=192&amp;rs=WLW13.01" TargetMode="External"/><Relationship Id="rId13" Type="http://schemas.openxmlformats.org/officeDocument/2006/relationships/hyperlink" Target="http://web2.westlaw.com/find/default.wl?mt=Westlaw&amp;db=0004493&amp;tc=-1&amp;rp=%2ffind%2fdefault.wl&amp;findtype=Y&amp;ordoc=2028584870&amp;serialnum=1999289185&amp;vr=2.0&amp;fn=_top&amp;sv=Split&amp;tf=-1&amp;pbc=5EBD8341&amp;rs=WLW13.01" TargetMode="External"/><Relationship Id="rId18" Type="http://schemas.openxmlformats.org/officeDocument/2006/relationships/hyperlink" Target="http://web2.westlaw.com/find/default.wl?mt=Westlaw&amp;db=506&amp;tc=-1&amp;rp=%2ffind%2fdefault.wl&amp;findtype=Y&amp;ordoc=2028584870&amp;serialnum=2017418525&amp;vr=2.0&amp;fn=_top&amp;sv=Split&amp;tf=-1&amp;referencepositiontype=S&amp;pbc=5EBD8341&amp;referenceposition=125&amp;rs=WLW13.01" TargetMode="External"/><Relationship Id="rId3" Type="http://schemas.openxmlformats.org/officeDocument/2006/relationships/hyperlink" Target="http://web2.westlaw.com/find/default.wl?mt=Westlaw&amp;db=0004493&amp;tc=-1&amp;rp=%2ffind%2fdefault.wl&amp;findtype=Y&amp;ordoc=2029345501&amp;serialnum=2027351031&amp;vr=2.0&amp;fn=_top&amp;sv=Split&amp;tf=-1&amp;pbc=C1C3E923&amp;rs=WLW13.01" TargetMode="External"/><Relationship Id="rId7" Type="http://schemas.openxmlformats.org/officeDocument/2006/relationships/hyperlink" Target="http://web2.westlaw.com/find/default.wl?mt=Westlaw&amp;db=350&amp;tc=-1&amp;rp=%2ffind%2fdefault.wl&amp;findtype=Y&amp;ordoc=2030393716&amp;serialnum=1965114957&amp;vr=2.0&amp;fn=_top&amp;sv=Split&amp;tf=-1&amp;pbc=C80A4262&amp;rs=WLW13.04" TargetMode="External"/><Relationship Id="rId12" Type="http://schemas.openxmlformats.org/officeDocument/2006/relationships/hyperlink" Target="http://web2.westlaw.com/find/default.wl?mt=Westlaw&amp;db=350&amp;tc=-1&amp;rp=%2ffind%2fdefault.wl&amp;findtype=Y&amp;ordoc=2028584870&amp;serialnum=1983142415&amp;vr=2.0&amp;fn=_top&amp;sv=Split&amp;tf=-1&amp;referencepositiontype=S&amp;pbc=5EBD8341&amp;referenceposition=924&amp;rs=WLW13.01" TargetMode="External"/><Relationship Id="rId17" Type="http://schemas.openxmlformats.org/officeDocument/2006/relationships/hyperlink" Target="http://web2.westlaw.com/find/default.wl?mt=Westlaw&amp;db=350&amp;tc=-1&amp;rp=%2ffind%2fdefault.wl&amp;findtype=Y&amp;ordoc=2028584870&amp;serialnum=1990047144&amp;vr=2.0&amp;fn=_top&amp;sv=Split&amp;tf=-1&amp;referencepositiontype=S&amp;pbc=5EBD8341&amp;referenceposition=1166&amp;rs=WLW13.01" TargetMode="External"/><Relationship Id="rId2" Type="http://schemas.openxmlformats.org/officeDocument/2006/relationships/hyperlink" Target="http://web2.westlaw.com/find/default.wl?mt=Westlaw&amp;db=1077005&amp;docname=UUID(I24BEE1901A-9A11E0A91FB-E055C1C7518)&amp;rp=%2ffind%2fdefault.wl&amp;findtype=l&amp;ordoc=2027351031&amp;tc=-1&amp;vr=2.0&amp;fn=_top&amp;sv=Split&amp;tf=-1&amp;pbc=F9C78176&amp;rs=WLW13.01" TargetMode="External"/><Relationship Id="rId16" Type="http://schemas.openxmlformats.org/officeDocument/2006/relationships/hyperlink" Target="http://web2.westlaw.com/find/default.wl?mt=Westlaw&amp;db=350&amp;tc=-1&amp;rp=%2ffind%2fdefault.wl&amp;findtype=Y&amp;ordoc=2028584870&amp;serialnum=1969121124&amp;vr=2.0&amp;fn=_top&amp;sv=Split&amp;tf=-1&amp;referencepositiontype=S&amp;pbc=5EBD8341&amp;referenceposition=1159&amp;rs=WLW13.01" TargetMode="External"/><Relationship Id="rId1" Type="http://schemas.openxmlformats.org/officeDocument/2006/relationships/hyperlink" Target="http://web2.westlaw.com/find/default.wl?mt=Westlaw&amp;db=0004493&amp;tc=-1&amp;rp=%2ffind%2fdefault.wl&amp;findtype=Y&amp;ordoc=2029345501&amp;serialnum=2027351031&amp;vr=2.0&amp;fn=_top&amp;sv=Split&amp;tf=-1&amp;pbc=C1C3E923&amp;rs=WLW13.01" TargetMode="External"/><Relationship Id="rId6" Type="http://schemas.openxmlformats.org/officeDocument/2006/relationships/hyperlink" Target="http://web2.westlaw.com/find/default.wl?mt=Westlaw&amp;db=0001016&amp;tc=-1&amp;rp=%2ffind%2fdefault.wl&amp;findtype=Y&amp;ordoc=2030393716&amp;serialnum=1964077552&amp;vr=2.0&amp;fn=_top&amp;sv=Split&amp;tf=-1&amp;referencepositiontype=S&amp;pbc=C80A4262&amp;referenceposition=686&amp;rs=WLW13.04" TargetMode="External"/><Relationship Id="rId11" Type="http://schemas.openxmlformats.org/officeDocument/2006/relationships/hyperlink" Target="http://web2.westlaw.com/find/default.wl?mt=Westlaw&amp;db=708&amp;tc=-1&amp;rp=%2ffind%2fdefault.wl&amp;findtype=Y&amp;ordoc=2028584870&amp;serialnum=1972202463&amp;vr=2.0&amp;fn=_top&amp;sv=Split&amp;tf=-1&amp;pbc=5EBD8341&amp;rs=WLW13.01" TargetMode="External"/><Relationship Id="rId5" Type="http://schemas.openxmlformats.org/officeDocument/2006/relationships/hyperlink" Target="http://web2.westlaw.com/find/default.wl?mt=Westlaw&amp;db=1000547&amp;docname=47CFRS1.106&amp;rp=%2ffind%2fdefault.wl&amp;findtype=L&amp;ordoc=2030393716&amp;tc=-1&amp;vr=2.0&amp;fn=_top&amp;sv=Split&amp;tf=-1&amp;referencepositiontype=T&amp;pbc=C80A4262&amp;referenceposition=SP%3b5ba1000067d06&amp;rs=WLW13.04" TargetMode="External"/><Relationship Id="rId15" Type="http://schemas.openxmlformats.org/officeDocument/2006/relationships/hyperlink" Target="http://web2.westlaw.com/find/default.wl?mt=Westlaw&amp;db=350&amp;tc=-1&amp;rp=%2ffind%2fdefault.wl&amp;findtype=Y&amp;ordoc=2028584870&amp;serialnum=1990047144&amp;vr=2.0&amp;fn=_top&amp;sv=Split&amp;tf=-1&amp;referencepositiontype=S&amp;pbc=5EBD8341&amp;referenceposition=1166&amp;rs=WLW13.01" TargetMode="External"/><Relationship Id="rId10" Type="http://schemas.openxmlformats.org/officeDocument/2006/relationships/hyperlink" Target="http://web2.westlaw.com/find/default.wl?mt=Westlaw&amp;db=350&amp;tc=-1&amp;rp=%2ffind%2fdefault.wl&amp;findtype=Y&amp;ordoc=2028584870&amp;serialnum=1972109901&amp;vr=2.0&amp;fn=_top&amp;sv=Split&amp;tf=-1&amp;pbc=5EBD8341&amp;rs=WLW13.01" TargetMode="External"/><Relationship Id="rId19" Type="http://schemas.openxmlformats.org/officeDocument/2006/relationships/hyperlink" Target="http://web2.westlaw.com/find/default.wl?mt=Westlaw&amp;db=350&amp;tc=-1&amp;rp=%2ffind%2fdefault.wl&amp;findtype=Y&amp;ordoc=2028584870&amp;serialnum=1990047144&amp;vr=2.0&amp;fn=_top&amp;sv=Split&amp;tf=-1&amp;referencepositiontype=S&amp;pbc=5EBD8341&amp;referenceposition=1166&amp;rs=WLW13.01" TargetMode="External"/><Relationship Id="rId4" Type="http://schemas.openxmlformats.org/officeDocument/2006/relationships/hyperlink" Target="http://web2.westlaw.com/find/default.wl?mt=Westlaw&amp;db=1000547&amp;docname=47CFRS1.106&amp;rp=%2ffind%2fdefault.wl&amp;findtype=L&amp;ordoc=2030393716&amp;tc=-1&amp;vr=2.0&amp;fn=_top&amp;sv=Split&amp;tf=-1&amp;referencepositiontype=T&amp;pbc=C80A4262&amp;referenceposition=SP%3b4b24000003ba5&amp;rs=WLW13.04" TargetMode="External"/><Relationship Id="rId9" Type="http://schemas.openxmlformats.org/officeDocument/2006/relationships/hyperlink" Target="http://web2.westlaw.com/find/default.wl?mt=Westlaw&amp;db=350&amp;tc=-1&amp;rp=%2ffind%2fdefault.wl&amp;findtype=Y&amp;ordoc=2028584870&amp;serialnum=1969121124&amp;vr=2.0&amp;fn=_top&amp;sv=Split&amp;tf=-1&amp;referencepositiontype=S&amp;pbc=5EBD8341&amp;referenceposition=1157&amp;rs=WLW13.01" TargetMode="External"/><Relationship Id="rId14" Type="http://schemas.openxmlformats.org/officeDocument/2006/relationships/hyperlink" Target="http://web2.westlaw.com/find/default.wl?mt=Westlaw&amp;db=0001017&amp;tc=-1&amp;rp=%2ffind%2fdefault.wl&amp;findtype=Y&amp;ordoc=2028584870&amp;serialnum=1974028662&amp;vr=2.0&amp;fn=_top&amp;sv=Split&amp;tf=-1&amp;referencepositiontype=S&amp;pbc=5EBD8341&amp;referenceposition=1012&amp;rs=WLW13.01"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6399</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7795</CharactersWithSpaces>
  <SharedDoc>false</SharedDoc>
  <HyperlinkBase> </HyperlinkBase>
  <HLinks>
    <vt:vector size="126" baseType="variant">
      <vt:variant>
        <vt:i4>4522083</vt:i4>
      </vt:variant>
      <vt:variant>
        <vt:i4>60</vt:i4>
      </vt:variant>
      <vt:variant>
        <vt:i4>0</vt:i4>
      </vt:variant>
      <vt:variant>
        <vt:i4>5</vt:i4>
      </vt:variant>
      <vt:variant>
        <vt:lpwstr>http://web2.westlaw.com/find/default.wl?mt=Westlaw&amp;db=350&amp;tc=-1&amp;rp=%2ffind%2fdefault.wl&amp;findtype=Y&amp;ordoc=2028584870&amp;serialnum=1990047144&amp;vr=2.0&amp;fn=_top&amp;sv=Split&amp;tf=-1&amp;referencepositiontype=S&amp;pbc=5EBD8341&amp;referenceposition=1166&amp;rs=WLW13.01</vt:lpwstr>
      </vt:variant>
      <vt:variant>
        <vt:lpwstr/>
      </vt:variant>
      <vt:variant>
        <vt:i4>2097164</vt:i4>
      </vt:variant>
      <vt:variant>
        <vt:i4>57</vt:i4>
      </vt:variant>
      <vt:variant>
        <vt:i4>0</vt:i4>
      </vt:variant>
      <vt:variant>
        <vt:i4>5</vt:i4>
      </vt:variant>
      <vt:variant>
        <vt:lpwstr>http://web2.westlaw.com/find/default.wl?mt=Westlaw&amp;db=506&amp;tc=-1&amp;rp=%2ffind%2fdefault.wl&amp;findtype=Y&amp;ordoc=2028584870&amp;serialnum=2017418525&amp;vr=2.0&amp;fn=_top&amp;sv=Split&amp;tf=-1&amp;referencepositiontype=S&amp;pbc=5EBD8341&amp;referenceposition=125&amp;rs=WLW13.01</vt:lpwstr>
      </vt:variant>
      <vt:variant>
        <vt:lpwstr/>
      </vt:variant>
      <vt:variant>
        <vt:i4>4522083</vt:i4>
      </vt:variant>
      <vt:variant>
        <vt:i4>54</vt:i4>
      </vt:variant>
      <vt:variant>
        <vt:i4>0</vt:i4>
      </vt:variant>
      <vt:variant>
        <vt:i4>5</vt:i4>
      </vt:variant>
      <vt:variant>
        <vt:lpwstr>http://web2.westlaw.com/find/default.wl?mt=Westlaw&amp;db=350&amp;tc=-1&amp;rp=%2ffind%2fdefault.wl&amp;findtype=Y&amp;ordoc=2028584870&amp;serialnum=1990047144&amp;vr=2.0&amp;fn=_top&amp;sv=Split&amp;tf=-1&amp;referencepositiontype=S&amp;pbc=5EBD8341&amp;referenceposition=1166&amp;rs=WLW13.01</vt:lpwstr>
      </vt:variant>
      <vt:variant>
        <vt:lpwstr/>
      </vt:variant>
      <vt:variant>
        <vt:i4>4522094</vt:i4>
      </vt:variant>
      <vt:variant>
        <vt:i4>51</vt:i4>
      </vt:variant>
      <vt:variant>
        <vt:i4>0</vt:i4>
      </vt:variant>
      <vt:variant>
        <vt:i4>5</vt:i4>
      </vt:variant>
      <vt:variant>
        <vt:lpwstr>http://web2.westlaw.com/find/default.wl?mt=Westlaw&amp;db=350&amp;tc=-1&amp;rp=%2ffind%2fdefault.wl&amp;findtype=Y&amp;ordoc=2028584870&amp;serialnum=1969121124&amp;vr=2.0&amp;fn=_top&amp;sv=Split&amp;tf=-1&amp;referencepositiontype=S&amp;pbc=5EBD8341&amp;referenceposition=1159&amp;rs=WLW13.01</vt:lpwstr>
      </vt:variant>
      <vt:variant>
        <vt:lpwstr/>
      </vt:variant>
      <vt:variant>
        <vt:i4>4522083</vt:i4>
      </vt:variant>
      <vt:variant>
        <vt:i4>48</vt:i4>
      </vt:variant>
      <vt:variant>
        <vt:i4>0</vt:i4>
      </vt:variant>
      <vt:variant>
        <vt:i4>5</vt:i4>
      </vt:variant>
      <vt:variant>
        <vt:lpwstr>http://web2.westlaw.com/find/default.wl?mt=Westlaw&amp;db=350&amp;tc=-1&amp;rp=%2ffind%2fdefault.wl&amp;findtype=Y&amp;ordoc=2028584870&amp;serialnum=1990047144&amp;vr=2.0&amp;fn=_top&amp;sv=Split&amp;tf=-1&amp;referencepositiontype=S&amp;pbc=5EBD8341&amp;referenceposition=1166&amp;rs=WLW13.01</vt:lpwstr>
      </vt:variant>
      <vt:variant>
        <vt:lpwstr/>
      </vt:variant>
      <vt:variant>
        <vt:i4>4587619</vt:i4>
      </vt:variant>
      <vt:variant>
        <vt:i4>45</vt:i4>
      </vt:variant>
      <vt:variant>
        <vt:i4>0</vt:i4>
      </vt:variant>
      <vt:variant>
        <vt:i4>5</vt:i4>
      </vt:variant>
      <vt:variant>
        <vt:lpwstr>http://web2.westlaw.com/find/default.wl?mt=Westlaw&amp;db=0001017&amp;tc=-1&amp;rp=%2ffind%2fdefault.wl&amp;findtype=Y&amp;ordoc=2028584870&amp;serialnum=1974028662&amp;vr=2.0&amp;fn=_top&amp;sv=Split&amp;tf=-1&amp;referencepositiontype=S&amp;pbc=5EBD8341&amp;referenceposition=1012&amp;rs=WLW13.01</vt:lpwstr>
      </vt:variant>
      <vt:variant>
        <vt:lpwstr/>
      </vt:variant>
      <vt:variant>
        <vt:i4>1245287</vt:i4>
      </vt:variant>
      <vt:variant>
        <vt:i4>42</vt:i4>
      </vt:variant>
      <vt:variant>
        <vt:i4>0</vt:i4>
      </vt:variant>
      <vt:variant>
        <vt:i4>5</vt:i4>
      </vt:variant>
      <vt:variant>
        <vt:lpwstr>http://web2.westlaw.com/find/default.wl?mt=Westlaw&amp;db=0004493&amp;tc=-1&amp;rp=%2ffind%2fdefault.wl&amp;findtype=Y&amp;ordoc=2028584870&amp;serialnum=1999289185&amp;vr=2.0&amp;fn=_top&amp;sv=Split&amp;tf=-1&amp;pbc=5EBD8341&amp;rs=WLW13.01</vt:lpwstr>
      </vt:variant>
      <vt:variant>
        <vt:lpwstr/>
      </vt:variant>
      <vt:variant>
        <vt:i4>2883587</vt:i4>
      </vt:variant>
      <vt:variant>
        <vt:i4>39</vt:i4>
      </vt:variant>
      <vt:variant>
        <vt:i4>0</vt:i4>
      </vt:variant>
      <vt:variant>
        <vt:i4>5</vt:i4>
      </vt:variant>
      <vt:variant>
        <vt:lpwstr>http://web2.westlaw.com/find/default.wl?mt=Westlaw&amp;db=350&amp;tc=-1&amp;rp=%2ffind%2fdefault.wl&amp;findtype=Y&amp;ordoc=2028584870&amp;serialnum=1983142415&amp;vr=2.0&amp;fn=_top&amp;sv=Split&amp;tf=-1&amp;referencepositiontype=S&amp;pbc=5EBD8341&amp;referenceposition=924&amp;rs=WLW13.01</vt:lpwstr>
      </vt:variant>
      <vt:variant>
        <vt:lpwstr/>
      </vt:variant>
      <vt:variant>
        <vt:i4>1966180</vt:i4>
      </vt:variant>
      <vt:variant>
        <vt:i4>36</vt:i4>
      </vt:variant>
      <vt:variant>
        <vt:i4>0</vt:i4>
      </vt:variant>
      <vt:variant>
        <vt:i4>5</vt:i4>
      </vt:variant>
      <vt:variant>
        <vt:lpwstr>http://web2.westlaw.com/find/default.wl?mt=Westlaw&amp;db=708&amp;tc=-1&amp;rp=%2ffind%2fdefault.wl&amp;findtype=Y&amp;ordoc=2028584870&amp;serialnum=1972202463&amp;vr=2.0&amp;fn=_top&amp;sv=Split&amp;tf=-1&amp;pbc=5EBD8341&amp;rs=WLW13.01</vt:lpwstr>
      </vt:variant>
      <vt:variant>
        <vt:lpwstr/>
      </vt:variant>
      <vt:variant>
        <vt:i4>1310822</vt:i4>
      </vt:variant>
      <vt:variant>
        <vt:i4>33</vt:i4>
      </vt:variant>
      <vt:variant>
        <vt:i4>0</vt:i4>
      </vt:variant>
      <vt:variant>
        <vt:i4>5</vt:i4>
      </vt:variant>
      <vt:variant>
        <vt:lpwstr>http://web2.westlaw.com/find/default.wl?mt=Westlaw&amp;db=350&amp;tc=-1&amp;rp=%2ffind%2fdefault.wl&amp;findtype=Y&amp;ordoc=2028584870&amp;serialnum=1972109901&amp;vr=2.0&amp;fn=_top&amp;sv=Split&amp;tf=-1&amp;pbc=5EBD8341&amp;rs=WLW13.01</vt:lpwstr>
      </vt:variant>
      <vt:variant>
        <vt:lpwstr/>
      </vt:variant>
      <vt:variant>
        <vt:i4>4915310</vt:i4>
      </vt:variant>
      <vt:variant>
        <vt:i4>30</vt:i4>
      </vt:variant>
      <vt:variant>
        <vt:i4>0</vt:i4>
      </vt:variant>
      <vt:variant>
        <vt:i4>5</vt:i4>
      </vt:variant>
      <vt:variant>
        <vt:lpwstr>http://web2.westlaw.com/find/default.wl?mt=Westlaw&amp;db=350&amp;tc=-1&amp;rp=%2ffind%2fdefault.wl&amp;findtype=Y&amp;ordoc=2028584870&amp;serialnum=1969121124&amp;vr=2.0&amp;fn=_top&amp;sv=Split&amp;tf=-1&amp;referencepositiontype=S&amp;pbc=5EBD8341&amp;referenceposition=1157&amp;rs=WLW13.01</vt:lpwstr>
      </vt:variant>
      <vt:variant>
        <vt:lpwstr/>
      </vt:variant>
      <vt:variant>
        <vt:i4>2424844</vt:i4>
      </vt:variant>
      <vt:variant>
        <vt:i4>27</vt:i4>
      </vt:variant>
      <vt:variant>
        <vt:i4>0</vt:i4>
      </vt:variant>
      <vt:variant>
        <vt:i4>5</vt:i4>
      </vt:variant>
      <vt:variant>
        <vt:lpwstr>http://web2.westlaw.com/find/default.wl?mt=Westlaw&amp;db=350&amp;tc=-1&amp;rp=%2ffind%2fdefault.wl&amp;findtype=Y&amp;ordoc=2028584870&amp;serialnum=1987135777&amp;vr=2.0&amp;fn=_top&amp;sv=Split&amp;tf=-1&amp;referencepositiontype=S&amp;pbc=5EBD8341&amp;referenceposition=192&amp;rs=WLW13.01</vt:lpwstr>
      </vt:variant>
      <vt:variant>
        <vt:lpwstr/>
      </vt:variant>
      <vt:variant>
        <vt:i4>1572917</vt:i4>
      </vt:variant>
      <vt:variant>
        <vt:i4>24</vt:i4>
      </vt:variant>
      <vt:variant>
        <vt:i4>0</vt:i4>
      </vt:variant>
      <vt:variant>
        <vt:i4>5</vt:i4>
      </vt:variant>
      <vt:variant>
        <vt:lpwstr>http://web2.westlaw.com/find/default.wl?mt=Westlaw&amp;db=350&amp;tc=-1&amp;rp=%2ffind%2fdefault.wl&amp;findtype=Y&amp;ordoc=2030393716&amp;serialnum=1965114957&amp;vr=2.0&amp;fn=_top&amp;sv=Split&amp;tf=-1&amp;pbc=C80A4262&amp;rs=WLW13.04</vt:lpwstr>
      </vt:variant>
      <vt:variant>
        <vt:lpwstr/>
      </vt:variant>
      <vt:variant>
        <vt:i4>2949215</vt:i4>
      </vt:variant>
      <vt:variant>
        <vt:i4>21</vt:i4>
      </vt:variant>
      <vt:variant>
        <vt:i4>0</vt:i4>
      </vt:variant>
      <vt:variant>
        <vt:i4>5</vt:i4>
      </vt:variant>
      <vt:variant>
        <vt:lpwstr>http://web2.westlaw.com/find/default.wl?mt=Westlaw&amp;db=0001016&amp;tc=-1&amp;rp=%2ffind%2fdefault.wl&amp;findtype=Y&amp;ordoc=2030393716&amp;serialnum=1964077552&amp;vr=2.0&amp;fn=_top&amp;sv=Split&amp;tf=-1&amp;referencepositiontype=S&amp;pbc=C80A4262&amp;referenceposition=686&amp;rs=WLW13.04</vt:lpwstr>
      </vt:variant>
      <vt:variant>
        <vt:lpwstr/>
      </vt:variant>
      <vt:variant>
        <vt:i4>7864332</vt:i4>
      </vt:variant>
      <vt:variant>
        <vt:i4>18</vt:i4>
      </vt:variant>
      <vt:variant>
        <vt:i4>0</vt:i4>
      </vt:variant>
      <vt:variant>
        <vt:i4>5</vt:i4>
      </vt:variant>
      <vt:variant>
        <vt:lpwstr>http://web2.westlaw.com/find/default.wl?mt=Westlaw&amp;db=1000547&amp;docname=47CFRS1.106&amp;rp=%2ffind%2fdefault.wl&amp;findtype=L&amp;ordoc=2030393716&amp;tc=-1&amp;vr=2.0&amp;fn=_top&amp;sv=Split&amp;tf=-1&amp;referencepositiontype=T&amp;pbc=C80A4262&amp;referenceposition=SP%3b5ba1000067d06&amp;rs=WLW13.04</vt:lpwstr>
      </vt:variant>
      <vt:variant>
        <vt:lpwstr/>
      </vt:variant>
      <vt:variant>
        <vt:i4>2621533</vt:i4>
      </vt:variant>
      <vt:variant>
        <vt:i4>15</vt:i4>
      </vt:variant>
      <vt:variant>
        <vt:i4>0</vt:i4>
      </vt:variant>
      <vt:variant>
        <vt:i4>5</vt:i4>
      </vt:variant>
      <vt:variant>
        <vt:lpwstr>http://web2.westlaw.com/find/default.wl?mt=Westlaw&amp;db=1000547&amp;docname=47CFRS1.106&amp;rp=%2ffind%2fdefault.wl&amp;findtype=L&amp;ordoc=2030393716&amp;tc=-1&amp;vr=2.0&amp;fn=_top&amp;sv=Split&amp;tf=-1&amp;referencepositiontype=T&amp;pbc=C80A4262&amp;referenceposition=SP%3b4b24000003ba5&amp;rs=WLW13.04</vt:lpwstr>
      </vt:variant>
      <vt:variant>
        <vt:lpwstr/>
      </vt:variant>
      <vt:variant>
        <vt:i4>1048679</vt:i4>
      </vt:variant>
      <vt:variant>
        <vt:i4>12</vt:i4>
      </vt:variant>
      <vt:variant>
        <vt:i4>0</vt:i4>
      </vt:variant>
      <vt:variant>
        <vt:i4>5</vt:i4>
      </vt:variant>
      <vt:variant>
        <vt:lpwstr>http://web2.westlaw.com/find/default.wl?mt=Westlaw&amp;db=0004493&amp;tc=-1&amp;rp=%2ffind%2fdefault.wl&amp;findtype=Y&amp;ordoc=2029345501&amp;serialnum=2027351031&amp;vr=2.0&amp;fn=_top&amp;sv=Split&amp;tf=-1&amp;pbc=C1C3E923&amp;rs=WLW13.01</vt:lpwstr>
      </vt:variant>
      <vt:variant>
        <vt:lpwstr/>
      </vt:variant>
      <vt:variant>
        <vt:i4>721018</vt:i4>
      </vt:variant>
      <vt:variant>
        <vt:i4>9</vt:i4>
      </vt:variant>
      <vt:variant>
        <vt:i4>0</vt:i4>
      </vt:variant>
      <vt:variant>
        <vt:i4>5</vt:i4>
      </vt:variant>
      <vt:variant>
        <vt:lpwstr>http://web2.westlaw.com/find/default.wl?mt=Westlaw&amp;db=1077005&amp;docname=UUID(I24BEE1901A-9A11E0A91FB-E055C1C7518)&amp;rp=%2ffind%2fdefault.wl&amp;findtype=l&amp;ordoc=2027351031&amp;tc=-1&amp;vr=2.0&amp;fn=_top&amp;sv=Split&amp;tf=-1&amp;pbc=F9C78176&amp;rs=WLW13.01</vt:lpwstr>
      </vt:variant>
      <vt:variant>
        <vt:lpwstr/>
      </vt:variant>
      <vt:variant>
        <vt:i4>1048679</vt:i4>
      </vt:variant>
      <vt:variant>
        <vt:i4>6</vt:i4>
      </vt:variant>
      <vt:variant>
        <vt:i4>0</vt:i4>
      </vt:variant>
      <vt:variant>
        <vt:i4>5</vt:i4>
      </vt:variant>
      <vt:variant>
        <vt:lpwstr>http://web2.westlaw.com/find/default.wl?mt=Westlaw&amp;db=0004493&amp;tc=-1&amp;rp=%2ffind%2fdefault.wl&amp;findtype=Y&amp;ordoc=2029345501&amp;serialnum=2027351031&amp;vr=2.0&amp;fn=_top&amp;sv=Split&amp;tf=-1&amp;pbc=C1C3E923&amp;rs=WLW13.01</vt:lpwstr>
      </vt:variant>
      <vt:variant>
        <vt:lpwstr/>
      </vt:variant>
      <vt:variant>
        <vt:i4>4718689</vt:i4>
      </vt:variant>
      <vt:variant>
        <vt:i4>3</vt:i4>
      </vt:variant>
      <vt:variant>
        <vt:i4>0</vt:i4>
      </vt:variant>
      <vt:variant>
        <vt:i4>5</vt:i4>
      </vt:variant>
      <vt:variant>
        <vt:lpwstr>http://web2.westlaw.com/find/default.wl?mt=Westlaw&amp;db=0004493&amp;tc=-1&amp;rp=%2ffind%2fdefault.wl&amp;findtype=Y&amp;ordoc=2030146671&amp;serialnum=2003197721&amp;vr=2.0&amp;fn=_top&amp;sv=Split&amp;tf=-1&amp;pbc=33133162&amp;rs=WLW13.01</vt:lpwstr>
      </vt:variant>
      <vt:variant>
        <vt:lpwstr/>
      </vt:variant>
      <vt:variant>
        <vt:i4>4849770</vt:i4>
      </vt:variant>
      <vt:variant>
        <vt:i4>0</vt:i4>
      </vt:variant>
      <vt:variant>
        <vt:i4>0</vt:i4>
      </vt:variant>
      <vt:variant>
        <vt:i4>5</vt:i4>
      </vt:variant>
      <vt:variant>
        <vt:lpwstr>http://web2.westlaw.com/find/default.wl?mt=Westlaw&amp;db=0004493&amp;tc=-1&amp;rp=%2ffind%2fdefault.wl&amp;findtype=Y&amp;ordoc=2030146671&amp;serialnum=2003136688&amp;vr=2.0&amp;fn=_top&amp;sv=Split&amp;tf=-1&amp;pbc=33133162&amp;rs=WLW13.01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2013-05-14T15:45:00Z</cp:lastPrinted>
  <dcterms:created xsi:type="dcterms:W3CDTF">2013-05-17T12:40:00Z</dcterms:created>
  <dcterms:modified xsi:type="dcterms:W3CDTF">2013-05-17T12:40:00Z</dcterms:modified>
  <cp:category> </cp:category>
  <cp:contentStatus> </cp:contentStatus>
</cp:coreProperties>
</file>