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D0" w:rsidRDefault="00A478D0">
      <w:bookmarkStart w:id="0" w:name="_GoBack"/>
      <w:bookmarkEnd w:id="0"/>
      <w:r>
        <w:tab/>
      </w:r>
      <w:r>
        <w:tab/>
      </w:r>
      <w:r>
        <w:tab/>
      </w:r>
    </w:p>
    <w:p w:rsidR="00A478D0" w:rsidRDefault="00A478D0">
      <w:pPr>
        <w:rPr>
          <w:b/>
          <w:sz w:val="24"/>
          <w:szCs w:val="24"/>
        </w:rPr>
      </w:pPr>
      <w:r>
        <w:tab/>
      </w:r>
      <w:r>
        <w:tab/>
      </w:r>
      <w:r>
        <w:tab/>
      </w:r>
      <w:r>
        <w:tab/>
      </w:r>
      <w:r>
        <w:tab/>
      </w:r>
      <w:r>
        <w:tab/>
      </w:r>
      <w:r>
        <w:tab/>
      </w:r>
      <w:r>
        <w:tab/>
      </w:r>
      <w:r>
        <w:tab/>
      </w:r>
      <w:r>
        <w:tab/>
      </w:r>
      <w:r>
        <w:tab/>
      </w:r>
      <w:r>
        <w:rPr>
          <w:b/>
          <w:sz w:val="24"/>
          <w:szCs w:val="24"/>
        </w:rPr>
        <w:t xml:space="preserve">DA </w:t>
      </w:r>
      <w:r w:rsidR="00764204">
        <w:rPr>
          <w:b/>
          <w:sz w:val="24"/>
          <w:szCs w:val="24"/>
        </w:rPr>
        <w:t>13</w:t>
      </w:r>
      <w:r w:rsidR="009A6A16">
        <w:rPr>
          <w:b/>
          <w:sz w:val="24"/>
          <w:szCs w:val="24"/>
        </w:rPr>
        <w:t>-1138</w:t>
      </w:r>
    </w:p>
    <w:p w:rsidR="00EF3D27" w:rsidRDefault="00EF3D27">
      <w:pPr>
        <w:jc w:val="center"/>
        <w:rPr>
          <w:b/>
          <w:sz w:val="36"/>
          <w:szCs w:val="36"/>
        </w:rPr>
      </w:pPr>
    </w:p>
    <w:p w:rsidR="00A478D0" w:rsidRDefault="00A478D0">
      <w:pPr>
        <w:jc w:val="center"/>
        <w:rPr>
          <w:b/>
          <w:sz w:val="36"/>
          <w:szCs w:val="36"/>
        </w:rPr>
      </w:pPr>
      <w:r>
        <w:rPr>
          <w:b/>
          <w:sz w:val="36"/>
          <w:szCs w:val="36"/>
        </w:rPr>
        <w:t>Small Entity Compliance Guide</w:t>
      </w:r>
    </w:p>
    <w:p w:rsidR="009A6A16" w:rsidRDefault="009A6A16">
      <w:pPr>
        <w:jc w:val="center"/>
        <w:rPr>
          <w:b/>
          <w:sz w:val="36"/>
          <w:szCs w:val="36"/>
        </w:rPr>
      </w:pPr>
    </w:p>
    <w:p w:rsidR="00A478D0" w:rsidRDefault="00734A39">
      <w:pPr>
        <w:jc w:val="center"/>
        <w:rPr>
          <w:b/>
          <w:sz w:val="28"/>
          <w:szCs w:val="28"/>
        </w:rPr>
      </w:pPr>
      <w:r>
        <w:rPr>
          <w:b/>
          <w:sz w:val="28"/>
          <w:szCs w:val="28"/>
        </w:rPr>
        <w:t>Improved Access to Spectrum for Wireless Broadband Operations</w:t>
      </w:r>
    </w:p>
    <w:p w:rsidR="00734A39" w:rsidRDefault="00425202">
      <w:pPr>
        <w:jc w:val="center"/>
        <w:rPr>
          <w:b/>
          <w:sz w:val="28"/>
          <w:szCs w:val="28"/>
        </w:rPr>
      </w:pPr>
      <w:r>
        <w:rPr>
          <w:b/>
          <w:sz w:val="28"/>
          <w:szCs w:val="28"/>
        </w:rPr>
        <w:t>in the 6875-6975</w:t>
      </w:r>
      <w:r w:rsidR="00734A39">
        <w:rPr>
          <w:b/>
          <w:sz w:val="28"/>
          <w:szCs w:val="28"/>
        </w:rPr>
        <w:t xml:space="preserve"> MHz</w:t>
      </w:r>
      <w:r>
        <w:rPr>
          <w:b/>
          <w:sz w:val="28"/>
          <w:szCs w:val="28"/>
        </w:rPr>
        <w:t>, 7025-7125 MHz</w:t>
      </w:r>
      <w:r w:rsidR="00734A39">
        <w:rPr>
          <w:b/>
          <w:sz w:val="28"/>
          <w:szCs w:val="28"/>
        </w:rPr>
        <w:t xml:space="preserve"> and 12700-13</w:t>
      </w:r>
      <w:r w:rsidR="00220EA5">
        <w:rPr>
          <w:b/>
          <w:sz w:val="28"/>
          <w:szCs w:val="28"/>
        </w:rPr>
        <w:t>15</w:t>
      </w:r>
      <w:r w:rsidR="00734A39">
        <w:rPr>
          <w:b/>
          <w:sz w:val="28"/>
          <w:szCs w:val="28"/>
        </w:rPr>
        <w:t>0 MHz Bands</w:t>
      </w:r>
    </w:p>
    <w:p w:rsidR="00EF3D27" w:rsidRDefault="00EF3D27">
      <w:pPr>
        <w:jc w:val="center"/>
        <w:rPr>
          <w:sz w:val="24"/>
          <w:szCs w:val="24"/>
        </w:rPr>
      </w:pPr>
    </w:p>
    <w:p w:rsidR="00A478D0" w:rsidRDefault="00A478D0">
      <w:pPr>
        <w:jc w:val="center"/>
        <w:rPr>
          <w:spacing w:val="-2"/>
          <w:sz w:val="24"/>
          <w:szCs w:val="24"/>
        </w:rPr>
      </w:pPr>
      <w:r>
        <w:rPr>
          <w:spacing w:val="-2"/>
          <w:sz w:val="24"/>
          <w:szCs w:val="24"/>
        </w:rPr>
        <w:t xml:space="preserve">FCC </w:t>
      </w:r>
      <w:r w:rsidR="00734A39">
        <w:rPr>
          <w:spacing w:val="-2"/>
          <w:sz w:val="24"/>
          <w:szCs w:val="24"/>
        </w:rPr>
        <w:t>1</w:t>
      </w:r>
      <w:r w:rsidR="008403E1">
        <w:rPr>
          <w:spacing w:val="-2"/>
          <w:sz w:val="24"/>
          <w:szCs w:val="24"/>
        </w:rPr>
        <w:t>2-87</w:t>
      </w:r>
    </w:p>
    <w:p w:rsidR="00A478D0" w:rsidRDefault="00263C99">
      <w:pPr>
        <w:jc w:val="center"/>
        <w:rPr>
          <w:spacing w:val="-2"/>
          <w:sz w:val="24"/>
          <w:szCs w:val="24"/>
        </w:rPr>
      </w:pPr>
      <w:r>
        <w:rPr>
          <w:spacing w:val="-2"/>
          <w:sz w:val="24"/>
          <w:szCs w:val="24"/>
        </w:rPr>
        <w:t>WT Docket No</w:t>
      </w:r>
      <w:r w:rsidR="00A478D0">
        <w:rPr>
          <w:spacing w:val="-2"/>
          <w:sz w:val="24"/>
          <w:szCs w:val="24"/>
        </w:rPr>
        <w:t xml:space="preserve">. </w:t>
      </w:r>
      <w:r w:rsidR="00734A39">
        <w:rPr>
          <w:spacing w:val="-2"/>
          <w:sz w:val="24"/>
          <w:szCs w:val="24"/>
        </w:rPr>
        <w:t>10-153</w:t>
      </w:r>
    </w:p>
    <w:p w:rsidR="00A478D0" w:rsidRDefault="00A478D0">
      <w:pPr>
        <w:jc w:val="center"/>
        <w:rPr>
          <w:spacing w:val="-2"/>
          <w:sz w:val="24"/>
          <w:szCs w:val="24"/>
        </w:rPr>
      </w:pPr>
      <w:r>
        <w:rPr>
          <w:spacing w:val="-2"/>
          <w:sz w:val="24"/>
          <w:szCs w:val="24"/>
        </w:rPr>
        <w:t xml:space="preserve"> Released</w:t>
      </w:r>
      <w:r w:rsidR="009A6A16">
        <w:rPr>
          <w:spacing w:val="-2"/>
          <w:sz w:val="24"/>
          <w:szCs w:val="24"/>
        </w:rPr>
        <w:t xml:space="preserve">: </w:t>
      </w:r>
      <w:r>
        <w:rPr>
          <w:spacing w:val="-2"/>
          <w:sz w:val="24"/>
          <w:szCs w:val="24"/>
        </w:rPr>
        <w:t xml:space="preserve"> </w:t>
      </w:r>
      <w:r w:rsidR="008403E1">
        <w:rPr>
          <w:spacing w:val="-2"/>
          <w:sz w:val="24"/>
          <w:szCs w:val="24"/>
        </w:rPr>
        <w:t>August 3, 2012</w:t>
      </w:r>
    </w:p>
    <w:p w:rsidR="00EF3D27" w:rsidRDefault="00EF3D27" w:rsidP="00EF3D27">
      <w:pPr>
        <w:tabs>
          <w:tab w:val="left" w:pos="360"/>
        </w:tabs>
        <w:ind w:left="1080" w:right="720"/>
        <w:jc w:val="both"/>
        <w:rPr>
          <w:b/>
          <w:spacing w:val="-2"/>
          <w:sz w:val="24"/>
          <w:szCs w:val="24"/>
        </w:rPr>
      </w:pPr>
    </w:p>
    <w:p w:rsidR="009A6A16" w:rsidRDefault="009A6A16" w:rsidP="009A6A16">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9A6A16" w:rsidRDefault="009A6A16" w:rsidP="009A6A16">
      <w:pPr>
        <w:tabs>
          <w:tab w:val="left" w:pos="360"/>
        </w:tabs>
        <w:ind w:left="1080" w:right="720"/>
        <w:jc w:val="both"/>
        <w:rPr>
          <w:b/>
          <w:sz w:val="22"/>
          <w:szCs w:val="22"/>
        </w:rPr>
      </w:pPr>
    </w:p>
    <w:p w:rsidR="009A6A16" w:rsidRDefault="009A6A16" w:rsidP="009A6A16">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9A6A16" w:rsidRDefault="009A6A16" w:rsidP="009A6A16">
      <w:pPr>
        <w:rPr>
          <w:b/>
          <w:sz w:val="22"/>
          <w:szCs w:val="22"/>
        </w:rPr>
      </w:pPr>
    </w:p>
    <w:p w:rsidR="009A6A16" w:rsidRDefault="009A6A16" w:rsidP="009A6A16">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9A6A16" w:rsidRDefault="000D29FD" w:rsidP="009A6A16">
      <w:pPr>
        <w:jc w:val="center"/>
        <w:rPr>
          <w:b/>
          <w:color w:val="000000"/>
          <w:sz w:val="22"/>
          <w:szCs w:val="22"/>
        </w:rPr>
      </w:pPr>
      <w:hyperlink r:id="rId8" w:history="1">
        <w:r w:rsidR="009A6A16">
          <w:rPr>
            <w:rStyle w:val="Hyperlink"/>
            <w:b/>
            <w:sz w:val="22"/>
            <w:szCs w:val="22"/>
          </w:rPr>
          <w:t>fccinfo@fcc.gov</w:t>
        </w:r>
      </w:hyperlink>
    </w:p>
    <w:p w:rsidR="00E57006" w:rsidRDefault="00A478D0">
      <w:pPr>
        <w:rPr>
          <w:b/>
          <w:color w:val="000000"/>
          <w:sz w:val="24"/>
          <w:szCs w:val="24"/>
        </w:rPr>
      </w:pPr>
      <w:r>
        <w:rPr>
          <w:b/>
          <w:color w:val="000000"/>
          <w:sz w:val="24"/>
          <w:szCs w:val="24"/>
        </w:rPr>
        <w:br w:type="page"/>
      </w:r>
    </w:p>
    <w:p w:rsidR="00E57006" w:rsidRPr="007C1CE4" w:rsidRDefault="00E57006" w:rsidP="00E57006">
      <w:pPr>
        <w:pStyle w:val="ListParagraph"/>
        <w:numPr>
          <w:ilvl w:val="0"/>
          <w:numId w:val="13"/>
        </w:numPr>
        <w:rPr>
          <w:b/>
          <w:bCs/>
          <w:color w:val="000000"/>
          <w:sz w:val="24"/>
          <w:szCs w:val="24"/>
        </w:rPr>
      </w:pPr>
      <w:r w:rsidRPr="007C1CE4">
        <w:rPr>
          <w:b/>
          <w:bCs/>
          <w:color w:val="000000"/>
          <w:sz w:val="24"/>
          <w:szCs w:val="24"/>
        </w:rPr>
        <w:lastRenderedPageBreak/>
        <w:t>OBJECTIVES OF THE PROCEEDING</w:t>
      </w:r>
    </w:p>
    <w:p w:rsidR="00E57006" w:rsidRDefault="00E57006" w:rsidP="00E57006">
      <w:pPr>
        <w:jc w:val="center"/>
        <w:rPr>
          <w:b/>
          <w:bCs/>
          <w:color w:val="000000"/>
          <w:sz w:val="24"/>
          <w:szCs w:val="24"/>
        </w:rPr>
      </w:pPr>
    </w:p>
    <w:p w:rsidR="00E57006" w:rsidRDefault="00E57006" w:rsidP="00E57006">
      <w:pPr>
        <w:spacing w:after="240"/>
        <w:rPr>
          <w:sz w:val="22"/>
          <w:szCs w:val="22"/>
        </w:rPr>
      </w:pPr>
      <w:r w:rsidRPr="00ED30E2">
        <w:rPr>
          <w:sz w:val="22"/>
          <w:szCs w:val="22"/>
        </w:rPr>
        <w:t>The Commission launched this proceeding to remove regulatory barriers and lower costs for the wireless microwave backhaul facilities that are important components of many mobile wireless networks.  Broadband is indispensable to the digital economy, and wireless technology is an increasingly important source of broadband connectivity.  Microwave backhaul facilities are often used to transmit data between cell sites, or between cell sites and network backbones</w:t>
      </w:r>
      <w:r>
        <w:rPr>
          <w:sz w:val="22"/>
          <w:szCs w:val="22"/>
        </w:rPr>
        <w:t xml:space="preserve"> – a type of Fixed Service (FS) – and FS </w:t>
      </w:r>
      <w:r w:rsidRPr="00ED30E2">
        <w:rPr>
          <w:sz w:val="22"/>
          <w:szCs w:val="22"/>
        </w:rPr>
        <w:t>providers’ use of microwave links as an alternative to traditional copper circuits and fiber optic links has been increasing.  Microwave is a particularly important high-capacity backhaul solution in certain rural and remote locations.</w:t>
      </w:r>
    </w:p>
    <w:p w:rsidR="00E57006" w:rsidRPr="00140923" w:rsidRDefault="00E57006" w:rsidP="00E57006">
      <w:pPr>
        <w:spacing w:after="240"/>
        <w:rPr>
          <w:sz w:val="22"/>
          <w:szCs w:val="22"/>
        </w:rPr>
      </w:pPr>
      <w:r>
        <w:rPr>
          <w:sz w:val="22"/>
          <w:szCs w:val="22"/>
        </w:rPr>
        <w:t xml:space="preserve">In the </w:t>
      </w:r>
      <w:r>
        <w:rPr>
          <w:i/>
          <w:sz w:val="22"/>
          <w:szCs w:val="22"/>
        </w:rPr>
        <w:t xml:space="preserve">Second Report and Order and Order on Reconsideration </w:t>
      </w:r>
      <w:r>
        <w:rPr>
          <w:sz w:val="22"/>
          <w:szCs w:val="22"/>
        </w:rPr>
        <w:t>(</w:t>
      </w:r>
      <w:r>
        <w:rPr>
          <w:i/>
          <w:sz w:val="22"/>
          <w:szCs w:val="22"/>
        </w:rPr>
        <w:t>Backhaul Second R&amp;O</w:t>
      </w:r>
      <w:r>
        <w:rPr>
          <w:sz w:val="22"/>
          <w:szCs w:val="22"/>
        </w:rPr>
        <w:t xml:space="preserve">), the Commission </w:t>
      </w:r>
      <w:r w:rsidRPr="00140923">
        <w:rPr>
          <w:sz w:val="22"/>
          <w:szCs w:val="22"/>
        </w:rPr>
        <w:t xml:space="preserve">continued </w:t>
      </w:r>
      <w:r>
        <w:rPr>
          <w:sz w:val="22"/>
          <w:szCs w:val="22"/>
        </w:rPr>
        <w:t xml:space="preserve">these </w:t>
      </w:r>
      <w:r w:rsidRPr="00140923">
        <w:rPr>
          <w:sz w:val="22"/>
          <w:szCs w:val="22"/>
        </w:rPr>
        <w:t xml:space="preserve">efforts </w:t>
      </w:r>
      <w:r>
        <w:rPr>
          <w:sz w:val="22"/>
          <w:szCs w:val="22"/>
        </w:rPr>
        <w:t xml:space="preserve">by </w:t>
      </w:r>
      <w:r w:rsidRPr="00140923">
        <w:rPr>
          <w:sz w:val="22"/>
          <w:szCs w:val="22"/>
        </w:rPr>
        <w:t>increas</w:t>
      </w:r>
      <w:r>
        <w:rPr>
          <w:sz w:val="22"/>
          <w:szCs w:val="22"/>
        </w:rPr>
        <w:t xml:space="preserve">ing </w:t>
      </w:r>
      <w:r w:rsidRPr="00140923">
        <w:rPr>
          <w:sz w:val="22"/>
          <w:szCs w:val="22"/>
        </w:rPr>
        <w:t xml:space="preserve">flexibility in the use of microwave services licensed under </w:t>
      </w:r>
      <w:r>
        <w:rPr>
          <w:sz w:val="22"/>
          <w:szCs w:val="22"/>
        </w:rPr>
        <w:t>its</w:t>
      </w:r>
      <w:r w:rsidRPr="00140923">
        <w:rPr>
          <w:sz w:val="22"/>
          <w:szCs w:val="22"/>
        </w:rPr>
        <w:t xml:space="preserve"> Part 101 rules.  The steps the Commission took will remove regulatory barriers </w:t>
      </w:r>
      <w:r>
        <w:rPr>
          <w:sz w:val="22"/>
          <w:szCs w:val="22"/>
        </w:rPr>
        <w:t xml:space="preserve">to make better use of FS spectrum and provide additional flexibility to enable FS licensees to reduce operational costs and facilitate the use of wireless backhaul in rural areas. </w:t>
      </w:r>
      <w:r w:rsidRPr="009F0AC6">
        <w:rPr>
          <w:sz w:val="22"/>
        </w:rPr>
        <w:t xml:space="preserve"> </w:t>
      </w:r>
      <w:r w:rsidRPr="00140923">
        <w:rPr>
          <w:sz w:val="22"/>
          <w:szCs w:val="22"/>
        </w:rPr>
        <w:t xml:space="preserve">By enabling more flexible and cost-effective microwave services, the Commission </w:t>
      </w:r>
      <w:r>
        <w:rPr>
          <w:sz w:val="22"/>
          <w:szCs w:val="22"/>
        </w:rPr>
        <w:t>is helping</w:t>
      </w:r>
      <w:r w:rsidRPr="00140923">
        <w:rPr>
          <w:sz w:val="22"/>
          <w:szCs w:val="22"/>
        </w:rPr>
        <w:t xml:space="preserve"> </w:t>
      </w:r>
      <w:r>
        <w:rPr>
          <w:sz w:val="22"/>
          <w:szCs w:val="22"/>
        </w:rPr>
        <w:t xml:space="preserve">to </w:t>
      </w:r>
      <w:r w:rsidRPr="00140923">
        <w:rPr>
          <w:sz w:val="22"/>
          <w:szCs w:val="22"/>
        </w:rPr>
        <w:t xml:space="preserve">accelerate deployment of </w:t>
      </w:r>
      <w:r>
        <w:rPr>
          <w:sz w:val="22"/>
          <w:szCs w:val="22"/>
        </w:rPr>
        <w:t>4G</w:t>
      </w:r>
      <w:r w:rsidRPr="00140923">
        <w:rPr>
          <w:sz w:val="22"/>
          <w:szCs w:val="22"/>
        </w:rPr>
        <w:t xml:space="preserve"> mobile broadband infrastructure across America.</w:t>
      </w:r>
    </w:p>
    <w:p w:rsidR="00E57006" w:rsidRDefault="00E57006">
      <w:pPr>
        <w:rPr>
          <w:b/>
          <w:color w:val="000000"/>
          <w:sz w:val="24"/>
          <w:szCs w:val="24"/>
        </w:rPr>
      </w:pPr>
    </w:p>
    <w:p w:rsidR="00764204" w:rsidRPr="00D01B5C" w:rsidRDefault="00764204" w:rsidP="00D01B5C">
      <w:pPr>
        <w:pStyle w:val="ListParagraph"/>
        <w:numPr>
          <w:ilvl w:val="0"/>
          <w:numId w:val="13"/>
        </w:numPr>
        <w:rPr>
          <w:b/>
          <w:color w:val="000000"/>
          <w:sz w:val="24"/>
          <w:szCs w:val="24"/>
        </w:rPr>
      </w:pPr>
      <w:r w:rsidRPr="00D01B5C">
        <w:rPr>
          <w:b/>
          <w:color w:val="000000"/>
          <w:sz w:val="24"/>
          <w:szCs w:val="24"/>
        </w:rPr>
        <w:t>TERMINOLOGY</w:t>
      </w:r>
    </w:p>
    <w:p w:rsidR="00764204" w:rsidRDefault="00764204">
      <w:pPr>
        <w:rPr>
          <w:b/>
          <w:color w:val="000000"/>
          <w:sz w:val="24"/>
          <w:szCs w:val="24"/>
        </w:rPr>
      </w:pPr>
    </w:p>
    <w:p w:rsidR="00764204" w:rsidRDefault="00764204">
      <w:pPr>
        <w:rPr>
          <w:color w:val="000000"/>
          <w:sz w:val="22"/>
          <w:szCs w:val="22"/>
        </w:rPr>
      </w:pPr>
      <w:r>
        <w:rPr>
          <w:color w:val="000000"/>
          <w:sz w:val="22"/>
          <w:szCs w:val="22"/>
        </w:rPr>
        <w:tab/>
        <w:t xml:space="preserve">Shown below are definitions of some of the terms </w:t>
      </w:r>
      <w:r w:rsidR="009D022B">
        <w:rPr>
          <w:color w:val="000000"/>
          <w:sz w:val="22"/>
          <w:szCs w:val="22"/>
        </w:rPr>
        <w:t xml:space="preserve">that are used throughout this </w:t>
      </w:r>
      <w:r>
        <w:rPr>
          <w:color w:val="000000"/>
          <w:sz w:val="22"/>
          <w:szCs w:val="22"/>
        </w:rPr>
        <w:t xml:space="preserve">guide.  </w:t>
      </w:r>
      <w:r w:rsidR="009D022B">
        <w:rPr>
          <w:color w:val="000000"/>
          <w:sz w:val="22"/>
          <w:szCs w:val="22"/>
        </w:rPr>
        <w:t xml:space="preserve">Other </w:t>
      </w:r>
      <w:r w:rsidR="00721A63">
        <w:rPr>
          <w:color w:val="000000"/>
          <w:sz w:val="22"/>
          <w:szCs w:val="22"/>
        </w:rPr>
        <w:t xml:space="preserve">technical </w:t>
      </w:r>
      <w:r w:rsidR="009D022B">
        <w:rPr>
          <w:color w:val="000000"/>
          <w:sz w:val="22"/>
          <w:szCs w:val="22"/>
        </w:rPr>
        <w:t xml:space="preserve">terms that appear only </w:t>
      </w:r>
      <w:r w:rsidR="00721A63">
        <w:rPr>
          <w:color w:val="000000"/>
          <w:sz w:val="22"/>
          <w:szCs w:val="22"/>
        </w:rPr>
        <w:t xml:space="preserve">in specific discussions </w:t>
      </w:r>
      <w:r w:rsidR="009D022B">
        <w:rPr>
          <w:color w:val="000000"/>
          <w:sz w:val="22"/>
          <w:szCs w:val="22"/>
        </w:rPr>
        <w:t xml:space="preserve">are defined </w:t>
      </w:r>
      <w:r w:rsidR="00721A63">
        <w:rPr>
          <w:color w:val="000000"/>
          <w:sz w:val="22"/>
          <w:szCs w:val="22"/>
        </w:rPr>
        <w:t xml:space="preserve">before the paragraphs in which </w:t>
      </w:r>
      <w:r w:rsidR="009D022B">
        <w:rPr>
          <w:color w:val="000000"/>
          <w:sz w:val="22"/>
          <w:szCs w:val="22"/>
        </w:rPr>
        <w:t xml:space="preserve">they appear.  </w:t>
      </w:r>
    </w:p>
    <w:p w:rsidR="00764204" w:rsidRDefault="00764204">
      <w:pPr>
        <w:rPr>
          <w:color w:val="000000"/>
          <w:sz w:val="22"/>
          <w:szCs w:val="22"/>
        </w:rPr>
      </w:pPr>
    </w:p>
    <w:p w:rsidR="00764204" w:rsidRDefault="00764204">
      <w:pPr>
        <w:rPr>
          <w:sz w:val="22"/>
        </w:rPr>
      </w:pPr>
      <w:r>
        <w:rPr>
          <w:i/>
          <w:color w:val="000000"/>
          <w:sz w:val="22"/>
          <w:szCs w:val="22"/>
        </w:rPr>
        <w:t xml:space="preserve">Backhaul -- </w:t>
      </w:r>
      <w:r>
        <w:rPr>
          <w:sz w:val="22"/>
        </w:rPr>
        <w:t xml:space="preserve">in the context of this proceeding, </w:t>
      </w:r>
      <w:r w:rsidRPr="009F0AC6">
        <w:rPr>
          <w:sz w:val="22"/>
        </w:rPr>
        <w:t xml:space="preserve">telecommunications channels between </w:t>
      </w:r>
      <w:r w:rsidR="009B029B">
        <w:rPr>
          <w:sz w:val="22"/>
        </w:rPr>
        <w:t>cellular communication base stations or between cellular base stations</w:t>
      </w:r>
      <w:r w:rsidRPr="009F0AC6">
        <w:rPr>
          <w:sz w:val="22"/>
        </w:rPr>
        <w:t xml:space="preserve"> and landline network backbones.</w:t>
      </w:r>
    </w:p>
    <w:p w:rsidR="00764204" w:rsidRDefault="00764204">
      <w:pPr>
        <w:rPr>
          <w:sz w:val="22"/>
        </w:rPr>
      </w:pPr>
    </w:p>
    <w:p w:rsidR="00764204" w:rsidRDefault="00764204">
      <w:pPr>
        <w:rPr>
          <w:sz w:val="22"/>
        </w:rPr>
      </w:pPr>
      <w:r w:rsidRPr="00764204">
        <w:rPr>
          <w:i/>
          <w:sz w:val="22"/>
        </w:rPr>
        <w:t>Fixed Service</w:t>
      </w:r>
      <w:r>
        <w:rPr>
          <w:sz w:val="22"/>
        </w:rPr>
        <w:t xml:space="preserve"> </w:t>
      </w:r>
      <w:r w:rsidRPr="00764204">
        <w:rPr>
          <w:i/>
          <w:sz w:val="22"/>
        </w:rPr>
        <w:t>(FS)</w:t>
      </w:r>
      <w:r>
        <w:rPr>
          <w:sz w:val="22"/>
        </w:rPr>
        <w:t xml:space="preserve"> -- radio </w:t>
      </w:r>
      <w:r w:rsidRPr="009F0AC6">
        <w:rPr>
          <w:sz w:val="22"/>
        </w:rPr>
        <w:t>communication between specified</w:t>
      </w:r>
      <w:r w:rsidR="00B311DE">
        <w:rPr>
          <w:sz w:val="22"/>
        </w:rPr>
        <w:t xml:space="preserve"> fixed</w:t>
      </w:r>
      <w:r w:rsidRPr="009F0AC6">
        <w:rPr>
          <w:sz w:val="22"/>
        </w:rPr>
        <w:t xml:space="preserve"> points, typically but not always using directed beams.</w:t>
      </w:r>
    </w:p>
    <w:p w:rsidR="009A4205" w:rsidRDefault="009A4205">
      <w:pPr>
        <w:rPr>
          <w:sz w:val="22"/>
        </w:rPr>
      </w:pPr>
    </w:p>
    <w:p w:rsidR="009A4205" w:rsidRDefault="009A4205">
      <w:pPr>
        <w:rPr>
          <w:sz w:val="22"/>
        </w:rPr>
      </w:pPr>
      <w:r>
        <w:rPr>
          <w:i/>
          <w:sz w:val="22"/>
        </w:rPr>
        <w:t xml:space="preserve">Bit -- </w:t>
      </w:r>
      <w:r w:rsidRPr="009A4205">
        <w:rPr>
          <w:sz w:val="22"/>
        </w:rPr>
        <w:t>a unit of computer information equivalent to the result of a choice between two alternatives (as yes or no, on or off)</w:t>
      </w:r>
      <w:r>
        <w:rPr>
          <w:sz w:val="22"/>
        </w:rPr>
        <w:t>.  Combinations of bits can represent alphanumeric characters or images.</w:t>
      </w:r>
    </w:p>
    <w:p w:rsidR="009A4205" w:rsidRDefault="009A4205">
      <w:pPr>
        <w:rPr>
          <w:sz w:val="22"/>
        </w:rPr>
      </w:pPr>
    </w:p>
    <w:p w:rsidR="009A4205" w:rsidRDefault="009A4205" w:rsidP="009A4205">
      <w:pPr>
        <w:rPr>
          <w:sz w:val="22"/>
        </w:rPr>
      </w:pPr>
      <w:r>
        <w:rPr>
          <w:i/>
          <w:sz w:val="22"/>
        </w:rPr>
        <w:t xml:space="preserve">Megabit (Mbit) – </w:t>
      </w:r>
      <w:r>
        <w:rPr>
          <w:sz w:val="22"/>
        </w:rPr>
        <w:t>one million bits of information.</w:t>
      </w:r>
    </w:p>
    <w:p w:rsidR="009A4205" w:rsidRDefault="009A4205" w:rsidP="009A4205">
      <w:pPr>
        <w:rPr>
          <w:sz w:val="22"/>
        </w:rPr>
      </w:pPr>
    </w:p>
    <w:p w:rsidR="009A4205" w:rsidRPr="009A4205" w:rsidRDefault="009A4205">
      <w:pPr>
        <w:rPr>
          <w:sz w:val="22"/>
        </w:rPr>
      </w:pPr>
      <w:r>
        <w:rPr>
          <w:i/>
          <w:sz w:val="22"/>
        </w:rPr>
        <w:t xml:space="preserve">Gigabit (Gbit) – </w:t>
      </w:r>
      <w:r>
        <w:rPr>
          <w:sz w:val="22"/>
        </w:rPr>
        <w:t>one billion bits of information.</w:t>
      </w:r>
    </w:p>
    <w:p w:rsidR="009A4205" w:rsidRDefault="009A4205">
      <w:pPr>
        <w:rPr>
          <w:sz w:val="22"/>
        </w:rPr>
      </w:pPr>
    </w:p>
    <w:p w:rsidR="0085411E" w:rsidRDefault="0085411E">
      <w:pPr>
        <w:rPr>
          <w:sz w:val="22"/>
        </w:rPr>
      </w:pPr>
      <w:r>
        <w:rPr>
          <w:i/>
          <w:sz w:val="22"/>
        </w:rPr>
        <w:t xml:space="preserve">Microwave – </w:t>
      </w:r>
      <w:r>
        <w:rPr>
          <w:sz w:val="22"/>
        </w:rPr>
        <w:t xml:space="preserve">an </w:t>
      </w:r>
      <w:r w:rsidRPr="0085411E">
        <w:rPr>
          <w:sz w:val="22"/>
        </w:rPr>
        <w:t>ele</w:t>
      </w:r>
      <w:r>
        <w:rPr>
          <w:sz w:val="22"/>
        </w:rPr>
        <w:t xml:space="preserve">ctromagnetic wave that is between </w:t>
      </w:r>
      <w:r w:rsidRPr="0085411E">
        <w:rPr>
          <w:sz w:val="22"/>
        </w:rPr>
        <w:t>about one millim</w:t>
      </w:r>
      <w:r>
        <w:rPr>
          <w:sz w:val="22"/>
        </w:rPr>
        <w:t>eter and one meter long.</w:t>
      </w:r>
    </w:p>
    <w:p w:rsidR="009B029B" w:rsidRDefault="009B029B">
      <w:pPr>
        <w:rPr>
          <w:sz w:val="22"/>
        </w:rPr>
      </w:pPr>
    </w:p>
    <w:p w:rsidR="009B029B" w:rsidRDefault="009B029B">
      <w:pPr>
        <w:rPr>
          <w:sz w:val="22"/>
        </w:rPr>
      </w:pPr>
      <w:r w:rsidRPr="009B029B">
        <w:rPr>
          <w:i/>
          <w:sz w:val="22"/>
          <w:szCs w:val="22"/>
        </w:rPr>
        <w:t>Hertz</w:t>
      </w:r>
      <w:r>
        <w:rPr>
          <w:sz w:val="22"/>
          <w:szCs w:val="22"/>
        </w:rPr>
        <w:t xml:space="preserve"> </w:t>
      </w:r>
      <w:r w:rsidR="00D01B5C">
        <w:rPr>
          <w:sz w:val="22"/>
          <w:szCs w:val="22"/>
        </w:rPr>
        <w:t>–</w:t>
      </w:r>
      <w:r>
        <w:rPr>
          <w:sz w:val="22"/>
          <w:szCs w:val="22"/>
        </w:rPr>
        <w:t xml:space="preserve"> one cycle per second of a radio wave.  The frequency of a radio signal is usually represented in Hertz or multiples thereof, such as megahertz (MHz), which means millions of Hertz</w:t>
      </w:r>
      <w:r w:rsidR="002E0D79">
        <w:rPr>
          <w:sz w:val="22"/>
          <w:szCs w:val="22"/>
        </w:rPr>
        <w:t>,</w:t>
      </w:r>
      <w:r>
        <w:rPr>
          <w:sz w:val="22"/>
          <w:szCs w:val="22"/>
        </w:rPr>
        <w:t xml:space="preserve"> or gigahertz (GHz), which means billions of Hertz.  </w:t>
      </w:r>
    </w:p>
    <w:p w:rsidR="00C1201C" w:rsidRDefault="00C1201C">
      <w:pPr>
        <w:rPr>
          <w:b/>
          <w:color w:val="000000"/>
          <w:sz w:val="24"/>
          <w:szCs w:val="24"/>
        </w:rPr>
      </w:pPr>
    </w:p>
    <w:p w:rsidR="00A478D0" w:rsidRDefault="00A478D0">
      <w:pPr>
        <w:rPr>
          <w:b/>
          <w:bCs/>
          <w:color w:val="000000"/>
          <w:sz w:val="24"/>
          <w:szCs w:val="24"/>
        </w:rPr>
      </w:pPr>
    </w:p>
    <w:p w:rsidR="009F0AC6" w:rsidRPr="00D01B5C" w:rsidRDefault="00A478D0" w:rsidP="00D01B5C">
      <w:pPr>
        <w:pStyle w:val="ListParagraph"/>
        <w:keepNext/>
        <w:keepLines/>
        <w:numPr>
          <w:ilvl w:val="0"/>
          <w:numId w:val="13"/>
        </w:numPr>
        <w:rPr>
          <w:b/>
          <w:bCs/>
          <w:color w:val="000000"/>
          <w:sz w:val="24"/>
          <w:szCs w:val="24"/>
        </w:rPr>
      </w:pPr>
      <w:r w:rsidRPr="00D01B5C">
        <w:rPr>
          <w:b/>
          <w:bCs/>
          <w:color w:val="000000"/>
          <w:sz w:val="24"/>
          <w:szCs w:val="24"/>
        </w:rPr>
        <w:lastRenderedPageBreak/>
        <w:t>REGULATIONS AND POLICIES THAT THE COMMISSION ADOPTED OR      MODIFIED, INCLUDING COMPLIANCE REQUIREMENTS</w:t>
      </w:r>
    </w:p>
    <w:p w:rsidR="009F0AC6" w:rsidRDefault="009F0AC6" w:rsidP="00152D10">
      <w:pPr>
        <w:keepNext/>
        <w:keepLines/>
        <w:rPr>
          <w:b/>
          <w:bCs/>
          <w:color w:val="000000"/>
          <w:sz w:val="24"/>
          <w:szCs w:val="24"/>
        </w:rPr>
      </w:pPr>
    </w:p>
    <w:p w:rsidR="005D3849" w:rsidRDefault="008403E1" w:rsidP="00152D10">
      <w:pPr>
        <w:pStyle w:val="ParaNum"/>
        <w:keepNext/>
        <w:keepLines/>
        <w:numPr>
          <w:ilvl w:val="0"/>
          <w:numId w:val="0"/>
        </w:numPr>
        <w:rPr>
          <w:sz w:val="22"/>
          <w:szCs w:val="22"/>
        </w:rPr>
      </w:pPr>
      <w:r>
        <w:rPr>
          <w:sz w:val="22"/>
          <w:szCs w:val="22"/>
        </w:rPr>
        <w:tab/>
        <w:t>The Commission revised its rules to allow smaller antennas in c</w:t>
      </w:r>
      <w:r w:rsidR="00A6051F">
        <w:rPr>
          <w:sz w:val="22"/>
          <w:szCs w:val="22"/>
        </w:rPr>
        <w:t>ertain frequency bands,</w:t>
      </w:r>
      <w:r>
        <w:rPr>
          <w:sz w:val="22"/>
          <w:szCs w:val="22"/>
        </w:rPr>
        <w:t xml:space="preserve"> update</w:t>
      </w:r>
      <w:r w:rsidR="00A6051F">
        <w:rPr>
          <w:sz w:val="22"/>
          <w:szCs w:val="22"/>
        </w:rPr>
        <w:t xml:space="preserve">d rules that specify minimum data transmission rates, authorized Commission staff to issue waivers facilitating increased path links in rural areas, allowed wider channels in certain frequency bands, and limited the circumstances under which FS license applicants are required to coordinate with satellite operators.  The Commission also affirmed rules and policies adopted </w:t>
      </w:r>
      <w:r w:rsidR="006E4D1F">
        <w:rPr>
          <w:sz w:val="22"/>
          <w:szCs w:val="22"/>
        </w:rPr>
        <w:t>in an earlier phase of this proceeding.  Specific aspects of those decisions are summarized below.</w:t>
      </w:r>
    </w:p>
    <w:p w:rsidR="006E4D1F" w:rsidRDefault="003C08D3" w:rsidP="009E6319">
      <w:pPr>
        <w:pStyle w:val="ParaNum"/>
        <w:numPr>
          <w:ilvl w:val="0"/>
          <w:numId w:val="0"/>
        </w:numPr>
        <w:rPr>
          <w:sz w:val="22"/>
          <w:szCs w:val="22"/>
        </w:rPr>
      </w:pPr>
      <w:r>
        <w:rPr>
          <w:sz w:val="22"/>
          <w:szCs w:val="22"/>
        </w:rPr>
        <w:tab/>
        <w:t xml:space="preserve">In general, the </w:t>
      </w:r>
      <w:r>
        <w:rPr>
          <w:i/>
          <w:sz w:val="22"/>
          <w:szCs w:val="22"/>
        </w:rPr>
        <w:t xml:space="preserve">Backhaul Second R&amp;O </w:t>
      </w:r>
      <w:r>
        <w:rPr>
          <w:sz w:val="22"/>
          <w:szCs w:val="22"/>
        </w:rPr>
        <w:t xml:space="preserve">allows </w:t>
      </w:r>
      <w:r w:rsidR="0098459A">
        <w:rPr>
          <w:sz w:val="22"/>
          <w:szCs w:val="22"/>
        </w:rPr>
        <w:t xml:space="preserve">FS operators to use </w:t>
      </w:r>
      <w:r>
        <w:rPr>
          <w:sz w:val="22"/>
          <w:szCs w:val="22"/>
        </w:rPr>
        <w:t>smaller antennas in the 6, 18 and 23 GHz bands.  Allowing smaller antennas reduces the costs of equipment, tower space rentals and maintenance by reducing</w:t>
      </w:r>
      <w:r w:rsidR="008872DA">
        <w:rPr>
          <w:sz w:val="22"/>
          <w:szCs w:val="22"/>
        </w:rPr>
        <w:t xml:space="preserve"> </w:t>
      </w:r>
      <w:r w:rsidR="00B311DE">
        <w:rPr>
          <w:sz w:val="22"/>
          <w:szCs w:val="22"/>
        </w:rPr>
        <w:t xml:space="preserve">antenna </w:t>
      </w:r>
      <w:r w:rsidR="008872DA">
        <w:rPr>
          <w:sz w:val="22"/>
          <w:szCs w:val="22"/>
        </w:rPr>
        <w:t>size,</w:t>
      </w:r>
      <w:r>
        <w:rPr>
          <w:sz w:val="22"/>
          <w:szCs w:val="22"/>
        </w:rPr>
        <w:t xml:space="preserve"> weight and wind resistance.  </w:t>
      </w:r>
      <w:r w:rsidR="004038B0">
        <w:rPr>
          <w:sz w:val="22"/>
          <w:szCs w:val="22"/>
        </w:rPr>
        <w:t>The revised antenna rules appear as revisions to the table of technical requirements in Rule 101.115(b)(2), which is codified at 47 C.F.R. Section 101.115(b)(2).</w:t>
      </w:r>
      <w:r w:rsidR="009E6319">
        <w:rPr>
          <w:sz w:val="22"/>
          <w:szCs w:val="22"/>
        </w:rPr>
        <w:t xml:space="preserve">  </w:t>
      </w:r>
      <w:r w:rsidR="006E4D1F">
        <w:rPr>
          <w:sz w:val="22"/>
          <w:szCs w:val="22"/>
        </w:rPr>
        <w:t>Previously</w:t>
      </w:r>
      <w:r w:rsidR="00B311DE">
        <w:rPr>
          <w:sz w:val="22"/>
          <w:szCs w:val="22"/>
        </w:rPr>
        <w:t>,</w:t>
      </w:r>
      <w:r w:rsidR="006E4D1F">
        <w:rPr>
          <w:sz w:val="22"/>
          <w:szCs w:val="22"/>
        </w:rPr>
        <w:t xml:space="preserve"> the Commission had two sets of antenna standards for FS operators: Category A, which</w:t>
      </w:r>
      <w:r w:rsidR="00702C6B">
        <w:rPr>
          <w:sz w:val="22"/>
          <w:szCs w:val="22"/>
        </w:rPr>
        <w:t xml:space="preserve"> required</w:t>
      </w:r>
      <w:r w:rsidR="006E4D1F">
        <w:rPr>
          <w:sz w:val="22"/>
          <w:szCs w:val="22"/>
        </w:rPr>
        <w:t xml:space="preserve"> tightly focused beams for congested are</w:t>
      </w:r>
      <w:r w:rsidR="004038B0">
        <w:rPr>
          <w:sz w:val="22"/>
          <w:szCs w:val="22"/>
        </w:rPr>
        <w:t>as, and Category B, which allowed</w:t>
      </w:r>
      <w:r w:rsidR="006E4D1F">
        <w:rPr>
          <w:sz w:val="22"/>
          <w:szCs w:val="22"/>
        </w:rPr>
        <w:t xml:space="preserve"> less tightly focused beamwidths and, by implication, smaller</w:t>
      </w:r>
      <w:r w:rsidR="00702C6B">
        <w:rPr>
          <w:sz w:val="22"/>
          <w:szCs w:val="22"/>
        </w:rPr>
        <w:t xml:space="preserve"> antennas </w:t>
      </w:r>
      <w:r w:rsidR="006E4D1F">
        <w:rPr>
          <w:sz w:val="22"/>
          <w:szCs w:val="22"/>
        </w:rPr>
        <w:t xml:space="preserve">in uncongested areas.  </w:t>
      </w:r>
      <w:r>
        <w:rPr>
          <w:sz w:val="22"/>
          <w:szCs w:val="22"/>
        </w:rPr>
        <w:t xml:space="preserve">The Commission’s rules required a Category B user to upgrade </w:t>
      </w:r>
      <w:r w:rsidR="004038B0">
        <w:rPr>
          <w:sz w:val="22"/>
          <w:szCs w:val="22"/>
        </w:rPr>
        <w:t xml:space="preserve">to Category A </w:t>
      </w:r>
      <w:r>
        <w:rPr>
          <w:sz w:val="22"/>
          <w:szCs w:val="22"/>
        </w:rPr>
        <w:t xml:space="preserve">if </w:t>
      </w:r>
      <w:r w:rsidR="004038B0">
        <w:rPr>
          <w:sz w:val="22"/>
          <w:szCs w:val="22"/>
        </w:rPr>
        <w:t>its</w:t>
      </w:r>
      <w:r>
        <w:rPr>
          <w:sz w:val="22"/>
          <w:szCs w:val="22"/>
        </w:rPr>
        <w:t xml:space="preserve"> antenna caused interference problems that would be resolved by the use of a Category A antenna.  The </w:t>
      </w:r>
      <w:r>
        <w:rPr>
          <w:i/>
          <w:sz w:val="22"/>
          <w:szCs w:val="22"/>
        </w:rPr>
        <w:t xml:space="preserve">Backhaul Second R&amp;O </w:t>
      </w:r>
      <w:r w:rsidR="00C1201C">
        <w:rPr>
          <w:sz w:val="22"/>
          <w:szCs w:val="22"/>
        </w:rPr>
        <w:t>established</w:t>
      </w:r>
      <w:r w:rsidR="004038B0">
        <w:rPr>
          <w:sz w:val="22"/>
          <w:szCs w:val="22"/>
        </w:rPr>
        <w:t xml:space="preserve"> a third category </w:t>
      </w:r>
      <w:r w:rsidR="009E6319">
        <w:rPr>
          <w:sz w:val="22"/>
          <w:szCs w:val="22"/>
        </w:rPr>
        <w:t xml:space="preserve">for the 6, 18, and 23 GHz bands, </w:t>
      </w:r>
      <w:r w:rsidR="004038B0">
        <w:rPr>
          <w:sz w:val="22"/>
          <w:szCs w:val="22"/>
        </w:rPr>
        <w:t>called Category B2</w:t>
      </w:r>
      <w:r w:rsidR="00810A7B">
        <w:rPr>
          <w:sz w:val="22"/>
          <w:szCs w:val="22"/>
        </w:rPr>
        <w:t>, and</w:t>
      </w:r>
      <w:r w:rsidR="004038B0">
        <w:rPr>
          <w:sz w:val="22"/>
          <w:szCs w:val="22"/>
        </w:rPr>
        <w:t xml:space="preserve"> </w:t>
      </w:r>
      <w:r>
        <w:rPr>
          <w:sz w:val="22"/>
          <w:szCs w:val="22"/>
        </w:rPr>
        <w:t>redesignate</w:t>
      </w:r>
      <w:r w:rsidR="00B311DE">
        <w:rPr>
          <w:sz w:val="22"/>
          <w:szCs w:val="22"/>
        </w:rPr>
        <w:t>d</w:t>
      </w:r>
      <w:r>
        <w:rPr>
          <w:sz w:val="22"/>
          <w:szCs w:val="22"/>
        </w:rPr>
        <w:t xml:space="preserve"> the existing Category B standard as Category </w:t>
      </w:r>
      <w:r w:rsidR="004038B0">
        <w:rPr>
          <w:sz w:val="22"/>
          <w:szCs w:val="22"/>
        </w:rPr>
        <w:t>B1</w:t>
      </w:r>
      <w:r w:rsidR="009E6319">
        <w:rPr>
          <w:sz w:val="22"/>
          <w:szCs w:val="22"/>
        </w:rPr>
        <w:t xml:space="preserve">.  </w:t>
      </w:r>
      <w:r w:rsidR="00AA5E05">
        <w:rPr>
          <w:sz w:val="22"/>
          <w:szCs w:val="22"/>
        </w:rPr>
        <w:t>In the 6, 18 and 23 GHz bands, l</w:t>
      </w:r>
      <w:r w:rsidR="009E6319">
        <w:rPr>
          <w:sz w:val="22"/>
          <w:szCs w:val="22"/>
        </w:rPr>
        <w:t xml:space="preserve">icensees may </w:t>
      </w:r>
      <w:r w:rsidR="00B311DE">
        <w:rPr>
          <w:sz w:val="22"/>
          <w:szCs w:val="22"/>
        </w:rPr>
        <w:t xml:space="preserve">now use </w:t>
      </w:r>
      <w:r w:rsidR="009E6319">
        <w:rPr>
          <w:sz w:val="22"/>
          <w:szCs w:val="22"/>
        </w:rPr>
        <w:t>either Category B1 or Category B2</w:t>
      </w:r>
      <w:r w:rsidR="00B311DE">
        <w:rPr>
          <w:sz w:val="22"/>
          <w:szCs w:val="22"/>
        </w:rPr>
        <w:t xml:space="preserve"> antennas to comply with the threshold antenna standards for FS operations</w:t>
      </w:r>
      <w:r w:rsidR="009E6319">
        <w:rPr>
          <w:sz w:val="22"/>
          <w:szCs w:val="22"/>
        </w:rPr>
        <w:t xml:space="preserve">.  </w:t>
      </w:r>
      <w:r w:rsidR="00702C6B">
        <w:rPr>
          <w:sz w:val="22"/>
          <w:szCs w:val="22"/>
        </w:rPr>
        <w:t>T</w:t>
      </w:r>
      <w:r w:rsidR="004038B0">
        <w:rPr>
          <w:sz w:val="22"/>
          <w:szCs w:val="22"/>
        </w:rPr>
        <w:t>he performance par</w:t>
      </w:r>
      <w:r w:rsidR="00702C6B">
        <w:rPr>
          <w:sz w:val="22"/>
          <w:szCs w:val="22"/>
        </w:rPr>
        <w:t>ameters for new Category B2 and re-labeled parameters for</w:t>
      </w:r>
      <w:r w:rsidR="008872DA">
        <w:rPr>
          <w:sz w:val="22"/>
          <w:szCs w:val="22"/>
        </w:rPr>
        <w:t xml:space="preserve"> Cate</w:t>
      </w:r>
      <w:r w:rsidR="00702C6B">
        <w:rPr>
          <w:sz w:val="22"/>
          <w:szCs w:val="22"/>
        </w:rPr>
        <w:t>gory B1 are shown in the table of technical requirements mentioned above, in Rule 101.115(b)(2)</w:t>
      </w:r>
      <w:r w:rsidR="008872DA">
        <w:rPr>
          <w:sz w:val="22"/>
          <w:szCs w:val="22"/>
        </w:rPr>
        <w:t>.</w:t>
      </w:r>
      <w:r w:rsidR="00AA5E05">
        <w:rPr>
          <w:sz w:val="22"/>
          <w:szCs w:val="22"/>
        </w:rPr>
        <w:t xml:space="preserve">  This bifurcation of Category B into Categories B1 and B2 applies only to the 6, 18 and 23 GHz bands.  For other bands, the Commission will continue to classify antennas as Category A or Category B.</w:t>
      </w:r>
    </w:p>
    <w:p w:rsidR="009A1651" w:rsidRDefault="00702C6B" w:rsidP="000D6B05">
      <w:pPr>
        <w:pStyle w:val="ParaNum"/>
        <w:numPr>
          <w:ilvl w:val="0"/>
          <w:numId w:val="0"/>
        </w:numPr>
        <w:rPr>
          <w:sz w:val="22"/>
          <w:szCs w:val="22"/>
        </w:rPr>
      </w:pPr>
      <w:r>
        <w:rPr>
          <w:sz w:val="22"/>
          <w:szCs w:val="22"/>
        </w:rPr>
        <w:tab/>
      </w:r>
      <w:r w:rsidR="00B90D8A">
        <w:rPr>
          <w:sz w:val="22"/>
          <w:szCs w:val="22"/>
        </w:rPr>
        <w:t xml:space="preserve">The Commission </w:t>
      </w:r>
      <w:r w:rsidR="00810A7B">
        <w:rPr>
          <w:sz w:val="22"/>
          <w:szCs w:val="22"/>
        </w:rPr>
        <w:t xml:space="preserve">also </w:t>
      </w:r>
      <w:r w:rsidR="00B90D8A">
        <w:rPr>
          <w:sz w:val="22"/>
          <w:szCs w:val="22"/>
        </w:rPr>
        <w:t xml:space="preserve">updated its FS </w:t>
      </w:r>
      <w:r w:rsidR="00C0268A">
        <w:rPr>
          <w:sz w:val="22"/>
          <w:szCs w:val="22"/>
        </w:rPr>
        <w:t>efficiency standards</w:t>
      </w:r>
      <w:r w:rsidR="00E37D89">
        <w:rPr>
          <w:sz w:val="22"/>
          <w:szCs w:val="22"/>
        </w:rPr>
        <w:t xml:space="preserve"> by eliminating</w:t>
      </w:r>
      <w:r w:rsidR="00B90D8A">
        <w:rPr>
          <w:sz w:val="22"/>
          <w:szCs w:val="22"/>
        </w:rPr>
        <w:t xml:space="preserve"> standards based on a hierarchy of voice circuits used by </w:t>
      </w:r>
      <w:r w:rsidR="00E37D89">
        <w:rPr>
          <w:sz w:val="22"/>
          <w:szCs w:val="22"/>
        </w:rPr>
        <w:t>telephone companies</w:t>
      </w:r>
      <w:r w:rsidR="00B311DE">
        <w:rPr>
          <w:sz w:val="22"/>
          <w:szCs w:val="22"/>
        </w:rPr>
        <w:t>,</w:t>
      </w:r>
      <w:r w:rsidR="00E37D89">
        <w:rPr>
          <w:sz w:val="22"/>
          <w:szCs w:val="22"/>
        </w:rPr>
        <w:t xml:space="preserve"> replacing</w:t>
      </w:r>
      <w:r w:rsidR="00B90D8A">
        <w:rPr>
          <w:sz w:val="22"/>
          <w:szCs w:val="22"/>
        </w:rPr>
        <w:t xml:space="preserve"> them with simplified </w:t>
      </w:r>
      <w:r w:rsidR="001168E3">
        <w:rPr>
          <w:sz w:val="22"/>
          <w:szCs w:val="22"/>
        </w:rPr>
        <w:t xml:space="preserve">efficiency </w:t>
      </w:r>
      <w:r w:rsidR="00B90D8A">
        <w:rPr>
          <w:sz w:val="22"/>
          <w:szCs w:val="22"/>
        </w:rPr>
        <w:t>standards defined in bits-per-second-per-Hertz</w:t>
      </w:r>
      <w:r w:rsidR="006D19C5">
        <w:rPr>
          <w:sz w:val="22"/>
          <w:szCs w:val="22"/>
        </w:rPr>
        <w:t>.</w:t>
      </w:r>
      <w:r w:rsidR="00A30DD5">
        <w:rPr>
          <w:sz w:val="22"/>
          <w:szCs w:val="22"/>
        </w:rPr>
        <w:t xml:space="preserve">  </w:t>
      </w:r>
      <w:r w:rsidR="009A1651">
        <w:rPr>
          <w:sz w:val="22"/>
          <w:szCs w:val="22"/>
        </w:rPr>
        <w:t>The following terms are used in this paragraph:</w:t>
      </w:r>
    </w:p>
    <w:p w:rsidR="009A1651" w:rsidRDefault="009A1651" w:rsidP="009A1651">
      <w:pPr>
        <w:rPr>
          <w:sz w:val="22"/>
          <w:szCs w:val="22"/>
        </w:rPr>
      </w:pPr>
      <w:r w:rsidRPr="00C1201C">
        <w:rPr>
          <w:i/>
          <w:sz w:val="22"/>
          <w:szCs w:val="22"/>
        </w:rPr>
        <w:t>Payload</w:t>
      </w:r>
      <w:r>
        <w:rPr>
          <w:sz w:val="22"/>
          <w:szCs w:val="22"/>
        </w:rPr>
        <w:t xml:space="preserve"> </w:t>
      </w:r>
      <w:r w:rsidR="006356F6">
        <w:rPr>
          <w:sz w:val="22"/>
          <w:szCs w:val="22"/>
        </w:rPr>
        <w:t>–</w:t>
      </w:r>
      <w:r>
        <w:rPr>
          <w:sz w:val="22"/>
          <w:szCs w:val="22"/>
        </w:rPr>
        <w:t xml:space="preserve"> number of data bits per second that an FS link carries.</w:t>
      </w:r>
    </w:p>
    <w:p w:rsidR="009A1651" w:rsidRDefault="009A1651" w:rsidP="009A1651">
      <w:pPr>
        <w:rPr>
          <w:sz w:val="22"/>
          <w:szCs w:val="22"/>
        </w:rPr>
      </w:pPr>
    </w:p>
    <w:p w:rsidR="009A1651" w:rsidRDefault="009A1651" w:rsidP="009A1651">
      <w:pPr>
        <w:rPr>
          <w:sz w:val="22"/>
          <w:szCs w:val="22"/>
        </w:rPr>
      </w:pPr>
      <w:r w:rsidRPr="00C1201C">
        <w:rPr>
          <w:i/>
          <w:sz w:val="22"/>
          <w:szCs w:val="22"/>
        </w:rPr>
        <w:t>Traffic loading</w:t>
      </w:r>
      <w:r>
        <w:rPr>
          <w:sz w:val="22"/>
          <w:szCs w:val="22"/>
        </w:rPr>
        <w:t xml:space="preserve"> </w:t>
      </w:r>
      <w:r w:rsidR="006356F6">
        <w:rPr>
          <w:sz w:val="22"/>
          <w:szCs w:val="22"/>
        </w:rPr>
        <w:t>–</w:t>
      </w:r>
      <w:r>
        <w:rPr>
          <w:sz w:val="22"/>
          <w:szCs w:val="22"/>
        </w:rPr>
        <w:t xml:space="preserve"> the percentage of an FS link’s payload capacity that is being used.</w:t>
      </w:r>
    </w:p>
    <w:p w:rsidR="009A1651" w:rsidRDefault="009A1651" w:rsidP="009A1651">
      <w:pPr>
        <w:rPr>
          <w:sz w:val="22"/>
          <w:szCs w:val="22"/>
        </w:rPr>
      </w:pPr>
    </w:p>
    <w:p w:rsidR="009A1651" w:rsidRDefault="009A1651" w:rsidP="009A1651">
      <w:pPr>
        <w:rPr>
          <w:sz w:val="22"/>
          <w:szCs w:val="22"/>
        </w:rPr>
      </w:pPr>
      <w:r>
        <w:rPr>
          <w:i/>
          <w:sz w:val="22"/>
          <w:szCs w:val="22"/>
        </w:rPr>
        <w:t xml:space="preserve">Efficiency – </w:t>
      </w:r>
      <w:r>
        <w:rPr>
          <w:sz w:val="22"/>
          <w:szCs w:val="22"/>
        </w:rPr>
        <w:t>an FS link’s payload capacity and traffic loading.</w:t>
      </w:r>
    </w:p>
    <w:p w:rsidR="009A1651" w:rsidRPr="00EF23E0" w:rsidRDefault="009A1651" w:rsidP="009A1651">
      <w:pPr>
        <w:rPr>
          <w:sz w:val="22"/>
          <w:szCs w:val="22"/>
        </w:rPr>
      </w:pPr>
    </w:p>
    <w:p w:rsidR="001F13D8" w:rsidRDefault="00700E34" w:rsidP="000D6B05">
      <w:pPr>
        <w:pStyle w:val="ParaNum"/>
        <w:numPr>
          <w:ilvl w:val="0"/>
          <w:numId w:val="0"/>
        </w:numPr>
        <w:rPr>
          <w:sz w:val="22"/>
          <w:szCs w:val="22"/>
        </w:rPr>
      </w:pPr>
      <w:r>
        <w:rPr>
          <w:sz w:val="22"/>
          <w:szCs w:val="22"/>
        </w:rPr>
        <w:t xml:space="preserve">The Commission’s new </w:t>
      </w:r>
      <w:r w:rsidR="00673FD6">
        <w:rPr>
          <w:sz w:val="22"/>
          <w:szCs w:val="22"/>
        </w:rPr>
        <w:t xml:space="preserve">payload capacity </w:t>
      </w:r>
      <w:r>
        <w:rPr>
          <w:sz w:val="22"/>
          <w:szCs w:val="22"/>
        </w:rPr>
        <w:t xml:space="preserve">standards require that, for FS </w:t>
      </w:r>
      <w:r w:rsidR="00762631">
        <w:rPr>
          <w:sz w:val="22"/>
          <w:szCs w:val="22"/>
        </w:rPr>
        <w:t>links</w:t>
      </w:r>
      <w:r>
        <w:rPr>
          <w:sz w:val="22"/>
          <w:szCs w:val="22"/>
        </w:rPr>
        <w:t xml:space="preserve"> operating on frequencies between 3,700 MHz and 13,250 MHz</w:t>
      </w:r>
      <w:r w:rsidR="00762631">
        <w:rPr>
          <w:sz w:val="22"/>
          <w:szCs w:val="22"/>
        </w:rPr>
        <w:t>, those using less than or equal to 5 megahertz of bandwidth must be capable of conveying at least 2.4 bits per second per Hertz of bandwidth, and those using between 5 and 20 megahertz of bandwidth must be capable of conveying at least 4.4 bits per second per Hertz of bandwidth.  For FS links using more than 20 megahertz of bandwidth, those operating on frequencies between 3,700 and 10,550 MHz must be capable of conveying at least 4.4 bits per second per Hertz, and those operating on frequencies between 10,550 and 13,250 MHz must be capable of conveying at least 3.0 bits per second per Hertz.</w:t>
      </w:r>
      <w:r w:rsidR="00E63310">
        <w:rPr>
          <w:sz w:val="22"/>
          <w:szCs w:val="22"/>
        </w:rPr>
        <w:t xml:space="preserve">  </w:t>
      </w:r>
      <w:r w:rsidR="00C0268A">
        <w:rPr>
          <w:sz w:val="22"/>
          <w:szCs w:val="22"/>
        </w:rPr>
        <w:t>The Commission did not change its payload capacity requirements for higher frequencies because they were already specified in bits-per-second-per-Hertz.</w:t>
      </w:r>
      <w:r w:rsidR="00673FD6">
        <w:rPr>
          <w:sz w:val="22"/>
          <w:szCs w:val="22"/>
        </w:rPr>
        <w:t xml:space="preserve">   All of these modulation requirements appear in Section 101.141 of the Commission’s Rules, which is codified at 47 C.F.R. Section 101.141.</w:t>
      </w:r>
    </w:p>
    <w:p w:rsidR="00EB5F8D" w:rsidRDefault="00540F64" w:rsidP="000D6B05">
      <w:pPr>
        <w:pStyle w:val="ParaNum"/>
        <w:numPr>
          <w:ilvl w:val="0"/>
          <w:numId w:val="0"/>
        </w:numPr>
        <w:rPr>
          <w:sz w:val="22"/>
          <w:szCs w:val="22"/>
        </w:rPr>
      </w:pPr>
      <w:r>
        <w:rPr>
          <w:sz w:val="22"/>
          <w:szCs w:val="22"/>
        </w:rPr>
        <w:lastRenderedPageBreak/>
        <w:tab/>
        <w:t xml:space="preserve">The Commission </w:t>
      </w:r>
      <w:r w:rsidR="009105C9">
        <w:rPr>
          <w:sz w:val="22"/>
          <w:szCs w:val="22"/>
        </w:rPr>
        <w:t>also directed</w:t>
      </w:r>
      <w:r>
        <w:rPr>
          <w:sz w:val="22"/>
          <w:szCs w:val="22"/>
        </w:rPr>
        <w:t xml:space="preserve"> its Wireless Telecommunications Bureau to give favorable consideration to waiver applicants seeking permission to reduce their data transmission rates in uncongested rural areas</w:t>
      </w:r>
      <w:r w:rsidR="009105C9">
        <w:rPr>
          <w:sz w:val="22"/>
          <w:szCs w:val="22"/>
        </w:rPr>
        <w:t xml:space="preserve">, thereby enabling </w:t>
      </w:r>
      <w:r>
        <w:rPr>
          <w:sz w:val="22"/>
          <w:szCs w:val="22"/>
        </w:rPr>
        <w:t>many of those applicants to double their microwave path lengths</w:t>
      </w:r>
      <w:r w:rsidR="009105C9">
        <w:rPr>
          <w:sz w:val="22"/>
          <w:szCs w:val="22"/>
        </w:rPr>
        <w:t xml:space="preserve"> and </w:t>
      </w:r>
      <w:r>
        <w:rPr>
          <w:sz w:val="22"/>
          <w:szCs w:val="22"/>
        </w:rPr>
        <w:t>eliminate the need for intermediate rel</w:t>
      </w:r>
      <w:r w:rsidR="00650AD3">
        <w:rPr>
          <w:sz w:val="22"/>
          <w:szCs w:val="22"/>
        </w:rPr>
        <w:t xml:space="preserve">ay stations.   </w:t>
      </w:r>
      <w:r w:rsidR="00F31AC5">
        <w:rPr>
          <w:sz w:val="22"/>
          <w:szCs w:val="22"/>
        </w:rPr>
        <w:t xml:space="preserve">The new waiver policy applies to all FS applicants that are subject to minimum transmission rate requirements, </w:t>
      </w:r>
      <w:r w:rsidR="00F31AC5" w:rsidRPr="00DB04C7">
        <w:rPr>
          <w:i/>
          <w:sz w:val="22"/>
          <w:szCs w:val="22"/>
        </w:rPr>
        <w:t>i.e.,</w:t>
      </w:r>
      <w:r w:rsidR="00F31AC5">
        <w:rPr>
          <w:sz w:val="22"/>
          <w:szCs w:val="22"/>
        </w:rPr>
        <w:t xml:space="preserve"> those proposing to use digital modulation techniques on frequencies below 25.25 GHz.  </w:t>
      </w:r>
      <w:r w:rsidR="00650AD3">
        <w:rPr>
          <w:sz w:val="22"/>
          <w:szCs w:val="22"/>
        </w:rPr>
        <w:t xml:space="preserve">The Commission noted that this could save applicants </w:t>
      </w:r>
      <w:r>
        <w:rPr>
          <w:sz w:val="22"/>
          <w:szCs w:val="22"/>
        </w:rPr>
        <w:t xml:space="preserve">as much as $500,000 per link and </w:t>
      </w:r>
      <w:r w:rsidR="00650AD3">
        <w:rPr>
          <w:sz w:val="22"/>
          <w:szCs w:val="22"/>
        </w:rPr>
        <w:t>make</w:t>
      </w:r>
      <w:r>
        <w:rPr>
          <w:sz w:val="22"/>
          <w:szCs w:val="22"/>
        </w:rPr>
        <w:t xml:space="preserve"> it economically feasible to provide </w:t>
      </w:r>
      <w:r w:rsidR="001E5289">
        <w:rPr>
          <w:sz w:val="22"/>
          <w:szCs w:val="22"/>
        </w:rPr>
        <w:t xml:space="preserve">affordable </w:t>
      </w:r>
      <w:r>
        <w:rPr>
          <w:sz w:val="22"/>
          <w:szCs w:val="22"/>
        </w:rPr>
        <w:t>microwave con</w:t>
      </w:r>
      <w:r w:rsidR="001E5289">
        <w:rPr>
          <w:sz w:val="22"/>
          <w:szCs w:val="22"/>
        </w:rPr>
        <w:t xml:space="preserve">nections to places where broadband </w:t>
      </w:r>
      <w:r w:rsidR="001F13D8">
        <w:rPr>
          <w:sz w:val="22"/>
          <w:szCs w:val="22"/>
        </w:rPr>
        <w:t>communication</w:t>
      </w:r>
      <w:r w:rsidR="001E5289">
        <w:rPr>
          <w:sz w:val="22"/>
          <w:szCs w:val="22"/>
        </w:rPr>
        <w:t xml:space="preserve"> was previously available only by satellite.  </w:t>
      </w:r>
      <w:r w:rsidR="00650AD3">
        <w:rPr>
          <w:sz w:val="22"/>
          <w:szCs w:val="22"/>
        </w:rPr>
        <w:t xml:space="preserve"> Favorable consideration </w:t>
      </w:r>
      <w:r w:rsidR="00B311DE">
        <w:rPr>
          <w:sz w:val="22"/>
          <w:szCs w:val="22"/>
        </w:rPr>
        <w:t xml:space="preserve">of these waiver requests </w:t>
      </w:r>
      <w:r w:rsidR="00650AD3">
        <w:rPr>
          <w:sz w:val="22"/>
          <w:szCs w:val="22"/>
        </w:rPr>
        <w:t xml:space="preserve">will be available where </w:t>
      </w:r>
      <w:r w:rsidR="001E5289">
        <w:rPr>
          <w:sz w:val="22"/>
          <w:szCs w:val="22"/>
        </w:rPr>
        <w:t>the interference environment allows the applicant to use a les</w:t>
      </w:r>
      <w:r w:rsidR="00AA557F">
        <w:rPr>
          <w:sz w:val="22"/>
          <w:szCs w:val="22"/>
        </w:rPr>
        <w:t xml:space="preserve">s stringent Category </w:t>
      </w:r>
      <w:r w:rsidR="00845659" w:rsidRPr="00DB04C7">
        <w:rPr>
          <w:sz w:val="22"/>
          <w:szCs w:val="22"/>
        </w:rPr>
        <w:t>B,</w:t>
      </w:r>
      <w:r w:rsidR="00845659">
        <w:rPr>
          <w:sz w:val="22"/>
          <w:szCs w:val="22"/>
        </w:rPr>
        <w:t xml:space="preserve"> </w:t>
      </w:r>
      <w:r w:rsidR="00AA557F">
        <w:rPr>
          <w:sz w:val="22"/>
          <w:szCs w:val="22"/>
        </w:rPr>
        <w:t>B</w:t>
      </w:r>
      <w:r w:rsidR="00FB0B20">
        <w:rPr>
          <w:sz w:val="22"/>
          <w:szCs w:val="22"/>
        </w:rPr>
        <w:t>1 or B2</w:t>
      </w:r>
      <w:r w:rsidR="00AA557F">
        <w:rPr>
          <w:sz w:val="22"/>
          <w:szCs w:val="22"/>
        </w:rPr>
        <w:t xml:space="preserve"> antenna</w:t>
      </w:r>
      <w:r w:rsidR="00650AD3">
        <w:rPr>
          <w:sz w:val="22"/>
          <w:szCs w:val="22"/>
        </w:rPr>
        <w:t xml:space="preserve"> </w:t>
      </w:r>
      <w:r w:rsidR="001E5289">
        <w:rPr>
          <w:sz w:val="22"/>
          <w:szCs w:val="22"/>
        </w:rPr>
        <w:t>as contrasted with the higher performance Category A antennas required in congested areas</w:t>
      </w:r>
      <w:r w:rsidR="00AA557F">
        <w:rPr>
          <w:sz w:val="22"/>
          <w:szCs w:val="22"/>
        </w:rPr>
        <w:t>,</w:t>
      </w:r>
      <w:r w:rsidR="001E5289">
        <w:rPr>
          <w:sz w:val="22"/>
          <w:szCs w:val="22"/>
        </w:rPr>
        <w:t xml:space="preserve"> and where each end of the proposed microwave link is located in a county with a population density of 100 persons per square mile or less</w:t>
      </w:r>
      <w:r w:rsidR="001F13D8">
        <w:rPr>
          <w:sz w:val="22"/>
          <w:szCs w:val="22"/>
        </w:rPr>
        <w:t xml:space="preserve">.  </w:t>
      </w:r>
      <w:r w:rsidR="001E5289">
        <w:rPr>
          <w:sz w:val="22"/>
          <w:szCs w:val="22"/>
        </w:rPr>
        <w:t xml:space="preserve">The applicant must also avoid locating in a recognized antenna farm and must acknowledge its duty to upgrade to a Category A </w:t>
      </w:r>
      <w:r w:rsidR="00AA557F">
        <w:rPr>
          <w:sz w:val="22"/>
          <w:szCs w:val="22"/>
        </w:rPr>
        <w:t xml:space="preserve">antenna </w:t>
      </w:r>
      <w:r w:rsidR="001E5289">
        <w:rPr>
          <w:sz w:val="22"/>
          <w:szCs w:val="22"/>
        </w:rPr>
        <w:t>if necessary to resolve an interference conflict with a</w:t>
      </w:r>
      <w:r w:rsidR="00AA557F">
        <w:rPr>
          <w:sz w:val="22"/>
          <w:szCs w:val="22"/>
        </w:rPr>
        <w:t xml:space="preserve"> proposed</w:t>
      </w:r>
      <w:r w:rsidR="001E5289">
        <w:rPr>
          <w:sz w:val="22"/>
          <w:szCs w:val="22"/>
        </w:rPr>
        <w:t xml:space="preserve"> microwave link</w:t>
      </w:r>
      <w:r w:rsidR="00AA557F">
        <w:rPr>
          <w:sz w:val="22"/>
          <w:szCs w:val="22"/>
        </w:rPr>
        <w:t xml:space="preserve"> in the future, and, if that happens, to comply with the Section 101.141 efficiency requirements.</w:t>
      </w:r>
    </w:p>
    <w:p w:rsidR="00EB5F8D" w:rsidRDefault="00EB5F8D" w:rsidP="000D6B05">
      <w:pPr>
        <w:pStyle w:val="ParaNum"/>
        <w:numPr>
          <w:ilvl w:val="0"/>
          <w:numId w:val="0"/>
        </w:numPr>
        <w:rPr>
          <w:sz w:val="22"/>
          <w:szCs w:val="22"/>
        </w:rPr>
      </w:pPr>
      <w:r>
        <w:rPr>
          <w:sz w:val="22"/>
          <w:szCs w:val="22"/>
        </w:rPr>
        <w:tab/>
        <w:t>The Commission expanded the maximum bandwidths allowed in the Lower 6 GHz band from 30 to 60 megahertz, and in the 11 GHz band from 40 to 80 megahertz.  In this context, the Lower 6 GHz band refers to frequencies between 5925 and 6425 MHz, and the 11 GHz band includes frequencies between 10,700 and 11,700 megahertz.</w:t>
      </w:r>
      <w:r w:rsidR="00845659">
        <w:rPr>
          <w:sz w:val="22"/>
          <w:szCs w:val="22"/>
        </w:rPr>
        <w:t xml:space="preserve">  Allowing </w:t>
      </w:r>
      <w:r w:rsidR="00F91912">
        <w:rPr>
          <w:sz w:val="22"/>
          <w:szCs w:val="22"/>
        </w:rPr>
        <w:t xml:space="preserve">wider bandwidths </w:t>
      </w:r>
      <w:r w:rsidR="00B311DE">
        <w:rPr>
          <w:sz w:val="22"/>
          <w:szCs w:val="22"/>
        </w:rPr>
        <w:t xml:space="preserve">enables </w:t>
      </w:r>
      <w:r w:rsidR="00F91912">
        <w:rPr>
          <w:sz w:val="22"/>
          <w:szCs w:val="22"/>
        </w:rPr>
        <w:t>licensees to transmit at faster data rates.</w:t>
      </w:r>
    </w:p>
    <w:p w:rsidR="009A1651" w:rsidRDefault="00D55864" w:rsidP="006C06E2">
      <w:pPr>
        <w:pStyle w:val="ParaNum"/>
        <w:numPr>
          <w:ilvl w:val="0"/>
          <w:numId w:val="0"/>
        </w:numPr>
        <w:rPr>
          <w:sz w:val="22"/>
          <w:szCs w:val="22"/>
        </w:rPr>
      </w:pPr>
      <w:r>
        <w:rPr>
          <w:sz w:val="22"/>
          <w:szCs w:val="22"/>
        </w:rPr>
        <w:tab/>
        <w:t xml:space="preserve">Finally, the Commission modified </w:t>
      </w:r>
      <w:r w:rsidR="00CD6221">
        <w:rPr>
          <w:sz w:val="22"/>
          <w:szCs w:val="22"/>
        </w:rPr>
        <w:t>its rules to require FS operators</w:t>
      </w:r>
      <w:r>
        <w:rPr>
          <w:sz w:val="22"/>
          <w:szCs w:val="22"/>
        </w:rPr>
        <w:t xml:space="preserve"> pointing </w:t>
      </w:r>
      <w:r w:rsidR="00CD6221">
        <w:rPr>
          <w:sz w:val="22"/>
          <w:szCs w:val="22"/>
        </w:rPr>
        <w:t xml:space="preserve">microwave beams </w:t>
      </w:r>
      <w:r>
        <w:rPr>
          <w:sz w:val="22"/>
          <w:szCs w:val="22"/>
        </w:rPr>
        <w:t xml:space="preserve">in the direction of </w:t>
      </w:r>
      <w:r w:rsidR="003E3B9C">
        <w:rPr>
          <w:sz w:val="22"/>
          <w:szCs w:val="22"/>
        </w:rPr>
        <w:t xml:space="preserve">geostationary </w:t>
      </w:r>
      <w:r>
        <w:rPr>
          <w:sz w:val="22"/>
          <w:szCs w:val="22"/>
        </w:rPr>
        <w:t xml:space="preserve">communication satellites </w:t>
      </w:r>
      <w:r w:rsidR="00CD6221">
        <w:rPr>
          <w:sz w:val="22"/>
          <w:szCs w:val="22"/>
        </w:rPr>
        <w:t>to obtain waivers only</w:t>
      </w:r>
      <w:r w:rsidR="006C06E2">
        <w:rPr>
          <w:sz w:val="22"/>
          <w:szCs w:val="22"/>
        </w:rPr>
        <w:t xml:space="preserve"> if</w:t>
      </w:r>
      <w:r w:rsidR="00CD6221">
        <w:rPr>
          <w:sz w:val="22"/>
          <w:szCs w:val="22"/>
        </w:rPr>
        <w:t xml:space="preserve"> their signal strengths exceed the values specified in Article 21 of the International Telecommunication Union’s Radio Regulations</w:t>
      </w:r>
      <w:r w:rsidR="00BD29BE">
        <w:rPr>
          <w:sz w:val="22"/>
          <w:szCs w:val="22"/>
        </w:rPr>
        <w:t xml:space="preserve"> (available at </w:t>
      </w:r>
      <w:hyperlink r:id="rId9" w:history="1">
        <w:r w:rsidR="00BD29BE" w:rsidRPr="00BD29BE">
          <w:rPr>
            <w:rStyle w:val="Hyperlink"/>
            <w:sz w:val="22"/>
            <w:szCs w:val="22"/>
          </w:rPr>
          <w:t>http://www.itu.int/dms_pub/itu-s/oth/02/02/S020200001A4501PDFE.pdf</w:t>
        </w:r>
      </w:hyperlink>
      <w:r w:rsidR="00BD29BE">
        <w:rPr>
          <w:sz w:val="22"/>
          <w:szCs w:val="22"/>
        </w:rPr>
        <w:t>)</w:t>
      </w:r>
      <w:r w:rsidR="00CD6221">
        <w:rPr>
          <w:sz w:val="22"/>
          <w:szCs w:val="22"/>
        </w:rPr>
        <w:t xml:space="preserve">.  </w:t>
      </w:r>
      <w:r w:rsidR="0032417D">
        <w:rPr>
          <w:sz w:val="22"/>
          <w:szCs w:val="22"/>
        </w:rPr>
        <w:t xml:space="preserve">The Commission decided to harmonize its rules with </w:t>
      </w:r>
      <w:r w:rsidR="003E3B9C">
        <w:rPr>
          <w:sz w:val="22"/>
          <w:szCs w:val="22"/>
        </w:rPr>
        <w:t xml:space="preserve">those </w:t>
      </w:r>
      <w:r w:rsidR="0032417D">
        <w:rPr>
          <w:sz w:val="22"/>
          <w:szCs w:val="22"/>
        </w:rPr>
        <w:t xml:space="preserve">international regulations, which are less restrictive than the rules formerly applied by the Commission.  </w:t>
      </w:r>
      <w:r w:rsidR="009A1651">
        <w:rPr>
          <w:sz w:val="22"/>
          <w:szCs w:val="22"/>
        </w:rPr>
        <w:t>The following terms are used in this paragraph:</w:t>
      </w:r>
    </w:p>
    <w:p w:rsidR="009A1651" w:rsidRDefault="009A1651" w:rsidP="006C06E2">
      <w:pPr>
        <w:pStyle w:val="ParaNum"/>
        <w:numPr>
          <w:ilvl w:val="0"/>
          <w:numId w:val="0"/>
        </w:numPr>
        <w:rPr>
          <w:sz w:val="22"/>
          <w:szCs w:val="22"/>
        </w:rPr>
      </w:pPr>
      <w:r w:rsidRPr="009A1651">
        <w:rPr>
          <w:i/>
          <w:sz w:val="22"/>
          <w:szCs w:val="22"/>
        </w:rPr>
        <w:t>Geostationary satellite</w:t>
      </w:r>
      <w:r>
        <w:rPr>
          <w:sz w:val="22"/>
          <w:szCs w:val="22"/>
        </w:rPr>
        <w:t xml:space="preserve"> – a satellite that is positioned above the equator and orbits the earth every 24 hours, thus appearing to remain motionless relative to the ground below.</w:t>
      </w:r>
    </w:p>
    <w:p w:rsidR="009A1651" w:rsidRDefault="009A1651" w:rsidP="006C06E2">
      <w:pPr>
        <w:pStyle w:val="ParaNum"/>
        <w:numPr>
          <w:ilvl w:val="0"/>
          <w:numId w:val="0"/>
        </w:numPr>
        <w:rPr>
          <w:sz w:val="22"/>
          <w:szCs w:val="22"/>
        </w:rPr>
      </w:pPr>
      <w:r w:rsidRPr="009A1651">
        <w:rPr>
          <w:i/>
          <w:sz w:val="22"/>
          <w:szCs w:val="22"/>
        </w:rPr>
        <w:t>Geostationary-satellite orbital arc</w:t>
      </w:r>
      <w:r>
        <w:rPr>
          <w:sz w:val="22"/>
          <w:szCs w:val="22"/>
        </w:rPr>
        <w:t xml:space="preserve">  a circle high above the equator where geostationary satellites</w:t>
      </w:r>
      <w:r w:rsidR="003E3B9C">
        <w:rPr>
          <w:sz w:val="22"/>
          <w:szCs w:val="22"/>
        </w:rPr>
        <w:t xml:space="preserve"> </w:t>
      </w:r>
      <w:r w:rsidR="00E57006">
        <w:rPr>
          <w:sz w:val="22"/>
          <w:szCs w:val="22"/>
        </w:rPr>
        <w:t>are placed to achieve a geostationary orbit</w:t>
      </w:r>
      <w:r>
        <w:rPr>
          <w:sz w:val="22"/>
          <w:szCs w:val="22"/>
        </w:rPr>
        <w:t>.</w:t>
      </w:r>
    </w:p>
    <w:p w:rsidR="009A1651" w:rsidRDefault="009A1651" w:rsidP="006C06E2">
      <w:pPr>
        <w:pStyle w:val="ParaNum"/>
        <w:numPr>
          <w:ilvl w:val="0"/>
          <w:numId w:val="0"/>
        </w:numPr>
        <w:rPr>
          <w:sz w:val="22"/>
          <w:szCs w:val="22"/>
        </w:rPr>
      </w:pPr>
      <w:r w:rsidRPr="009A1651">
        <w:rPr>
          <w:i/>
          <w:sz w:val="22"/>
          <w:szCs w:val="22"/>
        </w:rPr>
        <w:t>Decibel watt (dBW)</w:t>
      </w:r>
      <w:r>
        <w:rPr>
          <w:sz w:val="22"/>
          <w:szCs w:val="22"/>
        </w:rPr>
        <w:t xml:space="preserve"> – a measure of electromagnetic energy expressed on a logarithmic scale.</w:t>
      </w:r>
    </w:p>
    <w:p w:rsidR="00FE48CB" w:rsidRPr="00FE48CB" w:rsidRDefault="00FE48CB" w:rsidP="00FE48CB">
      <w:pPr>
        <w:pStyle w:val="ParaNum"/>
        <w:numPr>
          <w:ilvl w:val="0"/>
          <w:numId w:val="0"/>
        </w:numPr>
        <w:rPr>
          <w:sz w:val="22"/>
          <w:szCs w:val="22"/>
        </w:rPr>
      </w:pPr>
      <w:r w:rsidRPr="00FE48CB">
        <w:rPr>
          <w:i/>
          <w:sz w:val="22"/>
          <w:szCs w:val="22"/>
        </w:rPr>
        <w:t>Isotropic</w:t>
      </w:r>
      <w:r>
        <w:rPr>
          <w:sz w:val="22"/>
          <w:szCs w:val="22"/>
        </w:rPr>
        <w:t xml:space="preserve"> – a term applied to radio antennas that radiate equal amounts of energy in all directions, as distinguished from </w:t>
      </w:r>
      <w:r w:rsidR="0032417D">
        <w:rPr>
          <w:sz w:val="22"/>
          <w:szCs w:val="22"/>
        </w:rPr>
        <w:t>directional</w:t>
      </w:r>
      <w:r>
        <w:rPr>
          <w:sz w:val="22"/>
          <w:szCs w:val="22"/>
        </w:rPr>
        <w:t xml:space="preserve"> antennas</w:t>
      </w:r>
      <w:r w:rsidR="0032417D">
        <w:rPr>
          <w:sz w:val="22"/>
          <w:szCs w:val="22"/>
        </w:rPr>
        <w:t xml:space="preserve">, which concentrate </w:t>
      </w:r>
      <w:r w:rsidR="003E3B9C">
        <w:rPr>
          <w:sz w:val="22"/>
          <w:szCs w:val="22"/>
        </w:rPr>
        <w:t>signals</w:t>
      </w:r>
      <w:r w:rsidR="00CC19D3">
        <w:rPr>
          <w:sz w:val="22"/>
          <w:szCs w:val="22"/>
        </w:rPr>
        <w:t xml:space="preserve"> along defined pathways</w:t>
      </w:r>
      <w:r>
        <w:rPr>
          <w:sz w:val="22"/>
          <w:szCs w:val="22"/>
        </w:rPr>
        <w:t>.</w:t>
      </w:r>
    </w:p>
    <w:p w:rsidR="00FE48CB" w:rsidRDefault="00FE48CB" w:rsidP="00FE48CB">
      <w:pPr>
        <w:pStyle w:val="ParaNum"/>
        <w:numPr>
          <w:ilvl w:val="0"/>
          <w:numId w:val="0"/>
        </w:numPr>
        <w:rPr>
          <w:sz w:val="22"/>
          <w:szCs w:val="22"/>
        </w:rPr>
      </w:pPr>
      <w:r w:rsidRPr="00FE48CB">
        <w:rPr>
          <w:i/>
          <w:sz w:val="22"/>
          <w:szCs w:val="22"/>
        </w:rPr>
        <w:t>Effective Isotropic Radiated Power</w:t>
      </w:r>
      <w:r>
        <w:rPr>
          <w:sz w:val="22"/>
          <w:szCs w:val="22"/>
        </w:rPr>
        <w:t xml:space="preserve">, also called </w:t>
      </w:r>
      <w:r w:rsidRPr="00FE48CB">
        <w:rPr>
          <w:i/>
          <w:sz w:val="22"/>
          <w:szCs w:val="22"/>
        </w:rPr>
        <w:t>Equivalent Isotropic Radiated Power (EIRP)</w:t>
      </w:r>
      <w:r>
        <w:rPr>
          <w:sz w:val="22"/>
          <w:szCs w:val="22"/>
        </w:rPr>
        <w:t xml:space="preserve"> </w:t>
      </w:r>
      <w:r w:rsidR="00430BFE">
        <w:rPr>
          <w:sz w:val="22"/>
          <w:szCs w:val="22"/>
        </w:rPr>
        <w:t>–</w:t>
      </w:r>
      <w:r>
        <w:rPr>
          <w:sz w:val="22"/>
          <w:szCs w:val="22"/>
        </w:rPr>
        <w:t xml:space="preserve"> the amount of power that would be transmitted in a specified arc from an omnidirectional antenna operating at a given power level.  EIRP is typically used to express the </w:t>
      </w:r>
      <w:r w:rsidR="0032417D">
        <w:rPr>
          <w:sz w:val="22"/>
          <w:szCs w:val="22"/>
        </w:rPr>
        <w:t>power being transmitted from a directional antenna.</w:t>
      </w:r>
    </w:p>
    <w:p w:rsidR="006E4D1F" w:rsidRDefault="0032417D" w:rsidP="006C06E2">
      <w:pPr>
        <w:pStyle w:val="ParaNum"/>
        <w:numPr>
          <w:ilvl w:val="0"/>
          <w:numId w:val="0"/>
        </w:numPr>
        <w:rPr>
          <w:sz w:val="22"/>
          <w:szCs w:val="22"/>
        </w:rPr>
      </w:pPr>
      <w:r>
        <w:rPr>
          <w:sz w:val="22"/>
          <w:szCs w:val="22"/>
        </w:rPr>
        <w:t>R</w:t>
      </w:r>
      <w:r w:rsidR="00444048">
        <w:rPr>
          <w:sz w:val="22"/>
          <w:szCs w:val="22"/>
        </w:rPr>
        <w:t xml:space="preserve">evised </w:t>
      </w:r>
      <w:r w:rsidR="00E950E1">
        <w:rPr>
          <w:sz w:val="22"/>
          <w:szCs w:val="22"/>
        </w:rPr>
        <w:t>Section</w:t>
      </w:r>
      <w:r w:rsidR="00444048">
        <w:rPr>
          <w:sz w:val="22"/>
          <w:szCs w:val="22"/>
        </w:rPr>
        <w:t xml:space="preserve"> </w:t>
      </w:r>
      <w:r w:rsidR="00E950E1">
        <w:rPr>
          <w:sz w:val="22"/>
          <w:szCs w:val="22"/>
        </w:rPr>
        <w:t xml:space="preserve">101.145 of the Commission’s rules </w:t>
      </w:r>
      <w:r w:rsidR="003E3B9C">
        <w:rPr>
          <w:sz w:val="22"/>
          <w:szCs w:val="22"/>
        </w:rPr>
        <w:t xml:space="preserve">requires FS license applicants to seek waivers when they propose to send </w:t>
      </w:r>
      <w:r w:rsidR="00E950E1">
        <w:rPr>
          <w:sz w:val="22"/>
          <w:szCs w:val="22"/>
        </w:rPr>
        <w:t>transmissions</w:t>
      </w:r>
      <w:r w:rsidR="00444048">
        <w:rPr>
          <w:sz w:val="22"/>
          <w:szCs w:val="22"/>
        </w:rPr>
        <w:t xml:space="preserve"> in the 2655-26</w:t>
      </w:r>
      <w:r w:rsidR="001F13D8">
        <w:rPr>
          <w:sz w:val="22"/>
          <w:szCs w:val="22"/>
        </w:rPr>
        <w:t>90 MHz band or the 5925-7025 MHz band</w:t>
      </w:r>
      <w:r w:rsidR="00444048">
        <w:rPr>
          <w:sz w:val="22"/>
          <w:szCs w:val="22"/>
        </w:rPr>
        <w:t xml:space="preserve"> that </w:t>
      </w:r>
      <w:r w:rsidR="003E3B9C">
        <w:rPr>
          <w:sz w:val="22"/>
          <w:szCs w:val="22"/>
        </w:rPr>
        <w:t>would be</w:t>
      </w:r>
      <w:r w:rsidR="00444048">
        <w:rPr>
          <w:sz w:val="22"/>
          <w:szCs w:val="22"/>
        </w:rPr>
        <w:t xml:space="preserve"> aimed within 2 degrees of the </w:t>
      </w:r>
      <w:r w:rsidR="009D022B">
        <w:rPr>
          <w:sz w:val="22"/>
          <w:szCs w:val="22"/>
        </w:rPr>
        <w:t xml:space="preserve">geostationary-satellite </w:t>
      </w:r>
      <w:r w:rsidR="00444048">
        <w:rPr>
          <w:sz w:val="22"/>
          <w:szCs w:val="22"/>
        </w:rPr>
        <w:t xml:space="preserve">orbital </w:t>
      </w:r>
      <w:r w:rsidR="009A1651">
        <w:rPr>
          <w:sz w:val="22"/>
          <w:szCs w:val="22"/>
        </w:rPr>
        <w:t xml:space="preserve">arc </w:t>
      </w:r>
      <w:r w:rsidR="009D022B">
        <w:rPr>
          <w:sz w:val="22"/>
          <w:szCs w:val="22"/>
        </w:rPr>
        <w:t xml:space="preserve">and </w:t>
      </w:r>
      <w:r w:rsidR="003E3B9C">
        <w:rPr>
          <w:sz w:val="22"/>
          <w:szCs w:val="22"/>
        </w:rPr>
        <w:t xml:space="preserve">would </w:t>
      </w:r>
      <w:r w:rsidR="00E950E1">
        <w:rPr>
          <w:sz w:val="22"/>
          <w:szCs w:val="22"/>
        </w:rPr>
        <w:t xml:space="preserve">generate more than </w:t>
      </w:r>
      <w:r>
        <w:rPr>
          <w:sz w:val="22"/>
          <w:szCs w:val="22"/>
        </w:rPr>
        <w:t xml:space="preserve">35 </w:t>
      </w:r>
      <w:r w:rsidR="009A1651">
        <w:rPr>
          <w:sz w:val="22"/>
          <w:szCs w:val="22"/>
        </w:rPr>
        <w:t>dBW</w:t>
      </w:r>
      <w:r w:rsidR="00213D4F">
        <w:rPr>
          <w:sz w:val="22"/>
          <w:szCs w:val="22"/>
        </w:rPr>
        <w:t xml:space="preserve">, or </w:t>
      </w:r>
      <w:r w:rsidR="00E950E1">
        <w:rPr>
          <w:sz w:val="22"/>
          <w:szCs w:val="22"/>
        </w:rPr>
        <w:t xml:space="preserve">3,162 watts, of </w:t>
      </w:r>
      <w:r w:rsidR="009A1651">
        <w:rPr>
          <w:sz w:val="22"/>
          <w:szCs w:val="22"/>
        </w:rPr>
        <w:t>EIRP,</w:t>
      </w:r>
      <w:r w:rsidR="00E950E1">
        <w:rPr>
          <w:sz w:val="22"/>
          <w:szCs w:val="22"/>
        </w:rPr>
        <w:t xml:space="preserve"> and to </w:t>
      </w:r>
      <w:r w:rsidR="003E3B9C">
        <w:rPr>
          <w:sz w:val="22"/>
          <w:szCs w:val="22"/>
        </w:rPr>
        <w:t xml:space="preserve">proposed </w:t>
      </w:r>
      <w:r w:rsidR="00E950E1">
        <w:rPr>
          <w:sz w:val="22"/>
          <w:szCs w:val="22"/>
        </w:rPr>
        <w:t>FS transmissions in t</w:t>
      </w:r>
      <w:r w:rsidR="003E3B9C">
        <w:rPr>
          <w:sz w:val="22"/>
          <w:szCs w:val="22"/>
        </w:rPr>
        <w:t xml:space="preserve">he 12.7-13.25 GHz band that would be </w:t>
      </w:r>
      <w:r w:rsidR="00E950E1">
        <w:rPr>
          <w:sz w:val="22"/>
          <w:szCs w:val="22"/>
        </w:rPr>
        <w:t xml:space="preserve">aimed within 1.5 degrees of the geostationary-satellite orbital arc and </w:t>
      </w:r>
      <w:r w:rsidR="003E3B9C">
        <w:rPr>
          <w:sz w:val="22"/>
          <w:szCs w:val="22"/>
        </w:rPr>
        <w:t xml:space="preserve">would </w:t>
      </w:r>
      <w:r w:rsidR="00E950E1">
        <w:rPr>
          <w:sz w:val="22"/>
          <w:szCs w:val="22"/>
        </w:rPr>
        <w:t xml:space="preserve">generate more than </w:t>
      </w:r>
      <w:r w:rsidR="00FE48CB">
        <w:rPr>
          <w:sz w:val="22"/>
          <w:szCs w:val="22"/>
        </w:rPr>
        <w:t xml:space="preserve">45 dBW, or </w:t>
      </w:r>
      <w:r w:rsidR="00E950E1">
        <w:rPr>
          <w:sz w:val="22"/>
          <w:szCs w:val="22"/>
        </w:rPr>
        <w:t>31,623 watts, of EIRP</w:t>
      </w:r>
      <w:r>
        <w:rPr>
          <w:sz w:val="22"/>
          <w:szCs w:val="22"/>
        </w:rPr>
        <w:t>.</w:t>
      </w:r>
    </w:p>
    <w:p w:rsidR="00903184" w:rsidRDefault="00903184" w:rsidP="00903184">
      <w:pPr>
        <w:ind w:left="720"/>
        <w:rPr>
          <w:b/>
          <w:sz w:val="24"/>
          <w:szCs w:val="24"/>
        </w:rPr>
      </w:pPr>
    </w:p>
    <w:p w:rsidR="00A478D0" w:rsidRDefault="00A478D0" w:rsidP="00425202">
      <w:pPr>
        <w:keepNext/>
        <w:keepLines/>
        <w:rPr>
          <w:b/>
          <w:sz w:val="24"/>
          <w:szCs w:val="24"/>
        </w:rPr>
      </w:pPr>
      <w:r>
        <w:rPr>
          <w:b/>
          <w:sz w:val="24"/>
          <w:szCs w:val="24"/>
        </w:rPr>
        <w:t>IV.  INTERNET LINK AND CITATIONS</w:t>
      </w:r>
    </w:p>
    <w:p w:rsidR="00A478D0" w:rsidRDefault="00A478D0" w:rsidP="00425202">
      <w:pPr>
        <w:keepNext/>
        <w:keepLines/>
        <w:rPr>
          <w:b/>
          <w:sz w:val="24"/>
          <w:szCs w:val="24"/>
        </w:rPr>
      </w:pPr>
    </w:p>
    <w:p w:rsidR="00A478D0" w:rsidRPr="005241D6" w:rsidRDefault="00A478D0" w:rsidP="00425202">
      <w:pPr>
        <w:keepNext/>
        <w:keepLines/>
        <w:rPr>
          <w:sz w:val="22"/>
          <w:szCs w:val="22"/>
        </w:rPr>
      </w:pPr>
      <w:r w:rsidRPr="005241D6">
        <w:rPr>
          <w:sz w:val="22"/>
          <w:szCs w:val="22"/>
        </w:rPr>
        <w:t>“</w:t>
      </w:r>
      <w:r w:rsidR="00333098">
        <w:rPr>
          <w:sz w:val="22"/>
          <w:szCs w:val="22"/>
        </w:rPr>
        <w:t>Second Report and Order, Second Further Notice of Proposed Rulemaking, Second Notice of Inquiry, Order on Reconsideration, and Memorandum Opinion and Order</w:t>
      </w:r>
      <w:r w:rsidRPr="005241D6">
        <w:rPr>
          <w:sz w:val="22"/>
          <w:szCs w:val="22"/>
        </w:rPr>
        <w:t>”</w:t>
      </w:r>
    </w:p>
    <w:p w:rsidR="00A478D0" w:rsidRPr="005241D6" w:rsidRDefault="00A478D0">
      <w:pPr>
        <w:rPr>
          <w:i/>
          <w:sz w:val="22"/>
          <w:szCs w:val="22"/>
        </w:rPr>
      </w:pPr>
    </w:p>
    <w:p w:rsidR="00F92C0A" w:rsidRDefault="007A5738">
      <w:pPr>
        <w:rPr>
          <w:b/>
          <w:sz w:val="22"/>
          <w:szCs w:val="22"/>
        </w:rPr>
      </w:pPr>
      <w:r w:rsidRPr="005241D6">
        <w:rPr>
          <w:i/>
          <w:sz w:val="22"/>
          <w:szCs w:val="22"/>
        </w:rPr>
        <w:t>Report and Order</w:t>
      </w:r>
      <w:r w:rsidR="00A478D0" w:rsidRPr="005241D6">
        <w:rPr>
          <w:sz w:val="22"/>
          <w:szCs w:val="22"/>
        </w:rPr>
        <w:t>:</w:t>
      </w:r>
    </w:p>
    <w:p w:rsidR="00095D2E" w:rsidRDefault="000D29FD">
      <w:pPr>
        <w:rPr>
          <w:sz w:val="22"/>
          <w:szCs w:val="22"/>
        </w:rPr>
      </w:pPr>
      <w:hyperlink r:id="rId10" w:history="1">
        <w:r w:rsidR="00095D2E" w:rsidRPr="009E6319">
          <w:rPr>
            <w:rStyle w:val="Hyperlink"/>
            <w:sz w:val="22"/>
            <w:szCs w:val="22"/>
          </w:rPr>
          <w:t>http://hraunfoss.fcc.gov/edocs_public/attachmatch/FCC-12-87A1.doc</w:t>
        </w:r>
      </w:hyperlink>
    </w:p>
    <w:p w:rsidR="00FE3186" w:rsidRDefault="00FE3186">
      <w:pPr>
        <w:rPr>
          <w:sz w:val="22"/>
          <w:szCs w:val="22"/>
        </w:rPr>
      </w:pPr>
    </w:p>
    <w:p w:rsidR="0000625F" w:rsidRPr="005241D6" w:rsidRDefault="00FE3186" w:rsidP="00FE3186">
      <w:pPr>
        <w:rPr>
          <w:sz w:val="22"/>
          <w:szCs w:val="22"/>
        </w:rPr>
      </w:pPr>
      <w:r w:rsidRPr="00FE3186">
        <w:rPr>
          <w:sz w:val="22"/>
          <w:szCs w:val="22"/>
        </w:rPr>
        <w:t>27 FCC Rcd 9735</w:t>
      </w:r>
      <w:r w:rsidR="00F91912">
        <w:rPr>
          <w:sz w:val="22"/>
          <w:szCs w:val="22"/>
        </w:rPr>
        <w:t xml:space="preserve"> </w:t>
      </w:r>
      <w:r>
        <w:rPr>
          <w:sz w:val="22"/>
          <w:szCs w:val="22"/>
        </w:rPr>
        <w:t>(2012) (including correction)</w:t>
      </w:r>
      <w:r w:rsidRPr="00FE3186">
        <w:rPr>
          <w:sz w:val="22"/>
          <w:szCs w:val="22"/>
        </w:rPr>
        <w:t xml:space="preserve">, </w:t>
      </w:r>
      <w:r w:rsidR="00F91912">
        <w:rPr>
          <w:i/>
          <w:sz w:val="22"/>
          <w:szCs w:val="22"/>
        </w:rPr>
        <w:t xml:space="preserve">modified at </w:t>
      </w:r>
      <w:r w:rsidR="00F91912">
        <w:rPr>
          <w:sz w:val="22"/>
          <w:szCs w:val="22"/>
        </w:rPr>
        <w:t xml:space="preserve">27 FCC Rcd 12600 (2012), </w:t>
      </w:r>
      <w:r>
        <w:rPr>
          <w:sz w:val="22"/>
          <w:szCs w:val="22"/>
        </w:rPr>
        <w:t>77 Fed. Reg.</w:t>
      </w:r>
      <w:r w:rsidRPr="00FE3186">
        <w:rPr>
          <w:sz w:val="22"/>
          <w:szCs w:val="22"/>
        </w:rPr>
        <w:t xml:space="preserve"> 54421</w:t>
      </w:r>
      <w:r>
        <w:rPr>
          <w:sz w:val="22"/>
          <w:szCs w:val="22"/>
        </w:rPr>
        <w:t xml:space="preserve"> (2012), corrected at 77 Fed. Reg.</w:t>
      </w:r>
      <w:r w:rsidRPr="00FE3186">
        <w:rPr>
          <w:sz w:val="22"/>
          <w:szCs w:val="22"/>
        </w:rPr>
        <w:t xml:space="preserve"> </w:t>
      </w:r>
      <w:r w:rsidR="005865CE">
        <w:rPr>
          <w:sz w:val="22"/>
          <w:szCs w:val="22"/>
        </w:rPr>
        <w:t xml:space="preserve">73956 </w:t>
      </w:r>
      <w:r>
        <w:rPr>
          <w:sz w:val="22"/>
          <w:szCs w:val="22"/>
        </w:rPr>
        <w:t>(2012).</w:t>
      </w:r>
    </w:p>
    <w:sectPr w:rsidR="0000625F" w:rsidRPr="005241D6">
      <w:headerReference w:type="even" r:id="rId11"/>
      <w:headerReference w:type="default" r:id="rId12"/>
      <w:footerReference w:type="even" r:id="rId13"/>
      <w:footerReference w:type="default" r:id="rId14"/>
      <w:headerReference w:type="first" r:id="rId15"/>
      <w:footerReference w:type="first" r:id="rId16"/>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AB" w:rsidRDefault="00151AAB">
      <w:r>
        <w:separator/>
      </w:r>
    </w:p>
  </w:endnote>
  <w:endnote w:type="continuationSeparator" w:id="0">
    <w:p w:rsidR="00151AAB" w:rsidRDefault="0015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2" w:rsidRDefault="00061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13A2" w:rsidRDefault="00061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2" w:rsidRDefault="00061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9FD">
      <w:rPr>
        <w:rStyle w:val="PageNumber"/>
        <w:noProof/>
      </w:rPr>
      <w:t>5</w:t>
    </w:r>
    <w:r>
      <w:rPr>
        <w:rStyle w:val="PageNumber"/>
      </w:rPr>
      <w:fldChar w:fldCharType="end"/>
    </w:r>
  </w:p>
  <w:p w:rsidR="000613A2" w:rsidRDefault="00061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46" w:rsidRDefault="00201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AB" w:rsidRDefault="00151AAB">
      <w:r>
        <w:separator/>
      </w:r>
    </w:p>
  </w:footnote>
  <w:footnote w:type="continuationSeparator" w:id="0">
    <w:p w:rsidR="00151AAB" w:rsidRDefault="00151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46" w:rsidRDefault="00201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46" w:rsidRDefault="00201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A2" w:rsidRDefault="002E38AC">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0613A2">
      <w:rPr>
        <w:rFonts w:ascii="CG Times (W1)" w:hAnsi="CG Times (W1)"/>
        <w:sz w:val="28"/>
      </w:rPr>
      <w:t>Federal Communications Commission</w:t>
    </w:r>
  </w:p>
  <w:p w:rsidR="000613A2" w:rsidRDefault="000613A2">
    <w:pPr>
      <w:jc w:val="center"/>
    </w:pPr>
    <w:r>
      <w:rPr>
        <w:rFonts w:ascii="CG Times (W1)" w:hAnsi="CG Times (W1)"/>
        <w:sz w:val="28"/>
      </w:rPr>
      <w:t>Washington, D.C. 20554</w:t>
    </w:r>
  </w:p>
  <w:p w:rsidR="000613A2" w:rsidRDefault="000613A2">
    <w:pPr>
      <w:pStyle w:val="Header"/>
      <w:tabs>
        <w:tab w:val="clear" w:pos="4320"/>
      </w:tabs>
      <w:jc w:val="center"/>
      <w:rPr>
        <w:sz w:val="22"/>
      </w:rPr>
    </w:pPr>
  </w:p>
  <w:p w:rsidR="009A6A16" w:rsidRPr="009A6A16" w:rsidRDefault="009A6A16" w:rsidP="009A6A16">
    <w:pPr>
      <w:pStyle w:val="Header"/>
      <w:tabs>
        <w:tab w:val="clear" w:pos="4320"/>
      </w:tabs>
      <w:jc w:val="center"/>
      <w:rPr>
        <w:sz w:val="24"/>
        <w:szCs w:val="24"/>
      </w:rPr>
    </w:pPr>
    <w:r w:rsidRPr="009A6A16">
      <w:rPr>
        <w:color w:val="FFFFFF" w:themeColor="background1"/>
        <w:sz w:val="24"/>
        <w:szCs w:val="24"/>
      </w:rPr>
      <w:t xml:space="preserve">    ‘ </w:t>
    </w:r>
    <w:r w:rsidRPr="009A6A16">
      <w:rPr>
        <w:sz w:val="24"/>
        <w:szCs w:val="24"/>
      </w:rPr>
      <w:t xml:space="preserve">May 17,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569"/>
    <w:multiLevelType w:val="hybridMultilevel"/>
    <w:tmpl w:val="E05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D4DBD"/>
    <w:multiLevelType w:val="hybridMultilevel"/>
    <w:tmpl w:val="07164430"/>
    <w:lvl w:ilvl="0" w:tplc="BE46137C">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DA2A2C"/>
    <w:multiLevelType w:val="hybridMultilevel"/>
    <w:tmpl w:val="EBDAC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473B0"/>
    <w:multiLevelType w:val="hybridMultilevel"/>
    <w:tmpl w:val="F252CC3A"/>
    <w:lvl w:ilvl="0" w:tplc="81FC0CF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DF38B0"/>
    <w:multiLevelType w:val="hybridMultilevel"/>
    <w:tmpl w:val="A48648E8"/>
    <w:lvl w:ilvl="0" w:tplc="71E249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7A0D91"/>
    <w:multiLevelType w:val="hybridMultilevel"/>
    <w:tmpl w:val="64E045BE"/>
    <w:lvl w:ilvl="0" w:tplc="3D8A3564">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2B83F78"/>
    <w:multiLevelType w:val="hybridMultilevel"/>
    <w:tmpl w:val="3C26D7BC"/>
    <w:lvl w:ilvl="0" w:tplc="45E48A2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A666CD"/>
    <w:multiLevelType w:val="hybridMultilevel"/>
    <w:tmpl w:val="0FDA68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C934DD"/>
    <w:multiLevelType w:val="multilevel"/>
    <w:tmpl w:val="C9DEFD36"/>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D034343"/>
    <w:multiLevelType w:val="hybridMultilevel"/>
    <w:tmpl w:val="C9DEFD36"/>
    <w:lvl w:ilvl="0" w:tplc="FFFFFFFF">
      <w:start w:val="1"/>
      <w:numFmt w:val="bullet"/>
      <w:lvlText w:val=""/>
      <w:lvlJc w:val="left"/>
      <w:pPr>
        <w:tabs>
          <w:tab w:val="num" w:pos="72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4D76471"/>
    <w:multiLevelType w:val="multilevel"/>
    <w:tmpl w:val="3C26D7B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CAA13CB"/>
    <w:multiLevelType w:val="multilevel"/>
    <w:tmpl w:val="C9DEFD36"/>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5"/>
  </w:num>
  <w:num w:numId="6">
    <w:abstractNumId w:val="12"/>
  </w:num>
  <w:num w:numId="7">
    <w:abstractNumId w:val="1"/>
  </w:num>
  <w:num w:numId="8">
    <w:abstractNumId w:val="6"/>
  </w:num>
  <w:num w:numId="9">
    <w:abstractNumId w:val="11"/>
  </w:num>
  <w:num w:numId="10">
    <w:abstractNumId w:val="3"/>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BB"/>
    <w:rsid w:val="000019D5"/>
    <w:rsid w:val="0000625F"/>
    <w:rsid w:val="00011544"/>
    <w:rsid w:val="000222C1"/>
    <w:rsid w:val="00037F2E"/>
    <w:rsid w:val="00052144"/>
    <w:rsid w:val="000575AF"/>
    <w:rsid w:val="00057A1F"/>
    <w:rsid w:val="00060DDA"/>
    <w:rsid w:val="000613A2"/>
    <w:rsid w:val="000757CB"/>
    <w:rsid w:val="000865DA"/>
    <w:rsid w:val="00090504"/>
    <w:rsid w:val="00091653"/>
    <w:rsid w:val="00095D2E"/>
    <w:rsid w:val="0009771B"/>
    <w:rsid w:val="00097C25"/>
    <w:rsid w:val="000B2F9B"/>
    <w:rsid w:val="000C37DB"/>
    <w:rsid w:val="000C773E"/>
    <w:rsid w:val="000D29FD"/>
    <w:rsid w:val="000D2B46"/>
    <w:rsid w:val="000D6B05"/>
    <w:rsid w:val="000D708D"/>
    <w:rsid w:val="0011565E"/>
    <w:rsid w:val="001168E3"/>
    <w:rsid w:val="00130E51"/>
    <w:rsid w:val="00134707"/>
    <w:rsid w:val="00140923"/>
    <w:rsid w:val="00151AAB"/>
    <w:rsid w:val="00152D10"/>
    <w:rsid w:val="00175C47"/>
    <w:rsid w:val="00183CF0"/>
    <w:rsid w:val="00186BA3"/>
    <w:rsid w:val="00196ADB"/>
    <w:rsid w:val="001A6CDB"/>
    <w:rsid w:val="001B32DA"/>
    <w:rsid w:val="001C361C"/>
    <w:rsid w:val="001D2E85"/>
    <w:rsid w:val="001D7112"/>
    <w:rsid w:val="001E5289"/>
    <w:rsid w:val="001F13D8"/>
    <w:rsid w:val="001F51B7"/>
    <w:rsid w:val="00201846"/>
    <w:rsid w:val="00202E76"/>
    <w:rsid w:val="00213D4F"/>
    <w:rsid w:val="00220EA5"/>
    <w:rsid w:val="0022481C"/>
    <w:rsid w:val="00263C99"/>
    <w:rsid w:val="00272AB7"/>
    <w:rsid w:val="00287B15"/>
    <w:rsid w:val="002A2ED8"/>
    <w:rsid w:val="002D01E4"/>
    <w:rsid w:val="002D0460"/>
    <w:rsid w:val="002D7164"/>
    <w:rsid w:val="002E0D79"/>
    <w:rsid w:val="002E38AC"/>
    <w:rsid w:val="002F10F7"/>
    <w:rsid w:val="0030241B"/>
    <w:rsid w:val="00317666"/>
    <w:rsid w:val="0032417D"/>
    <w:rsid w:val="00327125"/>
    <w:rsid w:val="00333098"/>
    <w:rsid w:val="00343F68"/>
    <w:rsid w:val="003644AE"/>
    <w:rsid w:val="003723D3"/>
    <w:rsid w:val="00373B30"/>
    <w:rsid w:val="003828AA"/>
    <w:rsid w:val="00387107"/>
    <w:rsid w:val="00391778"/>
    <w:rsid w:val="00393AE2"/>
    <w:rsid w:val="003A67DA"/>
    <w:rsid w:val="003B4635"/>
    <w:rsid w:val="003C08D3"/>
    <w:rsid w:val="003C105A"/>
    <w:rsid w:val="003C1EE6"/>
    <w:rsid w:val="003D268E"/>
    <w:rsid w:val="003E3B1A"/>
    <w:rsid w:val="003E3B9C"/>
    <w:rsid w:val="004038B0"/>
    <w:rsid w:val="004135C3"/>
    <w:rsid w:val="004170CB"/>
    <w:rsid w:val="00417423"/>
    <w:rsid w:val="00421F76"/>
    <w:rsid w:val="00425202"/>
    <w:rsid w:val="00430BFE"/>
    <w:rsid w:val="00436B66"/>
    <w:rsid w:val="004430AA"/>
    <w:rsid w:val="00444048"/>
    <w:rsid w:val="00456C10"/>
    <w:rsid w:val="00480D6C"/>
    <w:rsid w:val="00490BA6"/>
    <w:rsid w:val="004920BB"/>
    <w:rsid w:val="004A20DE"/>
    <w:rsid w:val="004A2569"/>
    <w:rsid w:val="004A662D"/>
    <w:rsid w:val="004C765F"/>
    <w:rsid w:val="004C7EB3"/>
    <w:rsid w:val="004D28C2"/>
    <w:rsid w:val="004E0545"/>
    <w:rsid w:val="005059D7"/>
    <w:rsid w:val="005241D6"/>
    <w:rsid w:val="005249E5"/>
    <w:rsid w:val="00535B6E"/>
    <w:rsid w:val="00540F64"/>
    <w:rsid w:val="005447C5"/>
    <w:rsid w:val="00545CB1"/>
    <w:rsid w:val="005821FF"/>
    <w:rsid w:val="005865CE"/>
    <w:rsid w:val="005913C5"/>
    <w:rsid w:val="005B26F6"/>
    <w:rsid w:val="005D3849"/>
    <w:rsid w:val="005F55EA"/>
    <w:rsid w:val="005F667E"/>
    <w:rsid w:val="006102E1"/>
    <w:rsid w:val="006247E1"/>
    <w:rsid w:val="0063123A"/>
    <w:rsid w:val="0063197A"/>
    <w:rsid w:val="006323B9"/>
    <w:rsid w:val="006356F6"/>
    <w:rsid w:val="00644B64"/>
    <w:rsid w:val="00650AD3"/>
    <w:rsid w:val="00673FD6"/>
    <w:rsid w:val="00675524"/>
    <w:rsid w:val="00677E53"/>
    <w:rsid w:val="006A0145"/>
    <w:rsid w:val="006A527B"/>
    <w:rsid w:val="006B747D"/>
    <w:rsid w:val="006C06E2"/>
    <w:rsid w:val="006C18CC"/>
    <w:rsid w:val="006D19C5"/>
    <w:rsid w:val="006D5ABA"/>
    <w:rsid w:val="006E4D1F"/>
    <w:rsid w:val="00700E34"/>
    <w:rsid w:val="00702C6B"/>
    <w:rsid w:val="007079A5"/>
    <w:rsid w:val="007144AD"/>
    <w:rsid w:val="00715616"/>
    <w:rsid w:val="00721A63"/>
    <w:rsid w:val="00731BF1"/>
    <w:rsid w:val="00734A39"/>
    <w:rsid w:val="00735051"/>
    <w:rsid w:val="00747A08"/>
    <w:rsid w:val="00750AEC"/>
    <w:rsid w:val="00755236"/>
    <w:rsid w:val="0075651F"/>
    <w:rsid w:val="00762631"/>
    <w:rsid w:val="00764204"/>
    <w:rsid w:val="007656F8"/>
    <w:rsid w:val="00781E67"/>
    <w:rsid w:val="007845AD"/>
    <w:rsid w:val="00793FAE"/>
    <w:rsid w:val="007A5738"/>
    <w:rsid w:val="007A6D2A"/>
    <w:rsid w:val="007B0EB7"/>
    <w:rsid w:val="007B4962"/>
    <w:rsid w:val="007D6A2A"/>
    <w:rsid w:val="007E0568"/>
    <w:rsid w:val="007E09E4"/>
    <w:rsid w:val="007E4393"/>
    <w:rsid w:val="007E45BC"/>
    <w:rsid w:val="007E7534"/>
    <w:rsid w:val="007F2963"/>
    <w:rsid w:val="007F3464"/>
    <w:rsid w:val="007F4B21"/>
    <w:rsid w:val="008033FA"/>
    <w:rsid w:val="00805758"/>
    <w:rsid w:val="00810A7B"/>
    <w:rsid w:val="00830568"/>
    <w:rsid w:val="008314CE"/>
    <w:rsid w:val="008403E1"/>
    <w:rsid w:val="00845659"/>
    <w:rsid w:val="0085411E"/>
    <w:rsid w:val="00860D58"/>
    <w:rsid w:val="00870679"/>
    <w:rsid w:val="00880FAD"/>
    <w:rsid w:val="00884DDD"/>
    <w:rsid w:val="008872DA"/>
    <w:rsid w:val="0089353C"/>
    <w:rsid w:val="008D67B6"/>
    <w:rsid w:val="008D6AEB"/>
    <w:rsid w:val="00903184"/>
    <w:rsid w:val="009105C9"/>
    <w:rsid w:val="00924D6C"/>
    <w:rsid w:val="009407B1"/>
    <w:rsid w:val="00951AD6"/>
    <w:rsid w:val="0098459A"/>
    <w:rsid w:val="00987CE5"/>
    <w:rsid w:val="00993DFD"/>
    <w:rsid w:val="009A1651"/>
    <w:rsid w:val="009A1984"/>
    <w:rsid w:val="009A1E04"/>
    <w:rsid w:val="009A38E6"/>
    <w:rsid w:val="009A4205"/>
    <w:rsid w:val="009A4249"/>
    <w:rsid w:val="009A69F0"/>
    <w:rsid w:val="009A6A16"/>
    <w:rsid w:val="009B029B"/>
    <w:rsid w:val="009B6AC9"/>
    <w:rsid w:val="009C4D92"/>
    <w:rsid w:val="009D022B"/>
    <w:rsid w:val="009D1D72"/>
    <w:rsid w:val="009E08E2"/>
    <w:rsid w:val="009E5173"/>
    <w:rsid w:val="009E6319"/>
    <w:rsid w:val="009F0AC6"/>
    <w:rsid w:val="009F5289"/>
    <w:rsid w:val="00A001C2"/>
    <w:rsid w:val="00A02A91"/>
    <w:rsid w:val="00A053A7"/>
    <w:rsid w:val="00A1126F"/>
    <w:rsid w:val="00A30DD5"/>
    <w:rsid w:val="00A34108"/>
    <w:rsid w:val="00A418F7"/>
    <w:rsid w:val="00A42C9F"/>
    <w:rsid w:val="00A4599F"/>
    <w:rsid w:val="00A478D0"/>
    <w:rsid w:val="00A6051F"/>
    <w:rsid w:val="00A606B9"/>
    <w:rsid w:val="00A822DB"/>
    <w:rsid w:val="00AA557F"/>
    <w:rsid w:val="00AA5E05"/>
    <w:rsid w:val="00AA6700"/>
    <w:rsid w:val="00AA7E5C"/>
    <w:rsid w:val="00AC0D8E"/>
    <w:rsid w:val="00AF064E"/>
    <w:rsid w:val="00AF0D29"/>
    <w:rsid w:val="00B00901"/>
    <w:rsid w:val="00B23FF4"/>
    <w:rsid w:val="00B311DE"/>
    <w:rsid w:val="00B90D8A"/>
    <w:rsid w:val="00B9225E"/>
    <w:rsid w:val="00B9726C"/>
    <w:rsid w:val="00BD29BE"/>
    <w:rsid w:val="00C00FC8"/>
    <w:rsid w:val="00C0268A"/>
    <w:rsid w:val="00C07CE3"/>
    <w:rsid w:val="00C117D3"/>
    <w:rsid w:val="00C1201C"/>
    <w:rsid w:val="00C43C78"/>
    <w:rsid w:val="00C43E44"/>
    <w:rsid w:val="00C51680"/>
    <w:rsid w:val="00C52633"/>
    <w:rsid w:val="00C531E9"/>
    <w:rsid w:val="00C67DB6"/>
    <w:rsid w:val="00C80268"/>
    <w:rsid w:val="00C8724C"/>
    <w:rsid w:val="00C875D0"/>
    <w:rsid w:val="00CA0B3A"/>
    <w:rsid w:val="00CA1ED5"/>
    <w:rsid w:val="00CB0A9B"/>
    <w:rsid w:val="00CB44CE"/>
    <w:rsid w:val="00CC19D3"/>
    <w:rsid w:val="00CC2865"/>
    <w:rsid w:val="00CD6221"/>
    <w:rsid w:val="00CD71B3"/>
    <w:rsid w:val="00CE1C07"/>
    <w:rsid w:val="00CF3C4F"/>
    <w:rsid w:val="00CF52DC"/>
    <w:rsid w:val="00CF7BA9"/>
    <w:rsid w:val="00D01B5C"/>
    <w:rsid w:val="00D07C17"/>
    <w:rsid w:val="00D12569"/>
    <w:rsid w:val="00D154BE"/>
    <w:rsid w:val="00D55864"/>
    <w:rsid w:val="00D60870"/>
    <w:rsid w:val="00D818DF"/>
    <w:rsid w:val="00D860E7"/>
    <w:rsid w:val="00D91A5C"/>
    <w:rsid w:val="00D92B36"/>
    <w:rsid w:val="00DB04C7"/>
    <w:rsid w:val="00DC39E8"/>
    <w:rsid w:val="00DD49B3"/>
    <w:rsid w:val="00DE3154"/>
    <w:rsid w:val="00DE7C49"/>
    <w:rsid w:val="00DF0DBD"/>
    <w:rsid w:val="00DF1C3C"/>
    <w:rsid w:val="00E17444"/>
    <w:rsid w:val="00E20763"/>
    <w:rsid w:val="00E34821"/>
    <w:rsid w:val="00E36A9D"/>
    <w:rsid w:val="00E37D89"/>
    <w:rsid w:val="00E42D30"/>
    <w:rsid w:val="00E57006"/>
    <w:rsid w:val="00E63310"/>
    <w:rsid w:val="00E74363"/>
    <w:rsid w:val="00E7720E"/>
    <w:rsid w:val="00E950E1"/>
    <w:rsid w:val="00EA6EA8"/>
    <w:rsid w:val="00EB000F"/>
    <w:rsid w:val="00EB5F8D"/>
    <w:rsid w:val="00ED30E2"/>
    <w:rsid w:val="00ED7655"/>
    <w:rsid w:val="00EE400A"/>
    <w:rsid w:val="00EF23E0"/>
    <w:rsid w:val="00EF3B72"/>
    <w:rsid w:val="00EF3D27"/>
    <w:rsid w:val="00F31AC5"/>
    <w:rsid w:val="00F605DF"/>
    <w:rsid w:val="00F60D03"/>
    <w:rsid w:val="00F70A0B"/>
    <w:rsid w:val="00F725F9"/>
    <w:rsid w:val="00F811AD"/>
    <w:rsid w:val="00F85EC9"/>
    <w:rsid w:val="00F91912"/>
    <w:rsid w:val="00F92C0A"/>
    <w:rsid w:val="00FA3AB0"/>
    <w:rsid w:val="00FB0B20"/>
    <w:rsid w:val="00FB139F"/>
    <w:rsid w:val="00FB3195"/>
    <w:rsid w:val="00FD5E02"/>
    <w:rsid w:val="00FE3186"/>
    <w:rsid w:val="00FE48CB"/>
    <w:rsid w:val="00FE4E3B"/>
    <w:rsid w:val="00FE6AE4"/>
    <w:rsid w:val="00FF0F38"/>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2,Footnote Text Char1 Char,Footnote Text Char Char Char,Footnote Text Char2 Char Char Char,Footnote Text Char1 Char3 Char Char Char,Footnote Text Char Char Char Char Char Char,Footnote Text Char,Footnote Text Char1,fn"/>
    <w:link w:val="FootnoteTextChar3"/>
    <w:semiHidden/>
    <w:pPr>
      <w:spacing w:after="120"/>
    </w:pPr>
  </w:style>
  <w:style w:type="character" w:styleId="FootnoteReference">
    <w:name w:val="footnote reference"/>
    <w:aliases w:val="Appel note de bas de p,Style 12,(NECG) Footnote Reference,Style 13,Style 124,fr,o,Style 3,FR,Style 17,Style 6,Footnote Reference/"/>
    <w:semiHidden/>
    <w:rPr>
      <w:rFonts w:ascii="Times New Roman" w:hAnsi="Times New Roman"/>
      <w:dstrike w:val="0"/>
      <w:color w:val="auto"/>
      <w:sz w:val="22"/>
      <w:vertAlign w:val="superscript"/>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link w:val="FootnoteText"/>
    <w:semiHidden/>
    <w:rPr>
      <w:lang w:val="en-US" w:eastAsia="en-US" w:bidi="ar-SA"/>
    </w:rPr>
  </w:style>
  <w:style w:type="paragraph" w:customStyle="1" w:styleId="ParaNum">
    <w:name w:val="ParaNum"/>
    <w:basedOn w:val="Normal"/>
    <w:link w:val="ParaNumChar"/>
    <w:pPr>
      <w:numPr>
        <w:numId w:val="1"/>
      </w:numPr>
      <w:tabs>
        <w:tab w:val="clear" w:pos="1080"/>
        <w:tab w:val="num" w:pos="1440"/>
      </w:tabs>
      <w:spacing w:after="120"/>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ParaNumChar">
    <w:name w:val="ParaNum Char"/>
    <w:link w:val="ParaNum"/>
    <w:locked/>
    <w:rsid w:val="00C51680"/>
    <w:rPr>
      <w:sz w:val="24"/>
      <w:szCs w:val="24"/>
      <w:lang w:val="en-US" w:eastAsia="en-US" w:bidi="ar-SA"/>
    </w:rPr>
  </w:style>
  <w:style w:type="character" w:styleId="FollowedHyperlink">
    <w:name w:val="FollowedHyperlink"/>
    <w:rsid w:val="008033FA"/>
    <w:rPr>
      <w:color w:val="800080"/>
      <w:u w:val="single"/>
    </w:rPr>
  </w:style>
  <w:style w:type="character" w:styleId="CommentReference">
    <w:name w:val="annotation reference"/>
    <w:rsid w:val="00B311DE"/>
    <w:rPr>
      <w:sz w:val="16"/>
      <w:szCs w:val="16"/>
    </w:rPr>
  </w:style>
  <w:style w:type="paragraph" w:styleId="CommentText">
    <w:name w:val="annotation text"/>
    <w:basedOn w:val="Normal"/>
    <w:link w:val="CommentTextChar"/>
    <w:rsid w:val="00B311DE"/>
  </w:style>
  <w:style w:type="character" w:customStyle="1" w:styleId="CommentTextChar">
    <w:name w:val="Comment Text Char"/>
    <w:basedOn w:val="DefaultParagraphFont"/>
    <w:link w:val="CommentText"/>
    <w:rsid w:val="00B311DE"/>
  </w:style>
  <w:style w:type="paragraph" w:styleId="CommentSubject">
    <w:name w:val="annotation subject"/>
    <w:basedOn w:val="CommentText"/>
    <w:next w:val="CommentText"/>
    <w:link w:val="CommentSubjectChar"/>
    <w:rsid w:val="00B311DE"/>
    <w:rPr>
      <w:b/>
      <w:bCs/>
    </w:rPr>
  </w:style>
  <w:style w:type="character" w:customStyle="1" w:styleId="CommentSubjectChar">
    <w:name w:val="Comment Subject Char"/>
    <w:link w:val="CommentSubject"/>
    <w:rsid w:val="00B311DE"/>
    <w:rPr>
      <w:b/>
      <w:bCs/>
    </w:rPr>
  </w:style>
  <w:style w:type="paragraph" w:styleId="ListParagraph">
    <w:name w:val="List Paragraph"/>
    <w:basedOn w:val="Normal"/>
    <w:uiPriority w:val="34"/>
    <w:qFormat/>
    <w:rsid w:val="00E57006"/>
    <w:pPr>
      <w:ind w:left="720"/>
      <w:contextualSpacing/>
    </w:pPr>
  </w:style>
  <w:style w:type="character" w:customStyle="1" w:styleId="HeaderChar">
    <w:name w:val="Header Char"/>
    <w:link w:val="Header"/>
    <w:uiPriority w:val="99"/>
    <w:rsid w:val="009A6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2,Footnote Text Char1 Char,Footnote Text Char Char Char,Footnote Text Char2 Char Char Char,Footnote Text Char1 Char3 Char Char Char,Footnote Text Char Char Char Char Char Char,Footnote Text Char,Footnote Text Char1,fn"/>
    <w:link w:val="FootnoteTextChar3"/>
    <w:semiHidden/>
    <w:pPr>
      <w:spacing w:after="120"/>
    </w:pPr>
  </w:style>
  <w:style w:type="character" w:styleId="FootnoteReference">
    <w:name w:val="footnote reference"/>
    <w:aliases w:val="Appel note de bas de p,Style 12,(NECG) Footnote Reference,Style 13,Style 124,fr,o,Style 3,FR,Style 17,Style 6,Footnote Reference/"/>
    <w:semiHidden/>
    <w:rPr>
      <w:rFonts w:ascii="Times New Roman" w:hAnsi="Times New Roman"/>
      <w:dstrike w:val="0"/>
      <w:color w:val="auto"/>
      <w:sz w:val="22"/>
      <w:vertAlign w:val="superscript"/>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link w:val="FootnoteText"/>
    <w:semiHidden/>
    <w:rPr>
      <w:lang w:val="en-US" w:eastAsia="en-US" w:bidi="ar-SA"/>
    </w:rPr>
  </w:style>
  <w:style w:type="paragraph" w:customStyle="1" w:styleId="ParaNum">
    <w:name w:val="ParaNum"/>
    <w:basedOn w:val="Normal"/>
    <w:link w:val="ParaNumChar"/>
    <w:pPr>
      <w:numPr>
        <w:numId w:val="1"/>
      </w:numPr>
      <w:tabs>
        <w:tab w:val="clear" w:pos="1080"/>
        <w:tab w:val="num" w:pos="1440"/>
      </w:tabs>
      <w:spacing w:after="120"/>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ParaNumChar">
    <w:name w:val="ParaNum Char"/>
    <w:link w:val="ParaNum"/>
    <w:locked/>
    <w:rsid w:val="00C51680"/>
    <w:rPr>
      <w:sz w:val="24"/>
      <w:szCs w:val="24"/>
      <w:lang w:val="en-US" w:eastAsia="en-US" w:bidi="ar-SA"/>
    </w:rPr>
  </w:style>
  <w:style w:type="character" w:styleId="FollowedHyperlink">
    <w:name w:val="FollowedHyperlink"/>
    <w:rsid w:val="008033FA"/>
    <w:rPr>
      <w:color w:val="800080"/>
      <w:u w:val="single"/>
    </w:rPr>
  </w:style>
  <w:style w:type="character" w:styleId="CommentReference">
    <w:name w:val="annotation reference"/>
    <w:rsid w:val="00B311DE"/>
    <w:rPr>
      <w:sz w:val="16"/>
      <w:szCs w:val="16"/>
    </w:rPr>
  </w:style>
  <w:style w:type="paragraph" w:styleId="CommentText">
    <w:name w:val="annotation text"/>
    <w:basedOn w:val="Normal"/>
    <w:link w:val="CommentTextChar"/>
    <w:rsid w:val="00B311DE"/>
  </w:style>
  <w:style w:type="character" w:customStyle="1" w:styleId="CommentTextChar">
    <w:name w:val="Comment Text Char"/>
    <w:basedOn w:val="DefaultParagraphFont"/>
    <w:link w:val="CommentText"/>
    <w:rsid w:val="00B311DE"/>
  </w:style>
  <w:style w:type="paragraph" w:styleId="CommentSubject">
    <w:name w:val="annotation subject"/>
    <w:basedOn w:val="CommentText"/>
    <w:next w:val="CommentText"/>
    <w:link w:val="CommentSubjectChar"/>
    <w:rsid w:val="00B311DE"/>
    <w:rPr>
      <w:b/>
      <w:bCs/>
    </w:rPr>
  </w:style>
  <w:style w:type="character" w:customStyle="1" w:styleId="CommentSubjectChar">
    <w:name w:val="Comment Subject Char"/>
    <w:link w:val="CommentSubject"/>
    <w:rsid w:val="00B311DE"/>
    <w:rPr>
      <w:b/>
      <w:bCs/>
    </w:rPr>
  </w:style>
  <w:style w:type="paragraph" w:styleId="ListParagraph">
    <w:name w:val="List Paragraph"/>
    <w:basedOn w:val="Normal"/>
    <w:uiPriority w:val="34"/>
    <w:qFormat/>
    <w:rsid w:val="00E57006"/>
    <w:pPr>
      <w:ind w:left="720"/>
      <w:contextualSpacing/>
    </w:pPr>
  </w:style>
  <w:style w:type="character" w:customStyle="1" w:styleId="HeaderChar">
    <w:name w:val="Header Char"/>
    <w:link w:val="Header"/>
    <w:uiPriority w:val="99"/>
    <w:rsid w:val="009A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aunfoss.fcc.gov/edocs_public/attachmatch/FCC-12-87A1.doc" TargetMode="External"/><Relationship Id="rId4" Type="http://schemas.openxmlformats.org/officeDocument/2006/relationships/settings" Target="settings.xml"/><Relationship Id="rId9" Type="http://schemas.openxmlformats.org/officeDocument/2006/relationships/hyperlink" Target="http://www.itu.int/dms_pub/itu-s/oth/02/02/S020200001A4501PDF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5</Pages>
  <Words>1927</Words>
  <Characters>10809</Characters>
  <Application>Microsoft Office Word</Application>
  <DocSecurity>0</DocSecurity>
  <Lines>186</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12785</CharactersWithSpaces>
  <SharedDoc>false</SharedDoc>
  <HyperlinkBase> </HyperlinkBase>
  <HLinks>
    <vt:vector size="18" baseType="variant">
      <vt:variant>
        <vt:i4>6094950</vt:i4>
      </vt:variant>
      <vt:variant>
        <vt:i4>6</vt:i4>
      </vt:variant>
      <vt:variant>
        <vt:i4>0</vt:i4>
      </vt:variant>
      <vt:variant>
        <vt:i4>5</vt:i4>
      </vt:variant>
      <vt:variant>
        <vt:lpwstr>http://hraunfoss.fcc.gov/edocs_public/attachmatch/FCC-12-87A1.doc</vt:lpwstr>
      </vt:variant>
      <vt:variant>
        <vt:lpwstr/>
      </vt:variant>
      <vt:variant>
        <vt:i4>7012426</vt:i4>
      </vt:variant>
      <vt:variant>
        <vt:i4>3</vt:i4>
      </vt:variant>
      <vt:variant>
        <vt:i4>0</vt:i4>
      </vt:variant>
      <vt:variant>
        <vt:i4>5</vt:i4>
      </vt:variant>
      <vt:variant>
        <vt:lpwstr>http://www.itu.int/dms_pub/itu-s/oth/02/02/S020200001A4501PDFE.pdf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2011-12-20T18:37:00Z</cp:lastPrinted>
  <dcterms:created xsi:type="dcterms:W3CDTF">2013-05-17T16:19:00Z</dcterms:created>
  <dcterms:modified xsi:type="dcterms:W3CDTF">2013-05-17T16:19:00Z</dcterms:modified>
  <cp:category> </cp:category>
  <cp:contentStatus> </cp:contentStatus>
</cp:coreProperties>
</file>