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27" w:rsidRDefault="00777251">
      <w:bookmarkStart w:id="0" w:name="_GoBack"/>
      <w:bookmarkEnd w:id="0"/>
      <w:r>
        <w:tab/>
      </w:r>
      <w:r>
        <w:tab/>
      </w:r>
      <w:r>
        <w:tab/>
      </w:r>
      <w:r>
        <w:tab/>
      </w:r>
      <w:r>
        <w:tab/>
      </w:r>
      <w:r>
        <w:tab/>
      </w:r>
      <w:r>
        <w:tab/>
      </w:r>
      <w:r>
        <w:tab/>
      </w:r>
      <w:r>
        <w:tab/>
      </w:r>
      <w:r>
        <w:tab/>
      </w:r>
    </w:p>
    <w:p w:rsidR="00CD2BC4" w:rsidRDefault="00CD2BC4" w:rsidP="00CD2BC4">
      <w:pPr>
        <w:jc w:val="right"/>
        <w:rPr>
          <w:b/>
          <w:sz w:val="24"/>
          <w:szCs w:val="24"/>
        </w:rPr>
      </w:pPr>
    </w:p>
    <w:p w:rsidR="00777251" w:rsidRDefault="00777251" w:rsidP="00CD2BC4">
      <w:pPr>
        <w:jc w:val="right"/>
        <w:rPr>
          <w:b/>
          <w:sz w:val="24"/>
          <w:szCs w:val="24"/>
        </w:rPr>
      </w:pPr>
      <w:r w:rsidRPr="00CD2BC4">
        <w:rPr>
          <w:b/>
          <w:sz w:val="24"/>
          <w:szCs w:val="24"/>
        </w:rPr>
        <w:t>DA</w:t>
      </w:r>
      <w:r w:rsidR="00D85A94" w:rsidRPr="00CD2BC4">
        <w:rPr>
          <w:b/>
          <w:sz w:val="24"/>
          <w:szCs w:val="24"/>
        </w:rPr>
        <w:t xml:space="preserve"> 13</w:t>
      </w:r>
      <w:r w:rsidR="00CD2BC4" w:rsidRPr="00CD2BC4">
        <w:rPr>
          <w:b/>
          <w:sz w:val="24"/>
          <w:szCs w:val="24"/>
        </w:rPr>
        <w:t>-1158</w:t>
      </w:r>
    </w:p>
    <w:p w:rsidR="00CD2BC4" w:rsidRPr="00CD2BC4" w:rsidRDefault="00CD2BC4" w:rsidP="00CD2BC4">
      <w:pPr>
        <w:jc w:val="right"/>
        <w:rPr>
          <w:sz w:val="24"/>
          <w:szCs w:val="24"/>
        </w:rPr>
      </w:pPr>
    </w:p>
    <w:p w:rsidR="00777251" w:rsidRDefault="00777251">
      <w:r>
        <w:tab/>
      </w:r>
      <w:r>
        <w:tab/>
      </w:r>
      <w:r>
        <w:tab/>
      </w:r>
      <w:r>
        <w:tab/>
      </w:r>
      <w:r>
        <w:tab/>
      </w:r>
      <w:r>
        <w:tab/>
      </w:r>
      <w:r>
        <w:tab/>
      </w:r>
      <w:r>
        <w:tab/>
      </w:r>
      <w:r>
        <w:tab/>
      </w:r>
      <w:r>
        <w:tab/>
      </w:r>
    </w:p>
    <w:p w:rsidR="009D4B27" w:rsidRPr="00C53BC5" w:rsidRDefault="009D4B27" w:rsidP="009D4B27">
      <w:pPr>
        <w:jc w:val="center"/>
        <w:rPr>
          <w:b/>
          <w:sz w:val="36"/>
          <w:szCs w:val="36"/>
        </w:rPr>
      </w:pPr>
      <w:r w:rsidRPr="00C53BC5">
        <w:rPr>
          <w:b/>
          <w:sz w:val="36"/>
          <w:szCs w:val="36"/>
        </w:rPr>
        <w:t>Small Entity Compliance Guide</w:t>
      </w:r>
    </w:p>
    <w:p w:rsidR="009D4B27" w:rsidRDefault="009D4B27" w:rsidP="009D4B27">
      <w:pPr>
        <w:jc w:val="center"/>
        <w:rPr>
          <w:sz w:val="24"/>
          <w:szCs w:val="24"/>
        </w:rPr>
      </w:pPr>
    </w:p>
    <w:p w:rsidR="00B24153" w:rsidRPr="00CD2BC4" w:rsidRDefault="002445D9" w:rsidP="00B24153">
      <w:pPr>
        <w:ind w:right="360" w:firstLine="360"/>
        <w:jc w:val="center"/>
        <w:rPr>
          <w:b/>
          <w:sz w:val="28"/>
          <w:szCs w:val="28"/>
        </w:rPr>
      </w:pPr>
      <w:r w:rsidRPr="00CD2BC4">
        <w:rPr>
          <w:b/>
          <w:sz w:val="28"/>
          <w:szCs w:val="28"/>
        </w:rPr>
        <w:t xml:space="preserve">Misuse of Internet Protocol (IP) Relay Service – </w:t>
      </w:r>
    </w:p>
    <w:p w:rsidR="009D4B27" w:rsidRPr="00CD2BC4" w:rsidRDefault="00B24153" w:rsidP="00B24153">
      <w:pPr>
        <w:ind w:right="360" w:firstLine="360"/>
        <w:jc w:val="center"/>
        <w:rPr>
          <w:b/>
          <w:sz w:val="28"/>
          <w:szCs w:val="28"/>
        </w:rPr>
      </w:pPr>
      <w:r w:rsidRPr="00CD2BC4">
        <w:rPr>
          <w:b/>
          <w:sz w:val="28"/>
          <w:szCs w:val="28"/>
        </w:rPr>
        <w:t xml:space="preserve">Elimination of the </w:t>
      </w:r>
      <w:r w:rsidR="002445D9" w:rsidRPr="00CD2BC4">
        <w:rPr>
          <w:b/>
          <w:sz w:val="28"/>
          <w:szCs w:val="28"/>
        </w:rPr>
        <w:t>Guest User Program</w:t>
      </w:r>
      <w:r w:rsidR="00777251" w:rsidRPr="00CD2BC4">
        <w:rPr>
          <w:b/>
          <w:sz w:val="28"/>
          <w:szCs w:val="28"/>
        </w:rPr>
        <w:t xml:space="preserve"> </w:t>
      </w:r>
    </w:p>
    <w:p w:rsidR="00777251" w:rsidRPr="009D4B27" w:rsidRDefault="00777251" w:rsidP="009D4B27">
      <w:pPr>
        <w:jc w:val="center"/>
        <w:rPr>
          <w:sz w:val="24"/>
          <w:szCs w:val="24"/>
        </w:rPr>
      </w:pPr>
    </w:p>
    <w:p w:rsidR="009D4B27" w:rsidRPr="00CD2BC4" w:rsidRDefault="002445D9" w:rsidP="009D4B27">
      <w:pPr>
        <w:jc w:val="center"/>
        <w:rPr>
          <w:bCs/>
          <w:sz w:val="24"/>
          <w:szCs w:val="24"/>
        </w:rPr>
      </w:pPr>
      <w:r w:rsidRPr="00CD2BC4">
        <w:rPr>
          <w:bCs/>
          <w:sz w:val="24"/>
          <w:szCs w:val="24"/>
        </w:rPr>
        <w:t>FCC 12-71</w:t>
      </w:r>
    </w:p>
    <w:p w:rsidR="009D4B27" w:rsidRPr="00CD2BC4" w:rsidRDefault="002445D9" w:rsidP="009D4B27">
      <w:pPr>
        <w:jc w:val="center"/>
        <w:rPr>
          <w:sz w:val="24"/>
          <w:szCs w:val="24"/>
        </w:rPr>
      </w:pPr>
      <w:r w:rsidRPr="00CD2BC4">
        <w:rPr>
          <w:sz w:val="24"/>
          <w:szCs w:val="24"/>
        </w:rPr>
        <w:t>CG Docket No. 12-38</w:t>
      </w:r>
    </w:p>
    <w:p w:rsidR="002445D9" w:rsidRPr="00CD2BC4" w:rsidRDefault="002445D9" w:rsidP="009D4B27">
      <w:pPr>
        <w:jc w:val="center"/>
        <w:rPr>
          <w:sz w:val="24"/>
          <w:szCs w:val="24"/>
        </w:rPr>
      </w:pPr>
      <w:r w:rsidRPr="00CD2BC4">
        <w:rPr>
          <w:sz w:val="24"/>
          <w:szCs w:val="24"/>
        </w:rPr>
        <w:t>CG Docket No. 03-123</w:t>
      </w:r>
    </w:p>
    <w:p w:rsidR="009D4B27" w:rsidRPr="00B24153" w:rsidRDefault="009D4B27" w:rsidP="009D4B27">
      <w:pPr>
        <w:rPr>
          <w:sz w:val="22"/>
          <w:szCs w:val="22"/>
        </w:rPr>
      </w:pPr>
    </w:p>
    <w:p w:rsidR="002D2E27" w:rsidRDefault="002D2E27" w:rsidP="002D2E27">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2D2E27" w:rsidRDefault="002D2E27" w:rsidP="002D2E27">
      <w:pPr>
        <w:tabs>
          <w:tab w:val="left" w:pos="360"/>
        </w:tabs>
        <w:ind w:left="1080" w:right="720"/>
        <w:jc w:val="both"/>
        <w:rPr>
          <w:b/>
          <w:sz w:val="22"/>
          <w:szCs w:val="22"/>
        </w:rPr>
      </w:pPr>
    </w:p>
    <w:p w:rsidR="002D2E27" w:rsidRDefault="002D2E27" w:rsidP="002D2E27">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2D2E27" w:rsidRDefault="002D2E27" w:rsidP="002D2E27">
      <w:pPr>
        <w:rPr>
          <w:b/>
          <w:sz w:val="22"/>
          <w:szCs w:val="22"/>
        </w:rPr>
      </w:pPr>
    </w:p>
    <w:p w:rsidR="002D2E27" w:rsidRDefault="002D2E27" w:rsidP="002D2E27">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2D2E27" w:rsidRDefault="00876E96" w:rsidP="002D2E27">
      <w:pPr>
        <w:jc w:val="center"/>
        <w:rPr>
          <w:b/>
          <w:color w:val="000000"/>
          <w:sz w:val="22"/>
          <w:szCs w:val="22"/>
        </w:rPr>
      </w:pPr>
      <w:hyperlink r:id="rId8" w:history="1">
        <w:r w:rsidR="002D2E27">
          <w:rPr>
            <w:rStyle w:val="Hyperlink"/>
            <w:b/>
            <w:sz w:val="22"/>
            <w:szCs w:val="22"/>
          </w:rPr>
          <w:t>fccinfo@fcc.gov</w:t>
        </w:r>
      </w:hyperlink>
    </w:p>
    <w:p w:rsidR="002445D9" w:rsidRDefault="002D2E27" w:rsidP="002D2E27">
      <w:pPr>
        <w:spacing w:before="120" w:after="120"/>
        <w:rPr>
          <w:sz w:val="24"/>
          <w:szCs w:val="24"/>
        </w:rPr>
      </w:pPr>
      <w:r>
        <w:rPr>
          <w:b/>
          <w:bCs/>
          <w:color w:val="0000FF"/>
          <w:sz w:val="22"/>
          <w:szCs w:val="22"/>
        </w:rPr>
        <w:br w:type="page"/>
      </w:r>
      <w:r w:rsidR="002445D9">
        <w:rPr>
          <w:b/>
          <w:sz w:val="24"/>
          <w:szCs w:val="24"/>
          <w:u w:val="single"/>
        </w:rPr>
        <w:lastRenderedPageBreak/>
        <w:t>OBJECTIVES OF THE PROCEEDING</w:t>
      </w:r>
    </w:p>
    <w:p w:rsidR="002445D9" w:rsidRDefault="002445D9" w:rsidP="002445D9">
      <w:pPr>
        <w:rPr>
          <w:sz w:val="24"/>
          <w:szCs w:val="24"/>
        </w:rPr>
      </w:pPr>
    </w:p>
    <w:p w:rsidR="002445D9" w:rsidRDefault="002445D9" w:rsidP="002445D9">
      <w:pPr>
        <w:rPr>
          <w:sz w:val="24"/>
          <w:szCs w:val="24"/>
        </w:rPr>
      </w:pPr>
      <w:r>
        <w:rPr>
          <w:sz w:val="24"/>
          <w:szCs w:val="24"/>
        </w:rPr>
        <w:t xml:space="preserve">In the First Report and Order in CG Docket Nos. 12-38 and 03-123, the Commission </w:t>
      </w:r>
      <w:r w:rsidR="00B97390">
        <w:rPr>
          <w:sz w:val="24"/>
          <w:szCs w:val="24"/>
        </w:rPr>
        <w:t xml:space="preserve">took action </w:t>
      </w:r>
      <w:r>
        <w:rPr>
          <w:sz w:val="24"/>
          <w:szCs w:val="24"/>
        </w:rPr>
        <w:t>to curb the misuse of the Internet Protocol Relay</w:t>
      </w:r>
      <w:r w:rsidR="008D2065">
        <w:rPr>
          <w:sz w:val="24"/>
          <w:szCs w:val="24"/>
        </w:rPr>
        <w:t xml:space="preserve"> Service (IP Relay) by:</w:t>
      </w:r>
    </w:p>
    <w:p w:rsidR="008D2065" w:rsidRDefault="008D2065" w:rsidP="002445D9">
      <w:pPr>
        <w:rPr>
          <w:sz w:val="24"/>
          <w:szCs w:val="24"/>
        </w:rPr>
      </w:pPr>
    </w:p>
    <w:p w:rsidR="008D2065" w:rsidRDefault="008D2065" w:rsidP="008D2065">
      <w:pPr>
        <w:numPr>
          <w:ilvl w:val="0"/>
          <w:numId w:val="1"/>
        </w:numPr>
        <w:rPr>
          <w:sz w:val="24"/>
          <w:szCs w:val="24"/>
        </w:rPr>
      </w:pPr>
      <w:r>
        <w:rPr>
          <w:sz w:val="24"/>
          <w:szCs w:val="24"/>
        </w:rPr>
        <w:t>Prohibiting IP Relay providers from handling non-emergency calls made by new IP Relay registrants prior to taking reasonable measures to verify their registration information.</w:t>
      </w:r>
    </w:p>
    <w:p w:rsidR="008D2065" w:rsidRDefault="008D2065" w:rsidP="008D2065">
      <w:pPr>
        <w:ind w:left="360"/>
        <w:rPr>
          <w:sz w:val="24"/>
          <w:szCs w:val="24"/>
        </w:rPr>
      </w:pPr>
    </w:p>
    <w:p w:rsidR="008D2065" w:rsidRDefault="008D2065" w:rsidP="008D2065">
      <w:pPr>
        <w:ind w:left="360" w:hanging="360"/>
        <w:jc w:val="center"/>
        <w:rPr>
          <w:sz w:val="24"/>
          <w:szCs w:val="24"/>
        </w:rPr>
      </w:pPr>
      <w:r>
        <w:rPr>
          <w:b/>
          <w:sz w:val="24"/>
          <w:szCs w:val="24"/>
          <w:u w:val="single"/>
        </w:rPr>
        <w:t>COMPLIANCE REQUIREMENTS</w:t>
      </w:r>
    </w:p>
    <w:p w:rsidR="008D2065" w:rsidRDefault="008D2065" w:rsidP="008D2065">
      <w:pPr>
        <w:ind w:left="360" w:hanging="360"/>
        <w:jc w:val="center"/>
        <w:rPr>
          <w:sz w:val="24"/>
          <w:szCs w:val="24"/>
        </w:rPr>
      </w:pPr>
    </w:p>
    <w:p w:rsidR="008D2065" w:rsidRPr="008D2065" w:rsidRDefault="008D2065" w:rsidP="008D2065">
      <w:pPr>
        <w:numPr>
          <w:ilvl w:val="0"/>
          <w:numId w:val="2"/>
        </w:numPr>
        <w:rPr>
          <w:b/>
          <w:sz w:val="24"/>
          <w:szCs w:val="24"/>
        </w:rPr>
      </w:pPr>
      <w:r w:rsidRPr="008D2065">
        <w:rPr>
          <w:b/>
          <w:sz w:val="24"/>
          <w:szCs w:val="24"/>
        </w:rPr>
        <w:t xml:space="preserve"> Background Information:  Definitions</w:t>
      </w:r>
    </w:p>
    <w:p w:rsidR="00576006" w:rsidRDefault="00576006" w:rsidP="00576006">
      <w:pPr>
        <w:ind w:left="360"/>
        <w:rPr>
          <w:sz w:val="24"/>
          <w:szCs w:val="24"/>
        </w:rPr>
      </w:pPr>
    </w:p>
    <w:p w:rsidR="00B97390" w:rsidRDefault="00576006" w:rsidP="00B97390">
      <w:pPr>
        <w:numPr>
          <w:ilvl w:val="0"/>
          <w:numId w:val="1"/>
        </w:numPr>
        <w:rPr>
          <w:sz w:val="24"/>
          <w:szCs w:val="24"/>
        </w:rPr>
      </w:pPr>
      <w:r>
        <w:rPr>
          <w:sz w:val="24"/>
          <w:szCs w:val="24"/>
          <w:u w:val="single"/>
        </w:rPr>
        <w:t>Telecommunications Relay Services (TRS)</w:t>
      </w:r>
      <w:r>
        <w:rPr>
          <w:sz w:val="24"/>
          <w:szCs w:val="24"/>
        </w:rPr>
        <w:t xml:space="preserve"> </w:t>
      </w:r>
      <w:r w:rsidR="000346E9">
        <w:rPr>
          <w:sz w:val="24"/>
          <w:szCs w:val="24"/>
        </w:rPr>
        <w:t>is defined as telephone transmission services that provide the ability for an individual who is deaf, hard of hearing, deaf-blind,</w:t>
      </w:r>
      <w:r w:rsidR="009304C8">
        <w:rPr>
          <w:sz w:val="24"/>
          <w:szCs w:val="24"/>
        </w:rPr>
        <w:t xml:space="preserve"> </w:t>
      </w:r>
      <w:r w:rsidR="000346E9">
        <w:rPr>
          <w:sz w:val="24"/>
          <w:szCs w:val="24"/>
        </w:rPr>
        <w:t xml:space="preserve">or who has a speech disability to engage in communication by wire or radio with one or more individuals. </w:t>
      </w:r>
      <w:r>
        <w:rPr>
          <w:sz w:val="24"/>
          <w:szCs w:val="24"/>
        </w:rPr>
        <w:t>.</w:t>
      </w:r>
      <w:r w:rsidR="00B97390" w:rsidRPr="00B97390">
        <w:rPr>
          <w:sz w:val="24"/>
          <w:szCs w:val="24"/>
        </w:rPr>
        <w:t xml:space="preserve"> </w:t>
      </w:r>
    </w:p>
    <w:p w:rsidR="00B24153" w:rsidRPr="00B97390" w:rsidRDefault="00B24153" w:rsidP="00B24153">
      <w:pPr>
        <w:ind w:left="360"/>
        <w:rPr>
          <w:sz w:val="24"/>
          <w:szCs w:val="24"/>
        </w:rPr>
      </w:pPr>
    </w:p>
    <w:p w:rsidR="00576006" w:rsidRDefault="00576006" w:rsidP="008D2065">
      <w:pPr>
        <w:numPr>
          <w:ilvl w:val="0"/>
          <w:numId w:val="1"/>
        </w:numPr>
        <w:rPr>
          <w:sz w:val="24"/>
          <w:szCs w:val="24"/>
        </w:rPr>
      </w:pPr>
      <w:r>
        <w:rPr>
          <w:sz w:val="24"/>
          <w:szCs w:val="24"/>
          <w:u w:val="single"/>
        </w:rPr>
        <w:t>Internet Telecommunications Relay Services (iTRS)</w:t>
      </w:r>
      <w:r>
        <w:rPr>
          <w:sz w:val="24"/>
          <w:szCs w:val="24"/>
        </w:rPr>
        <w:t xml:space="preserve"> means </w:t>
      </w:r>
      <w:r w:rsidR="00636F68">
        <w:rPr>
          <w:sz w:val="24"/>
          <w:szCs w:val="24"/>
        </w:rPr>
        <w:t xml:space="preserve">certain </w:t>
      </w:r>
      <w:r>
        <w:rPr>
          <w:sz w:val="24"/>
          <w:szCs w:val="24"/>
        </w:rPr>
        <w:t xml:space="preserve">TRS in which an individual with a hearing or speech disability uses an Internet connection with a communications assistant (CA) to make calls.  It includes </w:t>
      </w:r>
      <w:r w:rsidR="005078A1">
        <w:rPr>
          <w:sz w:val="24"/>
          <w:szCs w:val="24"/>
        </w:rPr>
        <w:t>v</w:t>
      </w:r>
      <w:r>
        <w:rPr>
          <w:sz w:val="24"/>
          <w:szCs w:val="24"/>
        </w:rPr>
        <w:t xml:space="preserve">ideo </w:t>
      </w:r>
      <w:r w:rsidR="005078A1">
        <w:rPr>
          <w:sz w:val="24"/>
          <w:szCs w:val="24"/>
        </w:rPr>
        <w:t>r</w:t>
      </w:r>
      <w:r>
        <w:rPr>
          <w:sz w:val="24"/>
          <w:szCs w:val="24"/>
        </w:rPr>
        <w:t xml:space="preserve">elay </w:t>
      </w:r>
      <w:r w:rsidR="005078A1">
        <w:rPr>
          <w:sz w:val="24"/>
          <w:szCs w:val="24"/>
        </w:rPr>
        <w:t>s</w:t>
      </w:r>
      <w:r>
        <w:rPr>
          <w:sz w:val="24"/>
          <w:szCs w:val="24"/>
        </w:rPr>
        <w:t xml:space="preserve">ervice (VRS), </w:t>
      </w:r>
      <w:r w:rsidR="00907765">
        <w:rPr>
          <w:sz w:val="24"/>
          <w:szCs w:val="24"/>
        </w:rPr>
        <w:t xml:space="preserve">Internet </w:t>
      </w:r>
      <w:r>
        <w:rPr>
          <w:sz w:val="24"/>
          <w:szCs w:val="24"/>
        </w:rPr>
        <w:t>P</w:t>
      </w:r>
      <w:r w:rsidR="00907765">
        <w:rPr>
          <w:sz w:val="24"/>
          <w:szCs w:val="24"/>
        </w:rPr>
        <w:t xml:space="preserve">rotocol (IP) </w:t>
      </w:r>
      <w:r>
        <w:rPr>
          <w:sz w:val="24"/>
          <w:szCs w:val="24"/>
        </w:rPr>
        <w:t>Relay, and IP captioned telephone service (IP CTS).</w:t>
      </w:r>
    </w:p>
    <w:p w:rsidR="009F64A3" w:rsidRDefault="009F64A3" w:rsidP="009F64A3">
      <w:pPr>
        <w:pStyle w:val="ListParagraph"/>
        <w:rPr>
          <w:sz w:val="24"/>
          <w:szCs w:val="24"/>
        </w:rPr>
      </w:pPr>
    </w:p>
    <w:p w:rsidR="009F64A3" w:rsidRPr="009F64A3" w:rsidRDefault="009F64A3" w:rsidP="008D2065">
      <w:pPr>
        <w:numPr>
          <w:ilvl w:val="0"/>
          <w:numId w:val="1"/>
        </w:numPr>
        <w:rPr>
          <w:b/>
          <w:sz w:val="24"/>
          <w:szCs w:val="24"/>
        </w:rPr>
      </w:pPr>
      <w:r>
        <w:rPr>
          <w:sz w:val="24"/>
          <w:szCs w:val="24"/>
          <w:u w:val="single"/>
        </w:rPr>
        <w:t>iTRS Directory</w:t>
      </w:r>
      <w:r>
        <w:rPr>
          <w:sz w:val="24"/>
          <w:szCs w:val="24"/>
        </w:rPr>
        <w:t xml:space="preserve"> </w:t>
      </w:r>
      <w:r w:rsidR="00741D1E">
        <w:rPr>
          <w:sz w:val="24"/>
          <w:szCs w:val="24"/>
        </w:rPr>
        <w:t>is the database administered by the TRS Numbering Administrator, the purpose of which is to map each Registered Internet-based TRS user’s North American Numbering Plan telephone number to his or her end device.</w:t>
      </w:r>
    </w:p>
    <w:p w:rsidR="00576006" w:rsidRDefault="00576006" w:rsidP="00576006">
      <w:pPr>
        <w:ind w:left="360"/>
        <w:rPr>
          <w:sz w:val="24"/>
          <w:szCs w:val="24"/>
        </w:rPr>
      </w:pPr>
    </w:p>
    <w:p w:rsidR="008D2065" w:rsidRDefault="00576006" w:rsidP="008D2065">
      <w:pPr>
        <w:numPr>
          <w:ilvl w:val="0"/>
          <w:numId w:val="1"/>
        </w:numPr>
        <w:rPr>
          <w:sz w:val="24"/>
          <w:szCs w:val="24"/>
        </w:rPr>
      </w:pPr>
      <w:r>
        <w:rPr>
          <w:sz w:val="24"/>
          <w:szCs w:val="24"/>
          <w:u w:val="single"/>
        </w:rPr>
        <w:t>Internet Protocol Relay Service (IP Relay)</w:t>
      </w:r>
      <w:r>
        <w:rPr>
          <w:sz w:val="24"/>
          <w:szCs w:val="24"/>
        </w:rPr>
        <w:t xml:space="preserve"> is a form of text-based </w:t>
      </w:r>
      <w:r w:rsidR="000346E9">
        <w:rPr>
          <w:sz w:val="24"/>
          <w:szCs w:val="24"/>
        </w:rPr>
        <w:t>i</w:t>
      </w:r>
      <w:r>
        <w:rPr>
          <w:sz w:val="24"/>
          <w:szCs w:val="24"/>
        </w:rPr>
        <w:t>TRS that uses the Internet to allow individuals with hearing and/or speech disabilities</w:t>
      </w:r>
      <w:r w:rsidR="005078A1">
        <w:rPr>
          <w:sz w:val="24"/>
          <w:szCs w:val="24"/>
        </w:rPr>
        <w:t xml:space="preserve"> or who are deaf-blind</w:t>
      </w:r>
      <w:r>
        <w:rPr>
          <w:sz w:val="24"/>
          <w:szCs w:val="24"/>
        </w:rPr>
        <w:t xml:space="preserve"> to communicate with other individuals.  In an IP Relay call, the communication between the person w</w:t>
      </w:r>
      <w:r w:rsidR="005078A1">
        <w:rPr>
          <w:sz w:val="24"/>
          <w:szCs w:val="24"/>
        </w:rPr>
        <w:t xml:space="preserve">ith a </w:t>
      </w:r>
      <w:r>
        <w:rPr>
          <w:sz w:val="24"/>
          <w:szCs w:val="24"/>
        </w:rPr>
        <w:t xml:space="preserve">disability and the provider’s CA is conveyed in text via an Internet connection, and communication between the CA and the </w:t>
      </w:r>
      <w:r w:rsidR="005078A1">
        <w:rPr>
          <w:sz w:val="24"/>
          <w:szCs w:val="24"/>
        </w:rPr>
        <w:t xml:space="preserve">receiving </w:t>
      </w:r>
      <w:r>
        <w:rPr>
          <w:sz w:val="24"/>
          <w:szCs w:val="24"/>
        </w:rPr>
        <w:t xml:space="preserve">party is conveyed over the </w:t>
      </w:r>
      <w:r w:rsidR="005A641B">
        <w:rPr>
          <w:sz w:val="24"/>
          <w:szCs w:val="24"/>
        </w:rPr>
        <w:t xml:space="preserve">public switched telephone </w:t>
      </w:r>
      <w:r>
        <w:rPr>
          <w:sz w:val="24"/>
          <w:szCs w:val="24"/>
        </w:rPr>
        <w:t>network</w:t>
      </w:r>
      <w:r w:rsidR="00D85A94">
        <w:rPr>
          <w:sz w:val="24"/>
          <w:szCs w:val="24"/>
        </w:rPr>
        <w:t>.</w:t>
      </w:r>
      <w:r w:rsidR="00F95846">
        <w:rPr>
          <w:sz w:val="24"/>
          <w:szCs w:val="24"/>
        </w:rPr>
        <w:t xml:space="preserve">  </w:t>
      </w:r>
    </w:p>
    <w:p w:rsidR="00576006" w:rsidRDefault="00576006" w:rsidP="00576006">
      <w:pPr>
        <w:pStyle w:val="ListParagraph"/>
        <w:rPr>
          <w:sz w:val="24"/>
          <w:szCs w:val="24"/>
        </w:rPr>
      </w:pPr>
    </w:p>
    <w:p w:rsidR="00576006" w:rsidRDefault="00536F68" w:rsidP="008D2065">
      <w:pPr>
        <w:numPr>
          <w:ilvl w:val="0"/>
          <w:numId w:val="1"/>
        </w:numPr>
        <w:rPr>
          <w:sz w:val="24"/>
          <w:szCs w:val="24"/>
        </w:rPr>
      </w:pPr>
      <w:r w:rsidRPr="00536F68">
        <w:rPr>
          <w:sz w:val="24"/>
          <w:szCs w:val="24"/>
          <w:u w:val="single"/>
        </w:rPr>
        <w:t>Video Relay Service (VRS)</w:t>
      </w:r>
      <w:r>
        <w:rPr>
          <w:sz w:val="24"/>
          <w:szCs w:val="24"/>
        </w:rPr>
        <w:t xml:space="preserve"> is a</w:t>
      </w:r>
      <w:r w:rsidR="00AB4516">
        <w:rPr>
          <w:sz w:val="24"/>
          <w:szCs w:val="24"/>
        </w:rPr>
        <w:t xml:space="preserve"> form of iTRS</w:t>
      </w:r>
      <w:r>
        <w:rPr>
          <w:sz w:val="24"/>
          <w:szCs w:val="24"/>
        </w:rPr>
        <w:t xml:space="preserve"> that uses video to allow a person</w:t>
      </w:r>
      <w:r w:rsidR="00AB4516">
        <w:rPr>
          <w:sz w:val="24"/>
          <w:szCs w:val="24"/>
        </w:rPr>
        <w:t xml:space="preserve"> with a hearing or speech disability</w:t>
      </w:r>
      <w:r>
        <w:rPr>
          <w:sz w:val="24"/>
          <w:szCs w:val="24"/>
        </w:rPr>
        <w:t xml:space="preserve"> who uses sign language to communicate with </w:t>
      </w:r>
      <w:r w:rsidR="00AB4516">
        <w:rPr>
          <w:sz w:val="24"/>
          <w:szCs w:val="24"/>
        </w:rPr>
        <w:t>voice telephone users</w:t>
      </w:r>
      <w:r>
        <w:rPr>
          <w:sz w:val="24"/>
          <w:szCs w:val="24"/>
        </w:rPr>
        <w:t xml:space="preserve"> through a CA.</w:t>
      </w:r>
      <w:r w:rsidR="00AB4516" w:rsidRPr="00AB4516">
        <w:rPr>
          <w:rFonts w:ascii="Arial" w:hAnsi="Arial" w:cs="Arial"/>
        </w:rPr>
        <w:t xml:space="preserve"> </w:t>
      </w:r>
    </w:p>
    <w:p w:rsidR="00536F68" w:rsidRDefault="00536F68" w:rsidP="00536F68">
      <w:pPr>
        <w:pStyle w:val="ListParagraph"/>
        <w:rPr>
          <w:sz w:val="24"/>
          <w:szCs w:val="24"/>
        </w:rPr>
      </w:pPr>
    </w:p>
    <w:p w:rsidR="00597392" w:rsidRPr="00597392" w:rsidRDefault="005078A1" w:rsidP="00597392">
      <w:pPr>
        <w:numPr>
          <w:ilvl w:val="0"/>
          <w:numId w:val="1"/>
        </w:numPr>
        <w:rPr>
          <w:sz w:val="24"/>
          <w:szCs w:val="24"/>
        </w:rPr>
      </w:pPr>
      <w:r>
        <w:rPr>
          <w:sz w:val="24"/>
          <w:szCs w:val="24"/>
          <w:u w:val="single"/>
        </w:rPr>
        <w:t xml:space="preserve">Interstate </w:t>
      </w:r>
      <w:r w:rsidR="00597392" w:rsidRPr="00597392">
        <w:rPr>
          <w:sz w:val="24"/>
          <w:szCs w:val="24"/>
          <w:u w:val="single"/>
        </w:rPr>
        <w:t>TRS Fund</w:t>
      </w:r>
      <w:r w:rsidR="00597392">
        <w:rPr>
          <w:sz w:val="24"/>
          <w:szCs w:val="24"/>
        </w:rPr>
        <w:t xml:space="preserve"> is the </w:t>
      </w:r>
      <w:r>
        <w:rPr>
          <w:sz w:val="24"/>
          <w:szCs w:val="24"/>
        </w:rPr>
        <w:t xml:space="preserve">Fund into which </w:t>
      </w:r>
      <w:r w:rsidR="00597392" w:rsidRPr="00597392">
        <w:rPr>
          <w:sz w:val="24"/>
          <w:szCs w:val="24"/>
        </w:rPr>
        <w:t xml:space="preserve">contributions from all interstate telecommunications </w:t>
      </w:r>
      <w:r w:rsidR="002D05EE">
        <w:rPr>
          <w:sz w:val="24"/>
          <w:szCs w:val="24"/>
        </w:rPr>
        <w:t>carrier</w:t>
      </w:r>
      <w:r w:rsidR="00597392" w:rsidRPr="00597392">
        <w:rPr>
          <w:sz w:val="24"/>
          <w:szCs w:val="24"/>
        </w:rPr>
        <w:t>s</w:t>
      </w:r>
      <w:r>
        <w:rPr>
          <w:sz w:val="24"/>
          <w:szCs w:val="24"/>
        </w:rPr>
        <w:t xml:space="preserve"> and VoIP providers are made for the support of interstate</w:t>
      </w:r>
      <w:r w:rsidR="002D05EE">
        <w:rPr>
          <w:sz w:val="24"/>
          <w:szCs w:val="24"/>
        </w:rPr>
        <w:t xml:space="preserve"> TRS</w:t>
      </w:r>
      <w:r w:rsidR="00993E48">
        <w:rPr>
          <w:sz w:val="24"/>
          <w:szCs w:val="24"/>
        </w:rPr>
        <w:t>, including</w:t>
      </w:r>
      <w:r>
        <w:rPr>
          <w:sz w:val="24"/>
          <w:szCs w:val="24"/>
        </w:rPr>
        <w:t xml:space="preserve"> iTRS</w:t>
      </w:r>
      <w:r w:rsidR="00597392" w:rsidRPr="00597392">
        <w:rPr>
          <w:sz w:val="24"/>
          <w:szCs w:val="24"/>
        </w:rPr>
        <w:t xml:space="preserve">. </w:t>
      </w:r>
      <w:r w:rsidR="002D05EE">
        <w:rPr>
          <w:sz w:val="24"/>
          <w:szCs w:val="24"/>
        </w:rPr>
        <w:t xml:space="preserve"> </w:t>
      </w:r>
      <w:r w:rsidR="00597392" w:rsidRPr="00597392">
        <w:rPr>
          <w:sz w:val="24"/>
          <w:szCs w:val="24"/>
        </w:rPr>
        <w:t>Those contributions are based on the carrier</w:t>
      </w:r>
      <w:r w:rsidR="002D05EE">
        <w:rPr>
          <w:sz w:val="24"/>
          <w:szCs w:val="24"/>
        </w:rPr>
        <w:t>’</w:t>
      </w:r>
      <w:r w:rsidR="00597392" w:rsidRPr="00597392">
        <w:rPr>
          <w:sz w:val="24"/>
          <w:szCs w:val="24"/>
        </w:rPr>
        <w:t>s</w:t>
      </w:r>
      <w:r>
        <w:rPr>
          <w:sz w:val="24"/>
          <w:szCs w:val="24"/>
        </w:rPr>
        <w:t xml:space="preserve"> or provider’s</w:t>
      </w:r>
      <w:r w:rsidR="00597392" w:rsidRPr="00597392">
        <w:rPr>
          <w:sz w:val="24"/>
          <w:szCs w:val="24"/>
        </w:rPr>
        <w:t xml:space="preserve"> </w:t>
      </w:r>
      <w:r>
        <w:rPr>
          <w:sz w:val="24"/>
          <w:szCs w:val="24"/>
        </w:rPr>
        <w:t>annual</w:t>
      </w:r>
      <w:r w:rsidR="00597392">
        <w:rPr>
          <w:sz w:val="24"/>
          <w:szCs w:val="24"/>
        </w:rPr>
        <w:t xml:space="preserve"> </w:t>
      </w:r>
      <w:r w:rsidR="00993E48">
        <w:rPr>
          <w:sz w:val="24"/>
          <w:szCs w:val="24"/>
        </w:rPr>
        <w:t xml:space="preserve">interstate </w:t>
      </w:r>
      <w:r w:rsidR="00597392">
        <w:rPr>
          <w:sz w:val="24"/>
          <w:szCs w:val="24"/>
        </w:rPr>
        <w:t xml:space="preserve">revenues from </w:t>
      </w:r>
      <w:r w:rsidR="00F95846">
        <w:rPr>
          <w:sz w:val="24"/>
          <w:szCs w:val="24"/>
        </w:rPr>
        <w:t xml:space="preserve">all </w:t>
      </w:r>
      <w:r w:rsidR="00993E48">
        <w:rPr>
          <w:sz w:val="24"/>
          <w:szCs w:val="24"/>
        </w:rPr>
        <w:t xml:space="preserve">end-user </w:t>
      </w:r>
      <w:r>
        <w:rPr>
          <w:sz w:val="24"/>
          <w:szCs w:val="24"/>
        </w:rPr>
        <w:t>subscribers</w:t>
      </w:r>
      <w:r w:rsidR="00597392">
        <w:rPr>
          <w:sz w:val="24"/>
          <w:szCs w:val="24"/>
        </w:rPr>
        <w:t>.</w:t>
      </w:r>
      <w:r w:rsidR="00F95846">
        <w:rPr>
          <w:sz w:val="24"/>
          <w:szCs w:val="24"/>
        </w:rPr>
        <w:t xml:space="preserve">  TRS users do not pay directly for their use of TRS.</w:t>
      </w:r>
      <w:r w:rsidR="00597392">
        <w:rPr>
          <w:sz w:val="24"/>
          <w:szCs w:val="24"/>
        </w:rPr>
        <w:t xml:space="preserve">  </w:t>
      </w:r>
      <w:r>
        <w:rPr>
          <w:sz w:val="24"/>
          <w:szCs w:val="24"/>
        </w:rPr>
        <w:t>T</w:t>
      </w:r>
      <w:r w:rsidR="00597392" w:rsidRPr="00597392">
        <w:rPr>
          <w:sz w:val="24"/>
          <w:szCs w:val="24"/>
        </w:rPr>
        <w:t>he Interstate TRS Fund is administered by the TRS Fu</w:t>
      </w:r>
      <w:r w:rsidR="00B24153">
        <w:rPr>
          <w:sz w:val="24"/>
          <w:szCs w:val="24"/>
        </w:rPr>
        <w:t>nd Administrator, currently Rolka, Loube, Saltzer</w:t>
      </w:r>
      <w:r w:rsidR="000B4F27">
        <w:rPr>
          <w:sz w:val="24"/>
          <w:szCs w:val="24"/>
        </w:rPr>
        <w:t xml:space="preserve"> </w:t>
      </w:r>
      <w:r w:rsidR="00B24153">
        <w:rPr>
          <w:sz w:val="24"/>
          <w:szCs w:val="24"/>
        </w:rPr>
        <w:t>Associates (RLSA</w:t>
      </w:r>
      <w:r w:rsidR="00597392">
        <w:rPr>
          <w:sz w:val="24"/>
          <w:szCs w:val="24"/>
        </w:rPr>
        <w:t>)</w:t>
      </w:r>
      <w:r>
        <w:rPr>
          <w:sz w:val="24"/>
          <w:szCs w:val="24"/>
        </w:rPr>
        <w:t>, wh</w:t>
      </w:r>
      <w:r w:rsidR="002D05EE">
        <w:rPr>
          <w:sz w:val="24"/>
          <w:szCs w:val="24"/>
        </w:rPr>
        <w:t>ich</w:t>
      </w:r>
      <w:r w:rsidR="00597392" w:rsidRPr="00597392">
        <w:rPr>
          <w:sz w:val="24"/>
          <w:szCs w:val="24"/>
        </w:rPr>
        <w:t xml:space="preserve"> </w:t>
      </w:r>
      <w:r w:rsidR="00B24153">
        <w:rPr>
          <w:sz w:val="24"/>
          <w:szCs w:val="24"/>
        </w:rPr>
        <w:t>uses the</w:t>
      </w:r>
      <w:r>
        <w:rPr>
          <w:sz w:val="24"/>
          <w:szCs w:val="24"/>
        </w:rPr>
        <w:t xml:space="preserve"> money in the F</w:t>
      </w:r>
      <w:r w:rsidR="00B24153">
        <w:rPr>
          <w:sz w:val="24"/>
          <w:szCs w:val="24"/>
        </w:rPr>
        <w:t>und to compensate eligible</w:t>
      </w:r>
      <w:r w:rsidR="00597392" w:rsidRPr="00597392">
        <w:rPr>
          <w:sz w:val="24"/>
          <w:szCs w:val="24"/>
        </w:rPr>
        <w:t xml:space="preserve"> </w:t>
      </w:r>
      <w:r w:rsidR="00597392" w:rsidRPr="00597392">
        <w:rPr>
          <w:sz w:val="24"/>
          <w:szCs w:val="24"/>
        </w:rPr>
        <w:lastRenderedPageBreak/>
        <w:t>TRS providers</w:t>
      </w:r>
      <w:r w:rsidR="00597392">
        <w:rPr>
          <w:sz w:val="24"/>
          <w:szCs w:val="24"/>
        </w:rPr>
        <w:t xml:space="preserve"> </w:t>
      </w:r>
      <w:r w:rsidR="00597392" w:rsidRPr="00597392">
        <w:rPr>
          <w:sz w:val="24"/>
          <w:szCs w:val="24"/>
        </w:rPr>
        <w:t xml:space="preserve">for the costs of providing the various forms of </w:t>
      </w:r>
      <w:r w:rsidR="00993E48">
        <w:rPr>
          <w:sz w:val="24"/>
          <w:szCs w:val="24"/>
        </w:rPr>
        <w:t xml:space="preserve">interstate </w:t>
      </w:r>
      <w:r w:rsidR="00597392" w:rsidRPr="00597392">
        <w:rPr>
          <w:sz w:val="24"/>
          <w:szCs w:val="24"/>
        </w:rPr>
        <w:t>TRS</w:t>
      </w:r>
      <w:r w:rsidR="00FF4082">
        <w:rPr>
          <w:sz w:val="24"/>
          <w:szCs w:val="24"/>
        </w:rPr>
        <w:t xml:space="preserve"> in compliance with the Commission’s rules and orders</w:t>
      </w:r>
      <w:r w:rsidR="00597392">
        <w:rPr>
          <w:sz w:val="24"/>
          <w:szCs w:val="24"/>
        </w:rPr>
        <w:t>.</w:t>
      </w:r>
    </w:p>
    <w:p w:rsidR="008D2065" w:rsidRDefault="008D2065" w:rsidP="00597392">
      <w:pPr>
        <w:ind w:left="360"/>
        <w:rPr>
          <w:sz w:val="24"/>
          <w:szCs w:val="24"/>
          <w:u w:val="single"/>
        </w:rPr>
      </w:pPr>
    </w:p>
    <w:p w:rsidR="00F95846" w:rsidRDefault="00AC3110" w:rsidP="00F95846">
      <w:pPr>
        <w:numPr>
          <w:ilvl w:val="0"/>
          <w:numId w:val="2"/>
        </w:numPr>
        <w:rPr>
          <w:b/>
          <w:sz w:val="24"/>
          <w:szCs w:val="24"/>
        </w:rPr>
      </w:pPr>
      <w:r>
        <w:rPr>
          <w:b/>
          <w:sz w:val="24"/>
          <w:szCs w:val="24"/>
        </w:rPr>
        <w:t>Background</w:t>
      </w:r>
    </w:p>
    <w:p w:rsidR="00F95846" w:rsidRDefault="00F95846" w:rsidP="00F95846">
      <w:pPr>
        <w:ind w:left="360"/>
        <w:rPr>
          <w:b/>
          <w:sz w:val="24"/>
          <w:szCs w:val="24"/>
        </w:rPr>
      </w:pPr>
    </w:p>
    <w:p w:rsidR="00F95846" w:rsidRDefault="00F95846" w:rsidP="00F95846">
      <w:pPr>
        <w:rPr>
          <w:sz w:val="24"/>
          <w:szCs w:val="24"/>
        </w:rPr>
      </w:pPr>
      <w:r>
        <w:rPr>
          <w:sz w:val="24"/>
          <w:szCs w:val="24"/>
        </w:rPr>
        <w:t>In 2006, the Commission initiated a rulemaking proceeding to address the misuse of IP Relay and VRS.</w:t>
      </w:r>
      <w:r w:rsidR="00506B34">
        <w:rPr>
          <w:rStyle w:val="FootnoteReference"/>
          <w:sz w:val="24"/>
          <w:szCs w:val="24"/>
        </w:rPr>
        <w:footnoteReference w:id="1"/>
      </w:r>
      <w:r>
        <w:rPr>
          <w:sz w:val="24"/>
          <w:szCs w:val="24"/>
        </w:rPr>
        <w:t xml:space="preserve">  </w:t>
      </w:r>
      <w:r w:rsidR="002F5BA5">
        <w:rPr>
          <w:sz w:val="24"/>
          <w:szCs w:val="24"/>
        </w:rPr>
        <w:t>The Commission noted in the Further Notice of Proposed Rulemaking (</w:t>
      </w:r>
      <w:r w:rsidR="0037778C">
        <w:rPr>
          <w:sz w:val="24"/>
          <w:szCs w:val="24"/>
        </w:rPr>
        <w:t xml:space="preserve">2006 </w:t>
      </w:r>
      <w:r w:rsidR="002F5BA5">
        <w:rPr>
          <w:sz w:val="24"/>
          <w:szCs w:val="24"/>
        </w:rPr>
        <w:t xml:space="preserve">FNPRM) that it </w:t>
      </w:r>
      <w:r>
        <w:rPr>
          <w:sz w:val="24"/>
          <w:szCs w:val="24"/>
        </w:rPr>
        <w:t>was concerned that people without a hearing or speech disability</w:t>
      </w:r>
      <w:r w:rsidR="00A739F4">
        <w:rPr>
          <w:sz w:val="24"/>
          <w:szCs w:val="24"/>
        </w:rPr>
        <w:t xml:space="preserve"> were</w:t>
      </w:r>
      <w:r>
        <w:rPr>
          <w:sz w:val="24"/>
          <w:szCs w:val="24"/>
        </w:rPr>
        <w:t xml:space="preserve"> </w:t>
      </w:r>
      <w:r w:rsidR="002F5BA5">
        <w:rPr>
          <w:sz w:val="24"/>
          <w:szCs w:val="24"/>
        </w:rPr>
        <w:t>taking advantage</w:t>
      </w:r>
      <w:r>
        <w:rPr>
          <w:sz w:val="24"/>
          <w:szCs w:val="24"/>
        </w:rPr>
        <w:t xml:space="preserve"> </w:t>
      </w:r>
      <w:r w:rsidR="002F5BA5">
        <w:rPr>
          <w:sz w:val="24"/>
          <w:szCs w:val="24"/>
        </w:rPr>
        <w:t>of</w:t>
      </w:r>
      <w:r>
        <w:rPr>
          <w:sz w:val="24"/>
          <w:szCs w:val="24"/>
        </w:rPr>
        <w:t xml:space="preserve"> the anonymity of the IP Relay service </w:t>
      </w:r>
      <w:r w:rsidR="002F5BA5">
        <w:rPr>
          <w:sz w:val="24"/>
          <w:szCs w:val="24"/>
        </w:rPr>
        <w:t>by calling merchants to place</w:t>
      </w:r>
      <w:r>
        <w:rPr>
          <w:sz w:val="24"/>
          <w:szCs w:val="24"/>
        </w:rPr>
        <w:t xml:space="preserve"> orders using fake, stolen, or otherwise invalid credit cards.  Such abuse drains the </w:t>
      </w:r>
      <w:r w:rsidR="00506B34">
        <w:rPr>
          <w:sz w:val="24"/>
          <w:szCs w:val="24"/>
        </w:rPr>
        <w:t xml:space="preserve">Interstate </w:t>
      </w:r>
      <w:r>
        <w:rPr>
          <w:sz w:val="24"/>
          <w:szCs w:val="24"/>
        </w:rPr>
        <w:t xml:space="preserve">TRS Fund and harms legitimate consumers whose calls are rejected by individuals and businesses that have been the victims of such misuse. </w:t>
      </w:r>
      <w:r w:rsidR="002F5BA5">
        <w:rPr>
          <w:sz w:val="24"/>
          <w:szCs w:val="24"/>
        </w:rPr>
        <w:t xml:space="preserve">In the </w:t>
      </w:r>
      <w:r w:rsidR="0093759B">
        <w:rPr>
          <w:sz w:val="24"/>
          <w:szCs w:val="24"/>
        </w:rPr>
        <w:t xml:space="preserve">2006 </w:t>
      </w:r>
      <w:r w:rsidR="002F5BA5">
        <w:rPr>
          <w:sz w:val="24"/>
          <w:szCs w:val="24"/>
        </w:rPr>
        <w:t xml:space="preserve">FNPRM, the Commission </w:t>
      </w:r>
      <w:r>
        <w:rPr>
          <w:sz w:val="24"/>
          <w:szCs w:val="24"/>
        </w:rPr>
        <w:t xml:space="preserve">sought comment on ways to curb </w:t>
      </w:r>
      <w:r w:rsidR="002F5BA5">
        <w:rPr>
          <w:sz w:val="24"/>
          <w:szCs w:val="24"/>
        </w:rPr>
        <w:t>th</w:t>
      </w:r>
      <w:r w:rsidR="0093759B">
        <w:rPr>
          <w:sz w:val="24"/>
          <w:szCs w:val="24"/>
        </w:rPr>
        <w:t>is</w:t>
      </w:r>
      <w:r w:rsidR="002F5BA5">
        <w:rPr>
          <w:sz w:val="24"/>
          <w:szCs w:val="24"/>
        </w:rPr>
        <w:t xml:space="preserve"> abuse</w:t>
      </w:r>
      <w:r>
        <w:rPr>
          <w:sz w:val="24"/>
          <w:szCs w:val="24"/>
        </w:rPr>
        <w:t xml:space="preserve">, including </w:t>
      </w:r>
      <w:r w:rsidR="0093759B">
        <w:rPr>
          <w:sz w:val="24"/>
          <w:szCs w:val="24"/>
        </w:rPr>
        <w:t xml:space="preserve">whether to adopt </w:t>
      </w:r>
      <w:r>
        <w:rPr>
          <w:sz w:val="24"/>
          <w:szCs w:val="24"/>
        </w:rPr>
        <w:t>requirements for user registration and rule changes that would permit relay providers to screen and terminate such calls.</w:t>
      </w:r>
    </w:p>
    <w:p w:rsidR="00F95846" w:rsidRDefault="00F95846" w:rsidP="00F95846">
      <w:pPr>
        <w:rPr>
          <w:sz w:val="24"/>
          <w:szCs w:val="24"/>
        </w:rPr>
      </w:pPr>
    </w:p>
    <w:p w:rsidR="002F44C6" w:rsidRDefault="002F5BA5" w:rsidP="00B24153">
      <w:pPr>
        <w:rPr>
          <w:sz w:val="24"/>
          <w:szCs w:val="24"/>
        </w:rPr>
      </w:pPr>
      <w:r>
        <w:rPr>
          <w:sz w:val="24"/>
          <w:szCs w:val="24"/>
        </w:rPr>
        <w:t>In 2008</w:t>
      </w:r>
      <w:r w:rsidR="002F44C6">
        <w:rPr>
          <w:sz w:val="24"/>
          <w:szCs w:val="24"/>
        </w:rPr>
        <w:t>, as part of the</w:t>
      </w:r>
      <w:r>
        <w:rPr>
          <w:sz w:val="24"/>
          <w:szCs w:val="24"/>
        </w:rPr>
        <w:t xml:space="preserve"> implementation of the numbering system for assigning</w:t>
      </w:r>
      <w:r w:rsidR="00894A34">
        <w:rPr>
          <w:sz w:val="24"/>
          <w:szCs w:val="24"/>
        </w:rPr>
        <w:t xml:space="preserve"> a</w:t>
      </w:r>
      <w:r>
        <w:rPr>
          <w:sz w:val="24"/>
          <w:szCs w:val="24"/>
        </w:rPr>
        <w:t xml:space="preserve"> ten-digit telephone number </w:t>
      </w:r>
      <w:r w:rsidR="00894A34">
        <w:rPr>
          <w:sz w:val="24"/>
          <w:szCs w:val="24"/>
        </w:rPr>
        <w:t>to</w:t>
      </w:r>
      <w:r w:rsidR="00A739F4">
        <w:rPr>
          <w:sz w:val="24"/>
          <w:szCs w:val="24"/>
        </w:rPr>
        <w:t xml:space="preserve"> each</w:t>
      </w:r>
      <w:r w:rsidR="00894A34">
        <w:rPr>
          <w:sz w:val="24"/>
          <w:szCs w:val="24"/>
        </w:rPr>
        <w:t xml:space="preserve"> user of IP Relay and VRS</w:t>
      </w:r>
      <w:r w:rsidR="002F44C6">
        <w:rPr>
          <w:sz w:val="24"/>
          <w:szCs w:val="24"/>
        </w:rPr>
        <w:t xml:space="preserve">, the Commission adopted a </w:t>
      </w:r>
      <w:r w:rsidR="00506B34">
        <w:rPr>
          <w:sz w:val="24"/>
          <w:szCs w:val="24"/>
        </w:rPr>
        <w:t>S</w:t>
      </w:r>
      <w:r w:rsidR="002F44C6">
        <w:rPr>
          <w:sz w:val="24"/>
          <w:szCs w:val="24"/>
        </w:rPr>
        <w:t xml:space="preserve">econd iTRS </w:t>
      </w:r>
      <w:r w:rsidR="00506B34">
        <w:rPr>
          <w:sz w:val="24"/>
          <w:szCs w:val="24"/>
        </w:rPr>
        <w:t>N</w:t>
      </w:r>
      <w:r w:rsidR="002F44C6">
        <w:rPr>
          <w:sz w:val="24"/>
          <w:szCs w:val="24"/>
        </w:rPr>
        <w:t xml:space="preserve">umbering Order, </w:t>
      </w:r>
      <w:r w:rsidR="00AC3110">
        <w:rPr>
          <w:sz w:val="24"/>
          <w:szCs w:val="24"/>
        </w:rPr>
        <w:t>directing IP Relay and VRS providers to “implement a reasonable means of verifying registration and eligibility information</w:t>
      </w:r>
      <w:r w:rsidR="009932E9">
        <w:rPr>
          <w:sz w:val="24"/>
          <w:szCs w:val="24"/>
        </w:rPr>
        <w:t>,” including the consumer’s name and mailing address, before</w:t>
      </w:r>
      <w:r w:rsidR="00AC3110">
        <w:rPr>
          <w:sz w:val="24"/>
          <w:szCs w:val="24"/>
        </w:rPr>
        <w:t xml:space="preserve"> issuing a ten-digit telephone number to</w:t>
      </w:r>
      <w:r w:rsidR="0097541E">
        <w:rPr>
          <w:sz w:val="24"/>
          <w:szCs w:val="24"/>
        </w:rPr>
        <w:t xml:space="preserve"> each</w:t>
      </w:r>
      <w:r w:rsidR="00AC3110">
        <w:rPr>
          <w:sz w:val="24"/>
          <w:szCs w:val="24"/>
        </w:rPr>
        <w:t xml:space="preserve"> new or existing user of these services.</w:t>
      </w:r>
      <w:r w:rsidR="00506B34">
        <w:rPr>
          <w:rStyle w:val="FootnoteReference"/>
          <w:sz w:val="24"/>
          <w:szCs w:val="24"/>
        </w:rPr>
        <w:footnoteReference w:id="2"/>
      </w:r>
      <w:r w:rsidR="00AC3110">
        <w:rPr>
          <w:sz w:val="24"/>
          <w:szCs w:val="24"/>
        </w:rPr>
        <w:t xml:space="preserve">  </w:t>
      </w:r>
      <w:r w:rsidR="002F44C6">
        <w:rPr>
          <w:sz w:val="24"/>
          <w:szCs w:val="24"/>
        </w:rPr>
        <w:t>The Order</w:t>
      </w:r>
      <w:r w:rsidR="00AC3110">
        <w:rPr>
          <w:sz w:val="24"/>
          <w:szCs w:val="24"/>
        </w:rPr>
        <w:t xml:space="preserve"> also directed providers to include in their verification procedures a requirement for consumers to self-certify that they have a medically recognized hearing or speech disability necessitating their use of TRS.  </w:t>
      </w:r>
    </w:p>
    <w:p w:rsidR="002F44C6" w:rsidRDefault="002F44C6" w:rsidP="00B24153">
      <w:pPr>
        <w:rPr>
          <w:sz w:val="24"/>
          <w:szCs w:val="24"/>
        </w:rPr>
      </w:pPr>
    </w:p>
    <w:p w:rsidR="002F44C6" w:rsidRDefault="00506B34" w:rsidP="00B24153">
      <w:pPr>
        <w:rPr>
          <w:sz w:val="24"/>
          <w:szCs w:val="24"/>
        </w:rPr>
      </w:pPr>
      <w:r>
        <w:rPr>
          <w:sz w:val="24"/>
          <w:szCs w:val="24"/>
        </w:rPr>
        <w:t>I</w:t>
      </w:r>
      <w:r w:rsidR="002F44C6">
        <w:rPr>
          <w:sz w:val="24"/>
          <w:szCs w:val="24"/>
        </w:rPr>
        <w:t xml:space="preserve">n </w:t>
      </w:r>
      <w:r w:rsidR="0093759B">
        <w:rPr>
          <w:sz w:val="24"/>
          <w:szCs w:val="24"/>
        </w:rPr>
        <w:t>a</w:t>
      </w:r>
      <w:r w:rsidR="002F44C6">
        <w:rPr>
          <w:sz w:val="24"/>
          <w:szCs w:val="24"/>
        </w:rPr>
        <w:t xml:space="preserve"> Public Notice released </w:t>
      </w:r>
      <w:r w:rsidR="006C73D0">
        <w:rPr>
          <w:sz w:val="24"/>
          <w:szCs w:val="24"/>
        </w:rPr>
        <w:t>in</w:t>
      </w:r>
      <w:r w:rsidR="002F44C6" w:rsidRPr="00B24153">
        <w:rPr>
          <w:sz w:val="24"/>
          <w:szCs w:val="24"/>
        </w:rPr>
        <w:t xml:space="preserve"> 2009,</w:t>
      </w:r>
      <w:r>
        <w:rPr>
          <w:sz w:val="24"/>
          <w:szCs w:val="24"/>
        </w:rPr>
        <w:t xml:space="preserve"> the Commission reminded providers that, under the Second iTRS Numbering Order,</w:t>
      </w:r>
      <w:r w:rsidR="002F44C6">
        <w:rPr>
          <w:sz w:val="24"/>
          <w:szCs w:val="24"/>
        </w:rPr>
        <w:t xml:space="preserve"> each provider must</w:t>
      </w:r>
      <w:r w:rsidR="002F44C6" w:rsidRPr="002F44C6">
        <w:rPr>
          <w:sz w:val="24"/>
          <w:szCs w:val="24"/>
        </w:rPr>
        <w:t xml:space="preserve"> handle calls from newly registered users immediately, even if the provider had not fully completed the process of verifying the caller’s information, assigning the caller a new ten-digit number, and provisioning that number to the iTRS database</w:t>
      </w:r>
      <w:r w:rsidR="002F44C6">
        <w:rPr>
          <w:sz w:val="24"/>
          <w:szCs w:val="24"/>
        </w:rPr>
        <w:t>.</w:t>
      </w:r>
      <w:r>
        <w:rPr>
          <w:rStyle w:val="FootnoteReference"/>
          <w:sz w:val="24"/>
          <w:szCs w:val="24"/>
        </w:rPr>
        <w:footnoteReference w:id="3"/>
      </w:r>
      <w:r w:rsidR="002F44C6">
        <w:rPr>
          <w:sz w:val="24"/>
          <w:szCs w:val="24"/>
        </w:rPr>
        <w:t xml:space="preserve">  </w:t>
      </w:r>
      <w:r w:rsidR="002F44C6" w:rsidRPr="00B24153">
        <w:rPr>
          <w:sz w:val="24"/>
          <w:szCs w:val="24"/>
        </w:rPr>
        <w:t>The Public Notice did not eliminate the requirement for providers to implement a reasonable process for verifying registration information provided by new users</w:t>
      </w:r>
      <w:r w:rsidR="0097541E">
        <w:rPr>
          <w:sz w:val="24"/>
          <w:szCs w:val="24"/>
        </w:rPr>
        <w:t>.</w:t>
      </w:r>
      <w:r w:rsidR="002F44C6" w:rsidRPr="00B24153">
        <w:rPr>
          <w:sz w:val="24"/>
          <w:szCs w:val="24"/>
        </w:rPr>
        <w:t xml:space="preserve"> </w:t>
      </w:r>
      <w:r w:rsidR="0097541E">
        <w:rPr>
          <w:sz w:val="24"/>
          <w:szCs w:val="24"/>
        </w:rPr>
        <w:t xml:space="preserve"> However</w:t>
      </w:r>
      <w:r w:rsidR="00AC3110">
        <w:rPr>
          <w:sz w:val="24"/>
          <w:szCs w:val="24"/>
        </w:rPr>
        <w:t>,</w:t>
      </w:r>
      <w:r w:rsidR="0093759B">
        <w:rPr>
          <w:sz w:val="24"/>
          <w:szCs w:val="24"/>
        </w:rPr>
        <w:t xml:space="preserve"> it stated that</w:t>
      </w:r>
      <w:r w:rsidR="00AC3110">
        <w:rPr>
          <w:sz w:val="24"/>
          <w:szCs w:val="24"/>
        </w:rPr>
        <w:t xml:space="preserve"> “to the extent technically feasible, Internet-based TRS providers must allow newly registered users to place calls immediately,” even before the verification of such individuals</w:t>
      </w:r>
      <w:r w:rsidR="0097541E">
        <w:rPr>
          <w:sz w:val="24"/>
          <w:szCs w:val="24"/>
        </w:rPr>
        <w:t>,</w:t>
      </w:r>
      <w:r w:rsidR="00AC3110">
        <w:rPr>
          <w:sz w:val="24"/>
          <w:szCs w:val="24"/>
        </w:rPr>
        <w:t xml:space="preserve"> in order that IP Relay users</w:t>
      </w:r>
      <w:r w:rsidR="00055269">
        <w:rPr>
          <w:sz w:val="24"/>
          <w:szCs w:val="24"/>
        </w:rPr>
        <w:t xml:space="preserve"> </w:t>
      </w:r>
      <w:r w:rsidR="00AC3110">
        <w:rPr>
          <w:sz w:val="24"/>
          <w:szCs w:val="24"/>
        </w:rPr>
        <w:t xml:space="preserve">not be cut off from service during the transition to the new ten-digit numbering and registration system.  Under this “guest user” </w:t>
      </w:r>
      <w:r w:rsidR="004752D0">
        <w:rPr>
          <w:sz w:val="24"/>
          <w:szCs w:val="24"/>
        </w:rPr>
        <w:t>program</w:t>
      </w:r>
      <w:r w:rsidR="00AC3110">
        <w:rPr>
          <w:sz w:val="24"/>
          <w:szCs w:val="24"/>
        </w:rPr>
        <w:t xml:space="preserve">, providers gave users ten-digit </w:t>
      </w:r>
      <w:r w:rsidR="003A3404">
        <w:rPr>
          <w:sz w:val="24"/>
          <w:szCs w:val="24"/>
        </w:rPr>
        <w:t xml:space="preserve">telephone </w:t>
      </w:r>
      <w:r w:rsidR="00AC3110">
        <w:rPr>
          <w:sz w:val="24"/>
          <w:szCs w:val="24"/>
        </w:rPr>
        <w:t>numbers and provisioned these numbers to the iTRS directory</w:t>
      </w:r>
      <w:r w:rsidR="00EF51E1">
        <w:rPr>
          <w:sz w:val="24"/>
          <w:szCs w:val="24"/>
        </w:rPr>
        <w:t xml:space="preserve"> even if the provider had not fully completed the process of verifying the </w:t>
      </w:r>
      <w:r w:rsidR="003A3404">
        <w:rPr>
          <w:sz w:val="24"/>
          <w:szCs w:val="24"/>
        </w:rPr>
        <w:t xml:space="preserve">users’ </w:t>
      </w:r>
      <w:r w:rsidR="00EF51E1">
        <w:rPr>
          <w:sz w:val="24"/>
          <w:szCs w:val="24"/>
        </w:rPr>
        <w:t>information</w:t>
      </w:r>
      <w:r w:rsidR="00AC3110">
        <w:rPr>
          <w:sz w:val="24"/>
          <w:szCs w:val="24"/>
        </w:rPr>
        <w:t>.  These</w:t>
      </w:r>
      <w:r w:rsidR="006C73D0">
        <w:rPr>
          <w:sz w:val="24"/>
          <w:szCs w:val="24"/>
        </w:rPr>
        <w:t xml:space="preserve"> numbers were allowed to remain </w:t>
      </w:r>
      <w:r w:rsidR="00AC3110">
        <w:rPr>
          <w:sz w:val="24"/>
          <w:szCs w:val="24"/>
        </w:rPr>
        <w:t>valid for the purpose of making IP Relay calls until the users’ identifying information was authenticated or rejected.</w:t>
      </w:r>
    </w:p>
    <w:p w:rsidR="002F44C6" w:rsidRDefault="002F44C6" w:rsidP="00B24153">
      <w:pPr>
        <w:rPr>
          <w:sz w:val="24"/>
          <w:szCs w:val="24"/>
        </w:rPr>
      </w:pPr>
    </w:p>
    <w:p w:rsidR="0037778C" w:rsidRDefault="00B24153" w:rsidP="00B24153">
      <w:pPr>
        <w:rPr>
          <w:sz w:val="24"/>
          <w:szCs w:val="24"/>
        </w:rPr>
      </w:pPr>
      <w:r w:rsidRPr="00B24153">
        <w:rPr>
          <w:sz w:val="24"/>
          <w:szCs w:val="24"/>
        </w:rPr>
        <w:t>In 2011, the Commission</w:t>
      </w:r>
      <w:r w:rsidR="0037778C">
        <w:rPr>
          <w:sz w:val="24"/>
          <w:szCs w:val="24"/>
        </w:rPr>
        <w:t xml:space="preserve"> released a Report and Order and Further Notice of Proposed Rulemaking adopting</w:t>
      </w:r>
      <w:r w:rsidRPr="00B24153">
        <w:rPr>
          <w:sz w:val="24"/>
          <w:szCs w:val="24"/>
        </w:rPr>
        <w:t xml:space="preserve"> several additional measures to combat IP Relay fraud and abuse, including a requirement for all TRS providers to submit to Commission-directed audits,  a mandate for iTRS providers to retain, for five years, call detail records and other records supporting claims for payment, whistleblower protection rules for provider employees and contractors, and a requirement that a senior executive of </w:t>
      </w:r>
      <w:r w:rsidR="0097541E">
        <w:rPr>
          <w:sz w:val="24"/>
          <w:szCs w:val="24"/>
        </w:rPr>
        <w:t>each</w:t>
      </w:r>
      <w:r w:rsidRPr="00B24153">
        <w:rPr>
          <w:sz w:val="24"/>
          <w:szCs w:val="24"/>
        </w:rPr>
        <w:t xml:space="preserve"> TRS provider certify, under penalty of perjury, to the validity of minutes and data submitted t</w:t>
      </w:r>
      <w:r w:rsidR="0037778C">
        <w:rPr>
          <w:sz w:val="24"/>
          <w:szCs w:val="24"/>
        </w:rPr>
        <w:t>o the TRS Fund administrator.</w:t>
      </w:r>
      <w:r w:rsidR="003A3404">
        <w:rPr>
          <w:rStyle w:val="FootnoteReference"/>
          <w:sz w:val="24"/>
          <w:szCs w:val="24"/>
        </w:rPr>
        <w:footnoteReference w:id="4"/>
      </w:r>
      <w:r w:rsidR="0037778C">
        <w:rPr>
          <w:sz w:val="24"/>
          <w:szCs w:val="24"/>
        </w:rPr>
        <w:t xml:space="preserve">  </w:t>
      </w:r>
    </w:p>
    <w:p w:rsidR="0037778C" w:rsidRDefault="0037778C" w:rsidP="00B24153">
      <w:pPr>
        <w:rPr>
          <w:sz w:val="24"/>
          <w:szCs w:val="24"/>
        </w:rPr>
      </w:pPr>
    </w:p>
    <w:p w:rsidR="00EF51E1" w:rsidRDefault="00EF51E1" w:rsidP="00EF51E1">
      <w:pPr>
        <w:tabs>
          <w:tab w:val="left" w:pos="0"/>
        </w:tabs>
        <w:rPr>
          <w:sz w:val="24"/>
          <w:szCs w:val="24"/>
        </w:rPr>
      </w:pPr>
      <w:r>
        <w:rPr>
          <w:sz w:val="24"/>
          <w:szCs w:val="24"/>
        </w:rPr>
        <w:t>Nevertheless, concern</w:t>
      </w:r>
      <w:r w:rsidR="0037778C">
        <w:rPr>
          <w:sz w:val="24"/>
          <w:szCs w:val="24"/>
        </w:rPr>
        <w:t xml:space="preserve">s </w:t>
      </w:r>
      <w:r w:rsidR="004752D0">
        <w:rPr>
          <w:sz w:val="24"/>
          <w:szCs w:val="24"/>
        </w:rPr>
        <w:t xml:space="preserve">remain </w:t>
      </w:r>
      <w:r>
        <w:rPr>
          <w:sz w:val="24"/>
          <w:szCs w:val="24"/>
        </w:rPr>
        <w:t xml:space="preserve">over </w:t>
      </w:r>
      <w:r w:rsidR="0037778C">
        <w:rPr>
          <w:sz w:val="24"/>
          <w:szCs w:val="24"/>
        </w:rPr>
        <w:t>IP Relay</w:t>
      </w:r>
      <w:r>
        <w:rPr>
          <w:sz w:val="24"/>
          <w:szCs w:val="24"/>
        </w:rPr>
        <w:t xml:space="preserve"> providers’ </w:t>
      </w:r>
      <w:r w:rsidR="00AF02D9">
        <w:rPr>
          <w:sz w:val="24"/>
          <w:szCs w:val="24"/>
        </w:rPr>
        <w:t xml:space="preserve">potentially </w:t>
      </w:r>
      <w:r w:rsidR="0037778C">
        <w:rPr>
          <w:sz w:val="24"/>
          <w:szCs w:val="24"/>
        </w:rPr>
        <w:t xml:space="preserve">lax </w:t>
      </w:r>
      <w:r>
        <w:rPr>
          <w:sz w:val="24"/>
          <w:szCs w:val="24"/>
        </w:rPr>
        <w:t xml:space="preserve">methods of verifying registration and eligibility information submitted by </w:t>
      </w:r>
      <w:r w:rsidR="008F5889">
        <w:rPr>
          <w:sz w:val="24"/>
          <w:szCs w:val="24"/>
        </w:rPr>
        <w:t xml:space="preserve">users and over </w:t>
      </w:r>
      <w:r w:rsidR="0037778C">
        <w:rPr>
          <w:sz w:val="24"/>
          <w:szCs w:val="24"/>
        </w:rPr>
        <w:t>the</w:t>
      </w:r>
      <w:r w:rsidR="008F5889">
        <w:rPr>
          <w:sz w:val="24"/>
          <w:szCs w:val="24"/>
        </w:rPr>
        <w:t xml:space="preserve"> misuse</w:t>
      </w:r>
      <w:r w:rsidR="0037778C">
        <w:rPr>
          <w:sz w:val="24"/>
          <w:szCs w:val="24"/>
        </w:rPr>
        <w:t xml:space="preserve"> of the guest user program.  The Commission therefore issued a Public Notice on </w:t>
      </w:r>
      <w:r w:rsidR="0037778C" w:rsidRPr="0037778C">
        <w:rPr>
          <w:sz w:val="24"/>
          <w:szCs w:val="24"/>
        </w:rPr>
        <w:t>February 13, 2012, seeking to refresh the record initiated by the 2006 FNPRM on matters pertaining to IP Relay misuse.</w:t>
      </w:r>
      <w:r w:rsidR="00AF02D9">
        <w:rPr>
          <w:rStyle w:val="FootnoteReference"/>
          <w:sz w:val="24"/>
          <w:szCs w:val="24"/>
        </w:rPr>
        <w:footnoteReference w:id="5"/>
      </w:r>
      <w:r w:rsidR="0037778C" w:rsidRPr="0037778C">
        <w:rPr>
          <w:sz w:val="24"/>
          <w:szCs w:val="24"/>
        </w:rPr>
        <w:t xml:space="preserve">   </w:t>
      </w:r>
      <w:r>
        <w:rPr>
          <w:sz w:val="24"/>
          <w:szCs w:val="24"/>
        </w:rPr>
        <w:t xml:space="preserve"> </w:t>
      </w:r>
    </w:p>
    <w:p w:rsidR="00154ED3" w:rsidRDefault="00154ED3" w:rsidP="00EF51E1">
      <w:pPr>
        <w:tabs>
          <w:tab w:val="left" w:pos="0"/>
        </w:tabs>
        <w:rPr>
          <w:sz w:val="24"/>
          <w:szCs w:val="24"/>
        </w:rPr>
      </w:pPr>
    </w:p>
    <w:p w:rsidR="00EF51E1" w:rsidRDefault="00EF51E1" w:rsidP="00EF51E1">
      <w:pPr>
        <w:numPr>
          <w:ilvl w:val="0"/>
          <w:numId w:val="2"/>
        </w:numPr>
        <w:tabs>
          <w:tab w:val="left" w:pos="0"/>
        </w:tabs>
        <w:rPr>
          <w:b/>
          <w:sz w:val="24"/>
          <w:szCs w:val="24"/>
        </w:rPr>
      </w:pPr>
      <w:r w:rsidRPr="00EF51E1">
        <w:rPr>
          <w:b/>
          <w:sz w:val="24"/>
          <w:szCs w:val="24"/>
        </w:rPr>
        <w:t xml:space="preserve"> Rule Requirements</w:t>
      </w:r>
    </w:p>
    <w:p w:rsidR="0037778C" w:rsidRDefault="0037778C" w:rsidP="0037778C">
      <w:pPr>
        <w:tabs>
          <w:tab w:val="left" w:pos="0"/>
        </w:tabs>
        <w:ind w:left="360"/>
        <w:rPr>
          <w:b/>
          <w:sz w:val="24"/>
          <w:szCs w:val="24"/>
        </w:rPr>
      </w:pPr>
    </w:p>
    <w:p w:rsidR="006C73D0" w:rsidRDefault="0037778C" w:rsidP="00EF51E1">
      <w:pPr>
        <w:tabs>
          <w:tab w:val="left" w:pos="0"/>
        </w:tabs>
        <w:rPr>
          <w:sz w:val="24"/>
          <w:szCs w:val="24"/>
        </w:rPr>
      </w:pPr>
      <w:r>
        <w:rPr>
          <w:sz w:val="24"/>
          <w:szCs w:val="24"/>
        </w:rPr>
        <w:t>In this First Report and Order, t</w:t>
      </w:r>
      <w:r w:rsidR="00154ED3">
        <w:rPr>
          <w:sz w:val="24"/>
          <w:szCs w:val="24"/>
        </w:rPr>
        <w:t xml:space="preserve">he Commission </w:t>
      </w:r>
      <w:r>
        <w:rPr>
          <w:sz w:val="24"/>
          <w:szCs w:val="24"/>
        </w:rPr>
        <w:t xml:space="preserve">determined </w:t>
      </w:r>
      <w:r w:rsidR="00154ED3">
        <w:rPr>
          <w:sz w:val="24"/>
          <w:szCs w:val="24"/>
        </w:rPr>
        <w:t>that a prohibition against temporary authorization of IP Relay users is necessary in order to curb the fraud and abuse that has resulted from misuse of</w:t>
      </w:r>
      <w:r w:rsidR="008F5889">
        <w:rPr>
          <w:sz w:val="24"/>
          <w:szCs w:val="24"/>
        </w:rPr>
        <w:t xml:space="preserve"> the temporary authorization</w:t>
      </w:r>
      <w:r w:rsidR="00154ED3">
        <w:rPr>
          <w:sz w:val="24"/>
          <w:szCs w:val="24"/>
        </w:rPr>
        <w:t xml:space="preserve"> procedure</w:t>
      </w:r>
      <w:r>
        <w:rPr>
          <w:sz w:val="24"/>
          <w:szCs w:val="24"/>
        </w:rPr>
        <w:t xml:space="preserve"> (</w:t>
      </w:r>
      <w:r w:rsidR="00002327">
        <w:rPr>
          <w:sz w:val="24"/>
          <w:szCs w:val="24"/>
        </w:rPr>
        <w:t>also known as the</w:t>
      </w:r>
      <w:r>
        <w:rPr>
          <w:sz w:val="24"/>
          <w:szCs w:val="24"/>
        </w:rPr>
        <w:t xml:space="preserve"> </w:t>
      </w:r>
      <w:r w:rsidR="00002327">
        <w:rPr>
          <w:sz w:val="24"/>
          <w:szCs w:val="24"/>
        </w:rPr>
        <w:t>“</w:t>
      </w:r>
      <w:r>
        <w:rPr>
          <w:sz w:val="24"/>
          <w:szCs w:val="24"/>
        </w:rPr>
        <w:t>guest user program</w:t>
      </w:r>
      <w:r w:rsidR="00002327">
        <w:rPr>
          <w:sz w:val="24"/>
          <w:szCs w:val="24"/>
        </w:rPr>
        <w:t>”</w:t>
      </w:r>
      <w:r>
        <w:rPr>
          <w:sz w:val="24"/>
          <w:szCs w:val="24"/>
        </w:rPr>
        <w:t>)</w:t>
      </w:r>
      <w:r w:rsidR="00154ED3">
        <w:rPr>
          <w:sz w:val="24"/>
          <w:szCs w:val="24"/>
        </w:rPr>
        <w:t xml:space="preserve">.  </w:t>
      </w:r>
      <w:r w:rsidR="006C73D0">
        <w:rPr>
          <w:sz w:val="24"/>
          <w:szCs w:val="24"/>
        </w:rPr>
        <w:t xml:space="preserve">The Order </w:t>
      </w:r>
      <w:r w:rsidR="0019620D">
        <w:rPr>
          <w:sz w:val="24"/>
          <w:szCs w:val="24"/>
        </w:rPr>
        <w:t>eliminate</w:t>
      </w:r>
      <w:r w:rsidR="006C73D0">
        <w:rPr>
          <w:sz w:val="24"/>
          <w:szCs w:val="24"/>
        </w:rPr>
        <w:t>s</w:t>
      </w:r>
      <w:r w:rsidR="00154ED3">
        <w:rPr>
          <w:sz w:val="24"/>
          <w:szCs w:val="24"/>
        </w:rPr>
        <w:t xml:space="preserve"> the “guest user” </w:t>
      </w:r>
      <w:r w:rsidR="004752D0">
        <w:rPr>
          <w:sz w:val="24"/>
          <w:szCs w:val="24"/>
        </w:rPr>
        <w:t xml:space="preserve">program </w:t>
      </w:r>
      <w:r w:rsidR="00154ED3">
        <w:rPr>
          <w:sz w:val="24"/>
          <w:szCs w:val="24"/>
        </w:rPr>
        <w:t>and prohibit</w:t>
      </w:r>
      <w:r w:rsidR="00560480">
        <w:rPr>
          <w:sz w:val="24"/>
          <w:szCs w:val="24"/>
        </w:rPr>
        <w:t>s</w:t>
      </w:r>
      <w:r w:rsidR="00154ED3">
        <w:rPr>
          <w:sz w:val="24"/>
          <w:szCs w:val="24"/>
        </w:rPr>
        <w:t xml:space="preserve"> granting such temporary authorization for any IP Relay calls other than emergency calls to 911 services.</w:t>
      </w:r>
      <w:r w:rsidR="009F64A3">
        <w:rPr>
          <w:sz w:val="24"/>
          <w:szCs w:val="24"/>
        </w:rPr>
        <w:t xml:space="preserve">  </w:t>
      </w:r>
      <w:r w:rsidR="00002327">
        <w:rPr>
          <w:sz w:val="24"/>
          <w:szCs w:val="24"/>
        </w:rPr>
        <w:t>Specifically, the Order states</w:t>
      </w:r>
      <w:r w:rsidR="009F64A3">
        <w:rPr>
          <w:sz w:val="24"/>
          <w:szCs w:val="24"/>
        </w:rPr>
        <w:t xml:space="preserve"> that</w:t>
      </w:r>
      <w:r w:rsidR="006C73D0">
        <w:rPr>
          <w:sz w:val="24"/>
          <w:szCs w:val="24"/>
        </w:rPr>
        <w:t>:</w:t>
      </w:r>
    </w:p>
    <w:p w:rsidR="006C73D0" w:rsidRDefault="006C73D0" w:rsidP="00EF51E1">
      <w:pPr>
        <w:tabs>
          <w:tab w:val="left" w:pos="0"/>
        </w:tabs>
        <w:rPr>
          <w:sz w:val="24"/>
          <w:szCs w:val="24"/>
        </w:rPr>
      </w:pPr>
    </w:p>
    <w:p w:rsidR="006C73D0" w:rsidRDefault="006C73D0" w:rsidP="002B2B8D">
      <w:pPr>
        <w:numPr>
          <w:ilvl w:val="0"/>
          <w:numId w:val="5"/>
        </w:numPr>
        <w:tabs>
          <w:tab w:val="left" w:pos="0"/>
        </w:tabs>
        <w:rPr>
          <w:sz w:val="24"/>
          <w:szCs w:val="24"/>
        </w:rPr>
      </w:pPr>
      <w:r>
        <w:rPr>
          <w:sz w:val="24"/>
          <w:szCs w:val="24"/>
        </w:rPr>
        <w:t>IP Relay providers are not</w:t>
      </w:r>
      <w:r w:rsidR="009F64A3">
        <w:rPr>
          <w:sz w:val="24"/>
          <w:szCs w:val="24"/>
        </w:rPr>
        <w:t xml:space="preserve"> permitted to deem the user as “registered” for the purposes of the rules and </w:t>
      </w:r>
      <w:r>
        <w:rPr>
          <w:sz w:val="24"/>
          <w:szCs w:val="24"/>
        </w:rPr>
        <w:t>are</w:t>
      </w:r>
      <w:r w:rsidR="009F64A3">
        <w:rPr>
          <w:sz w:val="24"/>
          <w:szCs w:val="24"/>
        </w:rPr>
        <w:t xml:space="preserve"> prohibited from handling the user’s IP Relay calls other than 911 emergency calls</w:t>
      </w:r>
      <w:r w:rsidR="002B2B8D">
        <w:rPr>
          <w:sz w:val="24"/>
          <w:szCs w:val="24"/>
        </w:rPr>
        <w:t>, assigning the user a ten-digit telephone number, or</w:t>
      </w:r>
      <w:r w:rsidR="001960CC">
        <w:rPr>
          <w:sz w:val="24"/>
          <w:szCs w:val="24"/>
        </w:rPr>
        <w:t xml:space="preserve"> </w:t>
      </w:r>
      <w:r w:rsidR="002B2B8D" w:rsidRPr="002B2B8D">
        <w:rPr>
          <w:sz w:val="24"/>
          <w:szCs w:val="24"/>
        </w:rPr>
        <w:t>provisioning such number to the iTRS Directory.</w:t>
      </w:r>
      <w:r w:rsidRPr="006C73D0">
        <w:rPr>
          <w:sz w:val="24"/>
          <w:szCs w:val="24"/>
        </w:rPr>
        <w:t xml:space="preserve"> </w:t>
      </w:r>
      <w:r>
        <w:rPr>
          <w:sz w:val="24"/>
          <w:szCs w:val="24"/>
        </w:rPr>
        <w:t xml:space="preserve">until an IP </w:t>
      </w:r>
      <w:r w:rsidRPr="006C73D0">
        <w:rPr>
          <w:sz w:val="24"/>
          <w:szCs w:val="24"/>
        </w:rPr>
        <w:t xml:space="preserve">Relay provider verifies </w:t>
      </w:r>
      <w:r w:rsidR="00B62C15">
        <w:rPr>
          <w:sz w:val="24"/>
          <w:szCs w:val="24"/>
        </w:rPr>
        <w:t>the</w:t>
      </w:r>
      <w:r w:rsidRPr="006C73D0">
        <w:rPr>
          <w:sz w:val="24"/>
          <w:szCs w:val="24"/>
        </w:rPr>
        <w:t xml:space="preserve"> new IP Relay user</w:t>
      </w:r>
      <w:r w:rsidR="00B62C15">
        <w:rPr>
          <w:sz w:val="24"/>
          <w:szCs w:val="24"/>
        </w:rPr>
        <w:t>’s registration information</w:t>
      </w:r>
      <w:r w:rsidR="00C06168">
        <w:rPr>
          <w:sz w:val="24"/>
          <w:szCs w:val="24"/>
        </w:rPr>
        <w:t xml:space="preserve"> in accordance with the Commission’s standards</w:t>
      </w:r>
      <w:r>
        <w:rPr>
          <w:sz w:val="24"/>
          <w:szCs w:val="24"/>
        </w:rPr>
        <w:t>; and</w:t>
      </w:r>
    </w:p>
    <w:p w:rsidR="006C73D0" w:rsidRDefault="006C73D0" w:rsidP="006C73D0">
      <w:pPr>
        <w:tabs>
          <w:tab w:val="left" w:pos="0"/>
        </w:tabs>
        <w:ind w:left="360"/>
        <w:rPr>
          <w:sz w:val="24"/>
          <w:szCs w:val="24"/>
        </w:rPr>
      </w:pPr>
    </w:p>
    <w:p w:rsidR="006C73D0" w:rsidRDefault="006C73D0" w:rsidP="006C73D0">
      <w:pPr>
        <w:numPr>
          <w:ilvl w:val="0"/>
          <w:numId w:val="5"/>
        </w:numPr>
        <w:tabs>
          <w:tab w:val="left" w:pos="0"/>
        </w:tabs>
        <w:rPr>
          <w:sz w:val="24"/>
          <w:szCs w:val="24"/>
        </w:rPr>
      </w:pPr>
      <w:r>
        <w:rPr>
          <w:sz w:val="24"/>
          <w:szCs w:val="24"/>
        </w:rPr>
        <w:t>IP Relay p</w:t>
      </w:r>
      <w:r w:rsidR="009F64A3">
        <w:rPr>
          <w:sz w:val="24"/>
          <w:szCs w:val="24"/>
        </w:rPr>
        <w:t xml:space="preserve">roviders </w:t>
      </w:r>
      <w:r w:rsidR="00C06168">
        <w:rPr>
          <w:sz w:val="24"/>
          <w:szCs w:val="24"/>
        </w:rPr>
        <w:t xml:space="preserve">are expected to </w:t>
      </w:r>
      <w:r w:rsidR="009F64A3">
        <w:rPr>
          <w:sz w:val="24"/>
          <w:szCs w:val="24"/>
        </w:rPr>
        <w:t xml:space="preserve">periodically review the ten-digit numbers that they place in the iTRS </w:t>
      </w:r>
      <w:r w:rsidR="002B2B8D">
        <w:rPr>
          <w:sz w:val="24"/>
          <w:szCs w:val="24"/>
        </w:rPr>
        <w:t>D</w:t>
      </w:r>
      <w:r w:rsidR="009F64A3">
        <w:rPr>
          <w:sz w:val="24"/>
          <w:szCs w:val="24"/>
        </w:rPr>
        <w:t>irectory in order to delete numbers that have been assigned to users that ultimately are not “registered” or that are otherwise associated with fraudulent calling practices.</w:t>
      </w:r>
      <w:r w:rsidR="002F3078">
        <w:rPr>
          <w:sz w:val="24"/>
          <w:szCs w:val="24"/>
        </w:rPr>
        <w:t xml:space="preserve">  </w:t>
      </w:r>
    </w:p>
    <w:p w:rsidR="006C73D0" w:rsidRDefault="006C73D0" w:rsidP="006C73D0">
      <w:pPr>
        <w:pStyle w:val="ListParagraph"/>
        <w:rPr>
          <w:sz w:val="24"/>
          <w:szCs w:val="24"/>
        </w:rPr>
      </w:pPr>
    </w:p>
    <w:p w:rsidR="00EF51E1" w:rsidRDefault="006C73D0" w:rsidP="006C73D0">
      <w:pPr>
        <w:tabs>
          <w:tab w:val="left" w:pos="0"/>
        </w:tabs>
        <w:rPr>
          <w:sz w:val="24"/>
          <w:szCs w:val="24"/>
        </w:rPr>
      </w:pPr>
      <w:r>
        <w:rPr>
          <w:sz w:val="24"/>
          <w:szCs w:val="24"/>
        </w:rPr>
        <w:t>The Commission concluded that this rule prohibition</w:t>
      </w:r>
      <w:r w:rsidR="002F3078">
        <w:rPr>
          <w:sz w:val="24"/>
          <w:szCs w:val="24"/>
        </w:rPr>
        <w:t xml:space="preserve"> will ensure that only verified users have active numbers and</w:t>
      </w:r>
      <w:r w:rsidR="00A71727">
        <w:rPr>
          <w:sz w:val="24"/>
          <w:szCs w:val="24"/>
        </w:rPr>
        <w:t xml:space="preserve"> will</w:t>
      </w:r>
      <w:r w:rsidR="002F3078">
        <w:rPr>
          <w:sz w:val="24"/>
          <w:szCs w:val="24"/>
        </w:rPr>
        <w:t xml:space="preserve"> prevent ineligible users from using the services of other providers who are unaware of a default provider’s ultimate decision to reject user authorization.</w:t>
      </w:r>
    </w:p>
    <w:p w:rsidR="00154ED3" w:rsidRDefault="00154ED3" w:rsidP="00EF51E1">
      <w:pPr>
        <w:tabs>
          <w:tab w:val="left" w:pos="0"/>
        </w:tabs>
        <w:rPr>
          <w:sz w:val="24"/>
          <w:szCs w:val="24"/>
        </w:rPr>
      </w:pPr>
    </w:p>
    <w:p w:rsidR="00154ED3" w:rsidRDefault="00154ED3" w:rsidP="00154ED3">
      <w:pPr>
        <w:tabs>
          <w:tab w:val="left" w:pos="0"/>
        </w:tabs>
        <w:jc w:val="center"/>
        <w:rPr>
          <w:b/>
          <w:sz w:val="24"/>
          <w:szCs w:val="24"/>
          <w:u w:val="single"/>
        </w:rPr>
      </w:pPr>
      <w:r>
        <w:rPr>
          <w:b/>
          <w:sz w:val="24"/>
          <w:szCs w:val="24"/>
          <w:u w:val="single"/>
        </w:rPr>
        <w:t xml:space="preserve">RECORDKEEPING </w:t>
      </w:r>
    </w:p>
    <w:p w:rsidR="002F3078" w:rsidRDefault="002F3078" w:rsidP="00154ED3">
      <w:pPr>
        <w:tabs>
          <w:tab w:val="left" w:pos="0"/>
        </w:tabs>
        <w:jc w:val="center"/>
        <w:rPr>
          <w:b/>
          <w:sz w:val="24"/>
          <w:szCs w:val="24"/>
          <w:u w:val="single"/>
        </w:rPr>
      </w:pPr>
    </w:p>
    <w:p w:rsidR="00154ED3" w:rsidRDefault="002F3078" w:rsidP="002F3078">
      <w:pPr>
        <w:tabs>
          <w:tab w:val="left" w:pos="0"/>
        </w:tabs>
        <w:rPr>
          <w:sz w:val="24"/>
          <w:szCs w:val="24"/>
        </w:rPr>
      </w:pPr>
      <w:r>
        <w:rPr>
          <w:sz w:val="24"/>
          <w:szCs w:val="24"/>
        </w:rPr>
        <w:t xml:space="preserve">This decision does not impose any new reporting or record keeping requirements.  </w:t>
      </w:r>
    </w:p>
    <w:p w:rsidR="002F3078" w:rsidRDefault="002F3078" w:rsidP="002F3078">
      <w:pPr>
        <w:tabs>
          <w:tab w:val="left" w:pos="0"/>
        </w:tabs>
        <w:rPr>
          <w:sz w:val="24"/>
          <w:szCs w:val="24"/>
        </w:rPr>
      </w:pPr>
    </w:p>
    <w:p w:rsidR="002F3078" w:rsidRDefault="002F3078" w:rsidP="002F3078">
      <w:pPr>
        <w:tabs>
          <w:tab w:val="left" w:pos="0"/>
        </w:tabs>
        <w:jc w:val="center"/>
        <w:rPr>
          <w:sz w:val="24"/>
          <w:szCs w:val="24"/>
        </w:rPr>
      </w:pPr>
      <w:r>
        <w:rPr>
          <w:b/>
          <w:sz w:val="24"/>
          <w:szCs w:val="24"/>
          <w:u w:val="single"/>
        </w:rPr>
        <w:t>IMPACT ON SMALL BUSINESS</w:t>
      </w:r>
    </w:p>
    <w:p w:rsidR="002F3078" w:rsidRDefault="002F3078" w:rsidP="002F3078">
      <w:pPr>
        <w:tabs>
          <w:tab w:val="left" w:pos="0"/>
        </w:tabs>
        <w:jc w:val="center"/>
        <w:rPr>
          <w:sz w:val="24"/>
          <w:szCs w:val="24"/>
        </w:rPr>
      </w:pPr>
    </w:p>
    <w:p w:rsidR="00561EBB" w:rsidRDefault="002F3078" w:rsidP="002F3078">
      <w:pPr>
        <w:tabs>
          <w:tab w:val="left" w:pos="0"/>
        </w:tabs>
        <w:rPr>
          <w:sz w:val="24"/>
          <w:szCs w:val="24"/>
        </w:rPr>
      </w:pPr>
      <w:r>
        <w:rPr>
          <w:sz w:val="24"/>
          <w:szCs w:val="24"/>
        </w:rPr>
        <w:t xml:space="preserve">The </w:t>
      </w:r>
      <w:r w:rsidR="00FF4082">
        <w:rPr>
          <w:sz w:val="24"/>
          <w:szCs w:val="24"/>
        </w:rPr>
        <w:t xml:space="preserve">new requirements </w:t>
      </w:r>
      <w:r>
        <w:rPr>
          <w:sz w:val="24"/>
          <w:szCs w:val="24"/>
        </w:rPr>
        <w:t xml:space="preserve">do not impose a new </w:t>
      </w:r>
      <w:r w:rsidR="003B4FCF">
        <w:rPr>
          <w:sz w:val="24"/>
          <w:szCs w:val="24"/>
        </w:rPr>
        <w:t xml:space="preserve">regulatory and financial </w:t>
      </w:r>
      <w:r>
        <w:rPr>
          <w:sz w:val="24"/>
          <w:szCs w:val="24"/>
        </w:rPr>
        <w:t>impact on small businesses</w:t>
      </w:r>
      <w:r w:rsidR="00FF4082">
        <w:rPr>
          <w:sz w:val="24"/>
          <w:szCs w:val="24"/>
        </w:rPr>
        <w:t>, but are</w:t>
      </w:r>
      <w:r w:rsidR="00FF4082" w:rsidRPr="00FF4082">
        <w:rPr>
          <w:sz w:val="24"/>
          <w:szCs w:val="24"/>
        </w:rPr>
        <w:t xml:space="preserve"> minimiz</w:t>
      </w:r>
      <w:r w:rsidR="00FF4082">
        <w:rPr>
          <w:sz w:val="24"/>
          <w:szCs w:val="24"/>
        </w:rPr>
        <w:t>ing</w:t>
      </w:r>
      <w:r w:rsidR="00FF4082" w:rsidRPr="00FF4082">
        <w:rPr>
          <w:sz w:val="24"/>
          <w:szCs w:val="24"/>
        </w:rPr>
        <w:t xml:space="preserve"> significant economic impact on small entities</w:t>
      </w:r>
      <w:r w:rsidR="00FF4082">
        <w:rPr>
          <w:sz w:val="24"/>
          <w:szCs w:val="24"/>
        </w:rPr>
        <w:t>.</w:t>
      </w:r>
      <w:r>
        <w:rPr>
          <w:sz w:val="24"/>
          <w:szCs w:val="24"/>
        </w:rPr>
        <w:t xml:space="preserve"> As an initial matter, </w:t>
      </w:r>
      <w:r w:rsidR="00002327">
        <w:rPr>
          <w:sz w:val="24"/>
          <w:szCs w:val="24"/>
        </w:rPr>
        <w:t xml:space="preserve">there </w:t>
      </w:r>
      <w:r w:rsidR="00FF4082">
        <w:rPr>
          <w:sz w:val="24"/>
          <w:szCs w:val="24"/>
        </w:rPr>
        <w:t xml:space="preserve">were </w:t>
      </w:r>
      <w:r>
        <w:rPr>
          <w:sz w:val="24"/>
          <w:szCs w:val="24"/>
        </w:rPr>
        <w:t xml:space="preserve">four entities currently offering IP Relay, </w:t>
      </w:r>
      <w:r w:rsidR="00002327">
        <w:rPr>
          <w:sz w:val="24"/>
          <w:szCs w:val="24"/>
        </w:rPr>
        <w:t xml:space="preserve">and one of these has </w:t>
      </w:r>
      <w:r w:rsidR="004752D0">
        <w:rPr>
          <w:sz w:val="24"/>
          <w:szCs w:val="24"/>
        </w:rPr>
        <w:t>exited</w:t>
      </w:r>
      <w:r w:rsidR="00002327">
        <w:rPr>
          <w:sz w:val="24"/>
          <w:szCs w:val="24"/>
        </w:rPr>
        <w:t xml:space="preserve"> from this market.  Of the three that remain, </w:t>
      </w:r>
      <w:r>
        <w:rPr>
          <w:sz w:val="24"/>
          <w:szCs w:val="24"/>
        </w:rPr>
        <w:t xml:space="preserve">there is only one </w:t>
      </w:r>
      <w:r w:rsidR="00A71727">
        <w:rPr>
          <w:sz w:val="24"/>
          <w:szCs w:val="24"/>
        </w:rPr>
        <w:t>small entity,</w:t>
      </w:r>
      <w:r>
        <w:rPr>
          <w:sz w:val="24"/>
          <w:szCs w:val="24"/>
        </w:rPr>
        <w:t xml:space="preserve"> and this entity supported the rules in its comments.  IP Relay providers are already required</w:t>
      </w:r>
      <w:r w:rsidR="0085551C">
        <w:rPr>
          <w:sz w:val="24"/>
          <w:szCs w:val="24"/>
        </w:rPr>
        <w:t xml:space="preserve"> to refuse IP Relay se</w:t>
      </w:r>
      <w:r w:rsidR="003B4FCF">
        <w:rPr>
          <w:sz w:val="24"/>
          <w:szCs w:val="24"/>
        </w:rPr>
        <w:t>rvice to unqualified and unregistered individuals.</w:t>
      </w:r>
      <w:r w:rsidR="0085551C">
        <w:rPr>
          <w:sz w:val="24"/>
          <w:szCs w:val="24"/>
        </w:rPr>
        <w:t xml:space="preserve">  </w:t>
      </w:r>
      <w:r w:rsidR="003B4FCF">
        <w:rPr>
          <w:sz w:val="24"/>
          <w:szCs w:val="24"/>
        </w:rPr>
        <w:t>Although, the instant decision changes</w:t>
      </w:r>
      <w:r w:rsidR="0085551C">
        <w:rPr>
          <w:sz w:val="24"/>
          <w:szCs w:val="24"/>
        </w:rPr>
        <w:t xml:space="preserve"> the application of existing compliance requirements</w:t>
      </w:r>
      <w:r w:rsidR="003B4FCF">
        <w:rPr>
          <w:sz w:val="24"/>
          <w:szCs w:val="24"/>
        </w:rPr>
        <w:t xml:space="preserve"> by </w:t>
      </w:r>
      <w:r w:rsidR="007D5AEC">
        <w:rPr>
          <w:sz w:val="24"/>
          <w:szCs w:val="24"/>
        </w:rPr>
        <w:t>eliminating</w:t>
      </w:r>
      <w:r w:rsidR="003B4FCF">
        <w:rPr>
          <w:sz w:val="24"/>
          <w:szCs w:val="24"/>
        </w:rPr>
        <w:t xml:space="preserve"> the guest user program, it does</w:t>
      </w:r>
      <w:r w:rsidR="0085551C">
        <w:rPr>
          <w:sz w:val="24"/>
          <w:szCs w:val="24"/>
        </w:rPr>
        <w:t xml:space="preserve"> not impose new compliance requirements on small entities. </w:t>
      </w:r>
      <w:r w:rsidR="00FF4082">
        <w:rPr>
          <w:sz w:val="24"/>
          <w:szCs w:val="24"/>
        </w:rPr>
        <w:t>IP Relay providers are being compensated for the provision of the service, including the costs of compliance.</w:t>
      </w:r>
      <w:r w:rsidR="0085551C">
        <w:rPr>
          <w:sz w:val="24"/>
          <w:szCs w:val="24"/>
        </w:rPr>
        <w:t xml:space="preserve"> </w:t>
      </w:r>
      <w:r w:rsidR="003B4FCF">
        <w:rPr>
          <w:sz w:val="24"/>
          <w:szCs w:val="24"/>
        </w:rPr>
        <w:t>In addition, the</w:t>
      </w:r>
      <w:r w:rsidR="0085551C">
        <w:rPr>
          <w:sz w:val="24"/>
          <w:szCs w:val="24"/>
        </w:rPr>
        <w:t xml:space="preserve"> decision minimizes the economic impact</w:t>
      </w:r>
      <w:r w:rsidR="00A71727">
        <w:rPr>
          <w:sz w:val="24"/>
          <w:szCs w:val="24"/>
        </w:rPr>
        <w:t xml:space="preserve"> of the IP Relay service</w:t>
      </w:r>
      <w:r w:rsidR="0085551C">
        <w:rPr>
          <w:sz w:val="24"/>
          <w:szCs w:val="24"/>
        </w:rPr>
        <w:t xml:space="preserve"> on small </w:t>
      </w:r>
      <w:r w:rsidR="003B4FCF">
        <w:rPr>
          <w:sz w:val="24"/>
          <w:szCs w:val="24"/>
        </w:rPr>
        <w:t xml:space="preserve">entities conducting business </w:t>
      </w:r>
      <w:r w:rsidR="00A71727">
        <w:rPr>
          <w:sz w:val="24"/>
          <w:szCs w:val="24"/>
        </w:rPr>
        <w:t>over the tele</w:t>
      </w:r>
      <w:r w:rsidR="003B4FCF">
        <w:rPr>
          <w:sz w:val="24"/>
          <w:szCs w:val="24"/>
        </w:rPr>
        <w:t>phone</w:t>
      </w:r>
      <w:r w:rsidR="0085551C">
        <w:rPr>
          <w:sz w:val="24"/>
          <w:szCs w:val="24"/>
        </w:rPr>
        <w:t xml:space="preserve">.  Indeed, by reducing misuse of IP Relay, the new requirements </w:t>
      </w:r>
      <w:r w:rsidR="007D5AEC">
        <w:rPr>
          <w:sz w:val="24"/>
          <w:szCs w:val="24"/>
        </w:rPr>
        <w:t>lessen</w:t>
      </w:r>
      <w:r w:rsidR="0085551C">
        <w:rPr>
          <w:sz w:val="24"/>
          <w:szCs w:val="24"/>
        </w:rPr>
        <w:t xml:space="preserve"> an adverse economic impact on small businesses</w:t>
      </w:r>
      <w:r w:rsidR="007D5AEC">
        <w:rPr>
          <w:sz w:val="24"/>
          <w:szCs w:val="24"/>
        </w:rPr>
        <w:t xml:space="preserve"> merchants that accept orders </w:t>
      </w:r>
      <w:r w:rsidR="00A71727">
        <w:rPr>
          <w:sz w:val="24"/>
          <w:szCs w:val="24"/>
        </w:rPr>
        <w:t>over the</w:t>
      </w:r>
      <w:r w:rsidR="007D5AEC">
        <w:rPr>
          <w:sz w:val="24"/>
          <w:szCs w:val="24"/>
        </w:rPr>
        <w:t xml:space="preserve"> </w:t>
      </w:r>
      <w:r w:rsidR="00A71727">
        <w:rPr>
          <w:sz w:val="24"/>
          <w:szCs w:val="24"/>
        </w:rPr>
        <w:t>tele</w:t>
      </w:r>
      <w:r w:rsidR="007D5AEC">
        <w:rPr>
          <w:sz w:val="24"/>
          <w:szCs w:val="24"/>
        </w:rPr>
        <w:t>phone</w:t>
      </w:r>
      <w:r w:rsidR="0085551C">
        <w:rPr>
          <w:sz w:val="24"/>
          <w:szCs w:val="24"/>
        </w:rPr>
        <w:t xml:space="preserve"> </w:t>
      </w:r>
      <w:r w:rsidR="00002327">
        <w:rPr>
          <w:sz w:val="24"/>
          <w:szCs w:val="24"/>
        </w:rPr>
        <w:t xml:space="preserve">because these </w:t>
      </w:r>
      <w:r w:rsidR="004B743D">
        <w:rPr>
          <w:sz w:val="24"/>
          <w:szCs w:val="24"/>
        </w:rPr>
        <w:t xml:space="preserve">merchants </w:t>
      </w:r>
      <w:r w:rsidR="00002327">
        <w:rPr>
          <w:sz w:val="24"/>
          <w:szCs w:val="24"/>
        </w:rPr>
        <w:t xml:space="preserve">will be </w:t>
      </w:r>
      <w:r w:rsidR="0085551C">
        <w:rPr>
          <w:sz w:val="24"/>
          <w:szCs w:val="24"/>
        </w:rPr>
        <w:t>protect</w:t>
      </w:r>
      <w:r w:rsidR="00002327">
        <w:rPr>
          <w:sz w:val="24"/>
          <w:szCs w:val="24"/>
        </w:rPr>
        <w:t>ed against</w:t>
      </w:r>
      <w:r w:rsidR="0085551C">
        <w:rPr>
          <w:sz w:val="24"/>
          <w:szCs w:val="24"/>
        </w:rPr>
        <w:t xml:space="preserve"> </w:t>
      </w:r>
      <w:r w:rsidR="007D5AEC">
        <w:rPr>
          <w:sz w:val="24"/>
          <w:szCs w:val="24"/>
        </w:rPr>
        <w:t xml:space="preserve">unqualified and unregistered </w:t>
      </w:r>
      <w:r w:rsidR="00002327">
        <w:rPr>
          <w:sz w:val="24"/>
          <w:szCs w:val="24"/>
        </w:rPr>
        <w:t xml:space="preserve">individuals who </w:t>
      </w:r>
      <w:r w:rsidR="007D5AEC">
        <w:rPr>
          <w:sz w:val="24"/>
          <w:szCs w:val="24"/>
        </w:rPr>
        <w:t>us</w:t>
      </w:r>
      <w:r w:rsidR="00002327">
        <w:rPr>
          <w:sz w:val="24"/>
          <w:szCs w:val="24"/>
        </w:rPr>
        <w:t xml:space="preserve">e the anonymity of </w:t>
      </w:r>
      <w:r w:rsidR="0085551C">
        <w:rPr>
          <w:sz w:val="24"/>
          <w:szCs w:val="24"/>
        </w:rPr>
        <w:t xml:space="preserve">IP Relay </w:t>
      </w:r>
      <w:r w:rsidR="007D5AEC">
        <w:rPr>
          <w:sz w:val="24"/>
          <w:szCs w:val="24"/>
        </w:rPr>
        <w:t>to order merchandise using stolen or false credit card</w:t>
      </w:r>
      <w:r w:rsidR="00002327">
        <w:rPr>
          <w:sz w:val="24"/>
          <w:szCs w:val="24"/>
        </w:rPr>
        <w:t>s</w:t>
      </w:r>
      <w:r w:rsidR="007D5AEC">
        <w:rPr>
          <w:sz w:val="24"/>
          <w:szCs w:val="24"/>
        </w:rPr>
        <w:t>.</w:t>
      </w:r>
    </w:p>
    <w:p w:rsidR="00561EBB" w:rsidRDefault="00561EBB" w:rsidP="002F3078">
      <w:pPr>
        <w:tabs>
          <w:tab w:val="left" w:pos="0"/>
        </w:tabs>
        <w:rPr>
          <w:sz w:val="24"/>
          <w:szCs w:val="24"/>
        </w:rPr>
      </w:pPr>
    </w:p>
    <w:p w:rsidR="002F3078" w:rsidRDefault="00561EBB" w:rsidP="00561EBB">
      <w:pPr>
        <w:tabs>
          <w:tab w:val="left" w:pos="0"/>
        </w:tabs>
        <w:jc w:val="center"/>
        <w:rPr>
          <w:b/>
          <w:sz w:val="24"/>
          <w:szCs w:val="24"/>
          <w:u w:val="single"/>
        </w:rPr>
      </w:pPr>
      <w:r>
        <w:rPr>
          <w:b/>
          <w:sz w:val="24"/>
          <w:szCs w:val="24"/>
          <w:u w:val="single"/>
        </w:rPr>
        <w:t>INTERNET LINKS</w:t>
      </w:r>
    </w:p>
    <w:p w:rsidR="00561EBB" w:rsidRDefault="00561EBB" w:rsidP="00561EBB">
      <w:pPr>
        <w:tabs>
          <w:tab w:val="left" w:pos="0"/>
        </w:tabs>
        <w:jc w:val="center"/>
        <w:rPr>
          <w:sz w:val="24"/>
          <w:szCs w:val="24"/>
        </w:rPr>
      </w:pPr>
    </w:p>
    <w:p w:rsidR="00561EBB" w:rsidRDefault="00561EBB" w:rsidP="00561EBB">
      <w:pPr>
        <w:numPr>
          <w:ilvl w:val="0"/>
          <w:numId w:val="3"/>
        </w:numPr>
        <w:tabs>
          <w:tab w:val="left" w:pos="0"/>
        </w:tabs>
        <w:rPr>
          <w:sz w:val="24"/>
          <w:szCs w:val="24"/>
        </w:rPr>
      </w:pPr>
      <w:r>
        <w:rPr>
          <w:sz w:val="24"/>
          <w:szCs w:val="24"/>
        </w:rPr>
        <w:t>First Report and Order – FCC 12-71</w:t>
      </w:r>
    </w:p>
    <w:p w:rsidR="00561EBB" w:rsidRDefault="00561EBB" w:rsidP="00561EBB">
      <w:pPr>
        <w:tabs>
          <w:tab w:val="left" w:pos="0"/>
        </w:tabs>
        <w:ind w:left="720"/>
        <w:rPr>
          <w:sz w:val="24"/>
          <w:szCs w:val="24"/>
        </w:rPr>
      </w:pPr>
    </w:p>
    <w:p w:rsidR="00AE7322" w:rsidRDefault="00876E96" w:rsidP="00AE7322">
      <w:pPr>
        <w:tabs>
          <w:tab w:val="left" w:pos="0"/>
        </w:tabs>
        <w:ind w:left="720" w:hanging="720"/>
        <w:rPr>
          <w:sz w:val="24"/>
          <w:szCs w:val="24"/>
        </w:rPr>
      </w:pPr>
      <w:hyperlink r:id="rId9" w:history="1">
        <w:r w:rsidR="00B24153" w:rsidRPr="00420B94">
          <w:rPr>
            <w:rStyle w:val="Hyperlink"/>
            <w:sz w:val="24"/>
            <w:szCs w:val="24"/>
          </w:rPr>
          <w:t>http://hraunfoss.fcc.gov/edocs_public/attachmatch/FCC-12-71A1.doc</w:t>
        </w:r>
      </w:hyperlink>
      <w:r w:rsidR="00B24153">
        <w:rPr>
          <w:sz w:val="24"/>
          <w:szCs w:val="24"/>
        </w:rPr>
        <w:t xml:space="preserve"> </w:t>
      </w:r>
    </w:p>
    <w:p w:rsidR="00AE7322" w:rsidRDefault="00876E96" w:rsidP="00561EBB">
      <w:pPr>
        <w:tabs>
          <w:tab w:val="left" w:pos="0"/>
        </w:tabs>
        <w:ind w:left="720" w:hanging="720"/>
        <w:rPr>
          <w:sz w:val="24"/>
          <w:szCs w:val="24"/>
        </w:rPr>
      </w:pPr>
      <w:hyperlink r:id="rId10" w:history="1">
        <w:r w:rsidR="00B24153" w:rsidRPr="00420B94">
          <w:rPr>
            <w:rStyle w:val="Hyperlink"/>
            <w:sz w:val="24"/>
            <w:szCs w:val="24"/>
          </w:rPr>
          <w:t>http://hraunfoss.fcc.gov/edocs_public/attachmatch/FCC-12-71A1.pdf</w:t>
        </w:r>
      </w:hyperlink>
      <w:r w:rsidR="00B24153">
        <w:rPr>
          <w:sz w:val="24"/>
          <w:szCs w:val="24"/>
        </w:rPr>
        <w:t xml:space="preserve"> </w:t>
      </w:r>
    </w:p>
    <w:p w:rsidR="00154ED3" w:rsidRDefault="00876E96" w:rsidP="0019620D">
      <w:pPr>
        <w:tabs>
          <w:tab w:val="left" w:pos="0"/>
        </w:tabs>
        <w:ind w:left="720" w:hanging="720"/>
        <w:rPr>
          <w:sz w:val="24"/>
          <w:szCs w:val="24"/>
        </w:rPr>
      </w:pPr>
      <w:hyperlink r:id="rId11" w:history="1">
        <w:r w:rsidR="00B24153" w:rsidRPr="00420B94">
          <w:rPr>
            <w:rStyle w:val="Hyperlink"/>
            <w:sz w:val="24"/>
            <w:szCs w:val="24"/>
          </w:rPr>
          <w:t>http://hraunfoss.fcc.gov/edocs_public/attachmatch/FCC-12-71A1.txt</w:t>
        </w:r>
      </w:hyperlink>
      <w:r w:rsidR="00B24153">
        <w:rPr>
          <w:sz w:val="24"/>
          <w:szCs w:val="24"/>
        </w:rPr>
        <w:t xml:space="preserve"> </w:t>
      </w:r>
    </w:p>
    <w:sectPr w:rsidR="00154ED3">
      <w:headerReference w:type="even" r:id="rId12"/>
      <w:headerReference w:type="default" r:id="rId13"/>
      <w:footerReference w:type="even" r:id="rId14"/>
      <w:footerReference w:type="default" r:id="rId15"/>
      <w:headerReference w:type="first" r:id="rId16"/>
      <w:footerReference w:type="first" r:id="rId1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2B" w:rsidRDefault="0059762B">
      <w:r>
        <w:separator/>
      </w:r>
    </w:p>
  </w:endnote>
  <w:endnote w:type="continuationSeparator" w:id="0">
    <w:p w:rsidR="0059762B" w:rsidRDefault="0059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C2" w:rsidRDefault="00255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C2" w:rsidRDefault="00255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C2" w:rsidRDefault="00255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2B" w:rsidRDefault="0059762B">
      <w:r>
        <w:separator/>
      </w:r>
    </w:p>
  </w:footnote>
  <w:footnote w:type="continuationSeparator" w:id="0">
    <w:p w:rsidR="0059762B" w:rsidRDefault="0059762B">
      <w:r>
        <w:continuationSeparator/>
      </w:r>
    </w:p>
  </w:footnote>
  <w:footnote w:id="1">
    <w:p w:rsidR="00506B34" w:rsidRPr="00506B34" w:rsidRDefault="00506B34" w:rsidP="00506B34">
      <w:pPr>
        <w:pStyle w:val="FootnoteText"/>
        <w:rPr>
          <w:i/>
        </w:rPr>
      </w:pPr>
      <w:r>
        <w:rPr>
          <w:rStyle w:val="FootnoteReference"/>
        </w:rPr>
        <w:footnoteRef/>
      </w:r>
      <w:r>
        <w:t xml:space="preserve"> </w:t>
      </w:r>
      <w:r w:rsidRPr="00506B34">
        <w:rPr>
          <w:i/>
        </w:rPr>
        <w:t>Telecommunications Relay Services and Speech-to-Speech Services for Individuals with Hearing and Speech</w:t>
      </w:r>
    </w:p>
    <w:p w:rsidR="00506B34" w:rsidRDefault="00506B34" w:rsidP="00506B34">
      <w:pPr>
        <w:pStyle w:val="FootnoteText"/>
      </w:pPr>
      <w:r w:rsidRPr="00506B34">
        <w:rPr>
          <w:i/>
        </w:rPr>
        <w:t>Disabilities; Misuse of Internet Protocol (IP) Relay Service and Video Relay Service</w:t>
      </w:r>
      <w:r>
        <w:t>, CG Docket No. 03-123,</w:t>
      </w:r>
    </w:p>
    <w:p w:rsidR="00506B34" w:rsidRDefault="00506B34" w:rsidP="00506B34">
      <w:pPr>
        <w:pStyle w:val="FootnoteText"/>
      </w:pPr>
      <w:r>
        <w:t>Further Notice of Proposed Rulemaking, 21 FCC Rcd 5478 (2006) (2006 FNPRM).</w:t>
      </w:r>
    </w:p>
  </w:footnote>
  <w:footnote w:id="2">
    <w:p w:rsidR="00506B34" w:rsidRPr="00506B34" w:rsidRDefault="00506B34" w:rsidP="00506B34">
      <w:pPr>
        <w:pStyle w:val="FootnoteText"/>
        <w:rPr>
          <w:i/>
        </w:rPr>
      </w:pPr>
      <w:r>
        <w:rPr>
          <w:rStyle w:val="FootnoteReference"/>
        </w:rPr>
        <w:footnoteRef/>
      </w:r>
      <w:r>
        <w:t xml:space="preserve"> </w:t>
      </w:r>
      <w:r w:rsidRPr="00506B34">
        <w:rPr>
          <w:i/>
        </w:rPr>
        <w:t>Telecommunications Relay Services and Speech-to-Speech Services for Individuals with Hearing and Speech</w:t>
      </w:r>
    </w:p>
    <w:p w:rsidR="00506B34" w:rsidRDefault="00506B34" w:rsidP="00506B34">
      <w:pPr>
        <w:pStyle w:val="FootnoteText"/>
      </w:pPr>
      <w:r w:rsidRPr="00506B34">
        <w:rPr>
          <w:i/>
        </w:rPr>
        <w:t>Disabilities; E911 Requirements for IP-Enabled Service Providers</w:t>
      </w:r>
      <w:r>
        <w:t>, CG Docket No. 03-123, CC Docket No. 98-57,</w:t>
      </w:r>
    </w:p>
    <w:p w:rsidR="00506B34" w:rsidRDefault="00506B34" w:rsidP="00506B34">
      <w:pPr>
        <w:pStyle w:val="FootnoteText"/>
      </w:pPr>
      <w:r>
        <w:t>WC Docket No. 05-196, Second Report and Order and Order on Reconsideration, 24 FCC Rcd 791, 809-10, ¶¶ 37-</w:t>
      </w:r>
    </w:p>
    <w:p w:rsidR="00506B34" w:rsidRDefault="00506B34" w:rsidP="00506B34">
      <w:pPr>
        <w:pStyle w:val="FootnoteText"/>
      </w:pPr>
      <w:r>
        <w:t>38 (2008) (Second iTRS Numbering Order).</w:t>
      </w:r>
    </w:p>
  </w:footnote>
  <w:footnote w:id="3">
    <w:p w:rsidR="00506B34" w:rsidRPr="00506B34" w:rsidRDefault="00506B34" w:rsidP="00506B34">
      <w:pPr>
        <w:pStyle w:val="FootnoteText"/>
        <w:rPr>
          <w:i/>
        </w:rPr>
      </w:pPr>
      <w:r>
        <w:rPr>
          <w:rStyle w:val="FootnoteReference"/>
        </w:rPr>
        <w:footnoteRef/>
      </w:r>
      <w:r>
        <w:t xml:space="preserve"> </w:t>
      </w:r>
      <w:r w:rsidRPr="00506B34">
        <w:rPr>
          <w:i/>
        </w:rPr>
        <w:t>Consumer &amp; Governmental Affairs Bureau Reminds Video Relay Service (VRS) and Internet Protocol (IP) Relay</w:t>
      </w:r>
    </w:p>
    <w:p w:rsidR="00506B34" w:rsidRPr="00506B34" w:rsidRDefault="00506B34" w:rsidP="00506B34">
      <w:pPr>
        <w:pStyle w:val="FootnoteText"/>
        <w:rPr>
          <w:i/>
        </w:rPr>
      </w:pPr>
      <w:r w:rsidRPr="00506B34">
        <w:rPr>
          <w:i/>
        </w:rPr>
        <w:t>Service Providers of their Outreach Obligations and Clarifies their Call Handling Obligations for Unregistered</w:t>
      </w:r>
    </w:p>
    <w:p w:rsidR="00506B34" w:rsidRDefault="00506B34" w:rsidP="00506B34">
      <w:pPr>
        <w:pStyle w:val="FootnoteText"/>
      </w:pPr>
      <w:r w:rsidRPr="00506B34">
        <w:rPr>
          <w:i/>
        </w:rPr>
        <w:t>Users after the November 12, 2009, Ten-Digit Numbering Registration Deadline</w:t>
      </w:r>
      <w:r>
        <w:t>, CG Docket No. 03-123, WC</w:t>
      </w:r>
    </w:p>
    <w:p w:rsidR="00506B34" w:rsidRDefault="00506B34" w:rsidP="00506B34">
      <w:pPr>
        <w:pStyle w:val="FootnoteText"/>
      </w:pPr>
      <w:r>
        <w:t xml:space="preserve">Docket No. 05-196, Public Notice, 24 FCC Rcd 12877, </w:t>
      </w:r>
      <w:r w:rsidRPr="00506B34">
        <w:t>12878-12879</w:t>
      </w:r>
      <w:r>
        <w:t xml:space="preserve"> (CGB 2009).</w:t>
      </w:r>
    </w:p>
  </w:footnote>
  <w:footnote w:id="4">
    <w:p w:rsidR="003A3404" w:rsidRDefault="003A3404" w:rsidP="003A3404">
      <w:pPr>
        <w:pStyle w:val="FootnoteText"/>
      </w:pPr>
      <w:r>
        <w:rPr>
          <w:rStyle w:val="FootnoteReference"/>
        </w:rPr>
        <w:footnoteRef/>
      </w:r>
      <w:r>
        <w:t xml:space="preserve"> </w:t>
      </w:r>
      <w:r w:rsidRPr="003A3404">
        <w:rPr>
          <w:i/>
        </w:rPr>
        <w:t>Structure and Practices of the Video Relay Service Program</w:t>
      </w:r>
      <w:r>
        <w:t>, CG Docket No. 10-51, Report and Order and</w:t>
      </w:r>
    </w:p>
    <w:p w:rsidR="003A3404" w:rsidRDefault="003A3404" w:rsidP="003A3404">
      <w:pPr>
        <w:pStyle w:val="FootnoteText"/>
      </w:pPr>
      <w:r>
        <w:t>Further Notice of Proposed Rulemaking, 26 FCC Rcd 5545 (2011).</w:t>
      </w:r>
    </w:p>
  </w:footnote>
  <w:footnote w:id="5">
    <w:p w:rsidR="00AF02D9" w:rsidRPr="00AF02D9" w:rsidRDefault="00AF02D9" w:rsidP="00AF02D9">
      <w:pPr>
        <w:pStyle w:val="FootnoteText"/>
        <w:rPr>
          <w:i/>
        </w:rPr>
      </w:pPr>
      <w:r>
        <w:rPr>
          <w:rStyle w:val="FootnoteReference"/>
        </w:rPr>
        <w:footnoteRef/>
      </w:r>
      <w:r>
        <w:t xml:space="preserve"> </w:t>
      </w:r>
      <w:r w:rsidRPr="00AF02D9">
        <w:rPr>
          <w:i/>
        </w:rPr>
        <w:t>Consumer &amp; Governmental Affairs Bureau Seeks to Refresh the Record Regarding Misuse of Internet Protocol</w:t>
      </w:r>
    </w:p>
    <w:p w:rsidR="00AF02D9" w:rsidRDefault="00AF02D9" w:rsidP="00AF02D9">
      <w:pPr>
        <w:pStyle w:val="FootnoteText"/>
      </w:pPr>
      <w:r w:rsidRPr="00AF02D9">
        <w:rPr>
          <w:i/>
        </w:rPr>
        <w:t>Relay Service</w:t>
      </w:r>
      <w:r>
        <w:t>, CG Docket Nos. 12-38 and 03-123, Public Notice, DA 12-208 (rel. Feb. 13,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C2" w:rsidRDefault="00255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C2" w:rsidRDefault="00255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9D" w:rsidRDefault="00876E96">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30310150" r:id="rId2"/>
      </w:pict>
    </w:r>
    <w:r w:rsidR="00E9429D">
      <w:rPr>
        <w:rFonts w:ascii="CG Times (W1)" w:hAnsi="CG Times (W1)"/>
        <w:sz w:val="28"/>
      </w:rPr>
      <w:t>Federal Communications Commission</w:t>
    </w:r>
  </w:p>
  <w:p w:rsidR="00E9429D" w:rsidRDefault="00E9429D">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E9429D" w:rsidRDefault="00E9429D">
    <w:pPr>
      <w:pStyle w:val="Header"/>
      <w:tabs>
        <w:tab w:val="clear" w:pos="4320"/>
      </w:tabs>
      <w:jc w:val="center"/>
      <w:rPr>
        <w:sz w:val="22"/>
      </w:rPr>
    </w:pPr>
  </w:p>
  <w:p w:rsidR="009D4B27" w:rsidRDefault="002D2E27" w:rsidP="002D2E27">
    <w:pPr>
      <w:pStyle w:val="Header"/>
      <w:tabs>
        <w:tab w:val="clear" w:pos="4320"/>
      </w:tabs>
      <w:jc w:val="center"/>
      <w:rPr>
        <w:sz w:val="22"/>
      </w:rPr>
    </w:pPr>
    <w:r w:rsidRPr="005B2AC1">
      <w:rPr>
        <w:color w:val="FFFFFF" w:themeColor="background1"/>
        <w:sz w:val="24"/>
        <w:szCs w:val="24"/>
      </w:rPr>
      <w:t xml:space="preserve">    </w:t>
    </w:r>
    <w:r w:rsidRPr="00725F05">
      <w:rPr>
        <w:color w:val="FFFFFF" w:themeColor="background1"/>
        <w:sz w:val="24"/>
        <w:szCs w:val="24"/>
      </w:rPr>
      <w:t xml:space="preserve">‘ </w:t>
    </w:r>
    <w:r w:rsidRPr="00725F05">
      <w:rPr>
        <w:sz w:val="24"/>
        <w:szCs w:val="24"/>
      </w:rPr>
      <w:t>May</w:t>
    </w:r>
    <w:r>
      <w:rPr>
        <w:sz w:val="24"/>
        <w:szCs w:val="24"/>
      </w:rPr>
      <w:t xml:space="preserve"> 17</w:t>
    </w:r>
    <w:r w:rsidRPr="00725F05">
      <w:rPr>
        <w:sz w:val="24"/>
        <w:szCs w:val="24"/>
      </w:rPr>
      <w:t xml:space="preserv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30F"/>
    <w:multiLevelType w:val="hybridMultilevel"/>
    <w:tmpl w:val="1616A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897D4B"/>
    <w:multiLevelType w:val="hybridMultilevel"/>
    <w:tmpl w:val="DA9E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A2C47"/>
    <w:multiLevelType w:val="hybridMultilevel"/>
    <w:tmpl w:val="9E42B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B452A5"/>
    <w:multiLevelType w:val="hybridMultilevel"/>
    <w:tmpl w:val="B95CA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523822"/>
    <w:multiLevelType w:val="hybridMultilevel"/>
    <w:tmpl w:val="87E27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51"/>
    <w:rsid w:val="00002327"/>
    <w:rsid w:val="00011527"/>
    <w:rsid w:val="000346E9"/>
    <w:rsid w:val="0003675E"/>
    <w:rsid w:val="00055269"/>
    <w:rsid w:val="00060F00"/>
    <w:rsid w:val="000679D2"/>
    <w:rsid w:val="000748BE"/>
    <w:rsid w:val="000B4F27"/>
    <w:rsid w:val="000D5AAA"/>
    <w:rsid w:val="000D719B"/>
    <w:rsid w:val="00152BDB"/>
    <w:rsid w:val="00154ED3"/>
    <w:rsid w:val="00186521"/>
    <w:rsid w:val="001960CC"/>
    <w:rsid w:val="0019620D"/>
    <w:rsid w:val="001C5A12"/>
    <w:rsid w:val="001D646A"/>
    <w:rsid w:val="002445D9"/>
    <w:rsid w:val="00255DC2"/>
    <w:rsid w:val="00297D3D"/>
    <w:rsid w:val="002B2B8D"/>
    <w:rsid w:val="002D05EE"/>
    <w:rsid w:val="002D2E27"/>
    <w:rsid w:val="002D5415"/>
    <w:rsid w:val="002F3078"/>
    <w:rsid w:val="002F44C6"/>
    <w:rsid w:val="002F5BA5"/>
    <w:rsid w:val="00306DE5"/>
    <w:rsid w:val="0037778C"/>
    <w:rsid w:val="00377837"/>
    <w:rsid w:val="003A27F9"/>
    <w:rsid w:val="003A3404"/>
    <w:rsid w:val="003B4FCF"/>
    <w:rsid w:val="003C7396"/>
    <w:rsid w:val="004073B4"/>
    <w:rsid w:val="00462A09"/>
    <w:rsid w:val="004752D0"/>
    <w:rsid w:val="004B26A6"/>
    <w:rsid w:val="004B743D"/>
    <w:rsid w:val="005047FB"/>
    <w:rsid w:val="00506B34"/>
    <w:rsid w:val="005078A1"/>
    <w:rsid w:val="00521354"/>
    <w:rsid w:val="00521E75"/>
    <w:rsid w:val="00536F68"/>
    <w:rsid w:val="00560480"/>
    <w:rsid w:val="00561EBB"/>
    <w:rsid w:val="00576006"/>
    <w:rsid w:val="00597392"/>
    <w:rsid w:val="0059762B"/>
    <w:rsid w:val="005A641B"/>
    <w:rsid w:val="005B30B3"/>
    <w:rsid w:val="005D5D0E"/>
    <w:rsid w:val="00604925"/>
    <w:rsid w:val="00636F68"/>
    <w:rsid w:val="00694A4F"/>
    <w:rsid w:val="006C73D0"/>
    <w:rsid w:val="006F5A51"/>
    <w:rsid w:val="007255D4"/>
    <w:rsid w:val="00741D1E"/>
    <w:rsid w:val="00777251"/>
    <w:rsid w:val="00791C50"/>
    <w:rsid w:val="007A104E"/>
    <w:rsid w:val="007D5AEC"/>
    <w:rsid w:val="008127EF"/>
    <w:rsid w:val="00820042"/>
    <w:rsid w:val="008212C8"/>
    <w:rsid w:val="0085551C"/>
    <w:rsid w:val="00876E96"/>
    <w:rsid w:val="00894A34"/>
    <w:rsid w:val="00896B57"/>
    <w:rsid w:val="008D2065"/>
    <w:rsid w:val="008F5889"/>
    <w:rsid w:val="00907765"/>
    <w:rsid w:val="009304C8"/>
    <w:rsid w:val="00931AF3"/>
    <w:rsid w:val="0093759B"/>
    <w:rsid w:val="0097541E"/>
    <w:rsid w:val="009932E9"/>
    <w:rsid w:val="00993E48"/>
    <w:rsid w:val="009D4B27"/>
    <w:rsid w:val="009D5C97"/>
    <w:rsid w:val="009E6BA3"/>
    <w:rsid w:val="009F2A9B"/>
    <w:rsid w:val="009F64A3"/>
    <w:rsid w:val="00A432D4"/>
    <w:rsid w:val="00A71727"/>
    <w:rsid w:val="00A739F4"/>
    <w:rsid w:val="00AB30E3"/>
    <w:rsid w:val="00AB4516"/>
    <w:rsid w:val="00AC3110"/>
    <w:rsid w:val="00AE7322"/>
    <w:rsid w:val="00AF02D9"/>
    <w:rsid w:val="00AF19DE"/>
    <w:rsid w:val="00AF75AD"/>
    <w:rsid w:val="00AF7A8F"/>
    <w:rsid w:val="00B24153"/>
    <w:rsid w:val="00B62C15"/>
    <w:rsid w:val="00B827FE"/>
    <w:rsid w:val="00B97390"/>
    <w:rsid w:val="00C06168"/>
    <w:rsid w:val="00C37775"/>
    <w:rsid w:val="00C53BC5"/>
    <w:rsid w:val="00C53FA7"/>
    <w:rsid w:val="00CD2BC4"/>
    <w:rsid w:val="00D301B0"/>
    <w:rsid w:val="00D85A94"/>
    <w:rsid w:val="00DC0149"/>
    <w:rsid w:val="00DE3DD0"/>
    <w:rsid w:val="00E07D7D"/>
    <w:rsid w:val="00E2774A"/>
    <w:rsid w:val="00E9429D"/>
    <w:rsid w:val="00E9582A"/>
    <w:rsid w:val="00EE01A0"/>
    <w:rsid w:val="00EF51E1"/>
    <w:rsid w:val="00F2767B"/>
    <w:rsid w:val="00F3381C"/>
    <w:rsid w:val="00F6007B"/>
    <w:rsid w:val="00F95846"/>
    <w:rsid w:val="00FC3E2D"/>
    <w:rsid w:val="00FE1F0E"/>
    <w:rsid w:val="00FF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7A104E"/>
    <w:rPr>
      <w:color w:val="0000FF"/>
      <w:u w:val="single"/>
    </w:rPr>
  </w:style>
  <w:style w:type="paragraph" w:styleId="ListParagraph">
    <w:name w:val="List Paragraph"/>
    <w:basedOn w:val="Normal"/>
    <w:uiPriority w:val="34"/>
    <w:qFormat/>
    <w:rsid w:val="00576006"/>
    <w:pPr>
      <w:ind w:left="720"/>
    </w:pPr>
  </w:style>
  <w:style w:type="paragraph" w:styleId="BalloonText">
    <w:name w:val="Balloon Text"/>
    <w:basedOn w:val="Normal"/>
    <w:link w:val="BalloonTextChar"/>
    <w:rsid w:val="0019620D"/>
    <w:rPr>
      <w:rFonts w:ascii="Tahoma" w:hAnsi="Tahoma" w:cs="Tahoma"/>
      <w:sz w:val="16"/>
      <w:szCs w:val="16"/>
    </w:rPr>
  </w:style>
  <w:style w:type="character" w:customStyle="1" w:styleId="BalloonTextChar">
    <w:name w:val="Balloon Text Char"/>
    <w:link w:val="BalloonText"/>
    <w:rsid w:val="0019620D"/>
    <w:rPr>
      <w:rFonts w:ascii="Tahoma" w:hAnsi="Tahoma" w:cs="Tahoma"/>
      <w:sz w:val="16"/>
      <w:szCs w:val="16"/>
    </w:rPr>
  </w:style>
  <w:style w:type="character" w:styleId="FollowedHyperlink">
    <w:name w:val="FollowedHyperlink"/>
    <w:rsid w:val="00B24153"/>
    <w:rPr>
      <w:color w:val="800080"/>
      <w:u w:val="single"/>
    </w:rPr>
  </w:style>
  <w:style w:type="character" w:styleId="CommentReference">
    <w:name w:val="annotation reference"/>
    <w:rsid w:val="005078A1"/>
    <w:rPr>
      <w:sz w:val="16"/>
      <w:szCs w:val="16"/>
    </w:rPr>
  </w:style>
  <w:style w:type="paragraph" w:styleId="CommentText">
    <w:name w:val="annotation text"/>
    <w:basedOn w:val="Normal"/>
    <w:link w:val="CommentTextChar"/>
    <w:rsid w:val="005078A1"/>
  </w:style>
  <w:style w:type="character" w:customStyle="1" w:styleId="CommentTextChar">
    <w:name w:val="Comment Text Char"/>
    <w:basedOn w:val="DefaultParagraphFont"/>
    <w:link w:val="CommentText"/>
    <w:rsid w:val="005078A1"/>
  </w:style>
  <w:style w:type="paragraph" w:styleId="CommentSubject">
    <w:name w:val="annotation subject"/>
    <w:basedOn w:val="CommentText"/>
    <w:next w:val="CommentText"/>
    <w:link w:val="CommentSubjectChar"/>
    <w:rsid w:val="005078A1"/>
    <w:rPr>
      <w:b/>
      <w:bCs/>
    </w:rPr>
  </w:style>
  <w:style w:type="character" w:customStyle="1" w:styleId="CommentSubjectChar">
    <w:name w:val="Comment Subject Char"/>
    <w:link w:val="CommentSubject"/>
    <w:rsid w:val="005078A1"/>
    <w:rPr>
      <w:b/>
      <w:bCs/>
    </w:rPr>
  </w:style>
  <w:style w:type="paragraph" w:styleId="FootnoteText">
    <w:name w:val="footnote text"/>
    <w:basedOn w:val="Normal"/>
    <w:link w:val="FootnoteTextChar"/>
    <w:rsid w:val="00506B34"/>
  </w:style>
  <w:style w:type="character" w:customStyle="1" w:styleId="FootnoteTextChar">
    <w:name w:val="Footnote Text Char"/>
    <w:basedOn w:val="DefaultParagraphFont"/>
    <w:link w:val="FootnoteText"/>
    <w:rsid w:val="00506B34"/>
  </w:style>
  <w:style w:type="character" w:styleId="FootnoteReference">
    <w:name w:val="footnote reference"/>
    <w:rsid w:val="00506B34"/>
    <w:rPr>
      <w:vertAlign w:val="superscript"/>
    </w:rPr>
  </w:style>
  <w:style w:type="character" w:customStyle="1" w:styleId="HeaderChar">
    <w:name w:val="Header Char"/>
    <w:link w:val="Header"/>
    <w:uiPriority w:val="99"/>
    <w:rsid w:val="002D2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7A104E"/>
    <w:rPr>
      <w:color w:val="0000FF"/>
      <w:u w:val="single"/>
    </w:rPr>
  </w:style>
  <w:style w:type="paragraph" w:styleId="ListParagraph">
    <w:name w:val="List Paragraph"/>
    <w:basedOn w:val="Normal"/>
    <w:uiPriority w:val="34"/>
    <w:qFormat/>
    <w:rsid w:val="00576006"/>
    <w:pPr>
      <w:ind w:left="720"/>
    </w:pPr>
  </w:style>
  <w:style w:type="paragraph" w:styleId="BalloonText">
    <w:name w:val="Balloon Text"/>
    <w:basedOn w:val="Normal"/>
    <w:link w:val="BalloonTextChar"/>
    <w:rsid w:val="0019620D"/>
    <w:rPr>
      <w:rFonts w:ascii="Tahoma" w:hAnsi="Tahoma" w:cs="Tahoma"/>
      <w:sz w:val="16"/>
      <w:szCs w:val="16"/>
    </w:rPr>
  </w:style>
  <w:style w:type="character" w:customStyle="1" w:styleId="BalloonTextChar">
    <w:name w:val="Balloon Text Char"/>
    <w:link w:val="BalloonText"/>
    <w:rsid w:val="0019620D"/>
    <w:rPr>
      <w:rFonts w:ascii="Tahoma" w:hAnsi="Tahoma" w:cs="Tahoma"/>
      <w:sz w:val="16"/>
      <w:szCs w:val="16"/>
    </w:rPr>
  </w:style>
  <w:style w:type="character" w:styleId="FollowedHyperlink">
    <w:name w:val="FollowedHyperlink"/>
    <w:rsid w:val="00B24153"/>
    <w:rPr>
      <w:color w:val="800080"/>
      <w:u w:val="single"/>
    </w:rPr>
  </w:style>
  <w:style w:type="character" w:styleId="CommentReference">
    <w:name w:val="annotation reference"/>
    <w:rsid w:val="005078A1"/>
    <w:rPr>
      <w:sz w:val="16"/>
      <w:szCs w:val="16"/>
    </w:rPr>
  </w:style>
  <w:style w:type="paragraph" w:styleId="CommentText">
    <w:name w:val="annotation text"/>
    <w:basedOn w:val="Normal"/>
    <w:link w:val="CommentTextChar"/>
    <w:rsid w:val="005078A1"/>
  </w:style>
  <w:style w:type="character" w:customStyle="1" w:styleId="CommentTextChar">
    <w:name w:val="Comment Text Char"/>
    <w:basedOn w:val="DefaultParagraphFont"/>
    <w:link w:val="CommentText"/>
    <w:rsid w:val="005078A1"/>
  </w:style>
  <w:style w:type="paragraph" w:styleId="CommentSubject">
    <w:name w:val="annotation subject"/>
    <w:basedOn w:val="CommentText"/>
    <w:next w:val="CommentText"/>
    <w:link w:val="CommentSubjectChar"/>
    <w:rsid w:val="005078A1"/>
    <w:rPr>
      <w:b/>
      <w:bCs/>
    </w:rPr>
  </w:style>
  <w:style w:type="character" w:customStyle="1" w:styleId="CommentSubjectChar">
    <w:name w:val="Comment Subject Char"/>
    <w:link w:val="CommentSubject"/>
    <w:rsid w:val="005078A1"/>
    <w:rPr>
      <w:b/>
      <w:bCs/>
    </w:rPr>
  </w:style>
  <w:style w:type="paragraph" w:styleId="FootnoteText">
    <w:name w:val="footnote text"/>
    <w:basedOn w:val="Normal"/>
    <w:link w:val="FootnoteTextChar"/>
    <w:rsid w:val="00506B34"/>
  </w:style>
  <w:style w:type="character" w:customStyle="1" w:styleId="FootnoteTextChar">
    <w:name w:val="Footnote Text Char"/>
    <w:basedOn w:val="DefaultParagraphFont"/>
    <w:link w:val="FootnoteText"/>
    <w:rsid w:val="00506B34"/>
  </w:style>
  <w:style w:type="character" w:styleId="FootnoteReference">
    <w:name w:val="footnote reference"/>
    <w:rsid w:val="00506B34"/>
    <w:rPr>
      <w:vertAlign w:val="superscript"/>
    </w:rPr>
  </w:style>
  <w:style w:type="character" w:customStyle="1" w:styleId="HeaderChar">
    <w:name w:val="Header Char"/>
    <w:link w:val="Header"/>
    <w:uiPriority w:val="99"/>
    <w:rsid w:val="002D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2-71A1.tx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aunfoss.fcc.gov/edocs_public/attachmatch/FCC-12-71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aunfoss.fcc.gov/edocs_public/attachmatch/FCC-12-71A1.do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1738</Words>
  <Characters>9779</Characters>
  <Application>Microsoft Office Word</Application>
  <DocSecurity>0</DocSecurity>
  <Lines>191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11564</CharactersWithSpaces>
  <SharedDoc>false</SharedDoc>
  <HyperlinkBase> </HyperlinkBase>
  <HLinks>
    <vt:vector size="24" baseType="variant">
      <vt:variant>
        <vt:i4>4522096</vt:i4>
      </vt:variant>
      <vt:variant>
        <vt:i4>9</vt:i4>
      </vt:variant>
      <vt:variant>
        <vt:i4>0</vt:i4>
      </vt:variant>
      <vt:variant>
        <vt:i4>5</vt:i4>
      </vt:variant>
      <vt:variant>
        <vt:lpwstr>http://hraunfoss.fcc.gov/edocs_public/attachmatch/FCC-12-71A1.txt</vt:lpwstr>
      </vt:variant>
      <vt:variant>
        <vt:lpwstr/>
      </vt:variant>
      <vt:variant>
        <vt:i4>5832820</vt:i4>
      </vt:variant>
      <vt:variant>
        <vt:i4>6</vt:i4>
      </vt:variant>
      <vt:variant>
        <vt:i4>0</vt:i4>
      </vt:variant>
      <vt:variant>
        <vt:i4>5</vt:i4>
      </vt:variant>
      <vt:variant>
        <vt:lpwstr>http://hraunfoss.fcc.gov/edocs_public/attachmatch/FCC-12-71A1.pdf</vt:lpwstr>
      </vt:variant>
      <vt:variant>
        <vt:lpwstr/>
      </vt:variant>
      <vt:variant>
        <vt:i4>5374048</vt:i4>
      </vt:variant>
      <vt:variant>
        <vt:i4>3</vt:i4>
      </vt:variant>
      <vt:variant>
        <vt:i4>0</vt:i4>
      </vt:variant>
      <vt:variant>
        <vt:i4>5</vt:i4>
      </vt:variant>
      <vt:variant>
        <vt:lpwstr>http://hraunfoss.fcc.gov/edocs_public/attachmatch/FCC-12-71A1.doc</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2013-05-17T19:36:00Z</dcterms:created>
  <dcterms:modified xsi:type="dcterms:W3CDTF">2013-05-17T19:36:00Z</dcterms:modified>
  <cp:category> </cp:category>
  <cp:contentStatus> </cp:contentStatus>
</cp:coreProperties>
</file>