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082FF" w14:textId="77777777" w:rsidR="00B8718A" w:rsidRPr="0060350B" w:rsidRDefault="00B8718A">
      <w:pPr>
        <w:jc w:val="center"/>
        <w:rPr>
          <w:b/>
          <w:szCs w:val="22"/>
        </w:rPr>
      </w:pPr>
      <w:bookmarkStart w:id="0" w:name="_GoBack"/>
      <w:bookmarkEnd w:id="0"/>
      <w:r w:rsidRPr="0060350B">
        <w:rPr>
          <w:b/>
          <w:szCs w:val="22"/>
        </w:rPr>
        <w:t>Before the</w:t>
      </w:r>
    </w:p>
    <w:p w14:paraId="019E21CB" w14:textId="77777777" w:rsidR="00B8718A" w:rsidRPr="0060350B" w:rsidRDefault="00B8718A">
      <w:pPr>
        <w:jc w:val="center"/>
        <w:rPr>
          <w:b/>
          <w:szCs w:val="22"/>
        </w:rPr>
      </w:pPr>
      <w:r w:rsidRPr="0060350B">
        <w:rPr>
          <w:b/>
          <w:szCs w:val="22"/>
        </w:rPr>
        <w:t>Federal Communications Commission</w:t>
      </w:r>
    </w:p>
    <w:p w14:paraId="2A832238" w14:textId="77777777" w:rsidR="00B8718A" w:rsidRPr="0060350B" w:rsidRDefault="00B8718A">
      <w:pPr>
        <w:jc w:val="center"/>
        <w:rPr>
          <w:b/>
          <w:szCs w:val="22"/>
        </w:rPr>
      </w:pPr>
      <w:r w:rsidRPr="0060350B">
        <w:rPr>
          <w:b/>
          <w:szCs w:val="22"/>
        </w:rPr>
        <w:t>Washington, D.C. 20554</w:t>
      </w:r>
    </w:p>
    <w:p w14:paraId="03C47E0A" w14:textId="77777777" w:rsidR="00B8718A" w:rsidRPr="001F7EE0" w:rsidRDefault="00B8718A">
      <w:pPr>
        <w:tabs>
          <w:tab w:val="left" w:pos="-720"/>
        </w:tabs>
        <w:suppressAutoHyphens/>
        <w:spacing w:line="227" w:lineRule="auto"/>
        <w:rPr>
          <w:spacing w:val="-2"/>
          <w:szCs w:val="22"/>
        </w:rPr>
      </w:pPr>
    </w:p>
    <w:p w14:paraId="2423ED62" w14:textId="77777777" w:rsidR="00B543BA" w:rsidRPr="001F7EE0" w:rsidRDefault="00025AB7" w:rsidP="00B543BA">
      <w:pPr>
        <w:rPr>
          <w:szCs w:val="22"/>
        </w:rPr>
      </w:pPr>
      <w:r w:rsidRPr="001F7EE0">
        <w:rPr>
          <w:szCs w:val="22"/>
        </w:rPr>
        <w:tab/>
      </w:r>
      <w:r w:rsidRPr="001F7EE0">
        <w:rPr>
          <w:szCs w:val="22"/>
        </w:rPr>
        <w:tab/>
      </w:r>
      <w:r w:rsidRPr="001F7EE0">
        <w:rPr>
          <w:szCs w:val="22"/>
        </w:rPr>
        <w:tab/>
      </w:r>
      <w:r w:rsidRPr="001F7EE0">
        <w:rPr>
          <w:szCs w:val="22"/>
        </w:rPr>
        <w:tab/>
      </w:r>
      <w:r w:rsidRPr="001F7EE0">
        <w:rPr>
          <w:szCs w:val="22"/>
        </w:rPr>
        <w:tab/>
      </w:r>
      <w:r w:rsidRPr="001F7EE0">
        <w:rPr>
          <w:szCs w:val="22"/>
        </w:rPr>
        <w:tab/>
      </w:r>
    </w:p>
    <w:tbl>
      <w:tblPr>
        <w:tblW w:w="0" w:type="auto"/>
        <w:tblLayout w:type="fixed"/>
        <w:tblLook w:val="0000" w:firstRow="0" w:lastRow="0" w:firstColumn="0" w:lastColumn="0" w:noHBand="0" w:noVBand="0"/>
      </w:tblPr>
      <w:tblGrid>
        <w:gridCol w:w="4698"/>
        <w:gridCol w:w="630"/>
        <w:gridCol w:w="4248"/>
      </w:tblGrid>
      <w:tr w:rsidR="00B543BA" w:rsidRPr="001F7EE0" w14:paraId="238BABA8" w14:textId="77777777" w:rsidTr="00B8718A">
        <w:tc>
          <w:tcPr>
            <w:tcW w:w="4698" w:type="dxa"/>
          </w:tcPr>
          <w:p w14:paraId="11569D16" w14:textId="77777777" w:rsidR="00025AB7" w:rsidRPr="001F7EE0" w:rsidRDefault="00025AB7" w:rsidP="00B8718A">
            <w:pPr>
              <w:tabs>
                <w:tab w:val="center" w:pos="4680"/>
              </w:tabs>
              <w:suppressAutoHyphens/>
              <w:rPr>
                <w:spacing w:val="-2"/>
                <w:szCs w:val="22"/>
              </w:rPr>
            </w:pPr>
          </w:p>
          <w:p w14:paraId="42D513F8" w14:textId="77777777" w:rsidR="00B543BA" w:rsidRPr="001F7EE0" w:rsidRDefault="00B543BA" w:rsidP="00B8718A">
            <w:pPr>
              <w:tabs>
                <w:tab w:val="center" w:pos="4680"/>
              </w:tabs>
              <w:suppressAutoHyphens/>
              <w:rPr>
                <w:spacing w:val="-2"/>
                <w:szCs w:val="22"/>
              </w:rPr>
            </w:pPr>
            <w:r w:rsidRPr="001F7EE0">
              <w:rPr>
                <w:spacing w:val="-2"/>
                <w:szCs w:val="22"/>
              </w:rPr>
              <w:t>In the Matter of</w:t>
            </w:r>
          </w:p>
          <w:p w14:paraId="036BF16B" w14:textId="77777777" w:rsidR="00B543BA" w:rsidRPr="001F7EE0" w:rsidRDefault="00B543BA" w:rsidP="00B8718A">
            <w:pPr>
              <w:tabs>
                <w:tab w:val="center" w:pos="4680"/>
              </w:tabs>
              <w:suppressAutoHyphens/>
              <w:rPr>
                <w:spacing w:val="-2"/>
                <w:szCs w:val="22"/>
              </w:rPr>
            </w:pPr>
          </w:p>
          <w:p w14:paraId="5F194945" w14:textId="77777777" w:rsidR="00B543BA" w:rsidRPr="001F7EE0" w:rsidRDefault="00B543BA" w:rsidP="00B8718A">
            <w:pPr>
              <w:tabs>
                <w:tab w:val="center" w:pos="4680"/>
              </w:tabs>
              <w:suppressAutoHyphens/>
              <w:rPr>
                <w:spacing w:val="-2"/>
                <w:szCs w:val="22"/>
              </w:rPr>
            </w:pPr>
            <w:r w:rsidRPr="001F7EE0">
              <w:rPr>
                <w:spacing w:val="-2"/>
                <w:szCs w:val="22"/>
              </w:rPr>
              <w:t>Texas Soaring Association, Inc.</w:t>
            </w:r>
          </w:p>
          <w:p w14:paraId="681CCD22" w14:textId="77777777" w:rsidR="00B543BA" w:rsidRPr="001F7EE0" w:rsidRDefault="00B543BA" w:rsidP="00B8718A">
            <w:pPr>
              <w:tabs>
                <w:tab w:val="center" w:pos="4680"/>
              </w:tabs>
              <w:suppressAutoHyphens/>
              <w:rPr>
                <w:spacing w:val="-2"/>
                <w:szCs w:val="22"/>
              </w:rPr>
            </w:pPr>
            <w:r w:rsidRPr="001F7EE0">
              <w:rPr>
                <w:spacing w:val="-2"/>
                <w:szCs w:val="22"/>
              </w:rPr>
              <w:t>Midlothian, Texas</w:t>
            </w:r>
          </w:p>
          <w:p w14:paraId="33F66EDD" w14:textId="77777777" w:rsidR="00B543BA" w:rsidRPr="001F7EE0" w:rsidRDefault="00B543BA" w:rsidP="00B8718A">
            <w:pPr>
              <w:tabs>
                <w:tab w:val="center" w:pos="4680"/>
              </w:tabs>
              <w:suppressAutoHyphens/>
              <w:rPr>
                <w:spacing w:val="-2"/>
                <w:szCs w:val="22"/>
              </w:rPr>
            </w:pPr>
          </w:p>
          <w:p w14:paraId="1007E224" w14:textId="77777777" w:rsidR="00B543BA" w:rsidRPr="001F7EE0" w:rsidRDefault="00B543BA" w:rsidP="00B8718A">
            <w:pPr>
              <w:tabs>
                <w:tab w:val="center" w:pos="4680"/>
              </w:tabs>
              <w:suppressAutoHyphens/>
              <w:rPr>
                <w:spacing w:val="-2"/>
                <w:szCs w:val="22"/>
              </w:rPr>
            </w:pPr>
          </w:p>
        </w:tc>
        <w:tc>
          <w:tcPr>
            <w:tcW w:w="630" w:type="dxa"/>
          </w:tcPr>
          <w:p w14:paraId="197B27FE" w14:textId="77777777" w:rsidR="00025AB7" w:rsidRPr="001F7EE0" w:rsidRDefault="00025AB7" w:rsidP="00B8718A">
            <w:pPr>
              <w:tabs>
                <w:tab w:val="center" w:pos="4680"/>
              </w:tabs>
              <w:suppressAutoHyphens/>
              <w:rPr>
                <w:b/>
                <w:spacing w:val="-2"/>
                <w:szCs w:val="22"/>
              </w:rPr>
            </w:pPr>
            <w:r w:rsidRPr="001F7EE0">
              <w:rPr>
                <w:b/>
                <w:spacing w:val="-2"/>
                <w:szCs w:val="22"/>
              </w:rPr>
              <w:t>)</w:t>
            </w:r>
          </w:p>
          <w:p w14:paraId="24B9F57F" w14:textId="77777777" w:rsidR="00B543BA" w:rsidRPr="001F7EE0" w:rsidRDefault="00B543BA" w:rsidP="00B8718A">
            <w:pPr>
              <w:tabs>
                <w:tab w:val="center" w:pos="4680"/>
              </w:tabs>
              <w:suppressAutoHyphens/>
              <w:rPr>
                <w:b/>
                <w:spacing w:val="-2"/>
                <w:szCs w:val="22"/>
              </w:rPr>
            </w:pPr>
            <w:r w:rsidRPr="001F7EE0">
              <w:rPr>
                <w:b/>
                <w:spacing w:val="-2"/>
                <w:szCs w:val="22"/>
              </w:rPr>
              <w:t>)</w:t>
            </w:r>
          </w:p>
          <w:p w14:paraId="0D0BC1C9" w14:textId="77777777" w:rsidR="00B543BA" w:rsidRPr="001F7EE0" w:rsidRDefault="00B543BA" w:rsidP="00B8718A">
            <w:pPr>
              <w:tabs>
                <w:tab w:val="center" w:pos="4680"/>
              </w:tabs>
              <w:suppressAutoHyphens/>
              <w:rPr>
                <w:b/>
                <w:spacing w:val="-2"/>
                <w:szCs w:val="22"/>
              </w:rPr>
            </w:pPr>
            <w:r w:rsidRPr="001F7EE0">
              <w:rPr>
                <w:b/>
                <w:spacing w:val="-2"/>
                <w:szCs w:val="22"/>
              </w:rPr>
              <w:t>)</w:t>
            </w:r>
          </w:p>
          <w:p w14:paraId="1715FBC9" w14:textId="77777777" w:rsidR="00B543BA" w:rsidRPr="001F7EE0" w:rsidRDefault="00B543BA" w:rsidP="00B8718A">
            <w:pPr>
              <w:tabs>
                <w:tab w:val="center" w:pos="4680"/>
              </w:tabs>
              <w:suppressAutoHyphens/>
              <w:rPr>
                <w:b/>
                <w:spacing w:val="-2"/>
                <w:szCs w:val="22"/>
              </w:rPr>
            </w:pPr>
            <w:r w:rsidRPr="001F7EE0">
              <w:rPr>
                <w:b/>
                <w:spacing w:val="-2"/>
                <w:szCs w:val="22"/>
              </w:rPr>
              <w:t>)</w:t>
            </w:r>
          </w:p>
          <w:p w14:paraId="41691799" w14:textId="77777777" w:rsidR="00B543BA" w:rsidRPr="001F7EE0" w:rsidRDefault="00B543BA" w:rsidP="00B8718A">
            <w:pPr>
              <w:tabs>
                <w:tab w:val="center" w:pos="4680"/>
              </w:tabs>
              <w:suppressAutoHyphens/>
              <w:rPr>
                <w:b/>
                <w:spacing w:val="-2"/>
                <w:szCs w:val="22"/>
              </w:rPr>
            </w:pPr>
            <w:r w:rsidRPr="001F7EE0">
              <w:rPr>
                <w:b/>
                <w:spacing w:val="-2"/>
                <w:szCs w:val="22"/>
              </w:rPr>
              <w:t>)</w:t>
            </w:r>
          </w:p>
          <w:p w14:paraId="63468255" w14:textId="77777777" w:rsidR="009E32D3" w:rsidRPr="001F7EE0" w:rsidRDefault="009E32D3" w:rsidP="001825D1">
            <w:pPr>
              <w:tabs>
                <w:tab w:val="center" w:pos="4680"/>
              </w:tabs>
              <w:suppressAutoHyphens/>
              <w:rPr>
                <w:b/>
                <w:spacing w:val="-2"/>
                <w:szCs w:val="22"/>
              </w:rPr>
            </w:pPr>
          </w:p>
        </w:tc>
        <w:tc>
          <w:tcPr>
            <w:tcW w:w="4248" w:type="dxa"/>
          </w:tcPr>
          <w:p w14:paraId="2302E6E6" w14:textId="5328EE15" w:rsidR="00B543BA" w:rsidRPr="001F7EE0" w:rsidRDefault="00B543BA" w:rsidP="00B8718A">
            <w:pPr>
              <w:tabs>
                <w:tab w:val="center" w:pos="4680"/>
              </w:tabs>
              <w:suppressAutoHyphens/>
              <w:rPr>
                <w:spacing w:val="-2"/>
                <w:szCs w:val="22"/>
                <w:lang w:val="es-ES_tradnl"/>
              </w:rPr>
            </w:pPr>
            <w:r w:rsidRPr="001F7EE0">
              <w:rPr>
                <w:spacing w:val="-2"/>
                <w:szCs w:val="22"/>
                <w:lang w:val="es-ES_tradnl"/>
              </w:rPr>
              <w:t>File No.</w:t>
            </w:r>
            <w:r w:rsidR="005A6B77" w:rsidRPr="001F7EE0">
              <w:rPr>
                <w:spacing w:val="-2"/>
                <w:szCs w:val="22"/>
                <w:lang w:val="es-ES_tradnl"/>
              </w:rPr>
              <w:t>:</w:t>
            </w:r>
            <w:r w:rsidRPr="001F7EE0">
              <w:rPr>
                <w:spacing w:val="-2"/>
                <w:szCs w:val="22"/>
                <w:lang w:val="es-ES_tradnl"/>
              </w:rPr>
              <w:t xml:space="preserve"> </w:t>
            </w:r>
            <w:r w:rsidR="005A6B77" w:rsidRPr="001F7EE0">
              <w:rPr>
                <w:spacing w:val="-2"/>
                <w:szCs w:val="22"/>
                <w:lang w:val="es-ES_tradnl"/>
              </w:rPr>
              <w:t xml:space="preserve"> </w:t>
            </w:r>
            <w:r w:rsidR="005C5509">
              <w:rPr>
                <w:spacing w:val="-2"/>
                <w:szCs w:val="22"/>
                <w:lang w:val="es-ES_tradnl"/>
              </w:rPr>
              <w:t>EB-SED-13</w:t>
            </w:r>
            <w:r w:rsidR="00FD40D6">
              <w:rPr>
                <w:spacing w:val="-2"/>
                <w:szCs w:val="22"/>
                <w:lang w:val="es-ES_tradnl"/>
              </w:rPr>
              <w:t>-</w:t>
            </w:r>
            <w:r w:rsidR="005C5509">
              <w:rPr>
                <w:spacing w:val="-2"/>
                <w:szCs w:val="22"/>
                <w:lang w:val="es-ES_tradnl"/>
              </w:rPr>
              <w:t>00009045</w:t>
            </w:r>
            <w:r w:rsidR="007C5835">
              <w:rPr>
                <w:rStyle w:val="FootnoteReference"/>
                <w:spacing w:val="-2"/>
                <w:szCs w:val="22"/>
                <w:lang w:val="es-ES_tradnl"/>
              </w:rPr>
              <w:footnoteReference w:id="2"/>
            </w:r>
          </w:p>
          <w:p w14:paraId="4160CE3C" w14:textId="77777777" w:rsidR="00702BD7" w:rsidRDefault="00702BD7" w:rsidP="00B8718A">
            <w:pPr>
              <w:pStyle w:val="TOAHeading"/>
              <w:tabs>
                <w:tab w:val="clear" w:pos="9360"/>
                <w:tab w:val="center" w:pos="4680"/>
              </w:tabs>
              <w:rPr>
                <w:spacing w:val="-2"/>
                <w:szCs w:val="22"/>
                <w:lang w:val="es-ES_tradnl"/>
              </w:rPr>
            </w:pPr>
          </w:p>
          <w:p w14:paraId="39D4B4FB" w14:textId="77777777" w:rsidR="00B543BA" w:rsidRPr="001F7EE0" w:rsidRDefault="00B543BA" w:rsidP="00B8718A">
            <w:pPr>
              <w:pStyle w:val="TOAHeading"/>
              <w:tabs>
                <w:tab w:val="clear" w:pos="9360"/>
                <w:tab w:val="center" w:pos="4680"/>
              </w:tabs>
              <w:rPr>
                <w:b/>
                <w:spacing w:val="-2"/>
                <w:szCs w:val="22"/>
                <w:lang w:val="es-ES_tradnl"/>
              </w:rPr>
            </w:pPr>
            <w:r w:rsidRPr="001F7EE0">
              <w:rPr>
                <w:spacing w:val="-2"/>
                <w:szCs w:val="22"/>
                <w:lang w:val="es-ES_tradnl"/>
              </w:rPr>
              <w:t>NAL/Acct. No.</w:t>
            </w:r>
            <w:r w:rsidR="005A6B77" w:rsidRPr="001F7EE0">
              <w:rPr>
                <w:spacing w:val="-2"/>
                <w:szCs w:val="22"/>
                <w:lang w:val="es-ES_tradnl"/>
              </w:rPr>
              <w:t xml:space="preserve">:  </w:t>
            </w:r>
            <w:r w:rsidRPr="001F7EE0">
              <w:rPr>
                <w:spacing w:val="-2"/>
                <w:szCs w:val="22"/>
                <w:lang w:val="es-ES_tradnl"/>
              </w:rPr>
              <w:t>200932100061</w:t>
            </w:r>
          </w:p>
          <w:p w14:paraId="302FCB37" w14:textId="77777777" w:rsidR="00702BD7" w:rsidRDefault="00702BD7" w:rsidP="005A6B77">
            <w:pPr>
              <w:tabs>
                <w:tab w:val="center" w:pos="4680"/>
              </w:tabs>
              <w:suppressAutoHyphens/>
              <w:rPr>
                <w:spacing w:val="-2"/>
                <w:szCs w:val="22"/>
              </w:rPr>
            </w:pPr>
          </w:p>
          <w:p w14:paraId="3493C224" w14:textId="77777777" w:rsidR="00B543BA" w:rsidRPr="001F7EE0" w:rsidRDefault="005A6B77" w:rsidP="005A6B77">
            <w:pPr>
              <w:tabs>
                <w:tab w:val="center" w:pos="4680"/>
              </w:tabs>
              <w:suppressAutoHyphens/>
              <w:rPr>
                <w:spacing w:val="-2"/>
                <w:szCs w:val="22"/>
              </w:rPr>
            </w:pPr>
            <w:r w:rsidRPr="001F7EE0">
              <w:rPr>
                <w:spacing w:val="-2"/>
                <w:szCs w:val="22"/>
              </w:rPr>
              <w:t xml:space="preserve">FRN:  </w:t>
            </w:r>
            <w:r w:rsidR="00B543BA" w:rsidRPr="001F7EE0">
              <w:rPr>
                <w:spacing w:val="-2"/>
                <w:szCs w:val="22"/>
              </w:rPr>
              <w:t>0004540456</w:t>
            </w:r>
          </w:p>
        </w:tc>
      </w:tr>
    </w:tbl>
    <w:p w14:paraId="404517EF" w14:textId="77777777" w:rsidR="00B8718A" w:rsidRPr="001F7EE0" w:rsidRDefault="00176785" w:rsidP="0003438F">
      <w:pPr>
        <w:tabs>
          <w:tab w:val="left" w:pos="-720"/>
          <w:tab w:val="left" w:pos="3554"/>
        </w:tabs>
        <w:suppressAutoHyphens/>
        <w:spacing w:line="227" w:lineRule="auto"/>
        <w:rPr>
          <w:spacing w:val="-2"/>
          <w:szCs w:val="22"/>
        </w:rPr>
      </w:pPr>
      <w:r>
        <w:rPr>
          <w:spacing w:val="-2"/>
          <w:szCs w:val="22"/>
        </w:rPr>
        <w:tab/>
      </w:r>
    </w:p>
    <w:p w14:paraId="35B405BD" w14:textId="77777777" w:rsidR="00B8718A" w:rsidRPr="001F7EE0" w:rsidRDefault="00B8718A">
      <w:pPr>
        <w:jc w:val="center"/>
        <w:rPr>
          <w:b/>
          <w:szCs w:val="22"/>
        </w:rPr>
      </w:pPr>
      <w:r w:rsidRPr="001F7EE0">
        <w:rPr>
          <w:b/>
          <w:szCs w:val="22"/>
        </w:rPr>
        <w:t>FORFEITURE ORDER</w:t>
      </w:r>
    </w:p>
    <w:p w14:paraId="564CFC4D" w14:textId="77777777" w:rsidR="00B8718A" w:rsidRPr="001F7EE0" w:rsidRDefault="00B8718A">
      <w:pPr>
        <w:tabs>
          <w:tab w:val="left" w:pos="-720"/>
        </w:tabs>
        <w:suppressAutoHyphens/>
        <w:spacing w:line="227" w:lineRule="auto"/>
        <w:rPr>
          <w:spacing w:val="-2"/>
          <w:szCs w:val="22"/>
        </w:rPr>
      </w:pPr>
    </w:p>
    <w:p w14:paraId="6277EB3D" w14:textId="75B7726B" w:rsidR="00B8718A" w:rsidRPr="001F7EE0" w:rsidRDefault="00B8718A">
      <w:pPr>
        <w:tabs>
          <w:tab w:val="left" w:pos="720"/>
          <w:tab w:val="left" w:pos="5760"/>
        </w:tabs>
        <w:suppressAutoHyphens/>
        <w:spacing w:line="227" w:lineRule="auto"/>
        <w:rPr>
          <w:spacing w:val="-2"/>
          <w:szCs w:val="22"/>
        </w:rPr>
      </w:pPr>
      <w:r w:rsidRPr="001F7EE0">
        <w:rPr>
          <w:b/>
          <w:spacing w:val="-2"/>
          <w:szCs w:val="22"/>
        </w:rPr>
        <w:t xml:space="preserve">Adopted:  </w:t>
      </w:r>
      <w:r w:rsidR="009068E8">
        <w:rPr>
          <w:b/>
          <w:spacing w:val="-2"/>
          <w:szCs w:val="22"/>
        </w:rPr>
        <w:t>July 25, 2013</w:t>
      </w:r>
      <w:r w:rsidRPr="001F7EE0">
        <w:rPr>
          <w:b/>
          <w:spacing w:val="-2"/>
          <w:szCs w:val="22"/>
        </w:rPr>
        <w:tab/>
      </w:r>
      <w:r w:rsidRPr="001F7EE0">
        <w:rPr>
          <w:b/>
          <w:spacing w:val="-2"/>
          <w:szCs w:val="22"/>
        </w:rPr>
        <w:tab/>
        <w:t xml:space="preserve">Released:  </w:t>
      </w:r>
      <w:r w:rsidR="009068E8">
        <w:rPr>
          <w:b/>
          <w:spacing w:val="-2"/>
          <w:szCs w:val="22"/>
        </w:rPr>
        <w:t>July 25, 2013</w:t>
      </w:r>
    </w:p>
    <w:p w14:paraId="2D887820" w14:textId="77777777" w:rsidR="00B8718A" w:rsidRPr="001F7EE0" w:rsidRDefault="00B8718A">
      <w:pPr>
        <w:rPr>
          <w:szCs w:val="22"/>
        </w:rPr>
      </w:pPr>
    </w:p>
    <w:p w14:paraId="67752BDB" w14:textId="77777777" w:rsidR="00B8718A" w:rsidRPr="001F7EE0" w:rsidRDefault="00B8718A">
      <w:pPr>
        <w:rPr>
          <w:spacing w:val="-2"/>
          <w:szCs w:val="22"/>
        </w:rPr>
      </w:pPr>
      <w:r w:rsidRPr="001F7EE0">
        <w:rPr>
          <w:szCs w:val="22"/>
        </w:rPr>
        <w:t>By the Chief, Spectrum Enforcement Division, Enforcement Bureau:</w:t>
      </w:r>
    </w:p>
    <w:p w14:paraId="15204E4C" w14:textId="77777777" w:rsidR="00B8718A" w:rsidRPr="001F7EE0" w:rsidRDefault="00B8718A">
      <w:pPr>
        <w:rPr>
          <w:spacing w:val="-2"/>
          <w:szCs w:val="22"/>
        </w:rPr>
      </w:pPr>
    </w:p>
    <w:p w14:paraId="13687601" w14:textId="77777777" w:rsidR="00B8718A" w:rsidRPr="001F7EE0" w:rsidRDefault="00F24B2D">
      <w:pPr>
        <w:pStyle w:val="Heading1"/>
        <w:rPr>
          <w:rFonts w:ascii="Times New Roman" w:hAnsi="Times New Roman"/>
          <w:szCs w:val="22"/>
        </w:rPr>
      </w:pPr>
      <w:r w:rsidRPr="001F7EE0">
        <w:rPr>
          <w:rFonts w:ascii="Times New Roman" w:hAnsi="Times New Roman"/>
          <w:szCs w:val="22"/>
        </w:rPr>
        <w:tab/>
      </w:r>
      <w:r w:rsidR="00B8718A" w:rsidRPr="001F7EE0">
        <w:rPr>
          <w:rFonts w:ascii="Times New Roman" w:hAnsi="Times New Roman"/>
          <w:szCs w:val="22"/>
        </w:rPr>
        <w:t>introduction</w:t>
      </w:r>
    </w:p>
    <w:p w14:paraId="2983C747" w14:textId="16DC3CEF" w:rsidR="00B8718A" w:rsidRPr="001F7EE0" w:rsidRDefault="00B8718A" w:rsidP="00951497">
      <w:pPr>
        <w:pStyle w:val="ParaNum"/>
        <w:tabs>
          <w:tab w:val="clear" w:pos="1080"/>
          <w:tab w:val="left" w:pos="1440"/>
        </w:tabs>
        <w:jc w:val="left"/>
        <w:rPr>
          <w:szCs w:val="22"/>
        </w:rPr>
      </w:pPr>
      <w:r w:rsidRPr="001F7EE0">
        <w:rPr>
          <w:szCs w:val="22"/>
        </w:rPr>
        <w:t>In this Forfeiture Order (Order), we issue a moneta</w:t>
      </w:r>
      <w:r w:rsidR="00B543BA" w:rsidRPr="001F7EE0">
        <w:rPr>
          <w:szCs w:val="22"/>
        </w:rPr>
        <w:t xml:space="preserve">ry forfeiture in the amount of </w:t>
      </w:r>
      <w:r w:rsidR="008A1179" w:rsidRPr="001F7EE0">
        <w:rPr>
          <w:szCs w:val="22"/>
        </w:rPr>
        <w:t>nine</w:t>
      </w:r>
      <w:r w:rsidR="00B543BA" w:rsidRPr="001F7EE0">
        <w:rPr>
          <w:szCs w:val="22"/>
        </w:rPr>
        <w:t xml:space="preserve"> thousand </w:t>
      </w:r>
      <w:r w:rsidR="00325716" w:rsidRPr="001F7EE0">
        <w:rPr>
          <w:szCs w:val="22"/>
        </w:rPr>
        <w:t>dollars ($</w:t>
      </w:r>
      <w:r w:rsidR="008A1179" w:rsidRPr="001F7EE0">
        <w:rPr>
          <w:szCs w:val="22"/>
        </w:rPr>
        <w:t>9,000</w:t>
      </w:r>
      <w:r w:rsidR="00B543BA" w:rsidRPr="001F7EE0">
        <w:rPr>
          <w:szCs w:val="22"/>
        </w:rPr>
        <w:t xml:space="preserve">) against Texas Soaring Association, Inc. </w:t>
      </w:r>
      <w:r w:rsidRPr="001F7EE0">
        <w:rPr>
          <w:szCs w:val="22"/>
        </w:rPr>
        <w:t>(</w:t>
      </w:r>
      <w:r w:rsidR="00B543BA" w:rsidRPr="001F7EE0">
        <w:rPr>
          <w:szCs w:val="22"/>
        </w:rPr>
        <w:t>TSA</w:t>
      </w:r>
      <w:r w:rsidRPr="001F7EE0">
        <w:rPr>
          <w:szCs w:val="22"/>
        </w:rPr>
        <w:t xml:space="preserve">), </w:t>
      </w:r>
      <w:r w:rsidR="00B543BA" w:rsidRPr="001F7EE0">
        <w:rPr>
          <w:szCs w:val="22"/>
        </w:rPr>
        <w:t>former licen</w:t>
      </w:r>
      <w:r w:rsidR="00147EA4" w:rsidRPr="001F7EE0">
        <w:rPr>
          <w:szCs w:val="22"/>
        </w:rPr>
        <w:t xml:space="preserve">see of </w:t>
      </w:r>
      <w:r w:rsidR="000417B8" w:rsidRPr="001F7EE0">
        <w:rPr>
          <w:szCs w:val="22"/>
        </w:rPr>
        <w:t>aeronautical and fixed aviation support station</w:t>
      </w:r>
      <w:r w:rsidR="00147EA4" w:rsidRPr="001F7EE0">
        <w:rPr>
          <w:szCs w:val="22"/>
        </w:rPr>
        <w:t xml:space="preserve"> </w:t>
      </w:r>
      <w:r w:rsidR="00B543BA" w:rsidRPr="001F7EE0">
        <w:rPr>
          <w:szCs w:val="22"/>
        </w:rPr>
        <w:t>KSC8</w:t>
      </w:r>
      <w:r w:rsidR="001068E8" w:rsidRPr="001F7EE0">
        <w:rPr>
          <w:szCs w:val="22"/>
        </w:rPr>
        <w:t>,</w:t>
      </w:r>
      <w:r w:rsidR="000417B8" w:rsidRPr="001F7EE0">
        <w:rPr>
          <w:szCs w:val="22"/>
        </w:rPr>
        <w:t xml:space="preserve"> </w:t>
      </w:r>
      <w:r w:rsidR="00B543BA" w:rsidRPr="001F7EE0">
        <w:rPr>
          <w:szCs w:val="22"/>
        </w:rPr>
        <w:t xml:space="preserve">Midlothian, Texas, </w:t>
      </w:r>
      <w:r w:rsidRPr="001F7EE0">
        <w:rPr>
          <w:szCs w:val="22"/>
        </w:rPr>
        <w:t xml:space="preserve">for willful and repeated violations of </w:t>
      </w:r>
      <w:r w:rsidR="005A6B77" w:rsidRPr="001F7EE0">
        <w:rPr>
          <w:szCs w:val="22"/>
        </w:rPr>
        <w:t>Section</w:t>
      </w:r>
      <w:r w:rsidR="00DD1908" w:rsidRPr="001F7EE0">
        <w:rPr>
          <w:szCs w:val="22"/>
        </w:rPr>
        <w:t xml:space="preserve"> 301</w:t>
      </w:r>
      <w:r w:rsidR="00FD1157" w:rsidRPr="001F7EE0">
        <w:rPr>
          <w:szCs w:val="22"/>
        </w:rPr>
        <w:t xml:space="preserve"> </w:t>
      </w:r>
      <w:r w:rsidRPr="001F7EE0">
        <w:rPr>
          <w:szCs w:val="22"/>
        </w:rPr>
        <w:t>of the Communication</w:t>
      </w:r>
      <w:r w:rsidR="00D04B1F" w:rsidRPr="001F7EE0">
        <w:rPr>
          <w:szCs w:val="22"/>
        </w:rPr>
        <w:t>s Act of 1934, as amended (Act)</w:t>
      </w:r>
      <w:r w:rsidR="00E56D61" w:rsidRPr="001F7EE0">
        <w:rPr>
          <w:szCs w:val="22"/>
        </w:rPr>
        <w:t>,</w:t>
      </w:r>
      <w:r w:rsidRPr="001F7EE0">
        <w:rPr>
          <w:szCs w:val="22"/>
        </w:rPr>
        <w:t xml:space="preserve"> </w:t>
      </w:r>
      <w:r w:rsidR="001342E7" w:rsidRPr="001F7EE0">
        <w:rPr>
          <w:szCs w:val="22"/>
        </w:rPr>
        <w:t xml:space="preserve">and </w:t>
      </w:r>
      <w:r w:rsidR="005A6B77" w:rsidRPr="001F7EE0">
        <w:rPr>
          <w:szCs w:val="22"/>
        </w:rPr>
        <w:t>S</w:t>
      </w:r>
      <w:r w:rsidR="001342E7" w:rsidRPr="001F7EE0">
        <w:rPr>
          <w:szCs w:val="22"/>
        </w:rPr>
        <w:t>ection</w:t>
      </w:r>
      <w:r w:rsidR="00B543BA" w:rsidRPr="001F7EE0">
        <w:rPr>
          <w:szCs w:val="22"/>
        </w:rPr>
        <w:t xml:space="preserve"> 1.903(a) </w:t>
      </w:r>
      <w:r w:rsidR="001342E7" w:rsidRPr="001F7EE0">
        <w:rPr>
          <w:szCs w:val="22"/>
        </w:rPr>
        <w:t xml:space="preserve">of the </w:t>
      </w:r>
      <w:r w:rsidR="00E70DEC" w:rsidRPr="001F7EE0">
        <w:rPr>
          <w:szCs w:val="22"/>
        </w:rPr>
        <w:t>Commission</w:t>
      </w:r>
      <w:r w:rsidR="00951497" w:rsidRPr="001F7EE0">
        <w:rPr>
          <w:szCs w:val="22"/>
        </w:rPr>
        <w:t>’</w:t>
      </w:r>
      <w:r w:rsidR="00E70DEC" w:rsidRPr="001F7EE0">
        <w:rPr>
          <w:szCs w:val="22"/>
        </w:rPr>
        <w:t>s rules (Rules)</w:t>
      </w:r>
      <w:r w:rsidR="00E56D61" w:rsidRPr="001F7EE0">
        <w:rPr>
          <w:szCs w:val="22"/>
        </w:rPr>
        <w:t>,</w:t>
      </w:r>
      <w:r w:rsidR="00E70DEC" w:rsidRPr="001F7EE0">
        <w:rPr>
          <w:rStyle w:val="FootnoteReference"/>
          <w:szCs w:val="22"/>
        </w:rPr>
        <w:footnoteReference w:id="3"/>
      </w:r>
      <w:r w:rsidR="001342E7" w:rsidRPr="001F7EE0">
        <w:rPr>
          <w:szCs w:val="22"/>
        </w:rPr>
        <w:t xml:space="preserve"> and for willful violation of </w:t>
      </w:r>
      <w:r w:rsidR="005A6B77" w:rsidRPr="001F7EE0">
        <w:rPr>
          <w:szCs w:val="22"/>
        </w:rPr>
        <w:t>Section</w:t>
      </w:r>
      <w:r w:rsidR="001342E7" w:rsidRPr="001F7EE0">
        <w:rPr>
          <w:szCs w:val="22"/>
        </w:rPr>
        <w:t xml:space="preserve"> </w:t>
      </w:r>
      <w:r w:rsidR="00B543BA" w:rsidRPr="001F7EE0">
        <w:rPr>
          <w:szCs w:val="22"/>
        </w:rPr>
        <w:t xml:space="preserve">1.949(a) of the </w:t>
      </w:r>
      <w:r w:rsidR="00E70DEC" w:rsidRPr="001F7EE0">
        <w:rPr>
          <w:szCs w:val="22"/>
        </w:rPr>
        <w:t>R</w:t>
      </w:r>
      <w:r w:rsidR="00B543BA" w:rsidRPr="001F7EE0">
        <w:rPr>
          <w:szCs w:val="22"/>
        </w:rPr>
        <w:t>ules.</w:t>
      </w:r>
      <w:r w:rsidR="00334142" w:rsidRPr="001F7EE0">
        <w:rPr>
          <w:rStyle w:val="FootnoteReference"/>
          <w:szCs w:val="22"/>
        </w:rPr>
        <w:footnoteReference w:id="4"/>
      </w:r>
      <w:r w:rsidR="00B543BA" w:rsidRPr="001F7EE0">
        <w:rPr>
          <w:szCs w:val="22"/>
        </w:rPr>
        <w:t xml:space="preserve">  The noted violations involve TSA</w:t>
      </w:r>
      <w:r w:rsidR="00951497" w:rsidRPr="001F7EE0">
        <w:rPr>
          <w:szCs w:val="22"/>
        </w:rPr>
        <w:t>’</w:t>
      </w:r>
      <w:r w:rsidR="00B543BA" w:rsidRPr="001F7EE0">
        <w:rPr>
          <w:szCs w:val="22"/>
        </w:rPr>
        <w:t xml:space="preserve">s operation of </w:t>
      </w:r>
      <w:r w:rsidR="003F26CB" w:rsidRPr="001F7EE0">
        <w:rPr>
          <w:szCs w:val="22"/>
        </w:rPr>
        <w:t>station KSC8</w:t>
      </w:r>
      <w:r w:rsidR="00B543BA" w:rsidRPr="001F7EE0">
        <w:rPr>
          <w:szCs w:val="22"/>
        </w:rPr>
        <w:t xml:space="preserve"> without Commission authority </w:t>
      </w:r>
      <w:r w:rsidR="00D04B1F" w:rsidRPr="001F7EE0">
        <w:rPr>
          <w:szCs w:val="22"/>
        </w:rPr>
        <w:t xml:space="preserve">for </w:t>
      </w:r>
      <w:r w:rsidR="006D1811" w:rsidRPr="001F7EE0">
        <w:rPr>
          <w:szCs w:val="22"/>
        </w:rPr>
        <w:t xml:space="preserve">more than </w:t>
      </w:r>
      <w:r w:rsidR="00D04B1F" w:rsidRPr="001F7EE0">
        <w:rPr>
          <w:szCs w:val="22"/>
        </w:rPr>
        <w:t xml:space="preserve">five years </w:t>
      </w:r>
      <w:r w:rsidR="00B543BA" w:rsidRPr="001F7EE0">
        <w:rPr>
          <w:szCs w:val="22"/>
        </w:rPr>
        <w:t xml:space="preserve">and its failure to </w:t>
      </w:r>
      <w:r w:rsidR="00415577" w:rsidRPr="001F7EE0">
        <w:rPr>
          <w:szCs w:val="22"/>
        </w:rPr>
        <w:t xml:space="preserve">timely </w:t>
      </w:r>
      <w:r w:rsidR="00B543BA" w:rsidRPr="001F7EE0">
        <w:rPr>
          <w:szCs w:val="22"/>
        </w:rPr>
        <w:t xml:space="preserve">file </w:t>
      </w:r>
      <w:r w:rsidR="00E56D61" w:rsidRPr="001F7EE0">
        <w:rPr>
          <w:szCs w:val="22"/>
        </w:rPr>
        <w:t xml:space="preserve">a </w:t>
      </w:r>
      <w:r w:rsidR="00415577" w:rsidRPr="001F7EE0">
        <w:rPr>
          <w:szCs w:val="22"/>
        </w:rPr>
        <w:t>r</w:t>
      </w:r>
      <w:r w:rsidR="00B543BA" w:rsidRPr="001F7EE0">
        <w:rPr>
          <w:szCs w:val="22"/>
        </w:rPr>
        <w:t>enewa</w:t>
      </w:r>
      <w:r w:rsidR="00AF6F12" w:rsidRPr="001F7EE0">
        <w:rPr>
          <w:szCs w:val="22"/>
        </w:rPr>
        <w:t>l application</w:t>
      </w:r>
      <w:r w:rsidR="00415577" w:rsidRPr="001F7EE0">
        <w:rPr>
          <w:szCs w:val="22"/>
        </w:rPr>
        <w:t xml:space="preserve"> for continued authority to operate the </w:t>
      </w:r>
      <w:r w:rsidR="00AF6F12" w:rsidRPr="001F7EE0">
        <w:rPr>
          <w:szCs w:val="22"/>
        </w:rPr>
        <w:t>station</w:t>
      </w:r>
      <w:r w:rsidR="00D04B1F" w:rsidRPr="001F7EE0">
        <w:rPr>
          <w:szCs w:val="22"/>
        </w:rPr>
        <w:t xml:space="preserve"> after the expiration of the station license</w:t>
      </w:r>
      <w:r w:rsidR="00AF6F12" w:rsidRPr="001F7EE0">
        <w:rPr>
          <w:szCs w:val="22"/>
        </w:rPr>
        <w:t>.</w:t>
      </w:r>
    </w:p>
    <w:p w14:paraId="3F80AA23" w14:textId="77777777" w:rsidR="00F24B2D" w:rsidRPr="001F7EE0" w:rsidRDefault="00F24B2D" w:rsidP="00F24B2D">
      <w:pPr>
        <w:pStyle w:val="ParaNum"/>
        <w:numPr>
          <w:ilvl w:val="0"/>
          <w:numId w:val="0"/>
        </w:numPr>
        <w:ind w:left="720" w:hanging="720"/>
        <w:jc w:val="left"/>
        <w:rPr>
          <w:b/>
          <w:szCs w:val="22"/>
        </w:rPr>
      </w:pPr>
      <w:r w:rsidRPr="001F7EE0">
        <w:rPr>
          <w:b/>
          <w:szCs w:val="22"/>
        </w:rPr>
        <w:t xml:space="preserve">II.  </w:t>
      </w:r>
      <w:r w:rsidRPr="001F7EE0">
        <w:rPr>
          <w:b/>
          <w:szCs w:val="22"/>
        </w:rPr>
        <w:tab/>
      </w:r>
      <w:r w:rsidRPr="001F7EE0">
        <w:rPr>
          <w:b/>
          <w:caps/>
          <w:szCs w:val="22"/>
        </w:rPr>
        <w:t>Background</w:t>
      </w:r>
    </w:p>
    <w:p w14:paraId="460BD529" w14:textId="5DA6E3EE" w:rsidR="00B8718A" w:rsidRPr="001F7EE0" w:rsidRDefault="00B8718A" w:rsidP="00726699">
      <w:pPr>
        <w:pStyle w:val="ParaNum"/>
        <w:widowControl/>
        <w:tabs>
          <w:tab w:val="clear" w:pos="1080"/>
          <w:tab w:val="num" w:pos="1440"/>
        </w:tabs>
        <w:jc w:val="left"/>
        <w:rPr>
          <w:szCs w:val="22"/>
        </w:rPr>
      </w:pPr>
      <w:r w:rsidRPr="001F7EE0">
        <w:rPr>
          <w:szCs w:val="22"/>
        </w:rPr>
        <w:t xml:space="preserve">On </w:t>
      </w:r>
      <w:r w:rsidR="00B543BA" w:rsidRPr="001F7EE0">
        <w:rPr>
          <w:szCs w:val="22"/>
        </w:rPr>
        <w:t>June 8, 2009</w:t>
      </w:r>
      <w:r w:rsidRPr="001F7EE0">
        <w:rPr>
          <w:szCs w:val="22"/>
        </w:rPr>
        <w:t xml:space="preserve">, the </w:t>
      </w:r>
      <w:r w:rsidR="00BF0691" w:rsidRPr="001F7EE0">
        <w:rPr>
          <w:szCs w:val="22"/>
        </w:rPr>
        <w:t xml:space="preserve">Enforcement Bureau’s Spectrum Enforcement </w:t>
      </w:r>
      <w:r w:rsidRPr="001F7EE0">
        <w:rPr>
          <w:szCs w:val="22"/>
        </w:rPr>
        <w:t xml:space="preserve">Division </w:t>
      </w:r>
      <w:r w:rsidR="00BF0691" w:rsidRPr="001F7EE0">
        <w:rPr>
          <w:szCs w:val="22"/>
        </w:rPr>
        <w:t xml:space="preserve">(Division) </w:t>
      </w:r>
      <w:r w:rsidR="00882A69">
        <w:rPr>
          <w:szCs w:val="22"/>
        </w:rPr>
        <w:t>issued</w:t>
      </w:r>
      <w:r w:rsidR="00882A69" w:rsidRPr="001F7EE0">
        <w:rPr>
          <w:szCs w:val="22"/>
        </w:rPr>
        <w:t xml:space="preserve"> </w:t>
      </w:r>
      <w:r w:rsidRPr="001F7EE0">
        <w:rPr>
          <w:szCs w:val="22"/>
        </w:rPr>
        <w:t xml:space="preserve">a </w:t>
      </w:r>
      <w:r w:rsidRPr="001F7EE0">
        <w:rPr>
          <w:i/>
          <w:szCs w:val="22"/>
        </w:rPr>
        <w:t>Notice of Apparent Liability for Forfeiture</w:t>
      </w:r>
      <w:r w:rsidR="007931C0" w:rsidRPr="001F7EE0">
        <w:rPr>
          <w:rStyle w:val="FootnoteReference"/>
          <w:szCs w:val="22"/>
        </w:rPr>
        <w:footnoteReference w:id="5"/>
      </w:r>
      <w:r w:rsidR="00BF0691" w:rsidRPr="001F7EE0">
        <w:rPr>
          <w:i/>
          <w:szCs w:val="22"/>
        </w:rPr>
        <w:t xml:space="preserve"> </w:t>
      </w:r>
      <w:r w:rsidR="00BF0691" w:rsidRPr="001F7EE0">
        <w:rPr>
          <w:szCs w:val="22"/>
        </w:rPr>
        <w:t xml:space="preserve">to TSA, </w:t>
      </w:r>
      <w:r w:rsidR="003405F8" w:rsidRPr="001F7EE0">
        <w:rPr>
          <w:szCs w:val="22"/>
        </w:rPr>
        <w:t xml:space="preserve">finding </w:t>
      </w:r>
      <w:r w:rsidR="008D179C" w:rsidRPr="001F7EE0">
        <w:rPr>
          <w:szCs w:val="22"/>
        </w:rPr>
        <w:t>that</w:t>
      </w:r>
      <w:r w:rsidRPr="001F7EE0">
        <w:rPr>
          <w:szCs w:val="22"/>
        </w:rPr>
        <w:t xml:space="preserve"> </w:t>
      </w:r>
      <w:r w:rsidR="00B543BA" w:rsidRPr="001F7EE0">
        <w:rPr>
          <w:szCs w:val="22"/>
        </w:rPr>
        <w:t>TSA</w:t>
      </w:r>
      <w:r w:rsidR="00E66ED7" w:rsidRPr="001F7EE0">
        <w:rPr>
          <w:szCs w:val="22"/>
        </w:rPr>
        <w:t xml:space="preserve"> </w:t>
      </w:r>
      <w:r w:rsidR="00BF3809" w:rsidRPr="001F7EE0">
        <w:rPr>
          <w:szCs w:val="22"/>
        </w:rPr>
        <w:t xml:space="preserve">apparently </w:t>
      </w:r>
      <w:r w:rsidR="00E66ED7" w:rsidRPr="001F7EE0">
        <w:rPr>
          <w:szCs w:val="22"/>
        </w:rPr>
        <w:t>operate</w:t>
      </w:r>
      <w:r w:rsidR="00D04B1F" w:rsidRPr="001F7EE0">
        <w:rPr>
          <w:szCs w:val="22"/>
        </w:rPr>
        <w:t>d</w:t>
      </w:r>
      <w:r w:rsidR="00E66ED7" w:rsidRPr="001F7EE0">
        <w:rPr>
          <w:szCs w:val="22"/>
        </w:rPr>
        <w:t xml:space="preserve"> station KSC8 </w:t>
      </w:r>
      <w:r w:rsidRPr="001F7EE0">
        <w:rPr>
          <w:szCs w:val="22"/>
        </w:rPr>
        <w:t>wit</w:t>
      </w:r>
      <w:r w:rsidR="00933890" w:rsidRPr="001F7EE0">
        <w:rPr>
          <w:szCs w:val="22"/>
        </w:rPr>
        <w:t>hout</w:t>
      </w:r>
      <w:r w:rsidR="00C2611C" w:rsidRPr="001F7EE0">
        <w:rPr>
          <w:szCs w:val="22"/>
        </w:rPr>
        <w:t xml:space="preserve"> Commission authority </w:t>
      </w:r>
      <w:r w:rsidR="00D04B1F" w:rsidRPr="001F7EE0">
        <w:rPr>
          <w:szCs w:val="22"/>
        </w:rPr>
        <w:t xml:space="preserve">from </w:t>
      </w:r>
      <w:r w:rsidR="00E56D61" w:rsidRPr="001F7EE0">
        <w:rPr>
          <w:szCs w:val="22"/>
        </w:rPr>
        <w:t xml:space="preserve">September 22, 2003, </w:t>
      </w:r>
      <w:r w:rsidR="00D04B1F" w:rsidRPr="001F7EE0">
        <w:rPr>
          <w:szCs w:val="22"/>
        </w:rPr>
        <w:t xml:space="preserve">the date that the station license expired, until </w:t>
      </w:r>
      <w:r w:rsidR="00E56D61" w:rsidRPr="001F7EE0">
        <w:rPr>
          <w:szCs w:val="22"/>
        </w:rPr>
        <w:t xml:space="preserve">October 2, 2008, </w:t>
      </w:r>
      <w:r w:rsidR="00D04B1F" w:rsidRPr="001F7EE0">
        <w:rPr>
          <w:szCs w:val="22"/>
        </w:rPr>
        <w:t xml:space="preserve">the date that </w:t>
      </w:r>
      <w:r w:rsidR="00E56D61" w:rsidRPr="001F7EE0">
        <w:rPr>
          <w:szCs w:val="22"/>
        </w:rPr>
        <w:t xml:space="preserve">TSA’s application for </w:t>
      </w:r>
      <w:r w:rsidR="00D04B1F" w:rsidRPr="001F7EE0">
        <w:rPr>
          <w:szCs w:val="22"/>
        </w:rPr>
        <w:t>a new station license</w:t>
      </w:r>
      <w:r w:rsidR="00E56D61" w:rsidRPr="001F7EE0">
        <w:rPr>
          <w:szCs w:val="22"/>
        </w:rPr>
        <w:t xml:space="preserve"> was granted</w:t>
      </w:r>
      <w:r w:rsidRPr="001F7EE0">
        <w:rPr>
          <w:szCs w:val="22"/>
        </w:rPr>
        <w:t>.</w:t>
      </w:r>
      <w:r w:rsidR="009E0ABA" w:rsidRPr="001F7EE0">
        <w:rPr>
          <w:rStyle w:val="FootnoteReference"/>
          <w:szCs w:val="22"/>
        </w:rPr>
        <w:footnoteReference w:id="6"/>
      </w:r>
      <w:r w:rsidR="009E0ABA">
        <w:rPr>
          <w:szCs w:val="22"/>
        </w:rPr>
        <w:t xml:space="preserve">  </w:t>
      </w:r>
      <w:r w:rsidRPr="001F7EE0">
        <w:rPr>
          <w:szCs w:val="22"/>
        </w:rPr>
        <w:t xml:space="preserve">The </w:t>
      </w:r>
      <w:r w:rsidR="002A354E" w:rsidRPr="001F7EE0">
        <w:rPr>
          <w:szCs w:val="22"/>
        </w:rPr>
        <w:lastRenderedPageBreak/>
        <w:t>Division</w:t>
      </w:r>
      <w:r w:rsidRPr="001F7EE0">
        <w:rPr>
          <w:szCs w:val="22"/>
        </w:rPr>
        <w:t xml:space="preserve"> also found that </w:t>
      </w:r>
      <w:r w:rsidR="00933890" w:rsidRPr="001F7EE0">
        <w:rPr>
          <w:szCs w:val="22"/>
        </w:rPr>
        <w:t xml:space="preserve">TSA </w:t>
      </w:r>
      <w:r w:rsidR="00BF3809" w:rsidRPr="001F7EE0">
        <w:rPr>
          <w:szCs w:val="22"/>
        </w:rPr>
        <w:t xml:space="preserve">apparently </w:t>
      </w:r>
      <w:r w:rsidRPr="001F7EE0">
        <w:rPr>
          <w:szCs w:val="22"/>
        </w:rPr>
        <w:t xml:space="preserve">failed to file a </w:t>
      </w:r>
      <w:r w:rsidR="00DD1908" w:rsidRPr="001F7EE0">
        <w:rPr>
          <w:szCs w:val="22"/>
        </w:rPr>
        <w:t xml:space="preserve">timely </w:t>
      </w:r>
      <w:r w:rsidRPr="001F7EE0">
        <w:rPr>
          <w:szCs w:val="22"/>
        </w:rPr>
        <w:t xml:space="preserve">application for </w:t>
      </w:r>
      <w:r w:rsidR="00E56D61" w:rsidRPr="001F7EE0">
        <w:rPr>
          <w:szCs w:val="22"/>
        </w:rPr>
        <w:t xml:space="preserve">renewal of </w:t>
      </w:r>
      <w:r w:rsidRPr="001F7EE0">
        <w:rPr>
          <w:szCs w:val="22"/>
        </w:rPr>
        <w:t xml:space="preserve">the station </w:t>
      </w:r>
      <w:r w:rsidR="00E56D61" w:rsidRPr="001F7EE0">
        <w:rPr>
          <w:szCs w:val="22"/>
        </w:rPr>
        <w:t xml:space="preserve">license </w:t>
      </w:r>
      <w:r w:rsidRPr="001F7EE0">
        <w:rPr>
          <w:szCs w:val="22"/>
        </w:rPr>
        <w:t xml:space="preserve">by </w:t>
      </w:r>
      <w:r w:rsidR="00E56D61" w:rsidRPr="001F7EE0">
        <w:rPr>
          <w:szCs w:val="22"/>
        </w:rPr>
        <w:t xml:space="preserve">the </w:t>
      </w:r>
      <w:r w:rsidR="00A64CBD" w:rsidRPr="001F7EE0">
        <w:rPr>
          <w:szCs w:val="22"/>
        </w:rPr>
        <w:t xml:space="preserve">license </w:t>
      </w:r>
      <w:r w:rsidRPr="001F7EE0">
        <w:rPr>
          <w:szCs w:val="22"/>
        </w:rPr>
        <w:t>expiration</w:t>
      </w:r>
      <w:r w:rsidR="00D04B1F" w:rsidRPr="001F7EE0">
        <w:rPr>
          <w:szCs w:val="22"/>
        </w:rPr>
        <w:t xml:space="preserve"> date</w:t>
      </w:r>
      <w:r w:rsidRPr="001F7EE0">
        <w:rPr>
          <w:szCs w:val="22"/>
        </w:rPr>
        <w:t>.</w:t>
      </w:r>
      <w:r w:rsidR="00826989" w:rsidRPr="001F7EE0">
        <w:rPr>
          <w:rStyle w:val="FootnoteReference"/>
          <w:szCs w:val="22"/>
        </w:rPr>
        <w:footnoteReference w:id="7"/>
      </w:r>
      <w:r w:rsidRPr="001F7EE0">
        <w:rPr>
          <w:szCs w:val="22"/>
        </w:rPr>
        <w:t xml:space="preserve">  </w:t>
      </w:r>
      <w:r w:rsidR="00163BC2" w:rsidRPr="001F7EE0">
        <w:rPr>
          <w:szCs w:val="22"/>
        </w:rPr>
        <w:t xml:space="preserve">Consistent with </w:t>
      </w:r>
      <w:r w:rsidR="00060652" w:rsidRPr="001F7EE0">
        <w:rPr>
          <w:szCs w:val="22"/>
        </w:rPr>
        <w:t xml:space="preserve">Enforcement </w:t>
      </w:r>
      <w:r w:rsidR="00163BC2" w:rsidRPr="001F7EE0">
        <w:rPr>
          <w:szCs w:val="22"/>
        </w:rPr>
        <w:t>Bureau precedent at the time</w:t>
      </w:r>
      <w:r w:rsidR="00060652" w:rsidRPr="001F7EE0">
        <w:rPr>
          <w:szCs w:val="22"/>
        </w:rPr>
        <w:t xml:space="preserve">, the Division proposed </w:t>
      </w:r>
      <w:r w:rsidR="005F0678" w:rsidRPr="001F7EE0">
        <w:rPr>
          <w:szCs w:val="22"/>
        </w:rPr>
        <w:t xml:space="preserve">a </w:t>
      </w:r>
      <w:r w:rsidR="00E56D61" w:rsidRPr="001F7EE0">
        <w:rPr>
          <w:szCs w:val="22"/>
        </w:rPr>
        <w:t>forfeiture</w:t>
      </w:r>
      <w:r w:rsidR="00B20B6B" w:rsidRPr="001F7EE0">
        <w:rPr>
          <w:szCs w:val="22"/>
        </w:rPr>
        <w:t xml:space="preserve"> against</w:t>
      </w:r>
      <w:r w:rsidR="00E56D61" w:rsidRPr="001F7EE0">
        <w:rPr>
          <w:szCs w:val="22"/>
        </w:rPr>
        <w:t xml:space="preserve"> </w:t>
      </w:r>
      <w:r w:rsidR="00B20B6B" w:rsidRPr="001F7EE0">
        <w:rPr>
          <w:szCs w:val="22"/>
        </w:rPr>
        <w:t xml:space="preserve">TSA </w:t>
      </w:r>
      <w:r w:rsidR="00E56D61" w:rsidRPr="001F7EE0">
        <w:rPr>
          <w:szCs w:val="22"/>
        </w:rPr>
        <w:t xml:space="preserve">in the amount of </w:t>
      </w:r>
      <w:r w:rsidR="005F0678" w:rsidRPr="001F7EE0">
        <w:rPr>
          <w:szCs w:val="22"/>
        </w:rPr>
        <w:t xml:space="preserve">$9,000 </w:t>
      </w:r>
      <w:r w:rsidRPr="001F7EE0">
        <w:rPr>
          <w:szCs w:val="22"/>
        </w:rPr>
        <w:t xml:space="preserve">for </w:t>
      </w:r>
      <w:r w:rsidR="00B20B6B" w:rsidRPr="001F7EE0">
        <w:rPr>
          <w:szCs w:val="22"/>
        </w:rPr>
        <w:t>it</w:t>
      </w:r>
      <w:r w:rsidR="00E56D61" w:rsidRPr="001F7EE0">
        <w:rPr>
          <w:szCs w:val="22"/>
        </w:rPr>
        <w:t>s</w:t>
      </w:r>
      <w:r w:rsidRPr="001F7EE0">
        <w:rPr>
          <w:szCs w:val="22"/>
        </w:rPr>
        <w:t xml:space="preserve"> apparent willful and repeated violation of </w:t>
      </w:r>
      <w:r w:rsidR="005A6B77" w:rsidRPr="001F7EE0">
        <w:rPr>
          <w:szCs w:val="22"/>
        </w:rPr>
        <w:t>Section</w:t>
      </w:r>
      <w:r w:rsidRPr="001F7EE0">
        <w:rPr>
          <w:szCs w:val="22"/>
        </w:rPr>
        <w:t xml:space="preserve"> 301 of the Act and </w:t>
      </w:r>
      <w:r w:rsidR="005A6B77" w:rsidRPr="001F7EE0">
        <w:rPr>
          <w:szCs w:val="22"/>
        </w:rPr>
        <w:t>Section</w:t>
      </w:r>
      <w:r w:rsidR="00933890" w:rsidRPr="001F7EE0">
        <w:rPr>
          <w:szCs w:val="22"/>
        </w:rPr>
        <w:t xml:space="preserve"> 1.903(a) </w:t>
      </w:r>
      <w:r w:rsidR="00325716" w:rsidRPr="001F7EE0">
        <w:rPr>
          <w:szCs w:val="22"/>
        </w:rPr>
        <w:t>of the Rules</w:t>
      </w:r>
      <w:r w:rsidR="00E56D61" w:rsidRPr="001F7EE0">
        <w:rPr>
          <w:szCs w:val="22"/>
        </w:rPr>
        <w:t>,</w:t>
      </w:r>
      <w:r w:rsidR="00325716" w:rsidRPr="001F7EE0">
        <w:rPr>
          <w:szCs w:val="22"/>
        </w:rPr>
        <w:t xml:space="preserve"> and for its willful violation of </w:t>
      </w:r>
      <w:r w:rsidR="005A6B77" w:rsidRPr="001F7EE0">
        <w:rPr>
          <w:szCs w:val="22"/>
        </w:rPr>
        <w:t>Section</w:t>
      </w:r>
      <w:r w:rsidR="00325716" w:rsidRPr="001F7EE0">
        <w:rPr>
          <w:szCs w:val="22"/>
        </w:rPr>
        <w:t xml:space="preserve"> </w:t>
      </w:r>
      <w:r w:rsidR="00933890" w:rsidRPr="001F7EE0">
        <w:rPr>
          <w:szCs w:val="22"/>
        </w:rPr>
        <w:t xml:space="preserve">1.949(a) </w:t>
      </w:r>
      <w:r w:rsidRPr="001F7EE0">
        <w:rPr>
          <w:snapToGrid/>
          <w:kern w:val="0"/>
          <w:szCs w:val="22"/>
        </w:rPr>
        <w:t>of the Rules</w:t>
      </w:r>
      <w:r w:rsidRPr="001F7EE0">
        <w:rPr>
          <w:szCs w:val="22"/>
        </w:rPr>
        <w:t>.</w:t>
      </w:r>
      <w:r w:rsidR="009A771F" w:rsidRPr="001F7EE0">
        <w:rPr>
          <w:rStyle w:val="FootnoteReference"/>
          <w:szCs w:val="22"/>
        </w:rPr>
        <w:footnoteReference w:id="8"/>
      </w:r>
    </w:p>
    <w:p w14:paraId="4EFD5492" w14:textId="1B079930" w:rsidR="00B8718A" w:rsidRPr="001F7EE0" w:rsidRDefault="00E56D61" w:rsidP="007F21AC">
      <w:pPr>
        <w:pStyle w:val="ParaNum"/>
        <w:widowControl/>
        <w:tabs>
          <w:tab w:val="clear" w:pos="1080"/>
          <w:tab w:val="num" w:pos="1440"/>
        </w:tabs>
        <w:jc w:val="left"/>
        <w:rPr>
          <w:szCs w:val="22"/>
        </w:rPr>
      </w:pPr>
      <w:r w:rsidRPr="001F7EE0">
        <w:rPr>
          <w:szCs w:val="22"/>
        </w:rPr>
        <w:t>TSA</w:t>
      </w:r>
      <w:r w:rsidR="00C630F6" w:rsidRPr="001F7EE0">
        <w:rPr>
          <w:szCs w:val="22"/>
        </w:rPr>
        <w:t xml:space="preserve"> filed its response to the </w:t>
      </w:r>
      <w:r w:rsidR="00C630F6" w:rsidRPr="001F7EE0">
        <w:rPr>
          <w:i/>
          <w:szCs w:val="22"/>
        </w:rPr>
        <w:t>NAL</w:t>
      </w:r>
      <w:r w:rsidR="00C630F6" w:rsidRPr="001F7EE0">
        <w:rPr>
          <w:szCs w:val="22"/>
        </w:rPr>
        <w:t xml:space="preserve"> on </w:t>
      </w:r>
      <w:r w:rsidR="00933890" w:rsidRPr="001F7EE0">
        <w:rPr>
          <w:szCs w:val="22"/>
        </w:rPr>
        <w:t>July 8, 2009</w:t>
      </w:r>
      <w:r w:rsidR="00C630F6" w:rsidRPr="001F7EE0">
        <w:rPr>
          <w:szCs w:val="22"/>
        </w:rPr>
        <w:t>.</w:t>
      </w:r>
      <w:r w:rsidR="00B8718A" w:rsidRPr="001F7EE0">
        <w:rPr>
          <w:rStyle w:val="FootnoteReference"/>
          <w:szCs w:val="22"/>
        </w:rPr>
        <w:footnoteReference w:id="9"/>
      </w:r>
      <w:r w:rsidR="00B8718A" w:rsidRPr="001F7EE0">
        <w:rPr>
          <w:szCs w:val="22"/>
        </w:rPr>
        <w:t xml:space="preserve"> </w:t>
      </w:r>
      <w:r w:rsidR="00C630F6" w:rsidRPr="001F7EE0">
        <w:rPr>
          <w:szCs w:val="22"/>
        </w:rPr>
        <w:t xml:space="preserve"> In its NAL Response, </w:t>
      </w:r>
      <w:r w:rsidR="009B675A" w:rsidRPr="001F7EE0">
        <w:rPr>
          <w:szCs w:val="22"/>
        </w:rPr>
        <w:t xml:space="preserve">TSA </w:t>
      </w:r>
      <w:r w:rsidR="001D67A0" w:rsidRPr="001F7EE0">
        <w:rPr>
          <w:szCs w:val="22"/>
        </w:rPr>
        <w:t xml:space="preserve">admits </w:t>
      </w:r>
      <w:r w:rsidR="00AA0FD4" w:rsidRPr="001F7EE0">
        <w:rPr>
          <w:szCs w:val="22"/>
        </w:rPr>
        <w:t xml:space="preserve">that it operated </w:t>
      </w:r>
      <w:r w:rsidR="008D179C" w:rsidRPr="001F7EE0">
        <w:rPr>
          <w:szCs w:val="22"/>
        </w:rPr>
        <w:t>station</w:t>
      </w:r>
      <w:r w:rsidR="00AA0FD4" w:rsidRPr="001F7EE0">
        <w:rPr>
          <w:szCs w:val="22"/>
        </w:rPr>
        <w:t xml:space="preserve"> KSC8</w:t>
      </w:r>
      <w:r w:rsidR="008D179C" w:rsidRPr="001F7EE0">
        <w:rPr>
          <w:szCs w:val="22"/>
        </w:rPr>
        <w:t xml:space="preserve"> without </w:t>
      </w:r>
      <w:r w:rsidR="00AA0FD4" w:rsidRPr="001F7EE0">
        <w:rPr>
          <w:szCs w:val="22"/>
        </w:rPr>
        <w:t xml:space="preserve">Commission </w:t>
      </w:r>
      <w:r w:rsidR="008D179C" w:rsidRPr="001F7EE0">
        <w:rPr>
          <w:szCs w:val="22"/>
        </w:rPr>
        <w:t xml:space="preserve">authority </w:t>
      </w:r>
      <w:r w:rsidR="00AA0FD4" w:rsidRPr="001F7EE0">
        <w:rPr>
          <w:szCs w:val="22"/>
        </w:rPr>
        <w:t xml:space="preserve">after the expiration of its </w:t>
      </w:r>
      <w:r w:rsidR="00C630F6" w:rsidRPr="001F7EE0">
        <w:rPr>
          <w:szCs w:val="22"/>
        </w:rPr>
        <w:t xml:space="preserve">station </w:t>
      </w:r>
      <w:r w:rsidR="00AA0FD4" w:rsidRPr="001F7EE0">
        <w:rPr>
          <w:szCs w:val="22"/>
        </w:rPr>
        <w:t xml:space="preserve">license </w:t>
      </w:r>
      <w:r w:rsidR="009D3A2E" w:rsidRPr="001F7EE0">
        <w:rPr>
          <w:szCs w:val="22"/>
        </w:rPr>
        <w:t>and</w:t>
      </w:r>
      <w:r w:rsidR="00B8718A" w:rsidRPr="001F7EE0">
        <w:rPr>
          <w:szCs w:val="22"/>
        </w:rPr>
        <w:t xml:space="preserve"> </w:t>
      </w:r>
      <w:r w:rsidR="001D67A0" w:rsidRPr="001F7EE0">
        <w:rPr>
          <w:szCs w:val="22"/>
        </w:rPr>
        <w:t>fail</w:t>
      </w:r>
      <w:r w:rsidR="00AA0FD4" w:rsidRPr="001F7EE0">
        <w:rPr>
          <w:szCs w:val="22"/>
        </w:rPr>
        <w:t>ed</w:t>
      </w:r>
      <w:r w:rsidR="001D67A0" w:rsidRPr="001F7EE0">
        <w:rPr>
          <w:szCs w:val="22"/>
        </w:rPr>
        <w:t xml:space="preserve"> </w:t>
      </w:r>
      <w:r w:rsidR="00B8718A" w:rsidRPr="001F7EE0">
        <w:rPr>
          <w:szCs w:val="22"/>
        </w:rPr>
        <w:t xml:space="preserve">to timely </w:t>
      </w:r>
      <w:r w:rsidR="00C630F6" w:rsidRPr="001F7EE0">
        <w:rPr>
          <w:szCs w:val="22"/>
        </w:rPr>
        <w:t>file a</w:t>
      </w:r>
      <w:r w:rsidR="00882A69">
        <w:rPr>
          <w:szCs w:val="22"/>
        </w:rPr>
        <w:t xml:space="preserve"> license renewal</w:t>
      </w:r>
      <w:r w:rsidR="00C630F6" w:rsidRPr="001F7EE0">
        <w:rPr>
          <w:szCs w:val="22"/>
        </w:rPr>
        <w:t xml:space="preserve"> </w:t>
      </w:r>
      <w:r w:rsidR="00B8718A" w:rsidRPr="001F7EE0">
        <w:rPr>
          <w:szCs w:val="22"/>
        </w:rPr>
        <w:t>a</w:t>
      </w:r>
      <w:r w:rsidR="00987E7F" w:rsidRPr="001F7EE0">
        <w:rPr>
          <w:szCs w:val="22"/>
        </w:rPr>
        <w:t>pplication.</w:t>
      </w:r>
      <w:r w:rsidR="002A354E" w:rsidRPr="001F7EE0">
        <w:rPr>
          <w:rStyle w:val="FootnoteReference"/>
          <w:szCs w:val="22"/>
        </w:rPr>
        <w:footnoteReference w:id="10"/>
      </w:r>
      <w:r w:rsidR="00987E7F" w:rsidRPr="001F7EE0">
        <w:rPr>
          <w:szCs w:val="22"/>
        </w:rPr>
        <w:t xml:space="preserve">  TSA</w:t>
      </w:r>
      <w:r w:rsidR="00C630F6" w:rsidRPr="001F7EE0">
        <w:rPr>
          <w:szCs w:val="22"/>
        </w:rPr>
        <w:t xml:space="preserve"> argues</w:t>
      </w:r>
      <w:r w:rsidR="001D67A0" w:rsidRPr="001F7EE0">
        <w:rPr>
          <w:szCs w:val="22"/>
        </w:rPr>
        <w:t>, however,</w:t>
      </w:r>
      <w:r w:rsidR="00987E7F" w:rsidRPr="001F7EE0">
        <w:rPr>
          <w:szCs w:val="22"/>
        </w:rPr>
        <w:t xml:space="preserve"> </w:t>
      </w:r>
      <w:r w:rsidR="00C630F6" w:rsidRPr="001F7EE0">
        <w:rPr>
          <w:szCs w:val="22"/>
        </w:rPr>
        <w:t>that the proposed forfeiture should be cancelled or reduced.</w:t>
      </w:r>
      <w:r w:rsidR="00024AF0" w:rsidRPr="001F7EE0">
        <w:rPr>
          <w:rStyle w:val="FootnoteReference"/>
          <w:szCs w:val="22"/>
        </w:rPr>
        <w:footnoteReference w:id="11"/>
      </w:r>
      <w:r w:rsidR="00024AF0" w:rsidRPr="001F7EE0">
        <w:rPr>
          <w:szCs w:val="22"/>
        </w:rPr>
        <w:t xml:space="preserve">  For the reasons set forth herein, we decline to cancel or reduce the proposed forfeiture.</w:t>
      </w:r>
    </w:p>
    <w:p w14:paraId="67A2343C" w14:textId="668319B8" w:rsidR="00B8718A" w:rsidRPr="001F7EE0" w:rsidRDefault="00B8718A" w:rsidP="0003438F">
      <w:pPr>
        <w:pStyle w:val="Heading1"/>
        <w:numPr>
          <w:ilvl w:val="0"/>
          <w:numId w:val="0"/>
        </w:numPr>
        <w:tabs>
          <w:tab w:val="clear" w:pos="360"/>
          <w:tab w:val="left" w:pos="720"/>
        </w:tabs>
        <w:jc w:val="left"/>
        <w:rPr>
          <w:rFonts w:ascii="Times New Roman" w:hAnsi="Times New Roman"/>
          <w:b w:val="0"/>
          <w:szCs w:val="22"/>
        </w:rPr>
      </w:pPr>
      <w:r w:rsidRPr="00431BE2">
        <w:rPr>
          <w:rFonts w:ascii="Times New Roman" w:hAnsi="Times New Roman"/>
          <w:szCs w:val="22"/>
        </w:rPr>
        <w:t>III.</w:t>
      </w:r>
      <w:r w:rsidRPr="001F7EE0">
        <w:rPr>
          <w:rFonts w:ascii="Times New Roman" w:hAnsi="Times New Roman"/>
          <w:b w:val="0"/>
          <w:szCs w:val="22"/>
        </w:rPr>
        <w:tab/>
      </w:r>
      <w:r w:rsidRPr="001F7EE0">
        <w:rPr>
          <w:rFonts w:ascii="Times New Roman" w:hAnsi="Times New Roman"/>
          <w:szCs w:val="22"/>
        </w:rPr>
        <w:t>DISCUSSION</w:t>
      </w:r>
    </w:p>
    <w:p w14:paraId="54BAE1C6" w14:textId="6952A4F0" w:rsidR="00F24B2D" w:rsidRPr="001F7EE0" w:rsidRDefault="008201C2" w:rsidP="00F2623D">
      <w:pPr>
        <w:pStyle w:val="ParaNum"/>
        <w:widowControl/>
        <w:numPr>
          <w:ilvl w:val="0"/>
          <w:numId w:val="0"/>
        </w:numPr>
        <w:ind w:firstLine="720"/>
        <w:jc w:val="left"/>
        <w:rPr>
          <w:szCs w:val="22"/>
        </w:rPr>
      </w:pPr>
      <w:r w:rsidRPr="001F7EE0">
        <w:rPr>
          <w:szCs w:val="22"/>
        </w:rPr>
        <w:t>4</w:t>
      </w:r>
      <w:r w:rsidR="009A771F" w:rsidRPr="001F7EE0">
        <w:rPr>
          <w:szCs w:val="22"/>
        </w:rPr>
        <w:t>.</w:t>
      </w:r>
      <w:r w:rsidR="009A771F" w:rsidRPr="001F7EE0">
        <w:rPr>
          <w:szCs w:val="22"/>
        </w:rPr>
        <w:tab/>
      </w:r>
      <w:r w:rsidR="00147EA4" w:rsidRPr="001F7EE0">
        <w:rPr>
          <w:szCs w:val="22"/>
        </w:rPr>
        <w:t>The Division assessed the proposed forfeiture amount in accordance with Section 503(b) of the Act,</w:t>
      </w:r>
      <w:r w:rsidR="00147EA4" w:rsidRPr="001F7EE0">
        <w:rPr>
          <w:rStyle w:val="FootnoteReference"/>
          <w:szCs w:val="22"/>
        </w:rPr>
        <w:footnoteReference w:id="12"/>
      </w:r>
      <w:r w:rsidR="00147EA4" w:rsidRPr="001F7EE0">
        <w:rPr>
          <w:szCs w:val="22"/>
        </w:rPr>
        <w:t xml:space="preserve"> Section 1.80 of the Rules,</w:t>
      </w:r>
      <w:r w:rsidR="00147EA4" w:rsidRPr="001F7EE0">
        <w:rPr>
          <w:rStyle w:val="FootnoteReference"/>
          <w:szCs w:val="22"/>
        </w:rPr>
        <w:footnoteReference w:id="13"/>
      </w:r>
      <w:r w:rsidR="00147EA4" w:rsidRPr="001F7EE0">
        <w:rPr>
          <w:szCs w:val="22"/>
        </w:rPr>
        <w:t xml:space="preserve"> and the Commission’s </w:t>
      </w:r>
      <w:r w:rsidR="00147EA4" w:rsidRPr="001F7EE0">
        <w:rPr>
          <w:i/>
          <w:szCs w:val="22"/>
        </w:rPr>
        <w:t>Forfeiture Policy Statement</w:t>
      </w:r>
      <w:r w:rsidR="00147EA4" w:rsidRPr="001F7EE0">
        <w:rPr>
          <w:szCs w:val="22"/>
        </w:rPr>
        <w:t>.</w:t>
      </w:r>
      <w:r w:rsidR="00147EA4" w:rsidRPr="001F7EE0">
        <w:rPr>
          <w:rStyle w:val="FootnoteReference"/>
          <w:szCs w:val="22"/>
        </w:rPr>
        <w:footnoteReference w:id="14"/>
      </w:r>
      <w:r w:rsidR="00147EA4" w:rsidRPr="001F7EE0">
        <w:rPr>
          <w:szCs w:val="22"/>
        </w:rPr>
        <w:t xml:space="preserve">  In examining TSA’s NAL Response, we </w:t>
      </w:r>
      <w:r w:rsidR="006D615A" w:rsidRPr="001F7EE0">
        <w:rPr>
          <w:szCs w:val="22"/>
        </w:rPr>
        <w:t>“</w:t>
      </w:r>
      <w:r w:rsidR="00147EA4" w:rsidRPr="001F7EE0">
        <w:rPr>
          <w:szCs w:val="22"/>
        </w:rPr>
        <w:t xml:space="preserve">take </w:t>
      </w:r>
      <w:r w:rsidR="00FF6003" w:rsidRPr="001F7EE0">
        <w:rPr>
          <w:szCs w:val="22"/>
        </w:rPr>
        <w:t>into account the nature, circumstances, extent, and gravity of the violation and, with respect to the violator, the degree of culpability, any history of prior offenses, ability to pay, and such other matters as justice may require</w:t>
      </w:r>
      <w:r w:rsidR="00147EA4" w:rsidRPr="001F7EE0">
        <w:rPr>
          <w:szCs w:val="22"/>
        </w:rPr>
        <w:t>.</w:t>
      </w:r>
      <w:r w:rsidR="00B574E5" w:rsidRPr="001F7EE0">
        <w:rPr>
          <w:szCs w:val="22"/>
        </w:rPr>
        <w:t>”</w:t>
      </w:r>
      <w:r w:rsidR="00147EA4" w:rsidRPr="001F7EE0">
        <w:rPr>
          <w:szCs w:val="22"/>
          <w:vertAlign w:val="superscript"/>
        </w:rPr>
        <w:footnoteReference w:id="15"/>
      </w:r>
      <w:r w:rsidR="00147EA4" w:rsidRPr="001F7EE0">
        <w:rPr>
          <w:szCs w:val="22"/>
        </w:rPr>
        <w:t xml:space="preserve"> </w:t>
      </w:r>
      <w:r w:rsidR="001F59D2" w:rsidRPr="001F7EE0">
        <w:rPr>
          <w:szCs w:val="22"/>
        </w:rPr>
        <w:t xml:space="preserve"> As discussed below, we are not persuaded by TSA’s arguments for reduction or cancellation of</w:t>
      </w:r>
      <w:r w:rsidR="009F1530" w:rsidRPr="001F7EE0">
        <w:rPr>
          <w:szCs w:val="22"/>
        </w:rPr>
        <w:t xml:space="preserve"> the proposed forfeiture amount.  We </w:t>
      </w:r>
      <w:r w:rsidR="00D57634" w:rsidRPr="001F7EE0">
        <w:rPr>
          <w:szCs w:val="22"/>
        </w:rPr>
        <w:t>therefore</w:t>
      </w:r>
      <w:r w:rsidR="009F1530" w:rsidRPr="001F7EE0">
        <w:rPr>
          <w:szCs w:val="22"/>
        </w:rPr>
        <w:t xml:space="preserve"> </w:t>
      </w:r>
      <w:r w:rsidR="001F59D2" w:rsidRPr="001F7EE0">
        <w:rPr>
          <w:szCs w:val="22"/>
        </w:rPr>
        <w:t xml:space="preserve">conclude that TSA </w:t>
      </w:r>
      <w:r w:rsidR="00790C2D" w:rsidRPr="001F7EE0">
        <w:rPr>
          <w:szCs w:val="22"/>
        </w:rPr>
        <w:t xml:space="preserve">is liable for a forfeiture in the amount of $9,000 for </w:t>
      </w:r>
      <w:r w:rsidR="00B8718A" w:rsidRPr="001F7EE0">
        <w:rPr>
          <w:szCs w:val="22"/>
        </w:rPr>
        <w:t>willful</w:t>
      </w:r>
      <w:r w:rsidR="001F59D2" w:rsidRPr="001F7EE0">
        <w:rPr>
          <w:szCs w:val="22"/>
        </w:rPr>
        <w:t>ly</w:t>
      </w:r>
      <w:r w:rsidR="00B8718A" w:rsidRPr="001F7EE0">
        <w:rPr>
          <w:rStyle w:val="FootnoteReference"/>
          <w:szCs w:val="22"/>
        </w:rPr>
        <w:footnoteReference w:id="16"/>
      </w:r>
      <w:r w:rsidR="00B8718A" w:rsidRPr="001F7EE0">
        <w:rPr>
          <w:szCs w:val="22"/>
        </w:rPr>
        <w:t xml:space="preserve"> and repeated</w:t>
      </w:r>
      <w:r w:rsidR="001F59D2" w:rsidRPr="001F7EE0">
        <w:rPr>
          <w:szCs w:val="22"/>
        </w:rPr>
        <w:t>ly</w:t>
      </w:r>
      <w:r w:rsidR="00B8718A" w:rsidRPr="001F7EE0">
        <w:rPr>
          <w:rStyle w:val="FootnoteReference"/>
          <w:szCs w:val="22"/>
        </w:rPr>
        <w:footnoteReference w:id="17"/>
      </w:r>
      <w:r w:rsidR="00B8718A" w:rsidRPr="001F7EE0">
        <w:rPr>
          <w:szCs w:val="22"/>
        </w:rPr>
        <w:t xml:space="preserve"> </w:t>
      </w:r>
      <w:r w:rsidR="001F59D2" w:rsidRPr="001F7EE0">
        <w:rPr>
          <w:szCs w:val="22"/>
        </w:rPr>
        <w:t>violat</w:t>
      </w:r>
      <w:r w:rsidR="00790C2D" w:rsidRPr="001F7EE0">
        <w:rPr>
          <w:szCs w:val="22"/>
        </w:rPr>
        <w:t xml:space="preserve">ing </w:t>
      </w:r>
      <w:r w:rsidR="005A6B77" w:rsidRPr="001F7EE0">
        <w:rPr>
          <w:szCs w:val="22"/>
        </w:rPr>
        <w:t>Section</w:t>
      </w:r>
      <w:r w:rsidR="00B8718A" w:rsidRPr="001F7EE0">
        <w:rPr>
          <w:szCs w:val="22"/>
        </w:rPr>
        <w:t xml:space="preserve"> 301 of the Act and </w:t>
      </w:r>
      <w:r w:rsidR="005A6B77" w:rsidRPr="001F7EE0">
        <w:rPr>
          <w:szCs w:val="22"/>
        </w:rPr>
        <w:t>Section</w:t>
      </w:r>
      <w:r w:rsidR="00B5575A" w:rsidRPr="001F7EE0">
        <w:rPr>
          <w:szCs w:val="22"/>
        </w:rPr>
        <w:t xml:space="preserve"> 1.903(a) </w:t>
      </w:r>
      <w:r w:rsidR="001342E7" w:rsidRPr="001F7EE0">
        <w:rPr>
          <w:szCs w:val="22"/>
        </w:rPr>
        <w:t>of the Rules</w:t>
      </w:r>
      <w:r w:rsidR="00D57634" w:rsidRPr="001F7EE0">
        <w:rPr>
          <w:szCs w:val="22"/>
        </w:rPr>
        <w:t>,</w:t>
      </w:r>
      <w:r w:rsidR="001342E7" w:rsidRPr="001F7EE0">
        <w:rPr>
          <w:szCs w:val="22"/>
        </w:rPr>
        <w:t xml:space="preserve"> and </w:t>
      </w:r>
      <w:r w:rsidR="003713C8" w:rsidRPr="001F7EE0">
        <w:rPr>
          <w:szCs w:val="22"/>
        </w:rPr>
        <w:t xml:space="preserve">for </w:t>
      </w:r>
      <w:r w:rsidR="00790C2D" w:rsidRPr="001F7EE0">
        <w:rPr>
          <w:szCs w:val="22"/>
        </w:rPr>
        <w:t>willfully violating</w:t>
      </w:r>
      <w:r w:rsidR="001F59D2" w:rsidRPr="001F7EE0">
        <w:rPr>
          <w:szCs w:val="22"/>
        </w:rPr>
        <w:t xml:space="preserve"> </w:t>
      </w:r>
      <w:r w:rsidR="005A6B77" w:rsidRPr="001F7EE0">
        <w:rPr>
          <w:szCs w:val="22"/>
        </w:rPr>
        <w:t>Section</w:t>
      </w:r>
      <w:r w:rsidR="001F59D2" w:rsidRPr="001F7EE0">
        <w:rPr>
          <w:szCs w:val="22"/>
        </w:rPr>
        <w:t xml:space="preserve"> 1.949(a) of the </w:t>
      </w:r>
      <w:r w:rsidR="00BF6B41" w:rsidRPr="001F7EE0">
        <w:rPr>
          <w:szCs w:val="22"/>
        </w:rPr>
        <w:t>R</w:t>
      </w:r>
      <w:r w:rsidR="001F59D2" w:rsidRPr="001F7EE0">
        <w:rPr>
          <w:szCs w:val="22"/>
        </w:rPr>
        <w:t>ules.</w:t>
      </w:r>
    </w:p>
    <w:p w14:paraId="20744C10" w14:textId="77777777" w:rsidR="004509BF" w:rsidRPr="001F7EE0" w:rsidRDefault="008201C2" w:rsidP="00F2623D">
      <w:pPr>
        <w:pStyle w:val="ParaNum"/>
        <w:widowControl/>
        <w:numPr>
          <w:ilvl w:val="0"/>
          <w:numId w:val="0"/>
        </w:numPr>
        <w:ind w:firstLine="720"/>
        <w:jc w:val="left"/>
        <w:rPr>
          <w:szCs w:val="22"/>
        </w:rPr>
      </w:pPr>
      <w:r w:rsidRPr="001F7EE0">
        <w:rPr>
          <w:szCs w:val="22"/>
        </w:rPr>
        <w:t>5</w:t>
      </w:r>
      <w:r w:rsidR="009A771F" w:rsidRPr="001F7EE0">
        <w:rPr>
          <w:szCs w:val="22"/>
        </w:rPr>
        <w:t>.</w:t>
      </w:r>
      <w:r w:rsidR="009A771F" w:rsidRPr="001F7EE0">
        <w:rPr>
          <w:szCs w:val="22"/>
        </w:rPr>
        <w:tab/>
      </w:r>
      <w:r w:rsidR="004509BF" w:rsidRPr="001F7EE0">
        <w:rPr>
          <w:szCs w:val="22"/>
        </w:rPr>
        <w:t xml:space="preserve">Section 301 of the Act </w:t>
      </w:r>
      <w:r w:rsidR="00BF79E3" w:rsidRPr="001F7EE0">
        <w:rPr>
          <w:szCs w:val="22"/>
        </w:rPr>
        <w:t xml:space="preserve">and Section 1.903(a) of the Rules prohibit the use </w:t>
      </w:r>
      <w:r w:rsidR="004509BF" w:rsidRPr="001F7EE0">
        <w:rPr>
          <w:szCs w:val="22"/>
        </w:rPr>
        <w:t>or operation of any apparatus for the transmission of energy or communications or signals by radio except under, and in accordance with, a Commission authorization.</w:t>
      </w:r>
      <w:r w:rsidR="004509BF" w:rsidRPr="001F7EE0">
        <w:rPr>
          <w:rStyle w:val="FootnoteReference"/>
          <w:szCs w:val="22"/>
        </w:rPr>
        <w:footnoteReference w:id="18"/>
      </w:r>
      <w:r w:rsidR="004509BF" w:rsidRPr="001F7EE0">
        <w:rPr>
          <w:szCs w:val="22"/>
        </w:rPr>
        <w:t xml:space="preserve">  Additionally, </w:t>
      </w:r>
      <w:r w:rsidR="00B74463" w:rsidRPr="001F7EE0">
        <w:rPr>
          <w:szCs w:val="22"/>
        </w:rPr>
        <w:t xml:space="preserve">under </w:t>
      </w:r>
      <w:r w:rsidR="004509BF" w:rsidRPr="001F7EE0">
        <w:rPr>
          <w:szCs w:val="22"/>
        </w:rPr>
        <w:t>Section 1.949(a) of the Rules</w:t>
      </w:r>
      <w:r w:rsidR="00B74463" w:rsidRPr="001F7EE0">
        <w:rPr>
          <w:szCs w:val="22"/>
        </w:rPr>
        <w:t xml:space="preserve">, </w:t>
      </w:r>
      <w:r w:rsidR="004509BF" w:rsidRPr="001F7EE0">
        <w:rPr>
          <w:szCs w:val="22"/>
        </w:rPr>
        <w:t>licensee</w:t>
      </w:r>
      <w:r w:rsidR="00D57634" w:rsidRPr="001F7EE0">
        <w:rPr>
          <w:szCs w:val="22"/>
        </w:rPr>
        <w:t>s</w:t>
      </w:r>
      <w:r w:rsidR="00B74463" w:rsidRPr="001F7EE0">
        <w:rPr>
          <w:szCs w:val="22"/>
        </w:rPr>
        <w:t xml:space="preserve"> must </w:t>
      </w:r>
      <w:r w:rsidR="004509BF" w:rsidRPr="001F7EE0">
        <w:rPr>
          <w:szCs w:val="22"/>
        </w:rPr>
        <w:t>file a</w:t>
      </w:r>
      <w:r w:rsidR="00D57634" w:rsidRPr="001F7EE0">
        <w:rPr>
          <w:szCs w:val="22"/>
        </w:rPr>
        <w:t>n</w:t>
      </w:r>
      <w:r w:rsidR="004509BF" w:rsidRPr="001F7EE0">
        <w:rPr>
          <w:szCs w:val="22"/>
        </w:rPr>
        <w:t xml:space="preserve"> </w:t>
      </w:r>
      <w:r w:rsidR="0010344D" w:rsidRPr="001F7EE0">
        <w:rPr>
          <w:szCs w:val="22"/>
        </w:rPr>
        <w:t xml:space="preserve">application for </w:t>
      </w:r>
      <w:r w:rsidR="004509BF" w:rsidRPr="001F7EE0">
        <w:rPr>
          <w:szCs w:val="22"/>
        </w:rPr>
        <w:t xml:space="preserve">renewal </w:t>
      </w:r>
      <w:r w:rsidR="0010344D" w:rsidRPr="001F7EE0">
        <w:rPr>
          <w:szCs w:val="22"/>
        </w:rPr>
        <w:t>of any station license it intends to continue to operate</w:t>
      </w:r>
      <w:r w:rsidR="004509BF" w:rsidRPr="001F7EE0">
        <w:rPr>
          <w:szCs w:val="22"/>
        </w:rPr>
        <w:t xml:space="preserve"> “no later than the expiration date of the authorization for which renewal is sought and no sooner than 90 days prior to expiration.”</w:t>
      </w:r>
      <w:r w:rsidR="004509BF" w:rsidRPr="001F7EE0">
        <w:rPr>
          <w:rStyle w:val="FootnoteReference"/>
          <w:szCs w:val="22"/>
        </w:rPr>
        <w:footnoteReference w:id="19"/>
      </w:r>
      <w:r w:rsidR="004509BF" w:rsidRPr="001F7EE0">
        <w:rPr>
          <w:szCs w:val="22"/>
        </w:rPr>
        <w:t xml:space="preserve">  Absent a timely filed renewal application, </w:t>
      </w:r>
      <w:r w:rsidR="006D1811" w:rsidRPr="001F7EE0">
        <w:rPr>
          <w:szCs w:val="22"/>
        </w:rPr>
        <w:t xml:space="preserve">wireless </w:t>
      </w:r>
      <w:r w:rsidR="004509BF" w:rsidRPr="001F7EE0">
        <w:rPr>
          <w:szCs w:val="22"/>
        </w:rPr>
        <w:t xml:space="preserve">licenses </w:t>
      </w:r>
      <w:r w:rsidR="00BF79E3" w:rsidRPr="001F7EE0">
        <w:rPr>
          <w:szCs w:val="22"/>
        </w:rPr>
        <w:t>a</w:t>
      </w:r>
      <w:r w:rsidR="00B74463" w:rsidRPr="001F7EE0">
        <w:rPr>
          <w:szCs w:val="22"/>
        </w:rPr>
        <w:t>utomatically terminate on the license expiration date</w:t>
      </w:r>
      <w:r w:rsidR="004509BF" w:rsidRPr="001F7EE0">
        <w:rPr>
          <w:szCs w:val="22"/>
        </w:rPr>
        <w:t>.</w:t>
      </w:r>
      <w:r w:rsidR="004509BF" w:rsidRPr="001F7EE0">
        <w:rPr>
          <w:rStyle w:val="FootnoteReference"/>
          <w:szCs w:val="22"/>
        </w:rPr>
        <w:footnoteReference w:id="20"/>
      </w:r>
    </w:p>
    <w:p w14:paraId="2896C134" w14:textId="6486290D" w:rsidR="00184533" w:rsidRDefault="004509BF" w:rsidP="00826A8C">
      <w:pPr>
        <w:tabs>
          <w:tab w:val="left" w:pos="720"/>
        </w:tabs>
        <w:ind w:firstLine="720"/>
        <w:rPr>
          <w:rFonts w:cs="Calibri"/>
          <w:szCs w:val="30"/>
        </w:rPr>
      </w:pPr>
      <w:r w:rsidRPr="001F7EE0">
        <w:rPr>
          <w:szCs w:val="22"/>
        </w:rPr>
        <w:t>6.</w:t>
      </w:r>
      <w:r w:rsidRPr="001F7EE0">
        <w:rPr>
          <w:szCs w:val="22"/>
        </w:rPr>
        <w:tab/>
      </w:r>
      <w:r w:rsidR="00AC7881" w:rsidRPr="001F7EE0">
        <w:rPr>
          <w:szCs w:val="22"/>
        </w:rPr>
        <w:t xml:space="preserve">In </w:t>
      </w:r>
      <w:r w:rsidR="00A0373C" w:rsidRPr="001F7EE0">
        <w:rPr>
          <w:szCs w:val="22"/>
        </w:rPr>
        <w:t>its NAL Response</w:t>
      </w:r>
      <w:r w:rsidR="00AC7881" w:rsidRPr="001F7EE0">
        <w:rPr>
          <w:szCs w:val="22"/>
        </w:rPr>
        <w:t>, TSA</w:t>
      </w:r>
      <w:r w:rsidR="00A0373C" w:rsidRPr="001F7EE0">
        <w:rPr>
          <w:szCs w:val="22"/>
        </w:rPr>
        <w:t xml:space="preserve"> </w:t>
      </w:r>
      <w:r w:rsidR="003713C8" w:rsidRPr="001F7EE0">
        <w:rPr>
          <w:szCs w:val="22"/>
        </w:rPr>
        <w:t>requests</w:t>
      </w:r>
      <w:r w:rsidR="007068D7" w:rsidRPr="001F7EE0">
        <w:rPr>
          <w:szCs w:val="22"/>
        </w:rPr>
        <w:t xml:space="preserve"> </w:t>
      </w:r>
      <w:r w:rsidR="00AC7881" w:rsidRPr="001F7EE0">
        <w:rPr>
          <w:szCs w:val="22"/>
        </w:rPr>
        <w:t xml:space="preserve">reduction or cancellation of the proposed forfeiture </w:t>
      </w:r>
      <w:r w:rsidR="00BF6B41" w:rsidRPr="001F7EE0">
        <w:rPr>
          <w:szCs w:val="22"/>
        </w:rPr>
        <w:t xml:space="preserve">amount </w:t>
      </w:r>
      <w:r w:rsidR="00AC7881" w:rsidRPr="001F7EE0">
        <w:rPr>
          <w:szCs w:val="22"/>
        </w:rPr>
        <w:t xml:space="preserve">based </w:t>
      </w:r>
      <w:r w:rsidR="00BC1EAF" w:rsidRPr="001F7EE0">
        <w:rPr>
          <w:szCs w:val="22"/>
        </w:rPr>
        <w:t xml:space="preserve">on its </w:t>
      </w:r>
      <w:r w:rsidR="00D46D46" w:rsidRPr="001F7EE0">
        <w:rPr>
          <w:szCs w:val="22"/>
        </w:rPr>
        <w:t xml:space="preserve">assertion that it made “infrequent use” of the station, </w:t>
      </w:r>
      <w:r w:rsidR="00B74463" w:rsidRPr="001F7EE0">
        <w:rPr>
          <w:szCs w:val="22"/>
        </w:rPr>
        <w:t xml:space="preserve">primarily for </w:t>
      </w:r>
      <w:r w:rsidR="005E0DFC" w:rsidRPr="001F7EE0">
        <w:rPr>
          <w:szCs w:val="22"/>
        </w:rPr>
        <w:t>safety-related</w:t>
      </w:r>
      <w:r w:rsidR="00BC1EAF" w:rsidRPr="001F7EE0">
        <w:rPr>
          <w:szCs w:val="22"/>
        </w:rPr>
        <w:t xml:space="preserve"> communications</w:t>
      </w:r>
      <w:r w:rsidR="00381A90" w:rsidRPr="001F7EE0">
        <w:rPr>
          <w:szCs w:val="22"/>
        </w:rPr>
        <w:t>.</w:t>
      </w:r>
      <w:r w:rsidR="00826989" w:rsidRPr="001F7EE0">
        <w:rPr>
          <w:rStyle w:val="FootnoteReference"/>
          <w:szCs w:val="22"/>
        </w:rPr>
        <w:footnoteReference w:id="21"/>
      </w:r>
      <w:r w:rsidR="00381A90" w:rsidRPr="001F7EE0">
        <w:rPr>
          <w:szCs w:val="22"/>
        </w:rPr>
        <w:t xml:space="preserve"> </w:t>
      </w:r>
      <w:r w:rsidR="00A0373C" w:rsidRPr="001F7EE0">
        <w:rPr>
          <w:szCs w:val="22"/>
        </w:rPr>
        <w:t xml:space="preserve"> </w:t>
      </w:r>
      <w:r w:rsidR="00B27129" w:rsidRPr="001F7EE0">
        <w:rPr>
          <w:szCs w:val="22"/>
        </w:rPr>
        <w:t xml:space="preserve">Under Section </w:t>
      </w:r>
      <w:r w:rsidR="002E7374" w:rsidRPr="001F7EE0">
        <w:rPr>
          <w:szCs w:val="22"/>
        </w:rPr>
        <w:t xml:space="preserve">301 of the Act and Section </w:t>
      </w:r>
      <w:r w:rsidR="00B27129" w:rsidRPr="001F7EE0">
        <w:rPr>
          <w:szCs w:val="22"/>
        </w:rPr>
        <w:t xml:space="preserve">1.903(a) of the Rules, </w:t>
      </w:r>
      <w:r w:rsidR="003713C8" w:rsidRPr="001F7EE0">
        <w:rPr>
          <w:szCs w:val="22"/>
        </w:rPr>
        <w:t xml:space="preserve">however, </w:t>
      </w:r>
      <w:r w:rsidR="00712DF6" w:rsidRPr="001F7EE0">
        <w:rPr>
          <w:szCs w:val="22"/>
        </w:rPr>
        <w:t xml:space="preserve">TSA </w:t>
      </w:r>
      <w:r w:rsidR="00B27129" w:rsidRPr="001F7EE0">
        <w:rPr>
          <w:szCs w:val="22"/>
        </w:rPr>
        <w:t>must</w:t>
      </w:r>
      <w:r w:rsidR="004F0A53" w:rsidRPr="001F7EE0">
        <w:rPr>
          <w:szCs w:val="22"/>
        </w:rPr>
        <w:t xml:space="preserve"> </w:t>
      </w:r>
      <w:r w:rsidR="00087C51" w:rsidRPr="001F7EE0">
        <w:rPr>
          <w:szCs w:val="22"/>
        </w:rPr>
        <w:t>obtain</w:t>
      </w:r>
      <w:r w:rsidR="00613A45" w:rsidRPr="001F7EE0">
        <w:rPr>
          <w:szCs w:val="22"/>
        </w:rPr>
        <w:t xml:space="preserve"> Commission authorization to operate its station</w:t>
      </w:r>
      <w:r w:rsidR="004F0A53" w:rsidRPr="001F7EE0">
        <w:rPr>
          <w:szCs w:val="22"/>
        </w:rPr>
        <w:t>, irrespect</w:t>
      </w:r>
      <w:r w:rsidR="00BC1EAF" w:rsidRPr="001F7EE0">
        <w:rPr>
          <w:szCs w:val="22"/>
        </w:rPr>
        <w:t xml:space="preserve">ive of how often, or </w:t>
      </w:r>
      <w:r w:rsidR="004F0A53" w:rsidRPr="001F7EE0">
        <w:rPr>
          <w:szCs w:val="22"/>
        </w:rPr>
        <w:t xml:space="preserve">for what purpose, </w:t>
      </w:r>
      <w:r w:rsidR="005E0DFC" w:rsidRPr="001F7EE0">
        <w:rPr>
          <w:szCs w:val="22"/>
        </w:rPr>
        <w:t>the station</w:t>
      </w:r>
      <w:r w:rsidR="00D46D46" w:rsidRPr="001F7EE0">
        <w:rPr>
          <w:szCs w:val="22"/>
        </w:rPr>
        <w:t xml:space="preserve"> is operated</w:t>
      </w:r>
      <w:r w:rsidR="004F0A53" w:rsidRPr="001F7EE0">
        <w:rPr>
          <w:szCs w:val="22"/>
        </w:rPr>
        <w:t>.</w:t>
      </w:r>
      <w:r w:rsidR="00F87F1A" w:rsidRPr="001F7EE0">
        <w:rPr>
          <w:rStyle w:val="FootnoteReference"/>
          <w:szCs w:val="22"/>
        </w:rPr>
        <w:footnoteReference w:id="22"/>
      </w:r>
      <w:r w:rsidR="006A7984" w:rsidRPr="006A7984">
        <w:rPr>
          <w:szCs w:val="22"/>
        </w:rPr>
        <w:t xml:space="preserve">  </w:t>
      </w:r>
      <w:r w:rsidR="00D46D46" w:rsidRPr="001F7EE0">
        <w:rPr>
          <w:szCs w:val="22"/>
        </w:rPr>
        <w:t>Moreover, t</w:t>
      </w:r>
      <w:r w:rsidR="00087C51" w:rsidRPr="001F7EE0">
        <w:rPr>
          <w:szCs w:val="22"/>
        </w:rPr>
        <w:t xml:space="preserve">here is no exception </w:t>
      </w:r>
      <w:r w:rsidR="00261255" w:rsidRPr="001F7EE0">
        <w:rPr>
          <w:szCs w:val="22"/>
        </w:rPr>
        <w:t xml:space="preserve">to this threshold requirement </w:t>
      </w:r>
      <w:r w:rsidR="00087C51" w:rsidRPr="001F7EE0">
        <w:rPr>
          <w:szCs w:val="22"/>
        </w:rPr>
        <w:t xml:space="preserve">for </w:t>
      </w:r>
      <w:r w:rsidR="00261255" w:rsidRPr="001F7EE0">
        <w:rPr>
          <w:szCs w:val="22"/>
        </w:rPr>
        <w:t xml:space="preserve">public </w:t>
      </w:r>
      <w:r w:rsidR="005E0DFC" w:rsidRPr="001F7EE0">
        <w:rPr>
          <w:szCs w:val="22"/>
        </w:rPr>
        <w:t>safety-related</w:t>
      </w:r>
      <w:r w:rsidR="00087C51" w:rsidRPr="001F7EE0">
        <w:rPr>
          <w:szCs w:val="22"/>
        </w:rPr>
        <w:t xml:space="preserve"> communications.</w:t>
      </w:r>
      <w:r w:rsidR="00087C51" w:rsidRPr="001F7EE0">
        <w:rPr>
          <w:rStyle w:val="FootnoteReference"/>
          <w:szCs w:val="22"/>
        </w:rPr>
        <w:footnoteReference w:id="23"/>
      </w:r>
      <w:r w:rsidR="00087C51" w:rsidRPr="001F7EE0">
        <w:rPr>
          <w:szCs w:val="22"/>
        </w:rPr>
        <w:t xml:space="preserve"> </w:t>
      </w:r>
      <w:r w:rsidR="00F87F1A" w:rsidRPr="001F7EE0">
        <w:rPr>
          <w:szCs w:val="22"/>
        </w:rPr>
        <w:t xml:space="preserve"> </w:t>
      </w:r>
      <w:r w:rsidR="00194035">
        <w:rPr>
          <w:szCs w:val="22"/>
        </w:rPr>
        <w:t>L</w:t>
      </w:r>
      <w:r w:rsidR="008012AC" w:rsidRPr="001F7EE0">
        <w:rPr>
          <w:szCs w:val="22"/>
        </w:rPr>
        <w:t xml:space="preserve">icensure for safety-related </w:t>
      </w:r>
      <w:r w:rsidR="007235AC" w:rsidRPr="001F7EE0">
        <w:rPr>
          <w:szCs w:val="22"/>
        </w:rPr>
        <w:t>operations</w:t>
      </w:r>
      <w:r w:rsidR="008012AC" w:rsidRPr="001F7EE0">
        <w:rPr>
          <w:szCs w:val="22"/>
        </w:rPr>
        <w:t xml:space="preserve"> is critical</w:t>
      </w:r>
      <w:r w:rsidR="00780DE9" w:rsidRPr="001F7EE0">
        <w:rPr>
          <w:szCs w:val="22"/>
        </w:rPr>
        <w:t xml:space="preserve"> because of the enhanced need to ensure service </w:t>
      </w:r>
      <w:r w:rsidR="008012AC" w:rsidRPr="001F7EE0">
        <w:rPr>
          <w:szCs w:val="22"/>
        </w:rPr>
        <w:t xml:space="preserve">reliability </w:t>
      </w:r>
      <w:r w:rsidR="00780DE9" w:rsidRPr="001F7EE0">
        <w:rPr>
          <w:szCs w:val="22"/>
        </w:rPr>
        <w:t>a</w:t>
      </w:r>
      <w:r w:rsidR="008012AC" w:rsidRPr="001F7EE0">
        <w:rPr>
          <w:szCs w:val="22"/>
        </w:rPr>
        <w:t>nd protection from interference</w:t>
      </w:r>
      <w:r w:rsidR="007235AC" w:rsidRPr="001F7EE0">
        <w:rPr>
          <w:szCs w:val="22"/>
        </w:rPr>
        <w:t>.</w:t>
      </w:r>
      <w:r w:rsidR="00935557" w:rsidRPr="001F7EE0">
        <w:rPr>
          <w:rStyle w:val="FootnoteReference"/>
          <w:szCs w:val="22"/>
        </w:rPr>
        <w:footnoteReference w:id="24"/>
      </w:r>
      <w:r w:rsidR="004433BA" w:rsidRPr="001F7EE0">
        <w:rPr>
          <w:szCs w:val="22"/>
        </w:rPr>
        <w:t xml:space="preserve">  </w:t>
      </w:r>
      <w:r w:rsidR="00184533">
        <w:rPr>
          <w:szCs w:val="22"/>
        </w:rPr>
        <w:t xml:space="preserve">Indeed, </w:t>
      </w:r>
      <w:r w:rsidR="00194035" w:rsidRPr="005A59F0">
        <w:rPr>
          <w:rFonts w:cs="Calibri"/>
          <w:szCs w:val="30"/>
        </w:rPr>
        <w:t xml:space="preserve">TSA’s unauthorized operations </w:t>
      </w:r>
      <w:r w:rsidR="008A59CF">
        <w:rPr>
          <w:rFonts w:cs="Calibri"/>
          <w:szCs w:val="30"/>
        </w:rPr>
        <w:t>could potentially interfere with properly authorized aeronautical radio communications involving matters relating to aviation safety</w:t>
      </w:r>
      <w:r w:rsidR="00184533">
        <w:rPr>
          <w:rFonts w:cs="Calibri"/>
          <w:szCs w:val="30"/>
        </w:rPr>
        <w:t>.</w:t>
      </w:r>
      <w:r w:rsidR="00194035" w:rsidRPr="005A59F0">
        <w:rPr>
          <w:rStyle w:val="FootnoteReference"/>
          <w:rFonts w:cs="Calibri"/>
          <w:szCs w:val="30"/>
        </w:rPr>
        <w:footnoteReference w:id="25"/>
      </w:r>
      <w:r w:rsidR="00194035" w:rsidRPr="005A59F0">
        <w:rPr>
          <w:rFonts w:cs="Calibri"/>
          <w:szCs w:val="30"/>
        </w:rPr>
        <w:t xml:space="preserve"> </w:t>
      </w:r>
      <w:r w:rsidR="00194035">
        <w:rPr>
          <w:rFonts w:cs="Calibri"/>
          <w:szCs w:val="30"/>
        </w:rPr>
        <w:t xml:space="preserve"> </w:t>
      </w:r>
      <w:r w:rsidR="00194035" w:rsidRPr="005A59F0">
        <w:rPr>
          <w:szCs w:val="30"/>
        </w:rPr>
        <w:t>Accordingly, we decline to reduce or cancel the proposed forfeiture on this basis</w:t>
      </w:r>
      <w:r w:rsidR="00194035" w:rsidRPr="005A59F0">
        <w:rPr>
          <w:rFonts w:cs="Calibri"/>
          <w:szCs w:val="30"/>
        </w:rPr>
        <w:t>.</w:t>
      </w:r>
      <w:r w:rsidR="00194035" w:rsidRPr="005A59F0">
        <w:rPr>
          <w:rStyle w:val="FootnoteReference"/>
          <w:rFonts w:cs="Calibri"/>
          <w:szCs w:val="30"/>
        </w:rPr>
        <w:footnoteReference w:id="26"/>
      </w:r>
    </w:p>
    <w:p w14:paraId="7FAE6C91" w14:textId="77777777" w:rsidR="000E582D" w:rsidRDefault="000E582D" w:rsidP="00826A8C">
      <w:pPr>
        <w:tabs>
          <w:tab w:val="left" w:pos="720"/>
        </w:tabs>
        <w:ind w:firstLine="720"/>
        <w:rPr>
          <w:rFonts w:cs="Calibri"/>
          <w:szCs w:val="30"/>
        </w:rPr>
      </w:pPr>
    </w:p>
    <w:p w14:paraId="29F24A98" w14:textId="5820F0E0" w:rsidR="007931C0" w:rsidRPr="001F7EE0" w:rsidRDefault="000E582D" w:rsidP="00826A8C">
      <w:pPr>
        <w:pStyle w:val="ParaNum"/>
        <w:widowControl/>
        <w:numPr>
          <w:ilvl w:val="0"/>
          <w:numId w:val="0"/>
        </w:numPr>
        <w:ind w:firstLine="720"/>
        <w:jc w:val="left"/>
        <w:rPr>
          <w:szCs w:val="22"/>
        </w:rPr>
      </w:pPr>
      <w:r>
        <w:rPr>
          <w:rFonts w:cs="Calibri"/>
          <w:szCs w:val="30"/>
        </w:rPr>
        <w:t>7.</w:t>
      </w:r>
      <w:r>
        <w:rPr>
          <w:rFonts w:cs="Calibri"/>
          <w:szCs w:val="30"/>
        </w:rPr>
        <w:tab/>
      </w:r>
      <w:r w:rsidR="00381A90" w:rsidRPr="001F7EE0">
        <w:rPr>
          <w:szCs w:val="22"/>
        </w:rPr>
        <w:t>TSA</w:t>
      </w:r>
      <w:r w:rsidR="00284FDA" w:rsidRPr="001F7EE0">
        <w:rPr>
          <w:szCs w:val="22"/>
        </w:rPr>
        <w:t xml:space="preserve"> </w:t>
      </w:r>
      <w:r w:rsidR="00E76A88" w:rsidRPr="001F7EE0">
        <w:rPr>
          <w:szCs w:val="22"/>
        </w:rPr>
        <w:t xml:space="preserve">also </w:t>
      </w:r>
      <w:r w:rsidR="00F774AC" w:rsidRPr="001F7EE0">
        <w:rPr>
          <w:szCs w:val="22"/>
        </w:rPr>
        <w:t>argues that its actions were not “willful.”</w:t>
      </w:r>
      <w:r w:rsidR="00C831F4" w:rsidRPr="001F7EE0">
        <w:rPr>
          <w:rStyle w:val="FootnoteReference"/>
          <w:szCs w:val="22"/>
        </w:rPr>
        <w:footnoteReference w:id="27"/>
      </w:r>
      <w:r w:rsidR="00F774AC" w:rsidRPr="001F7EE0">
        <w:rPr>
          <w:szCs w:val="22"/>
        </w:rPr>
        <w:t xml:space="preserve">  In this regard, TSA asserts that </w:t>
      </w:r>
      <w:r w:rsidR="00AA4C3C" w:rsidRPr="001F7EE0">
        <w:rPr>
          <w:szCs w:val="22"/>
        </w:rPr>
        <w:t>it</w:t>
      </w:r>
      <w:r w:rsidR="00AA4C3C">
        <w:rPr>
          <w:szCs w:val="22"/>
        </w:rPr>
        <w:t xml:space="preserve">s failure to timely file a renewal application was an “oversight” and that it </w:t>
      </w:r>
      <w:r w:rsidR="00F774AC" w:rsidRPr="001F7EE0">
        <w:rPr>
          <w:szCs w:val="22"/>
        </w:rPr>
        <w:t>did</w:t>
      </w:r>
      <w:r w:rsidR="004310A2">
        <w:rPr>
          <w:szCs w:val="22"/>
        </w:rPr>
        <w:t xml:space="preserve"> not</w:t>
      </w:r>
      <w:r w:rsidR="00F774AC" w:rsidRPr="001F7EE0">
        <w:rPr>
          <w:szCs w:val="22"/>
        </w:rPr>
        <w:t xml:space="preserve"> </w:t>
      </w:r>
      <w:r w:rsidR="00AA4C3C">
        <w:rPr>
          <w:szCs w:val="22"/>
        </w:rPr>
        <w:t>make</w:t>
      </w:r>
      <w:r w:rsidR="00F774AC" w:rsidRPr="001F7EE0">
        <w:rPr>
          <w:szCs w:val="22"/>
        </w:rPr>
        <w:t xml:space="preserve"> </w:t>
      </w:r>
      <w:r w:rsidR="00AA4C3C">
        <w:rPr>
          <w:szCs w:val="22"/>
        </w:rPr>
        <w:t xml:space="preserve">a </w:t>
      </w:r>
      <w:r w:rsidR="00F774AC" w:rsidRPr="001F7EE0">
        <w:rPr>
          <w:szCs w:val="22"/>
        </w:rPr>
        <w:t>“conscious</w:t>
      </w:r>
      <w:r w:rsidR="00AA4C3C">
        <w:rPr>
          <w:szCs w:val="22"/>
        </w:rPr>
        <w:t xml:space="preserve"> decision</w:t>
      </w:r>
      <w:r w:rsidR="00F774AC" w:rsidRPr="001F7EE0">
        <w:rPr>
          <w:szCs w:val="22"/>
        </w:rPr>
        <w:t xml:space="preserve">” </w:t>
      </w:r>
      <w:r w:rsidR="00AA4C3C">
        <w:rPr>
          <w:szCs w:val="22"/>
        </w:rPr>
        <w:t xml:space="preserve">to </w:t>
      </w:r>
      <w:r w:rsidR="00F774AC" w:rsidRPr="001F7EE0">
        <w:rPr>
          <w:szCs w:val="22"/>
        </w:rPr>
        <w:t xml:space="preserve">operate the station without Commission authorization, explaining that TSA is staffed by non-professional volunteers who are not familiar </w:t>
      </w:r>
      <w:r w:rsidR="00106727">
        <w:rPr>
          <w:szCs w:val="22"/>
        </w:rPr>
        <w:t xml:space="preserve">with </w:t>
      </w:r>
      <w:r w:rsidR="00F774AC" w:rsidRPr="001F7EE0">
        <w:rPr>
          <w:szCs w:val="22"/>
        </w:rPr>
        <w:t>FCC procedures</w:t>
      </w:r>
      <w:r w:rsidR="00A34606" w:rsidRPr="001F7EE0">
        <w:rPr>
          <w:szCs w:val="22"/>
        </w:rPr>
        <w:t>.</w:t>
      </w:r>
      <w:r w:rsidR="00826989" w:rsidRPr="001F7EE0">
        <w:rPr>
          <w:rStyle w:val="FootnoteReference"/>
          <w:szCs w:val="22"/>
        </w:rPr>
        <w:footnoteReference w:id="28"/>
      </w:r>
      <w:r w:rsidR="006439F1" w:rsidRPr="001F7EE0">
        <w:rPr>
          <w:szCs w:val="22"/>
        </w:rPr>
        <w:t xml:space="preserve"> </w:t>
      </w:r>
      <w:r w:rsidR="00284FDA" w:rsidRPr="001F7EE0">
        <w:rPr>
          <w:szCs w:val="22"/>
        </w:rPr>
        <w:t xml:space="preserve"> </w:t>
      </w:r>
      <w:r w:rsidR="003F37A1" w:rsidRPr="001F7EE0">
        <w:rPr>
          <w:szCs w:val="22"/>
        </w:rPr>
        <w:t xml:space="preserve">We disagree.  </w:t>
      </w:r>
      <w:r w:rsidRPr="000E582D">
        <w:rPr>
          <w:szCs w:val="22"/>
        </w:rPr>
        <w:t>In the context of a forfeiture action, the term “willful” means that the violator knew it was taking (or not taking) the action in question, irrespective of any intent to violate the law.</w:t>
      </w:r>
      <w:r w:rsidR="003F37A1" w:rsidRPr="001F7EE0">
        <w:rPr>
          <w:rStyle w:val="FootnoteReference"/>
          <w:szCs w:val="22"/>
        </w:rPr>
        <w:footnoteReference w:id="29"/>
      </w:r>
      <w:r w:rsidR="00650671" w:rsidRPr="001F7EE0">
        <w:rPr>
          <w:szCs w:val="22"/>
        </w:rPr>
        <w:t xml:space="preserve">  </w:t>
      </w:r>
      <w:r w:rsidRPr="000E582D">
        <w:rPr>
          <w:szCs w:val="22"/>
        </w:rPr>
        <w:t>Thus, a willfulnes</w:t>
      </w:r>
      <w:r>
        <w:rPr>
          <w:szCs w:val="22"/>
        </w:rPr>
        <w:t>s</w:t>
      </w:r>
      <w:r w:rsidRPr="000E582D">
        <w:rPr>
          <w:szCs w:val="22"/>
        </w:rPr>
        <w:t xml:space="preserve"> determination does not require a finding that the rule violation was intentional</w:t>
      </w:r>
      <w:r>
        <w:rPr>
          <w:szCs w:val="22"/>
        </w:rPr>
        <w:t>.</w:t>
      </w:r>
      <w:r w:rsidR="00FF5CB4">
        <w:rPr>
          <w:rStyle w:val="FootnoteReference"/>
          <w:szCs w:val="22"/>
        </w:rPr>
        <w:footnoteReference w:id="30"/>
      </w:r>
      <w:r>
        <w:rPr>
          <w:szCs w:val="22"/>
        </w:rPr>
        <w:t xml:space="preserve"> </w:t>
      </w:r>
      <w:r w:rsidRPr="000E582D">
        <w:rPr>
          <w:szCs w:val="22"/>
        </w:rPr>
        <w:t>Here, TSA—a Commission licensee—knew (or should have known) that it had an ongoing and affirmative duty to maintain operating authority for its station, including the duty to ensure timely renewal of the station’s license</w:t>
      </w:r>
      <w:r w:rsidR="009D13AC" w:rsidRPr="009D13AC">
        <w:rPr>
          <w:szCs w:val="22"/>
        </w:rPr>
        <w:t>.</w:t>
      </w:r>
      <w:r w:rsidR="009D13AC">
        <w:rPr>
          <w:rStyle w:val="FootnoteReference"/>
        </w:rPr>
        <w:footnoteReference w:id="31"/>
      </w:r>
      <w:r w:rsidR="009D13AC">
        <w:t xml:space="preserve"> </w:t>
      </w:r>
      <w:r w:rsidR="009D13AC">
        <w:rPr>
          <w:szCs w:val="22"/>
        </w:rPr>
        <w:t xml:space="preserve"> </w:t>
      </w:r>
      <w:r w:rsidRPr="000E582D">
        <w:rPr>
          <w:szCs w:val="22"/>
        </w:rPr>
        <w:t>Even if administrative oversight, inadvertence, or a lack of familiarity with the Rules may have contributed to the violation, they do not preclude a finding of willfulness where an omission is the basis for liability</w:t>
      </w:r>
      <w:r w:rsidR="009156AE">
        <w:rPr>
          <w:szCs w:val="22"/>
        </w:rPr>
        <w:t>,</w:t>
      </w:r>
      <w:r w:rsidR="00E07A91">
        <w:rPr>
          <w:rStyle w:val="FootnoteReference"/>
          <w:szCs w:val="22"/>
        </w:rPr>
        <w:footnoteReference w:id="32"/>
      </w:r>
      <w:r w:rsidR="007141B4">
        <w:rPr>
          <w:szCs w:val="22"/>
        </w:rPr>
        <w:t xml:space="preserve"> nor do the</w:t>
      </w:r>
      <w:r w:rsidR="008F3791">
        <w:rPr>
          <w:szCs w:val="22"/>
        </w:rPr>
        <w:t>y</w:t>
      </w:r>
      <w:r w:rsidR="007141B4">
        <w:rPr>
          <w:szCs w:val="22"/>
        </w:rPr>
        <w:t xml:space="preserve"> mitigate liability</w:t>
      </w:r>
      <w:r w:rsidR="008274A4">
        <w:rPr>
          <w:szCs w:val="22"/>
        </w:rPr>
        <w:t xml:space="preserve"> arising there</w:t>
      </w:r>
      <w:r w:rsidR="009A6AEC">
        <w:rPr>
          <w:szCs w:val="22"/>
        </w:rPr>
        <w:t>from</w:t>
      </w:r>
      <w:r w:rsidR="007141B4">
        <w:rPr>
          <w:szCs w:val="22"/>
        </w:rPr>
        <w:t>.</w:t>
      </w:r>
      <w:r w:rsidR="0060350B" w:rsidRPr="001F7EE0">
        <w:rPr>
          <w:rStyle w:val="FootnoteReference"/>
          <w:szCs w:val="22"/>
        </w:rPr>
        <w:footnoteReference w:id="33"/>
      </w:r>
      <w:r w:rsidR="0060350B" w:rsidRPr="001F7EE0">
        <w:rPr>
          <w:szCs w:val="22"/>
        </w:rPr>
        <w:t xml:space="preserve"> </w:t>
      </w:r>
      <w:r w:rsidR="004310A2">
        <w:rPr>
          <w:szCs w:val="22"/>
        </w:rPr>
        <w:t xml:space="preserve"> </w:t>
      </w:r>
      <w:r w:rsidRPr="000E582D">
        <w:rPr>
          <w:szCs w:val="22"/>
        </w:rPr>
        <w:t>Finally, the Commission has consistently held that licensees are responsible for the acts and omissions of persons acting on their behalf and will not be excused from liability where the actions of such persons result in rule violations</w:t>
      </w:r>
      <w:r w:rsidR="003E5928" w:rsidRPr="001F7EE0">
        <w:rPr>
          <w:szCs w:val="22"/>
        </w:rPr>
        <w:t>.</w:t>
      </w:r>
      <w:r w:rsidR="00364310" w:rsidRPr="001F7EE0">
        <w:rPr>
          <w:rStyle w:val="FootnoteReference"/>
          <w:szCs w:val="22"/>
        </w:rPr>
        <w:footnoteReference w:id="34"/>
      </w:r>
      <w:r w:rsidR="00EA77C4" w:rsidRPr="001F7EE0">
        <w:rPr>
          <w:szCs w:val="22"/>
        </w:rPr>
        <w:t xml:space="preserve">  </w:t>
      </w:r>
      <w:r w:rsidRPr="000E582D">
        <w:rPr>
          <w:szCs w:val="22"/>
        </w:rPr>
        <w:t>Accordingly, we find that TSA’s violations were willful, and decline to reduce or cancel the proposed forfeiture based on TSA’s claimed lack of familiarity with FCC requirements.</w:t>
      </w:r>
    </w:p>
    <w:p w14:paraId="4F246649" w14:textId="77777777" w:rsidR="00664973" w:rsidRPr="001F7EE0" w:rsidRDefault="009A771F" w:rsidP="00F2623D">
      <w:pPr>
        <w:pStyle w:val="ParaNum"/>
        <w:widowControl/>
        <w:numPr>
          <w:ilvl w:val="0"/>
          <w:numId w:val="0"/>
        </w:numPr>
        <w:jc w:val="left"/>
        <w:rPr>
          <w:szCs w:val="22"/>
        </w:rPr>
      </w:pPr>
      <w:r w:rsidRPr="001F7EE0">
        <w:rPr>
          <w:szCs w:val="22"/>
        </w:rPr>
        <w:tab/>
      </w:r>
      <w:r w:rsidR="004509BF" w:rsidRPr="001F7EE0">
        <w:rPr>
          <w:szCs w:val="22"/>
        </w:rPr>
        <w:t>8</w:t>
      </w:r>
      <w:r w:rsidR="00F24B2D" w:rsidRPr="001F7EE0">
        <w:rPr>
          <w:szCs w:val="22"/>
        </w:rPr>
        <w:t>.</w:t>
      </w:r>
      <w:r w:rsidR="00F24B2D" w:rsidRPr="001F7EE0">
        <w:rPr>
          <w:szCs w:val="22"/>
        </w:rPr>
        <w:tab/>
      </w:r>
      <w:r w:rsidR="00C831F4" w:rsidRPr="001F7EE0">
        <w:rPr>
          <w:szCs w:val="22"/>
        </w:rPr>
        <w:t xml:space="preserve">TSA also argues that its </w:t>
      </w:r>
      <w:r w:rsidR="00F2166E" w:rsidRPr="001F7EE0">
        <w:rPr>
          <w:szCs w:val="22"/>
        </w:rPr>
        <w:t xml:space="preserve">status </w:t>
      </w:r>
      <w:r w:rsidR="00C831F4" w:rsidRPr="001F7EE0">
        <w:rPr>
          <w:szCs w:val="22"/>
        </w:rPr>
        <w:t xml:space="preserve">as a </w:t>
      </w:r>
      <w:r w:rsidR="008F33A8" w:rsidRPr="001F7EE0">
        <w:rPr>
          <w:szCs w:val="22"/>
        </w:rPr>
        <w:t>nonprofit</w:t>
      </w:r>
      <w:r w:rsidR="00C831F4" w:rsidRPr="001F7EE0">
        <w:rPr>
          <w:szCs w:val="22"/>
        </w:rPr>
        <w:t xml:space="preserve"> entity </w:t>
      </w:r>
      <w:r w:rsidR="00F2166E" w:rsidRPr="001F7EE0">
        <w:rPr>
          <w:szCs w:val="22"/>
        </w:rPr>
        <w:t xml:space="preserve">and </w:t>
      </w:r>
      <w:r w:rsidR="00604322" w:rsidRPr="001F7EE0">
        <w:rPr>
          <w:szCs w:val="22"/>
        </w:rPr>
        <w:t xml:space="preserve">the </w:t>
      </w:r>
      <w:r w:rsidR="00B27129" w:rsidRPr="001F7EE0">
        <w:rPr>
          <w:szCs w:val="22"/>
        </w:rPr>
        <w:t xml:space="preserve">alleged </w:t>
      </w:r>
      <w:r w:rsidR="00F2166E" w:rsidRPr="001F7EE0">
        <w:rPr>
          <w:szCs w:val="22"/>
        </w:rPr>
        <w:t>neg</w:t>
      </w:r>
      <w:r w:rsidR="00185EEF" w:rsidRPr="001F7EE0">
        <w:rPr>
          <w:szCs w:val="22"/>
        </w:rPr>
        <w:t xml:space="preserve">ative impact </w:t>
      </w:r>
      <w:r w:rsidR="00C030BC" w:rsidRPr="001F7EE0">
        <w:rPr>
          <w:szCs w:val="22"/>
        </w:rPr>
        <w:t xml:space="preserve">that payment of </w:t>
      </w:r>
      <w:r w:rsidR="00F2166E" w:rsidRPr="001F7EE0">
        <w:rPr>
          <w:szCs w:val="22"/>
        </w:rPr>
        <w:t xml:space="preserve">the proposed </w:t>
      </w:r>
      <w:r w:rsidR="00604322" w:rsidRPr="001F7EE0">
        <w:rPr>
          <w:szCs w:val="22"/>
        </w:rPr>
        <w:t>forfeiture</w:t>
      </w:r>
      <w:r w:rsidR="00C2611C" w:rsidRPr="001F7EE0">
        <w:rPr>
          <w:szCs w:val="22"/>
        </w:rPr>
        <w:t xml:space="preserve"> </w:t>
      </w:r>
      <w:r w:rsidR="00C030BC" w:rsidRPr="001F7EE0">
        <w:rPr>
          <w:szCs w:val="22"/>
        </w:rPr>
        <w:t>would have on</w:t>
      </w:r>
      <w:r w:rsidR="00C065E2" w:rsidRPr="001F7EE0">
        <w:rPr>
          <w:szCs w:val="22"/>
        </w:rPr>
        <w:t xml:space="preserve"> TSA</w:t>
      </w:r>
      <w:r w:rsidR="00951497" w:rsidRPr="001F7EE0">
        <w:rPr>
          <w:szCs w:val="22"/>
        </w:rPr>
        <w:t>’</w:t>
      </w:r>
      <w:r w:rsidR="00C065E2" w:rsidRPr="001F7EE0">
        <w:rPr>
          <w:szCs w:val="22"/>
        </w:rPr>
        <w:t xml:space="preserve">s </w:t>
      </w:r>
      <w:r w:rsidR="0060350B" w:rsidRPr="001F7EE0">
        <w:rPr>
          <w:szCs w:val="22"/>
        </w:rPr>
        <w:t xml:space="preserve">station </w:t>
      </w:r>
      <w:r w:rsidR="00C065E2" w:rsidRPr="001F7EE0">
        <w:rPr>
          <w:szCs w:val="22"/>
        </w:rPr>
        <w:t>operations</w:t>
      </w:r>
      <w:r w:rsidR="00C831F4" w:rsidRPr="001F7EE0">
        <w:rPr>
          <w:szCs w:val="22"/>
        </w:rPr>
        <w:t xml:space="preserve"> are mitigating factors that warrant </w:t>
      </w:r>
      <w:r w:rsidR="00231D04" w:rsidRPr="001F7EE0">
        <w:rPr>
          <w:szCs w:val="22"/>
        </w:rPr>
        <w:t>favorable consideration</w:t>
      </w:r>
      <w:r w:rsidR="00C065E2" w:rsidRPr="001F7EE0">
        <w:rPr>
          <w:szCs w:val="22"/>
        </w:rPr>
        <w:t>.</w:t>
      </w:r>
      <w:r w:rsidR="00E70DEC" w:rsidRPr="001F7EE0">
        <w:rPr>
          <w:rStyle w:val="FootnoteReference"/>
          <w:szCs w:val="22"/>
        </w:rPr>
        <w:footnoteReference w:id="35"/>
      </w:r>
      <w:r w:rsidR="00C065E2" w:rsidRPr="001F7EE0">
        <w:rPr>
          <w:szCs w:val="22"/>
        </w:rPr>
        <w:t xml:space="preserve">  </w:t>
      </w:r>
      <w:r w:rsidR="00840E2B" w:rsidRPr="001F7EE0">
        <w:rPr>
          <w:szCs w:val="22"/>
        </w:rPr>
        <w:t>However</w:t>
      </w:r>
      <w:r w:rsidR="006D1811" w:rsidRPr="001F7EE0">
        <w:rPr>
          <w:szCs w:val="22"/>
        </w:rPr>
        <w:t>, TSA affirmatively states that it not asserting an inability to pay the proposed forfeiture.</w:t>
      </w:r>
      <w:r w:rsidR="006D1811" w:rsidRPr="001F7EE0">
        <w:rPr>
          <w:rStyle w:val="FootnoteReference"/>
          <w:szCs w:val="22"/>
        </w:rPr>
        <w:footnoteReference w:id="36"/>
      </w:r>
      <w:r w:rsidR="006D1811" w:rsidRPr="001F7EE0">
        <w:rPr>
          <w:szCs w:val="22"/>
        </w:rPr>
        <w:t xml:space="preserve">  </w:t>
      </w:r>
      <w:r w:rsidR="00C030BC" w:rsidRPr="001F7EE0">
        <w:rPr>
          <w:szCs w:val="22"/>
        </w:rPr>
        <w:t xml:space="preserve">The Commission has routinely rejected arguments for reduction of a forfeiture based </w:t>
      </w:r>
      <w:r w:rsidR="00E56D87" w:rsidRPr="001F7EE0">
        <w:rPr>
          <w:szCs w:val="22"/>
        </w:rPr>
        <w:t xml:space="preserve">solely </w:t>
      </w:r>
      <w:r w:rsidR="00C030BC" w:rsidRPr="001F7EE0">
        <w:rPr>
          <w:szCs w:val="22"/>
        </w:rPr>
        <w:t xml:space="preserve">on </w:t>
      </w:r>
      <w:r w:rsidR="008F33A8" w:rsidRPr="001F7EE0">
        <w:rPr>
          <w:szCs w:val="22"/>
        </w:rPr>
        <w:t>nonprofit</w:t>
      </w:r>
      <w:r w:rsidR="00C030BC" w:rsidRPr="001F7EE0">
        <w:rPr>
          <w:szCs w:val="22"/>
        </w:rPr>
        <w:t xml:space="preserve"> status</w:t>
      </w:r>
      <w:r w:rsidR="00666AAE" w:rsidRPr="001F7EE0">
        <w:rPr>
          <w:szCs w:val="22"/>
        </w:rPr>
        <w:t>.</w:t>
      </w:r>
      <w:r w:rsidR="00C030BC" w:rsidRPr="001F7EE0">
        <w:rPr>
          <w:rStyle w:val="FootnoteReference"/>
          <w:szCs w:val="22"/>
        </w:rPr>
        <w:footnoteReference w:id="37"/>
      </w:r>
      <w:r w:rsidR="00666AAE" w:rsidRPr="001F7EE0">
        <w:rPr>
          <w:szCs w:val="22"/>
        </w:rPr>
        <w:t xml:space="preserve">  Accordingly, we decline to reduce or cancel the proposed forfeiture based on TSA’s status as a nonprofit entity.</w:t>
      </w:r>
      <w:r w:rsidR="0060350B" w:rsidRPr="001F7EE0">
        <w:rPr>
          <w:szCs w:val="22"/>
        </w:rPr>
        <w:t xml:space="preserve"> </w:t>
      </w:r>
      <w:r w:rsidR="00C030BC" w:rsidRPr="001F7EE0">
        <w:rPr>
          <w:szCs w:val="22"/>
        </w:rPr>
        <w:t xml:space="preserve"> Moreover, </w:t>
      </w:r>
      <w:r w:rsidR="00743B99" w:rsidRPr="001F7EE0">
        <w:rPr>
          <w:szCs w:val="22"/>
        </w:rPr>
        <w:t xml:space="preserve">absent financial documentation to support TSA’s assertion </w:t>
      </w:r>
      <w:r w:rsidR="00554752" w:rsidRPr="001F7EE0">
        <w:rPr>
          <w:szCs w:val="22"/>
        </w:rPr>
        <w:t xml:space="preserve">that </w:t>
      </w:r>
      <w:r w:rsidR="00C030BC" w:rsidRPr="001F7EE0">
        <w:rPr>
          <w:szCs w:val="22"/>
        </w:rPr>
        <w:t xml:space="preserve">payment of the </w:t>
      </w:r>
      <w:r w:rsidR="00E24BA5" w:rsidRPr="001F7EE0">
        <w:rPr>
          <w:szCs w:val="22"/>
        </w:rPr>
        <w:t xml:space="preserve">forfeiture would </w:t>
      </w:r>
      <w:r w:rsidR="00231D04" w:rsidRPr="001F7EE0">
        <w:rPr>
          <w:szCs w:val="22"/>
        </w:rPr>
        <w:t>negatively impact</w:t>
      </w:r>
      <w:r w:rsidR="0060350B" w:rsidRPr="001F7EE0">
        <w:rPr>
          <w:szCs w:val="22"/>
        </w:rPr>
        <w:t xml:space="preserve"> station</w:t>
      </w:r>
      <w:r w:rsidR="00231D04" w:rsidRPr="001F7EE0">
        <w:rPr>
          <w:szCs w:val="22"/>
        </w:rPr>
        <w:t xml:space="preserve"> operations, we decline to</w:t>
      </w:r>
      <w:r w:rsidR="00E56D87" w:rsidRPr="001F7EE0">
        <w:rPr>
          <w:szCs w:val="22"/>
        </w:rPr>
        <w:t xml:space="preserve"> reduce the proposed forfeiture</w:t>
      </w:r>
      <w:r w:rsidR="0060350B" w:rsidRPr="001F7EE0">
        <w:rPr>
          <w:szCs w:val="22"/>
        </w:rPr>
        <w:t xml:space="preserve"> on this basis</w:t>
      </w:r>
      <w:r w:rsidR="00C2611C" w:rsidRPr="001F7EE0">
        <w:rPr>
          <w:szCs w:val="22"/>
        </w:rPr>
        <w:t>.</w:t>
      </w:r>
      <w:r w:rsidR="008764A0" w:rsidRPr="001F7EE0">
        <w:rPr>
          <w:rStyle w:val="FootnoteReference"/>
          <w:szCs w:val="22"/>
        </w:rPr>
        <w:footnoteReference w:id="38"/>
      </w:r>
    </w:p>
    <w:p w14:paraId="4274D9C8" w14:textId="77777777" w:rsidR="008764A0" w:rsidRPr="001F7EE0" w:rsidRDefault="009A771F" w:rsidP="00F2623D">
      <w:pPr>
        <w:pStyle w:val="ParaNum"/>
        <w:widowControl/>
        <w:numPr>
          <w:ilvl w:val="0"/>
          <w:numId w:val="0"/>
        </w:numPr>
        <w:jc w:val="left"/>
        <w:rPr>
          <w:szCs w:val="22"/>
        </w:rPr>
      </w:pPr>
      <w:r w:rsidRPr="001F7EE0">
        <w:rPr>
          <w:color w:val="000000"/>
          <w:szCs w:val="22"/>
        </w:rPr>
        <w:tab/>
      </w:r>
      <w:r w:rsidR="004509BF" w:rsidRPr="001F7EE0">
        <w:rPr>
          <w:color w:val="000000"/>
          <w:szCs w:val="22"/>
        </w:rPr>
        <w:t>9</w:t>
      </w:r>
      <w:r w:rsidR="00F24B2D" w:rsidRPr="001F7EE0">
        <w:rPr>
          <w:color w:val="000000"/>
          <w:szCs w:val="22"/>
        </w:rPr>
        <w:t>.</w:t>
      </w:r>
      <w:r w:rsidR="00681A3F" w:rsidRPr="001F7EE0">
        <w:rPr>
          <w:color w:val="000000"/>
          <w:szCs w:val="22"/>
        </w:rPr>
        <w:tab/>
      </w:r>
      <w:r w:rsidR="00BC7342" w:rsidRPr="001F7EE0">
        <w:rPr>
          <w:color w:val="000000"/>
          <w:szCs w:val="22"/>
        </w:rPr>
        <w:t xml:space="preserve">We also decline to reduce the forfeiture based on </w:t>
      </w:r>
      <w:r w:rsidR="00E76A88" w:rsidRPr="001F7EE0">
        <w:rPr>
          <w:color w:val="000000"/>
          <w:szCs w:val="22"/>
        </w:rPr>
        <w:t>TSA</w:t>
      </w:r>
      <w:r w:rsidR="00615C49" w:rsidRPr="001F7EE0">
        <w:rPr>
          <w:color w:val="000000"/>
          <w:szCs w:val="22"/>
        </w:rPr>
        <w:t>’s assertion that it</w:t>
      </w:r>
      <w:r w:rsidR="00E76A88" w:rsidRPr="001F7EE0">
        <w:rPr>
          <w:color w:val="000000"/>
          <w:szCs w:val="22"/>
        </w:rPr>
        <w:t xml:space="preserve"> </w:t>
      </w:r>
      <w:r w:rsidR="002B2E2F" w:rsidRPr="001F7EE0">
        <w:rPr>
          <w:color w:val="000000"/>
          <w:szCs w:val="22"/>
        </w:rPr>
        <w:t xml:space="preserve">took </w:t>
      </w:r>
      <w:r w:rsidR="00666AAE" w:rsidRPr="001F7EE0">
        <w:rPr>
          <w:color w:val="000000"/>
          <w:szCs w:val="22"/>
        </w:rPr>
        <w:t xml:space="preserve">corrective action </w:t>
      </w:r>
      <w:r w:rsidR="002B2E2F" w:rsidRPr="001F7EE0">
        <w:rPr>
          <w:color w:val="000000"/>
          <w:szCs w:val="22"/>
        </w:rPr>
        <w:t>after being notified of the expiration of its station license,</w:t>
      </w:r>
      <w:r w:rsidR="002B2E2F" w:rsidRPr="001F7EE0">
        <w:rPr>
          <w:rStyle w:val="FootnoteReference"/>
          <w:szCs w:val="22"/>
        </w:rPr>
        <w:footnoteReference w:id="39"/>
      </w:r>
      <w:r w:rsidR="002B2E2F" w:rsidRPr="001F7EE0">
        <w:rPr>
          <w:color w:val="000000"/>
          <w:szCs w:val="22"/>
        </w:rPr>
        <w:t xml:space="preserve"> and </w:t>
      </w:r>
      <w:r w:rsidR="00666AAE" w:rsidRPr="001F7EE0">
        <w:rPr>
          <w:color w:val="000000"/>
          <w:szCs w:val="22"/>
        </w:rPr>
        <w:t xml:space="preserve">that it </w:t>
      </w:r>
      <w:r w:rsidR="002B2E2F" w:rsidRPr="001F7EE0">
        <w:rPr>
          <w:color w:val="000000"/>
          <w:szCs w:val="22"/>
        </w:rPr>
        <w:t xml:space="preserve">took “affirmative steps” </w:t>
      </w:r>
      <w:r w:rsidR="007C211B" w:rsidRPr="001F7EE0">
        <w:rPr>
          <w:color w:val="000000"/>
          <w:szCs w:val="22"/>
        </w:rPr>
        <w:t xml:space="preserve">after the issuance of the </w:t>
      </w:r>
      <w:r w:rsidR="007C211B" w:rsidRPr="00210BE0">
        <w:rPr>
          <w:i/>
          <w:color w:val="000000"/>
          <w:szCs w:val="22"/>
        </w:rPr>
        <w:t>NAL</w:t>
      </w:r>
      <w:r w:rsidR="007C211B" w:rsidRPr="001F7EE0">
        <w:rPr>
          <w:color w:val="000000"/>
          <w:szCs w:val="22"/>
        </w:rPr>
        <w:t xml:space="preserve"> </w:t>
      </w:r>
      <w:r w:rsidR="002B2E2F" w:rsidRPr="001F7EE0">
        <w:rPr>
          <w:color w:val="000000"/>
          <w:szCs w:val="22"/>
        </w:rPr>
        <w:t>to ensure future compliance with the Rules.</w:t>
      </w:r>
      <w:r w:rsidR="009914AF" w:rsidRPr="001F7EE0">
        <w:rPr>
          <w:rStyle w:val="FootnoteReference"/>
          <w:szCs w:val="22"/>
        </w:rPr>
        <w:footnoteReference w:id="40"/>
      </w:r>
      <w:r w:rsidR="00E1667A" w:rsidRPr="001F7EE0">
        <w:rPr>
          <w:color w:val="000000"/>
          <w:szCs w:val="22"/>
        </w:rPr>
        <w:t xml:space="preserve">  </w:t>
      </w:r>
      <w:r w:rsidR="007C211B" w:rsidRPr="001F7EE0">
        <w:rPr>
          <w:color w:val="000000"/>
          <w:szCs w:val="22"/>
        </w:rPr>
        <w:t xml:space="preserve">While TSA’s </w:t>
      </w:r>
      <w:r w:rsidR="00666AAE" w:rsidRPr="001F7EE0">
        <w:rPr>
          <w:color w:val="000000"/>
          <w:szCs w:val="22"/>
        </w:rPr>
        <w:t xml:space="preserve">compliance </w:t>
      </w:r>
      <w:r w:rsidR="007C211B" w:rsidRPr="001F7EE0">
        <w:rPr>
          <w:color w:val="000000"/>
          <w:szCs w:val="22"/>
        </w:rPr>
        <w:t>efforts are laudable, t</w:t>
      </w:r>
      <w:r w:rsidR="00E24BA5" w:rsidRPr="001F7EE0">
        <w:rPr>
          <w:color w:val="000000"/>
          <w:szCs w:val="22"/>
        </w:rPr>
        <w:t>he Commission</w:t>
      </w:r>
      <w:r w:rsidR="007C211B" w:rsidRPr="001F7EE0">
        <w:rPr>
          <w:color w:val="000000"/>
          <w:szCs w:val="22"/>
        </w:rPr>
        <w:t xml:space="preserve"> has repeatedly held that remedial measures implemented after the initiation of an investigation or the issuance of an enforcement action neither nullifies nor mitigates the violation.</w:t>
      </w:r>
      <w:r w:rsidR="00E1667A" w:rsidRPr="001F7EE0">
        <w:rPr>
          <w:rStyle w:val="FootnoteReference"/>
          <w:szCs w:val="22"/>
        </w:rPr>
        <w:footnoteReference w:id="41"/>
      </w:r>
    </w:p>
    <w:p w14:paraId="17D3B0A4" w14:textId="02E93D18" w:rsidR="00F2166E" w:rsidRPr="001F7EE0" w:rsidRDefault="004509BF" w:rsidP="004D2DAA">
      <w:pPr>
        <w:pStyle w:val="FootnoteText"/>
        <w:tabs>
          <w:tab w:val="clear" w:pos="1440"/>
        </w:tabs>
        <w:spacing w:after="220"/>
        <w:rPr>
          <w:sz w:val="22"/>
          <w:szCs w:val="22"/>
        </w:rPr>
      </w:pPr>
      <w:r w:rsidRPr="001F7EE0">
        <w:rPr>
          <w:color w:val="000000"/>
          <w:sz w:val="22"/>
          <w:szCs w:val="22"/>
        </w:rPr>
        <w:t>10</w:t>
      </w:r>
      <w:r w:rsidR="00F24B2D" w:rsidRPr="001F7EE0">
        <w:rPr>
          <w:color w:val="000000"/>
          <w:sz w:val="22"/>
          <w:szCs w:val="22"/>
        </w:rPr>
        <w:t>.</w:t>
      </w:r>
      <w:r w:rsidR="00F24B2D" w:rsidRPr="001F7EE0">
        <w:rPr>
          <w:color w:val="000000"/>
          <w:sz w:val="22"/>
          <w:szCs w:val="22"/>
        </w:rPr>
        <w:tab/>
      </w:r>
      <w:r w:rsidR="00116874" w:rsidRPr="001F7EE0">
        <w:rPr>
          <w:color w:val="000000"/>
          <w:sz w:val="22"/>
          <w:szCs w:val="22"/>
        </w:rPr>
        <w:t xml:space="preserve">Finally, TSA </w:t>
      </w:r>
      <w:r w:rsidR="007C6D63" w:rsidRPr="001F7EE0">
        <w:rPr>
          <w:color w:val="000000"/>
          <w:sz w:val="22"/>
          <w:szCs w:val="22"/>
        </w:rPr>
        <w:t xml:space="preserve">asserts </w:t>
      </w:r>
      <w:r w:rsidR="00116874" w:rsidRPr="001F7EE0">
        <w:rPr>
          <w:color w:val="000000"/>
          <w:sz w:val="22"/>
          <w:szCs w:val="22"/>
        </w:rPr>
        <w:t xml:space="preserve">that </w:t>
      </w:r>
      <w:r w:rsidR="00D85F73" w:rsidRPr="001F7EE0">
        <w:rPr>
          <w:color w:val="000000"/>
          <w:sz w:val="22"/>
          <w:szCs w:val="22"/>
        </w:rPr>
        <w:t xml:space="preserve">it </w:t>
      </w:r>
      <w:r w:rsidR="00ED1E38" w:rsidRPr="001F7EE0">
        <w:rPr>
          <w:color w:val="000000"/>
          <w:sz w:val="22"/>
          <w:szCs w:val="22"/>
        </w:rPr>
        <w:t xml:space="preserve">has a history of compliance with the </w:t>
      </w:r>
      <w:r w:rsidR="00637796" w:rsidRPr="001F7EE0">
        <w:rPr>
          <w:color w:val="000000"/>
          <w:sz w:val="22"/>
          <w:szCs w:val="22"/>
        </w:rPr>
        <w:t>R</w:t>
      </w:r>
      <w:r w:rsidR="00ED1E38" w:rsidRPr="001F7EE0">
        <w:rPr>
          <w:color w:val="000000"/>
          <w:sz w:val="22"/>
          <w:szCs w:val="22"/>
        </w:rPr>
        <w:t>ules</w:t>
      </w:r>
      <w:r w:rsidR="006D1811" w:rsidRPr="001F7EE0">
        <w:rPr>
          <w:color w:val="000000"/>
          <w:sz w:val="22"/>
          <w:szCs w:val="22"/>
        </w:rPr>
        <w:t xml:space="preserve"> </w:t>
      </w:r>
      <w:r w:rsidR="007C6D63" w:rsidRPr="001F7EE0">
        <w:rPr>
          <w:color w:val="000000"/>
          <w:sz w:val="22"/>
          <w:szCs w:val="22"/>
        </w:rPr>
        <w:t>that</w:t>
      </w:r>
      <w:r w:rsidR="00D85F73" w:rsidRPr="001F7EE0">
        <w:rPr>
          <w:color w:val="000000"/>
          <w:sz w:val="22"/>
          <w:szCs w:val="22"/>
        </w:rPr>
        <w:t xml:space="preserve"> </w:t>
      </w:r>
      <w:r w:rsidR="00ED1E38" w:rsidRPr="001F7EE0">
        <w:rPr>
          <w:color w:val="000000"/>
          <w:sz w:val="22"/>
          <w:szCs w:val="22"/>
        </w:rPr>
        <w:t>warrants a reduction of the proposed forfeiture.</w:t>
      </w:r>
      <w:r w:rsidR="00ED1E38" w:rsidRPr="001F7EE0">
        <w:rPr>
          <w:rStyle w:val="FootnoteReference"/>
          <w:szCs w:val="22"/>
        </w:rPr>
        <w:footnoteReference w:id="42"/>
      </w:r>
      <w:r w:rsidR="00ED1E38" w:rsidRPr="001F7EE0">
        <w:rPr>
          <w:sz w:val="22"/>
          <w:szCs w:val="22"/>
        </w:rPr>
        <w:t xml:space="preserve"> </w:t>
      </w:r>
      <w:r w:rsidR="00ED1E38" w:rsidRPr="001F7EE0">
        <w:rPr>
          <w:color w:val="000000"/>
          <w:sz w:val="22"/>
          <w:szCs w:val="22"/>
        </w:rPr>
        <w:t xml:space="preserve"> We disagree.  </w:t>
      </w:r>
      <w:r w:rsidR="00ED5D5E" w:rsidRPr="001F7EE0">
        <w:rPr>
          <w:sz w:val="22"/>
          <w:szCs w:val="22"/>
        </w:rPr>
        <w:t xml:space="preserve">When evaluating a petitioner’s compliance history, we take into </w:t>
      </w:r>
      <w:r w:rsidR="00133007" w:rsidRPr="001F7EE0">
        <w:rPr>
          <w:sz w:val="22"/>
          <w:szCs w:val="22"/>
        </w:rPr>
        <w:t>account the number of violations (</w:t>
      </w:r>
      <w:r w:rsidR="005B4846" w:rsidRPr="001F7EE0">
        <w:rPr>
          <w:sz w:val="22"/>
          <w:szCs w:val="22"/>
        </w:rPr>
        <w:t xml:space="preserve">including </w:t>
      </w:r>
      <w:r w:rsidR="00ED5D5E" w:rsidRPr="001F7EE0">
        <w:rPr>
          <w:sz w:val="22"/>
          <w:szCs w:val="22"/>
        </w:rPr>
        <w:t>concurrent violations</w:t>
      </w:r>
      <w:r w:rsidR="00133007" w:rsidRPr="001F7EE0">
        <w:rPr>
          <w:sz w:val="22"/>
          <w:szCs w:val="22"/>
        </w:rPr>
        <w:t>)</w:t>
      </w:r>
      <w:r w:rsidR="00ED5D5E" w:rsidRPr="001F7EE0">
        <w:rPr>
          <w:rStyle w:val="FootnoteReference"/>
          <w:szCs w:val="22"/>
        </w:rPr>
        <w:footnoteReference w:id="43"/>
      </w:r>
      <w:r w:rsidR="00ED5D5E" w:rsidRPr="001F7EE0">
        <w:rPr>
          <w:sz w:val="22"/>
          <w:szCs w:val="22"/>
        </w:rPr>
        <w:t xml:space="preserve"> </w:t>
      </w:r>
      <w:r w:rsidR="003256CA" w:rsidRPr="001F7EE0">
        <w:rPr>
          <w:sz w:val="22"/>
          <w:szCs w:val="22"/>
        </w:rPr>
        <w:t xml:space="preserve">and </w:t>
      </w:r>
      <w:r w:rsidR="00ED5D5E" w:rsidRPr="001F7EE0">
        <w:rPr>
          <w:sz w:val="22"/>
          <w:szCs w:val="22"/>
        </w:rPr>
        <w:t>the</w:t>
      </w:r>
      <w:r w:rsidR="003256CA" w:rsidRPr="001F7EE0">
        <w:rPr>
          <w:sz w:val="22"/>
          <w:szCs w:val="22"/>
        </w:rPr>
        <w:t>ir</w:t>
      </w:r>
      <w:r w:rsidR="00ED5D5E" w:rsidRPr="001F7EE0">
        <w:rPr>
          <w:sz w:val="22"/>
          <w:szCs w:val="22"/>
        </w:rPr>
        <w:t xml:space="preserve"> duration</w:t>
      </w:r>
      <w:r w:rsidR="003256CA" w:rsidRPr="001F7EE0">
        <w:rPr>
          <w:sz w:val="22"/>
          <w:szCs w:val="22"/>
        </w:rPr>
        <w:t>.</w:t>
      </w:r>
      <w:r w:rsidR="00ED5D5E" w:rsidRPr="001F7EE0">
        <w:rPr>
          <w:rStyle w:val="FootnoteReference"/>
          <w:szCs w:val="22"/>
        </w:rPr>
        <w:footnoteReference w:id="44"/>
      </w:r>
      <w:r w:rsidR="00ED5D5E" w:rsidRPr="001F7EE0">
        <w:rPr>
          <w:sz w:val="22"/>
          <w:szCs w:val="22"/>
        </w:rPr>
        <w:t xml:space="preserve">  </w:t>
      </w:r>
      <w:r w:rsidR="00ED1E38" w:rsidRPr="001F7EE0">
        <w:rPr>
          <w:sz w:val="22"/>
          <w:szCs w:val="22"/>
        </w:rPr>
        <w:t xml:space="preserve">In this instance, </w:t>
      </w:r>
      <w:r w:rsidR="005B4846" w:rsidRPr="001F7EE0">
        <w:rPr>
          <w:sz w:val="22"/>
          <w:szCs w:val="22"/>
        </w:rPr>
        <w:t>TSA</w:t>
      </w:r>
      <w:r w:rsidR="003256CA" w:rsidRPr="001F7EE0">
        <w:rPr>
          <w:sz w:val="22"/>
          <w:szCs w:val="22"/>
        </w:rPr>
        <w:t xml:space="preserve"> operated station KSC8 after the expiration of the station’s license and without authorization for </w:t>
      </w:r>
      <w:r w:rsidR="007C6D63" w:rsidRPr="001F7EE0">
        <w:rPr>
          <w:sz w:val="22"/>
          <w:szCs w:val="22"/>
        </w:rPr>
        <w:t xml:space="preserve">approximately </w:t>
      </w:r>
      <w:r w:rsidR="003256CA" w:rsidRPr="001F7EE0">
        <w:rPr>
          <w:sz w:val="22"/>
          <w:szCs w:val="22"/>
        </w:rPr>
        <w:t>five years</w:t>
      </w:r>
      <w:r w:rsidR="005B4846" w:rsidRPr="001F7EE0">
        <w:rPr>
          <w:sz w:val="22"/>
          <w:szCs w:val="22"/>
        </w:rPr>
        <w:t>.</w:t>
      </w:r>
      <w:r w:rsidR="005B4846" w:rsidRPr="001F7EE0">
        <w:rPr>
          <w:rStyle w:val="FootnoteReference"/>
          <w:szCs w:val="22"/>
        </w:rPr>
        <w:footnoteReference w:id="45"/>
      </w:r>
      <w:r w:rsidR="005B4846" w:rsidRPr="001F7EE0">
        <w:rPr>
          <w:sz w:val="22"/>
          <w:szCs w:val="22"/>
        </w:rPr>
        <w:t xml:space="preserve">  </w:t>
      </w:r>
      <w:r w:rsidR="003256CA" w:rsidRPr="001F7EE0">
        <w:rPr>
          <w:sz w:val="22"/>
          <w:szCs w:val="22"/>
        </w:rPr>
        <w:t xml:space="preserve">Based on the </w:t>
      </w:r>
      <w:r w:rsidR="00ED1E38" w:rsidRPr="001F7EE0">
        <w:rPr>
          <w:sz w:val="22"/>
          <w:szCs w:val="22"/>
        </w:rPr>
        <w:t xml:space="preserve">extended </w:t>
      </w:r>
      <w:r w:rsidR="003256CA" w:rsidRPr="001F7EE0">
        <w:rPr>
          <w:sz w:val="22"/>
          <w:szCs w:val="22"/>
        </w:rPr>
        <w:t xml:space="preserve">duration of </w:t>
      </w:r>
      <w:r w:rsidR="00ED1E38" w:rsidRPr="001F7EE0">
        <w:rPr>
          <w:sz w:val="22"/>
          <w:szCs w:val="22"/>
        </w:rPr>
        <w:t>TSA’s</w:t>
      </w:r>
      <w:r w:rsidR="003256CA" w:rsidRPr="001F7EE0">
        <w:rPr>
          <w:sz w:val="22"/>
          <w:szCs w:val="22"/>
        </w:rPr>
        <w:t xml:space="preserve"> operation</w:t>
      </w:r>
      <w:r w:rsidR="00ED1E38" w:rsidRPr="001F7EE0">
        <w:rPr>
          <w:sz w:val="22"/>
          <w:szCs w:val="22"/>
        </w:rPr>
        <w:t xml:space="preserve"> without Commission authorization</w:t>
      </w:r>
      <w:r w:rsidR="008A2354" w:rsidRPr="001F7EE0">
        <w:rPr>
          <w:sz w:val="22"/>
          <w:szCs w:val="22"/>
        </w:rPr>
        <w:t xml:space="preserve">, </w:t>
      </w:r>
      <w:r w:rsidR="00ED1E38" w:rsidRPr="001F7EE0">
        <w:rPr>
          <w:sz w:val="22"/>
          <w:szCs w:val="22"/>
        </w:rPr>
        <w:t xml:space="preserve">we find that </w:t>
      </w:r>
      <w:r w:rsidR="008A2354" w:rsidRPr="001F7EE0">
        <w:rPr>
          <w:sz w:val="22"/>
          <w:szCs w:val="22"/>
        </w:rPr>
        <w:t>TSA does not have a history of compliance</w:t>
      </w:r>
      <w:r w:rsidR="00ED1E38" w:rsidRPr="001F7EE0">
        <w:rPr>
          <w:sz w:val="22"/>
          <w:szCs w:val="22"/>
        </w:rPr>
        <w:t xml:space="preserve"> with FCC requirements and therefore </w:t>
      </w:r>
      <w:r w:rsidR="00E5288B" w:rsidRPr="001F7EE0">
        <w:rPr>
          <w:sz w:val="22"/>
          <w:szCs w:val="22"/>
        </w:rPr>
        <w:t xml:space="preserve">decline to reduce the </w:t>
      </w:r>
      <w:r w:rsidR="008A2354" w:rsidRPr="001F7EE0">
        <w:rPr>
          <w:sz w:val="22"/>
          <w:szCs w:val="22"/>
        </w:rPr>
        <w:t xml:space="preserve">proposed </w:t>
      </w:r>
      <w:r w:rsidR="00F2166E" w:rsidRPr="001F7EE0">
        <w:rPr>
          <w:sz w:val="22"/>
          <w:szCs w:val="22"/>
        </w:rPr>
        <w:t xml:space="preserve">forfeiture amount </w:t>
      </w:r>
      <w:r w:rsidR="008A2354" w:rsidRPr="001F7EE0">
        <w:rPr>
          <w:sz w:val="22"/>
          <w:szCs w:val="22"/>
        </w:rPr>
        <w:t>on this basis</w:t>
      </w:r>
      <w:r w:rsidR="00F2166E" w:rsidRPr="001F7EE0">
        <w:rPr>
          <w:sz w:val="22"/>
          <w:szCs w:val="22"/>
        </w:rPr>
        <w:t>.</w:t>
      </w:r>
    </w:p>
    <w:p w14:paraId="2F2C3508" w14:textId="77777777" w:rsidR="003F26CB" w:rsidRPr="001F7EE0" w:rsidRDefault="00407D94" w:rsidP="003F26CB">
      <w:pPr>
        <w:widowControl/>
        <w:jc w:val="left"/>
        <w:rPr>
          <w:szCs w:val="22"/>
        </w:rPr>
      </w:pPr>
      <w:r w:rsidRPr="001F7EE0">
        <w:rPr>
          <w:szCs w:val="22"/>
        </w:rPr>
        <w:tab/>
      </w:r>
      <w:r w:rsidR="008201C2" w:rsidRPr="001F7EE0">
        <w:rPr>
          <w:szCs w:val="22"/>
        </w:rPr>
        <w:t>1</w:t>
      </w:r>
      <w:r w:rsidR="004509BF" w:rsidRPr="001F7EE0">
        <w:rPr>
          <w:szCs w:val="22"/>
        </w:rPr>
        <w:t>1</w:t>
      </w:r>
      <w:r w:rsidRPr="001F7EE0">
        <w:rPr>
          <w:szCs w:val="22"/>
        </w:rPr>
        <w:t>.</w:t>
      </w:r>
      <w:r w:rsidRPr="001F7EE0">
        <w:rPr>
          <w:szCs w:val="22"/>
        </w:rPr>
        <w:tab/>
      </w:r>
      <w:r w:rsidR="003F26CB" w:rsidRPr="001F7EE0">
        <w:rPr>
          <w:szCs w:val="22"/>
        </w:rPr>
        <w:t xml:space="preserve">Having considered TSA’s response to the </w:t>
      </w:r>
      <w:r w:rsidR="003F26CB" w:rsidRPr="001F7EE0">
        <w:rPr>
          <w:i/>
          <w:szCs w:val="22"/>
        </w:rPr>
        <w:t>NAL</w:t>
      </w:r>
      <w:r w:rsidR="003F26CB" w:rsidRPr="001F7EE0">
        <w:rPr>
          <w:szCs w:val="22"/>
        </w:rPr>
        <w:t xml:space="preserve"> in light of the applicable statutory </w:t>
      </w:r>
    </w:p>
    <w:p w14:paraId="4DFB4940" w14:textId="77777777" w:rsidR="00752D0E" w:rsidRDefault="003F26CB" w:rsidP="004D2DAA">
      <w:pPr>
        <w:widowControl/>
        <w:spacing w:after="220"/>
        <w:jc w:val="left"/>
        <w:rPr>
          <w:szCs w:val="22"/>
        </w:rPr>
      </w:pPr>
      <w:r w:rsidRPr="001F7EE0">
        <w:rPr>
          <w:szCs w:val="22"/>
        </w:rPr>
        <w:t xml:space="preserve">factors, </w:t>
      </w:r>
      <w:r w:rsidR="00B901D4" w:rsidRPr="001F7EE0">
        <w:rPr>
          <w:szCs w:val="22"/>
        </w:rPr>
        <w:t xml:space="preserve">the </w:t>
      </w:r>
      <w:r w:rsidRPr="001F7EE0">
        <w:rPr>
          <w:szCs w:val="22"/>
        </w:rPr>
        <w:t>Rules</w:t>
      </w:r>
      <w:r w:rsidR="00E463F8" w:rsidRPr="001F7EE0">
        <w:rPr>
          <w:szCs w:val="22"/>
        </w:rPr>
        <w:t>,</w:t>
      </w:r>
      <w:r w:rsidRPr="001F7EE0">
        <w:rPr>
          <w:szCs w:val="22"/>
        </w:rPr>
        <w:t xml:space="preserve"> and the </w:t>
      </w:r>
      <w:r w:rsidRPr="001F7EE0">
        <w:rPr>
          <w:i/>
          <w:szCs w:val="22"/>
        </w:rPr>
        <w:t>Forfeiture Policy Statement</w:t>
      </w:r>
      <w:r w:rsidRPr="001F7EE0">
        <w:rPr>
          <w:szCs w:val="22"/>
        </w:rPr>
        <w:t>, we find that TSA willfully and repeatedly violated Section 301 of the Act and Section 1.903(a) of the Rules</w:t>
      </w:r>
      <w:r w:rsidRPr="001F7EE0">
        <w:rPr>
          <w:rStyle w:val="FootnoteReference"/>
          <w:szCs w:val="22"/>
        </w:rPr>
        <w:footnoteReference w:id="46"/>
      </w:r>
      <w:r w:rsidRPr="001F7EE0">
        <w:rPr>
          <w:szCs w:val="22"/>
        </w:rPr>
        <w:t xml:space="preserve"> by operating station </w:t>
      </w:r>
      <w:r w:rsidR="008A2354" w:rsidRPr="001F7EE0">
        <w:rPr>
          <w:szCs w:val="22"/>
        </w:rPr>
        <w:t xml:space="preserve">KSC8 </w:t>
      </w:r>
      <w:r w:rsidRPr="001F7EE0">
        <w:rPr>
          <w:szCs w:val="22"/>
        </w:rPr>
        <w:t>without authorization, and willfully violated Section 1.949(a) of the Rules</w:t>
      </w:r>
      <w:r w:rsidR="004C16F3" w:rsidRPr="001F7EE0">
        <w:rPr>
          <w:rStyle w:val="FootnoteReference"/>
          <w:szCs w:val="22"/>
        </w:rPr>
        <w:footnoteReference w:id="47"/>
      </w:r>
      <w:r w:rsidRPr="001F7EE0">
        <w:rPr>
          <w:szCs w:val="22"/>
        </w:rPr>
        <w:t xml:space="preserve"> by failing </w:t>
      </w:r>
      <w:r w:rsidR="008A2354" w:rsidRPr="001F7EE0">
        <w:rPr>
          <w:szCs w:val="22"/>
        </w:rPr>
        <w:t xml:space="preserve">to file a </w:t>
      </w:r>
      <w:r w:rsidR="00E463F8" w:rsidRPr="001F7EE0">
        <w:rPr>
          <w:szCs w:val="22"/>
        </w:rPr>
        <w:t xml:space="preserve">timely </w:t>
      </w:r>
      <w:r w:rsidR="003256CA" w:rsidRPr="001F7EE0">
        <w:rPr>
          <w:szCs w:val="22"/>
        </w:rPr>
        <w:t xml:space="preserve">license </w:t>
      </w:r>
      <w:r w:rsidR="008A2354" w:rsidRPr="001F7EE0">
        <w:rPr>
          <w:szCs w:val="22"/>
        </w:rPr>
        <w:t>renewal</w:t>
      </w:r>
      <w:r w:rsidRPr="001F7EE0">
        <w:rPr>
          <w:szCs w:val="22"/>
        </w:rPr>
        <w:t xml:space="preserve"> application</w:t>
      </w:r>
      <w:r w:rsidR="00B06D8F" w:rsidRPr="001F7EE0">
        <w:rPr>
          <w:szCs w:val="22"/>
        </w:rPr>
        <w:t xml:space="preserve"> for the station</w:t>
      </w:r>
      <w:r w:rsidRPr="001F7EE0">
        <w:rPr>
          <w:szCs w:val="22"/>
        </w:rPr>
        <w:t>.</w:t>
      </w:r>
      <w:r w:rsidR="00840E2B" w:rsidRPr="001F7EE0">
        <w:rPr>
          <w:szCs w:val="22"/>
        </w:rPr>
        <w:t xml:space="preserve">  </w:t>
      </w:r>
      <w:r w:rsidR="005D6ABC" w:rsidRPr="001F7EE0">
        <w:rPr>
          <w:szCs w:val="22"/>
        </w:rPr>
        <w:t>A</w:t>
      </w:r>
      <w:r w:rsidR="00407D94" w:rsidRPr="001F7EE0">
        <w:rPr>
          <w:szCs w:val="22"/>
        </w:rPr>
        <w:t xml:space="preserve">ccordingly, </w:t>
      </w:r>
      <w:r w:rsidR="003256CA" w:rsidRPr="001F7EE0">
        <w:rPr>
          <w:szCs w:val="22"/>
        </w:rPr>
        <w:t xml:space="preserve">we </w:t>
      </w:r>
      <w:r w:rsidR="00407D94" w:rsidRPr="001F7EE0">
        <w:rPr>
          <w:szCs w:val="22"/>
        </w:rPr>
        <w:t xml:space="preserve">find TSA </w:t>
      </w:r>
      <w:r w:rsidR="00FA5FDD" w:rsidRPr="001F7EE0">
        <w:rPr>
          <w:szCs w:val="22"/>
        </w:rPr>
        <w:t>liable for a forfeiture in the amount of $9,000</w:t>
      </w:r>
      <w:r w:rsidR="00407D94" w:rsidRPr="001F7EE0">
        <w:rPr>
          <w:szCs w:val="22"/>
        </w:rPr>
        <w:t>.</w:t>
      </w:r>
      <w:r w:rsidR="00C43A67">
        <w:rPr>
          <w:rStyle w:val="FootnoteReference"/>
          <w:szCs w:val="22"/>
        </w:rPr>
        <w:footnoteReference w:id="48"/>
      </w:r>
    </w:p>
    <w:p w14:paraId="3C35F1D2" w14:textId="77777777" w:rsidR="00F24B2D" w:rsidRPr="001F7EE0" w:rsidRDefault="00B8718A" w:rsidP="004D2DAA">
      <w:pPr>
        <w:keepNext/>
        <w:spacing w:after="220"/>
        <w:rPr>
          <w:b/>
          <w:szCs w:val="22"/>
        </w:rPr>
      </w:pPr>
      <w:r w:rsidRPr="001F7EE0">
        <w:rPr>
          <w:b/>
          <w:szCs w:val="22"/>
        </w:rPr>
        <w:t>IV</w:t>
      </w:r>
      <w:r w:rsidR="005766AC" w:rsidRPr="001F7EE0">
        <w:rPr>
          <w:b/>
          <w:szCs w:val="22"/>
        </w:rPr>
        <w:t xml:space="preserve">. </w:t>
      </w:r>
      <w:r w:rsidR="000F3EDF" w:rsidRPr="001F7EE0">
        <w:rPr>
          <w:b/>
          <w:szCs w:val="22"/>
        </w:rPr>
        <w:tab/>
      </w:r>
      <w:r w:rsidR="005766AC" w:rsidRPr="001F7EE0">
        <w:rPr>
          <w:b/>
          <w:szCs w:val="22"/>
        </w:rPr>
        <w:t>ORDERING</w:t>
      </w:r>
      <w:r w:rsidRPr="001F7EE0">
        <w:rPr>
          <w:b/>
          <w:szCs w:val="22"/>
        </w:rPr>
        <w:t xml:space="preserve"> </w:t>
      </w:r>
      <w:r w:rsidRPr="001F7EE0">
        <w:rPr>
          <w:b/>
          <w:caps/>
          <w:szCs w:val="22"/>
        </w:rPr>
        <w:t>Clauses</w:t>
      </w:r>
    </w:p>
    <w:p w14:paraId="7C8AC965" w14:textId="77777777" w:rsidR="00F24B2D" w:rsidRPr="001F7EE0" w:rsidRDefault="00F24B2D" w:rsidP="004D2DAA">
      <w:pPr>
        <w:widowControl/>
        <w:spacing w:after="220"/>
        <w:jc w:val="left"/>
        <w:rPr>
          <w:szCs w:val="22"/>
        </w:rPr>
      </w:pPr>
      <w:r w:rsidRPr="001F7EE0">
        <w:rPr>
          <w:b/>
          <w:szCs w:val="22"/>
        </w:rPr>
        <w:tab/>
      </w:r>
      <w:r w:rsidRPr="001F7EE0">
        <w:rPr>
          <w:szCs w:val="22"/>
        </w:rPr>
        <w:t>1</w:t>
      </w:r>
      <w:r w:rsidR="004509BF" w:rsidRPr="001F7EE0">
        <w:rPr>
          <w:szCs w:val="22"/>
        </w:rPr>
        <w:t>2</w:t>
      </w:r>
      <w:r w:rsidRPr="001F7EE0">
        <w:rPr>
          <w:szCs w:val="22"/>
        </w:rPr>
        <w:t>.</w:t>
      </w:r>
      <w:r w:rsidRPr="001F7EE0">
        <w:rPr>
          <w:b/>
          <w:szCs w:val="22"/>
        </w:rPr>
        <w:tab/>
      </w:r>
      <w:r w:rsidR="00B8718A" w:rsidRPr="001F7EE0">
        <w:rPr>
          <w:szCs w:val="22"/>
        </w:rPr>
        <w:t xml:space="preserve">Accordingly, </w:t>
      </w:r>
      <w:r w:rsidR="00B8718A" w:rsidRPr="001F7EE0">
        <w:rPr>
          <w:b/>
          <w:szCs w:val="22"/>
        </w:rPr>
        <w:t>IT IS ORDERED</w:t>
      </w:r>
      <w:r w:rsidR="00B8718A" w:rsidRPr="001F7EE0">
        <w:rPr>
          <w:szCs w:val="22"/>
        </w:rPr>
        <w:t xml:space="preserve"> that, pursuant to </w:t>
      </w:r>
      <w:r w:rsidR="005A6B77" w:rsidRPr="001F7EE0">
        <w:rPr>
          <w:szCs w:val="22"/>
        </w:rPr>
        <w:t>Section</w:t>
      </w:r>
      <w:r w:rsidR="00B8718A" w:rsidRPr="001F7EE0">
        <w:rPr>
          <w:szCs w:val="22"/>
        </w:rPr>
        <w:t xml:space="preserve"> 503(b) of the </w:t>
      </w:r>
      <w:r w:rsidR="00DA3445" w:rsidRPr="001F7EE0">
        <w:rPr>
          <w:szCs w:val="22"/>
        </w:rPr>
        <w:t xml:space="preserve">Communications </w:t>
      </w:r>
      <w:r w:rsidR="00B8718A" w:rsidRPr="001F7EE0">
        <w:rPr>
          <w:szCs w:val="22"/>
        </w:rPr>
        <w:t>Act</w:t>
      </w:r>
      <w:r w:rsidR="00DA3445" w:rsidRPr="001F7EE0">
        <w:rPr>
          <w:szCs w:val="22"/>
        </w:rPr>
        <w:t xml:space="preserve"> of 1934, as amended</w:t>
      </w:r>
      <w:r w:rsidR="00B8718A" w:rsidRPr="001F7EE0">
        <w:rPr>
          <w:szCs w:val="22"/>
        </w:rPr>
        <w:t xml:space="preserve">, and </w:t>
      </w:r>
      <w:r w:rsidR="005A6B77" w:rsidRPr="001F7EE0">
        <w:rPr>
          <w:szCs w:val="22"/>
        </w:rPr>
        <w:t>Section</w:t>
      </w:r>
      <w:r w:rsidR="00B8718A" w:rsidRPr="001F7EE0">
        <w:rPr>
          <w:szCs w:val="22"/>
        </w:rPr>
        <w:t>s 0.111, 0.311 and 1.80</w:t>
      </w:r>
      <w:r w:rsidR="00F176E9">
        <w:rPr>
          <w:szCs w:val="22"/>
        </w:rPr>
        <w:t>(f)(4)</w:t>
      </w:r>
      <w:r w:rsidR="00B8718A" w:rsidRPr="001F7EE0">
        <w:rPr>
          <w:szCs w:val="22"/>
        </w:rPr>
        <w:t xml:space="preserve"> of the </w:t>
      </w:r>
      <w:r w:rsidR="00DA3445" w:rsidRPr="001F7EE0">
        <w:rPr>
          <w:szCs w:val="22"/>
        </w:rPr>
        <w:t>Commission’s r</w:t>
      </w:r>
      <w:r w:rsidR="00B8718A" w:rsidRPr="001F7EE0">
        <w:rPr>
          <w:szCs w:val="22"/>
        </w:rPr>
        <w:t>ules,</w:t>
      </w:r>
      <w:r w:rsidR="00B8718A" w:rsidRPr="001F7EE0">
        <w:rPr>
          <w:rStyle w:val="FootnoteReference"/>
          <w:szCs w:val="22"/>
        </w:rPr>
        <w:footnoteReference w:id="49"/>
      </w:r>
      <w:r w:rsidR="00B8718A" w:rsidRPr="001F7EE0">
        <w:rPr>
          <w:szCs w:val="22"/>
        </w:rPr>
        <w:t xml:space="preserve"> </w:t>
      </w:r>
      <w:r w:rsidR="00826989" w:rsidRPr="001F7EE0">
        <w:rPr>
          <w:szCs w:val="22"/>
        </w:rPr>
        <w:t>Texas Soaring Association</w:t>
      </w:r>
      <w:r w:rsidR="00A56CD1" w:rsidRPr="001F7EE0">
        <w:rPr>
          <w:szCs w:val="22"/>
        </w:rPr>
        <w:t>,</w:t>
      </w:r>
      <w:r w:rsidR="00826989" w:rsidRPr="001F7EE0">
        <w:rPr>
          <w:szCs w:val="22"/>
        </w:rPr>
        <w:t xml:space="preserve"> Inc. </w:t>
      </w:r>
      <w:r w:rsidR="00B8718A" w:rsidRPr="001F7EE0">
        <w:rPr>
          <w:b/>
          <w:szCs w:val="22"/>
        </w:rPr>
        <w:t>IS LIABLE FOR A MONETARY FORFEITURE</w:t>
      </w:r>
      <w:r w:rsidR="00B8718A" w:rsidRPr="001F7EE0">
        <w:rPr>
          <w:szCs w:val="22"/>
        </w:rPr>
        <w:t xml:space="preserve"> in the amount of </w:t>
      </w:r>
      <w:r w:rsidR="008A1179" w:rsidRPr="001F7EE0">
        <w:rPr>
          <w:szCs w:val="22"/>
        </w:rPr>
        <w:t>nine thousand dollars ($9,0</w:t>
      </w:r>
      <w:r w:rsidR="00B8718A" w:rsidRPr="001F7EE0">
        <w:rPr>
          <w:szCs w:val="22"/>
        </w:rPr>
        <w:t xml:space="preserve">00) for willful and repeated violation of </w:t>
      </w:r>
      <w:r w:rsidR="003D768A" w:rsidRPr="001F7EE0">
        <w:rPr>
          <w:szCs w:val="22"/>
        </w:rPr>
        <w:t>Section 301 of the Communications Act of 1934, as amended and Section 1.903(a) of the Commission’s rules</w:t>
      </w:r>
      <w:r w:rsidR="003D768A" w:rsidRPr="001F7EE0">
        <w:rPr>
          <w:rStyle w:val="FootnoteReference"/>
          <w:szCs w:val="22"/>
        </w:rPr>
        <w:footnoteReference w:id="50"/>
      </w:r>
      <w:r w:rsidR="003D768A" w:rsidRPr="001F7EE0">
        <w:rPr>
          <w:szCs w:val="22"/>
        </w:rPr>
        <w:t xml:space="preserve"> and for willful violation of Section 1.949(a) of the </w:t>
      </w:r>
      <w:r w:rsidR="006F0C36" w:rsidRPr="001F7EE0">
        <w:rPr>
          <w:szCs w:val="22"/>
        </w:rPr>
        <w:t>Commission’s rules</w:t>
      </w:r>
      <w:r w:rsidR="003D768A" w:rsidRPr="001F7EE0">
        <w:rPr>
          <w:szCs w:val="22"/>
        </w:rPr>
        <w:t>.</w:t>
      </w:r>
      <w:r w:rsidR="003D768A" w:rsidRPr="001F7EE0">
        <w:rPr>
          <w:rStyle w:val="FootnoteReference"/>
          <w:szCs w:val="22"/>
        </w:rPr>
        <w:footnoteReference w:id="51"/>
      </w:r>
    </w:p>
    <w:p w14:paraId="735D2C29" w14:textId="57020CE7" w:rsidR="00DA3445" w:rsidRPr="001F7EE0" w:rsidRDefault="00F24B2D" w:rsidP="00F2623D">
      <w:pPr>
        <w:pStyle w:val="ParaNum"/>
        <w:widowControl/>
        <w:numPr>
          <w:ilvl w:val="0"/>
          <w:numId w:val="0"/>
        </w:numPr>
        <w:ind w:firstLine="720"/>
        <w:jc w:val="left"/>
        <w:rPr>
          <w:rFonts w:eastAsia="MS Mincho"/>
          <w:color w:val="000000"/>
          <w:szCs w:val="22"/>
        </w:rPr>
      </w:pPr>
      <w:r w:rsidRPr="001F7EE0">
        <w:rPr>
          <w:szCs w:val="22"/>
        </w:rPr>
        <w:t>1</w:t>
      </w:r>
      <w:r w:rsidR="004509BF" w:rsidRPr="001F7EE0">
        <w:rPr>
          <w:szCs w:val="22"/>
        </w:rPr>
        <w:t>3</w:t>
      </w:r>
      <w:r w:rsidRPr="001F7EE0">
        <w:rPr>
          <w:szCs w:val="22"/>
        </w:rPr>
        <w:t>.</w:t>
      </w:r>
      <w:r w:rsidR="00B8718A" w:rsidRPr="001F7EE0">
        <w:rPr>
          <w:snapToGrid/>
          <w:kern w:val="0"/>
          <w:szCs w:val="22"/>
        </w:rPr>
        <w:tab/>
      </w:r>
      <w:r w:rsidR="00DA3445" w:rsidRPr="001F7EE0">
        <w:rPr>
          <w:rFonts w:eastAsia="MS Mincho"/>
          <w:szCs w:val="22"/>
        </w:rPr>
        <w:t xml:space="preserve">Payment of the forfeiture shall be made in the manner provided for in Section 1.80 of the </w:t>
      </w:r>
      <w:r w:rsidR="008A1179" w:rsidRPr="001F7EE0">
        <w:rPr>
          <w:rFonts w:eastAsia="MS Mincho"/>
          <w:szCs w:val="22"/>
        </w:rPr>
        <w:t>Commission’s r</w:t>
      </w:r>
      <w:r w:rsidR="00DA3445" w:rsidRPr="001F7EE0">
        <w:rPr>
          <w:rFonts w:eastAsia="MS Mincho"/>
          <w:szCs w:val="22"/>
        </w:rPr>
        <w:t>ules within t</w:t>
      </w:r>
      <w:r w:rsidR="00F474C3">
        <w:rPr>
          <w:rFonts w:eastAsia="MS Mincho"/>
          <w:szCs w:val="22"/>
        </w:rPr>
        <w:t>en</w:t>
      </w:r>
      <w:r w:rsidR="00DA3445" w:rsidRPr="001F7EE0">
        <w:rPr>
          <w:rFonts w:eastAsia="MS Mincho"/>
          <w:szCs w:val="22"/>
        </w:rPr>
        <w:t xml:space="preserve"> (</w:t>
      </w:r>
      <w:r w:rsidR="00F474C3">
        <w:rPr>
          <w:rFonts w:eastAsia="MS Mincho"/>
          <w:szCs w:val="22"/>
        </w:rPr>
        <w:t>1</w:t>
      </w:r>
      <w:r w:rsidR="00DA3445" w:rsidRPr="001F7EE0">
        <w:rPr>
          <w:rFonts w:eastAsia="MS Mincho"/>
          <w:szCs w:val="22"/>
        </w:rPr>
        <w:t>0) calendar days after the release date of this Forfeiture Order.</w:t>
      </w:r>
      <w:r w:rsidR="00DA3445" w:rsidRPr="001F7EE0">
        <w:rPr>
          <w:rStyle w:val="FootnoteReference"/>
          <w:rFonts w:eastAsia="MS Mincho"/>
          <w:szCs w:val="22"/>
        </w:rPr>
        <w:footnoteReference w:id="52"/>
      </w:r>
      <w:r w:rsidR="00DA3445" w:rsidRPr="001F7EE0">
        <w:rPr>
          <w:rFonts w:eastAsia="MS Mincho"/>
          <w:szCs w:val="22"/>
        </w:rPr>
        <w:t xml:space="preserve">  If the forfeiture is not paid within the period specified, the case may be referred to the U.S. Department of Justice for enforcement of the forfeiture pursuant to Section 504(a) of the Communications Act of 1934, as amended.</w:t>
      </w:r>
      <w:r w:rsidR="00DA3445" w:rsidRPr="001F7EE0">
        <w:rPr>
          <w:rStyle w:val="FootnoteReference"/>
          <w:rFonts w:eastAsia="MS Mincho"/>
          <w:szCs w:val="22"/>
        </w:rPr>
        <w:footnoteReference w:id="53"/>
      </w:r>
      <w:r w:rsidR="00DA3445" w:rsidRPr="001F7EE0">
        <w:rPr>
          <w:rFonts w:eastAsia="MS Mincho"/>
          <w:szCs w:val="22"/>
        </w:rPr>
        <w:t xml:space="preserve">  Texas Soaring Association, Inc. shall send electronic notification of payment to Nissa Laughner at Nissa.Laughner@fcc.gov, </w:t>
      </w:r>
      <w:r w:rsidR="0094164C" w:rsidRPr="001F7EE0">
        <w:rPr>
          <w:rFonts w:eastAsia="MS Mincho"/>
          <w:szCs w:val="22"/>
        </w:rPr>
        <w:t>Daudeline Meme</w:t>
      </w:r>
      <w:r w:rsidR="00DA3445" w:rsidRPr="001F7EE0">
        <w:rPr>
          <w:rFonts w:eastAsia="MS Mincho"/>
          <w:szCs w:val="22"/>
        </w:rPr>
        <w:t xml:space="preserve"> at </w:t>
      </w:r>
      <w:r w:rsidR="0094164C" w:rsidRPr="001F7EE0">
        <w:rPr>
          <w:rFonts w:eastAsia="MS Mincho"/>
          <w:szCs w:val="22"/>
        </w:rPr>
        <w:t>Daudeline.Meme</w:t>
      </w:r>
      <w:r w:rsidR="00DA3445" w:rsidRPr="001F7EE0">
        <w:rPr>
          <w:rFonts w:eastAsia="MS Mincho"/>
          <w:szCs w:val="22"/>
        </w:rPr>
        <w:t>@fcc.gov, and Samantha Peoples at Sam.Peoples@fcc.gov on the date said payment is made.</w:t>
      </w:r>
    </w:p>
    <w:p w14:paraId="5874267E" w14:textId="77777777" w:rsidR="00DA3445" w:rsidRPr="001F7EE0" w:rsidRDefault="00DA3445" w:rsidP="00F2623D">
      <w:pPr>
        <w:pStyle w:val="ParaNum"/>
        <w:widowControl/>
        <w:numPr>
          <w:ilvl w:val="0"/>
          <w:numId w:val="0"/>
        </w:numPr>
        <w:spacing w:after="120"/>
        <w:ind w:firstLine="720"/>
        <w:jc w:val="left"/>
        <w:rPr>
          <w:rFonts w:eastAsia="MS Mincho"/>
          <w:szCs w:val="22"/>
        </w:rPr>
      </w:pPr>
      <w:r w:rsidRPr="001F7EE0">
        <w:rPr>
          <w:rFonts w:eastAsia="MS Mincho"/>
          <w:szCs w:val="22"/>
        </w:rPr>
        <w:t>1</w:t>
      </w:r>
      <w:r w:rsidR="004509BF" w:rsidRPr="001F7EE0">
        <w:rPr>
          <w:rFonts w:eastAsia="MS Mincho"/>
          <w:szCs w:val="22"/>
        </w:rPr>
        <w:t>4</w:t>
      </w:r>
      <w:r w:rsidRPr="001F7EE0">
        <w:rPr>
          <w:rFonts w:eastAsia="MS Mincho"/>
          <w:szCs w:val="22"/>
        </w:rPr>
        <w:t>.</w:t>
      </w:r>
      <w:r w:rsidRPr="001F7EE0">
        <w:rPr>
          <w:rFonts w:eastAsia="MS Mincho"/>
          <w:szCs w:val="22"/>
        </w:rPr>
        <w:tab/>
        <w:t>The payment must be made by check or similar instrument, wire transfer, or credit card, and must include the NAL/Account number and FRN referenced above.  Regardless of the form of payment, a completed FCC Form 159 (Remittance Advice) must be submitted.</w:t>
      </w:r>
      <w:r w:rsidRPr="001F7EE0">
        <w:rPr>
          <w:rStyle w:val="FootnoteReference"/>
          <w:rFonts w:eastAsia="MS Mincho"/>
          <w:szCs w:val="22"/>
        </w:rPr>
        <w:footnoteReference w:id="54"/>
      </w:r>
      <w:r w:rsidRPr="001F7EE0">
        <w:rPr>
          <w:rFonts w:eastAsia="MS Mincho"/>
          <w:szCs w:val="22"/>
        </w:rPr>
        <w:t xml:space="preserve">  When completing the FCC Form 159, enter the Account Number in block number 23A (call sign/other ID) and enter the letters “FORF” in block number 24A (payment type code).  </w:t>
      </w:r>
      <w:r w:rsidRPr="001F7EE0">
        <w:rPr>
          <w:color w:val="000000"/>
          <w:szCs w:val="22"/>
        </w:rPr>
        <w:t>Below are additional instructions you should follow based on the form of payment you select:</w:t>
      </w:r>
    </w:p>
    <w:p w14:paraId="7AF58484" w14:textId="77777777" w:rsidR="00DA3445" w:rsidRPr="001F7EE0" w:rsidRDefault="00DA3445" w:rsidP="00E47199">
      <w:pPr>
        <w:pStyle w:val="ParaNum"/>
        <w:keepLines/>
        <w:numPr>
          <w:ilvl w:val="0"/>
          <w:numId w:val="11"/>
        </w:numPr>
        <w:spacing w:after="120"/>
        <w:jc w:val="left"/>
        <w:rPr>
          <w:rFonts w:eastAsia="MS Mincho"/>
          <w:szCs w:val="22"/>
        </w:rPr>
      </w:pPr>
      <w:r w:rsidRPr="001F7EE0">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37E9A681" w14:textId="77777777" w:rsidR="00DA3445" w:rsidRPr="001F7EE0" w:rsidRDefault="00DA3445" w:rsidP="004D2DAA">
      <w:pPr>
        <w:pStyle w:val="ParaNum"/>
        <w:keepNext/>
        <w:keepLines/>
        <w:numPr>
          <w:ilvl w:val="0"/>
          <w:numId w:val="11"/>
        </w:numPr>
        <w:spacing w:after="120"/>
        <w:jc w:val="left"/>
        <w:rPr>
          <w:rFonts w:eastAsia="MS Mincho"/>
          <w:szCs w:val="22"/>
        </w:rPr>
      </w:pPr>
      <w:r w:rsidRPr="001F7EE0">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9A561BB" w14:textId="77777777" w:rsidR="00DA3445" w:rsidRPr="001F7EE0" w:rsidRDefault="00DA3445" w:rsidP="00E56D61">
      <w:pPr>
        <w:pStyle w:val="ParaNum"/>
        <w:widowControl/>
        <w:numPr>
          <w:ilvl w:val="0"/>
          <w:numId w:val="11"/>
        </w:numPr>
        <w:jc w:val="left"/>
        <w:rPr>
          <w:rFonts w:eastAsia="MS Mincho"/>
          <w:szCs w:val="22"/>
        </w:rPr>
      </w:pPr>
      <w:r w:rsidRPr="001F7EE0">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78A3059E" w14:textId="04B5CFDD" w:rsidR="00DA3445" w:rsidRPr="001F7EE0" w:rsidRDefault="00DA3445" w:rsidP="00F2623D">
      <w:pPr>
        <w:pStyle w:val="ParaNum"/>
        <w:widowControl/>
        <w:numPr>
          <w:ilvl w:val="0"/>
          <w:numId w:val="0"/>
        </w:numPr>
        <w:ind w:firstLine="720"/>
        <w:jc w:val="left"/>
        <w:rPr>
          <w:rFonts w:eastAsia="MS Mincho"/>
          <w:szCs w:val="22"/>
        </w:rPr>
      </w:pPr>
      <w:r w:rsidRPr="001F7EE0">
        <w:rPr>
          <w:rFonts w:eastAsia="MS Mincho"/>
          <w:szCs w:val="22"/>
        </w:rPr>
        <w:t>1</w:t>
      </w:r>
      <w:r w:rsidR="004509BF" w:rsidRPr="001F7EE0">
        <w:rPr>
          <w:rFonts w:eastAsia="MS Mincho"/>
          <w:szCs w:val="22"/>
        </w:rPr>
        <w:t>5</w:t>
      </w:r>
      <w:r w:rsidRPr="001F7EE0">
        <w:rPr>
          <w:rFonts w:eastAsia="MS Mincho"/>
          <w:szCs w:val="22"/>
        </w:rPr>
        <w:t>.</w:t>
      </w:r>
      <w:r w:rsidRPr="001F7EE0">
        <w:rPr>
          <w:rFonts w:eastAsia="MS Mincho"/>
          <w:szCs w:val="22"/>
        </w:rPr>
        <w:tab/>
        <w:t>Any request for full payment under an installment plan should be sent to:  Chief Financial Officer – Financial Operations, Federal Communications Commission, 445 12th Street, S.W., Room 1-A625, Washington, DC  20554.</w:t>
      </w:r>
      <w:r w:rsidRPr="001F7EE0">
        <w:rPr>
          <w:rStyle w:val="FootnoteReference"/>
          <w:rFonts w:eastAsia="MS Mincho"/>
          <w:szCs w:val="22"/>
        </w:rPr>
        <w:footnoteReference w:id="55"/>
      </w:r>
      <w:r w:rsidRPr="001F7EE0">
        <w:rPr>
          <w:rFonts w:eastAsia="MS Mincho"/>
          <w:szCs w:val="22"/>
        </w:rPr>
        <w:t>  If you have questions regarding payment procedures, please contact the Financial Operations Group Help Desk by phone, 1-877-480-3201, or by e</w:t>
      </w:r>
      <w:r w:rsidRPr="001F7EE0">
        <w:rPr>
          <w:rFonts w:eastAsia="MS Mincho"/>
          <w:szCs w:val="22"/>
        </w:rPr>
        <w:noBreakHyphen/>
        <w:t>mail, ARINQUIRIES@fcc.gov. </w:t>
      </w:r>
    </w:p>
    <w:p w14:paraId="211B7191" w14:textId="7BF04438" w:rsidR="00F24B2D" w:rsidRPr="001F7EE0" w:rsidRDefault="009A771F" w:rsidP="00F2623D">
      <w:pPr>
        <w:jc w:val="left"/>
        <w:rPr>
          <w:snapToGrid/>
          <w:kern w:val="0"/>
          <w:szCs w:val="22"/>
        </w:rPr>
      </w:pPr>
      <w:r w:rsidRPr="001F7EE0">
        <w:rPr>
          <w:snapToGrid/>
          <w:kern w:val="0"/>
          <w:szCs w:val="22"/>
        </w:rPr>
        <w:tab/>
      </w:r>
      <w:r w:rsidR="0065001C" w:rsidRPr="001F7EE0">
        <w:rPr>
          <w:snapToGrid/>
          <w:kern w:val="0"/>
          <w:szCs w:val="22"/>
        </w:rPr>
        <w:t>1</w:t>
      </w:r>
      <w:r w:rsidR="004509BF" w:rsidRPr="001F7EE0">
        <w:rPr>
          <w:snapToGrid/>
          <w:kern w:val="0"/>
          <w:szCs w:val="22"/>
        </w:rPr>
        <w:t>6</w:t>
      </w:r>
      <w:r w:rsidR="0065001C" w:rsidRPr="001F7EE0">
        <w:rPr>
          <w:snapToGrid/>
          <w:kern w:val="0"/>
          <w:szCs w:val="22"/>
        </w:rPr>
        <w:t>.</w:t>
      </w:r>
      <w:r w:rsidR="0065001C" w:rsidRPr="001F7EE0">
        <w:rPr>
          <w:snapToGrid/>
          <w:kern w:val="0"/>
          <w:szCs w:val="22"/>
        </w:rPr>
        <w:tab/>
      </w:r>
      <w:r w:rsidR="00F24B2D" w:rsidRPr="001F7EE0">
        <w:rPr>
          <w:b/>
          <w:szCs w:val="22"/>
        </w:rPr>
        <w:t>IT IS FURTHER ORDERED</w:t>
      </w:r>
      <w:r w:rsidR="00F24B2D" w:rsidRPr="001F7EE0">
        <w:rPr>
          <w:szCs w:val="22"/>
        </w:rPr>
        <w:t xml:space="preserve"> that a copy of this </w:t>
      </w:r>
      <w:r w:rsidR="00DA3445" w:rsidRPr="001F7EE0">
        <w:rPr>
          <w:szCs w:val="22"/>
        </w:rPr>
        <w:t>Forfeiture Order</w:t>
      </w:r>
      <w:r w:rsidR="00F24B2D" w:rsidRPr="001F7EE0">
        <w:rPr>
          <w:i/>
          <w:szCs w:val="22"/>
        </w:rPr>
        <w:t xml:space="preserve"> </w:t>
      </w:r>
      <w:r w:rsidR="00F24B2D" w:rsidRPr="001F7EE0">
        <w:rPr>
          <w:szCs w:val="22"/>
        </w:rPr>
        <w:t xml:space="preserve">shall be sent by first class mail and certified mail return receipt requested to </w:t>
      </w:r>
      <w:r w:rsidR="00AE4BD0" w:rsidRPr="00AE4BD0">
        <w:rPr>
          <w:szCs w:val="22"/>
        </w:rPr>
        <w:t>Phil</w:t>
      </w:r>
      <w:r w:rsidR="00440591">
        <w:rPr>
          <w:szCs w:val="22"/>
        </w:rPr>
        <w:t>lip C.</w:t>
      </w:r>
      <w:r w:rsidR="00AE4BD0" w:rsidRPr="00AE4BD0">
        <w:rPr>
          <w:szCs w:val="22"/>
        </w:rPr>
        <w:t xml:space="preserve"> Umphres</w:t>
      </w:r>
      <w:r w:rsidR="00AE4BD0">
        <w:rPr>
          <w:szCs w:val="22"/>
        </w:rPr>
        <w:t>, President</w:t>
      </w:r>
      <w:r w:rsidR="00440591">
        <w:rPr>
          <w:szCs w:val="22"/>
        </w:rPr>
        <w:t>,</w:t>
      </w:r>
      <w:r w:rsidR="00AE4BD0">
        <w:rPr>
          <w:szCs w:val="22"/>
        </w:rPr>
        <w:t xml:space="preserve"> and </w:t>
      </w:r>
      <w:r w:rsidR="00AE4BD0" w:rsidRPr="00AE4BD0">
        <w:rPr>
          <w:szCs w:val="22"/>
        </w:rPr>
        <w:t>Sherman Griffith</w:t>
      </w:r>
      <w:r w:rsidR="00AE4BD0">
        <w:rPr>
          <w:szCs w:val="22"/>
        </w:rPr>
        <w:t xml:space="preserve">, </w:t>
      </w:r>
      <w:r w:rsidR="00AE4BD0" w:rsidRPr="00AE4BD0">
        <w:rPr>
          <w:szCs w:val="22"/>
        </w:rPr>
        <w:t>President-Elect</w:t>
      </w:r>
      <w:r w:rsidR="00873F3C" w:rsidRPr="001F7EE0">
        <w:rPr>
          <w:szCs w:val="22"/>
        </w:rPr>
        <w:t>, Texas Soaring Assoc</w:t>
      </w:r>
      <w:r w:rsidR="00D07F38" w:rsidRPr="001F7EE0">
        <w:rPr>
          <w:szCs w:val="22"/>
        </w:rPr>
        <w:t>iation, Inc., 9270 Singleton Road</w:t>
      </w:r>
      <w:r w:rsidR="00873F3C" w:rsidRPr="001F7EE0">
        <w:rPr>
          <w:szCs w:val="22"/>
        </w:rPr>
        <w:t>, P</w:t>
      </w:r>
      <w:r w:rsidR="00986EA9" w:rsidRPr="001F7EE0">
        <w:rPr>
          <w:szCs w:val="22"/>
        </w:rPr>
        <w:t>.</w:t>
      </w:r>
      <w:r w:rsidR="00873F3C" w:rsidRPr="001F7EE0">
        <w:rPr>
          <w:szCs w:val="22"/>
        </w:rPr>
        <w:t>O</w:t>
      </w:r>
      <w:r w:rsidR="00986EA9" w:rsidRPr="001F7EE0">
        <w:rPr>
          <w:szCs w:val="22"/>
        </w:rPr>
        <w:t>.</w:t>
      </w:r>
      <w:r w:rsidR="00873F3C" w:rsidRPr="001F7EE0">
        <w:rPr>
          <w:szCs w:val="22"/>
        </w:rPr>
        <w:t xml:space="preserve"> Box 1069, Midlothian, TX </w:t>
      </w:r>
      <w:r w:rsidR="002E1BB4" w:rsidRPr="001F7EE0">
        <w:rPr>
          <w:szCs w:val="22"/>
        </w:rPr>
        <w:t xml:space="preserve"> </w:t>
      </w:r>
      <w:r w:rsidR="00873F3C" w:rsidRPr="001F7EE0">
        <w:rPr>
          <w:szCs w:val="22"/>
        </w:rPr>
        <w:t>76065</w:t>
      </w:r>
      <w:r w:rsidR="009E46FE" w:rsidRPr="001F7EE0">
        <w:rPr>
          <w:szCs w:val="22"/>
        </w:rPr>
        <w:t>,</w:t>
      </w:r>
      <w:r w:rsidR="00892515" w:rsidRPr="001F7EE0">
        <w:rPr>
          <w:szCs w:val="22"/>
        </w:rPr>
        <w:t xml:space="preserve"> and to </w:t>
      </w:r>
      <w:r w:rsidR="00F24B2D" w:rsidRPr="001F7EE0">
        <w:rPr>
          <w:szCs w:val="22"/>
        </w:rPr>
        <w:t xml:space="preserve">Phillip C. Umphres, </w:t>
      </w:r>
      <w:r w:rsidR="00966D47">
        <w:rPr>
          <w:szCs w:val="22"/>
        </w:rPr>
        <w:t>The Law Office of Phillip C. Umphres</w:t>
      </w:r>
      <w:r w:rsidR="00F24B2D" w:rsidRPr="001F7EE0">
        <w:rPr>
          <w:szCs w:val="22"/>
        </w:rPr>
        <w:t xml:space="preserve">, </w:t>
      </w:r>
      <w:r w:rsidR="00A96463" w:rsidRPr="001F7EE0">
        <w:rPr>
          <w:szCs w:val="22"/>
        </w:rPr>
        <w:t>Counsel for Texas Soaring Association, Inc.,</w:t>
      </w:r>
      <w:r w:rsidR="00AC3E8B" w:rsidRPr="001F7EE0">
        <w:rPr>
          <w:szCs w:val="22"/>
        </w:rPr>
        <w:t xml:space="preserve"> </w:t>
      </w:r>
      <w:r w:rsidR="00966D47">
        <w:rPr>
          <w:szCs w:val="22"/>
        </w:rPr>
        <w:t xml:space="preserve">2600 State Street, Dallas TX </w:t>
      </w:r>
      <w:r w:rsidR="009E46FE" w:rsidRPr="001F7EE0">
        <w:rPr>
          <w:szCs w:val="22"/>
        </w:rPr>
        <w:t>7520</w:t>
      </w:r>
      <w:r w:rsidR="00966D47">
        <w:rPr>
          <w:szCs w:val="22"/>
        </w:rPr>
        <w:t>4</w:t>
      </w:r>
      <w:r w:rsidR="009E46FE" w:rsidRPr="001F7EE0">
        <w:rPr>
          <w:szCs w:val="22"/>
        </w:rPr>
        <w:t>.</w:t>
      </w:r>
    </w:p>
    <w:p w14:paraId="34E08232" w14:textId="77777777" w:rsidR="00B8718A" w:rsidRPr="001F7EE0" w:rsidRDefault="00B8718A" w:rsidP="00F24B2D">
      <w:pPr>
        <w:rPr>
          <w:b/>
          <w:szCs w:val="22"/>
        </w:rPr>
      </w:pPr>
    </w:p>
    <w:p w14:paraId="23EF8CAF" w14:textId="5B251943" w:rsidR="00B8718A" w:rsidRPr="001F7EE0" w:rsidRDefault="00B8718A">
      <w:pPr>
        <w:pStyle w:val="ParaNum"/>
        <w:keepLines/>
        <w:widowControl/>
        <w:numPr>
          <w:ilvl w:val="0"/>
          <w:numId w:val="0"/>
        </w:numPr>
        <w:rPr>
          <w:szCs w:val="22"/>
        </w:rPr>
      </w:pPr>
    </w:p>
    <w:p w14:paraId="37F4EB38" w14:textId="77777777" w:rsidR="00B8718A" w:rsidRPr="001F7EE0" w:rsidRDefault="00B8718A">
      <w:pPr>
        <w:pStyle w:val="Paranum0"/>
        <w:numPr>
          <w:ilvl w:val="0"/>
          <w:numId w:val="0"/>
        </w:numPr>
        <w:rPr>
          <w:szCs w:val="22"/>
        </w:rPr>
      </w:pPr>
      <w:r w:rsidRPr="001F7EE0">
        <w:rPr>
          <w:szCs w:val="22"/>
        </w:rPr>
        <w:tab/>
      </w:r>
      <w:r w:rsidRPr="001F7EE0">
        <w:rPr>
          <w:szCs w:val="22"/>
        </w:rPr>
        <w:tab/>
      </w:r>
      <w:r w:rsidRPr="001F7EE0">
        <w:rPr>
          <w:szCs w:val="22"/>
        </w:rPr>
        <w:tab/>
      </w:r>
      <w:r w:rsidRPr="001F7EE0">
        <w:rPr>
          <w:szCs w:val="22"/>
        </w:rPr>
        <w:tab/>
        <w:t>FEDERAL COMMUNICATIONS COMMISSION</w:t>
      </w:r>
    </w:p>
    <w:p w14:paraId="49F08E6C" w14:textId="77777777" w:rsidR="00B8718A" w:rsidRPr="001F7EE0" w:rsidRDefault="00B8718A">
      <w:pPr>
        <w:tabs>
          <w:tab w:val="left" w:pos="0"/>
        </w:tabs>
        <w:suppressAutoHyphens/>
        <w:spacing w:line="240" w:lineRule="atLeast"/>
        <w:rPr>
          <w:szCs w:val="22"/>
        </w:rPr>
      </w:pPr>
    </w:p>
    <w:p w14:paraId="2C949F3A" w14:textId="77777777" w:rsidR="00B8718A" w:rsidRPr="001F7EE0" w:rsidRDefault="00B8718A">
      <w:pPr>
        <w:tabs>
          <w:tab w:val="left" w:pos="0"/>
        </w:tabs>
        <w:suppressAutoHyphens/>
        <w:spacing w:line="240" w:lineRule="atLeast"/>
        <w:rPr>
          <w:szCs w:val="22"/>
        </w:rPr>
      </w:pPr>
    </w:p>
    <w:p w14:paraId="5CAD2D50" w14:textId="77777777" w:rsidR="00B8718A" w:rsidRPr="001F7EE0" w:rsidRDefault="00B8718A">
      <w:pPr>
        <w:tabs>
          <w:tab w:val="left" w:pos="0"/>
        </w:tabs>
        <w:suppressAutoHyphens/>
        <w:spacing w:line="240" w:lineRule="atLeast"/>
        <w:rPr>
          <w:szCs w:val="22"/>
        </w:rPr>
      </w:pPr>
    </w:p>
    <w:p w14:paraId="7AB04D92" w14:textId="77777777" w:rsidR="00B8718A" w:rsidRPr="001F7EE0" w:rsidRDefault="00B8718A">
      <w:pPr>
        <w:tabs>
          <w:tab w:val="left" w:pos="0"/>
        </w:tabs>
        <w:suppressAutoHyphens/>
        <w:spacing w:line="240" w:lineRule="atLeast"/>
        <w:rPr>
          <w:szCs w:val="22"/>
        </w:rPr>
      </w:pPr>
      <w:r w:rsidRPr="001F7EE0">
        <w:rPr>
          <w:szCs w:val="22"/>
        </w:rPr>
        <w:tab/>
      </w:r>
      <w:r w:rsidRPr="001F7EE0">
        <w:rPr>
          <w:szCs w:val="22"/>
        </w:rPr>
        <w:tab/>
      </w:r>
      <w:r w:rsidRPr="001F7EE0">
        <w:rPr>
          <w:szCs w:val="22"/>
        </w:rPr>
        <w:tab/>
      </w:r>
      <w:r w:rsidRPr="001F7EE0">
        <w:rPr>
          <w:szCs w:val="22"/>
        </w:rPr>
        <w:tab/>
      </w:r>
      <w:r w:rsidRPr="001F7EE0">
        <w:rPr>
          <w:szCs w:val="22"/>
        </w:rPr>
        <w:tab/>
      </w:r>
      <w:r w:rsidR="0065001C" w:rsidRPr="001F7EE0">
        <w:rPr>
          <w:szCs w:val="22"/>
        </w:rPr>
        <w:t>John D. Poutasse</w:t>
      </w:r>
    </w:p>
    <w:p w14:paraId="589CCF60" w14:textId="77777777" w:rsidR="00B8718A" w:rsidRPr="001F7EE0" w:rsidRDefault="00B8718A">
      <w:pPr>
        <w:rPr>
          <w:szCs w:val="22"/>
        </w:rPr>
      </w:pPr>
      <w:r w:rsidRPr="001F7EE0">
        <w:rPr>
          <w:szCs w:val="22"/>
        </w:rPr>
        <w:tab/>
      </w:r>
      <w:r w:rsidRPr="001F7EE0">
        <w:rPr>
          <w:szCs w:val="22"/>
        </w:rPr>
        <w:tab/>
      </w:r>
      <w:r w:rsidRPr="001F7EE0">
        <w:rPr>
          <w:szCs w:val="22"/>
        </w:rPr>
        <w:tab/>
      </w:r>
      <w:r w:rsidRPr="001F7EE0">
        <w:rPr>
          <w:szCs w:val="22"/>
        </w:rPr>
        <w:tab/>
      </w:r>
      <w:r w:rsidRPr="001F7EE0">
        <w:rPr>
          <w:szCs w:val="22"/>
        </w:rPr>
        <w:tab/>
        <w:t>Chief, Spectrum Enforcement Division</w:t>
      </w:r>
    </w:p>
    <w:p w14:paraId="12CC811A" w14:textId="77777777" w:rsidR="00B8718A" w:rsidRPr="001F7EE0" w:rsidRDefault="00B8718A">
      <w:pPr>
        <w:ind w:left="2880" w:firstLine="720"/>
        <w:rPr>
          <w:szCs w:val="22"/>
        </w:rPr>
      </w:pPr>
      <w:r w:rsidRPr="001F7EE0">
        <w:rPr>
          <w:szCs w:val="22"/>
        </w:rPr>
        <w:t>Enforcement Bureau</w:t>
      </w:r>
    </w:p>
    <w:sectPr w:rsidR="00B8718A" w:rsidRPr="001F7EE0" w:rsidSect="00E57C3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C34F1" w14:textId="77777777" w:rsidR="00534D4C" w:rsidRDefault="00534D4C">
      <w:pPr>
        <w:spacing w:line="20" w:lineRule="exact"/>
      </w:pPr>
    </w:p>
  </w:endnote>
  <w:endnote w:type="continuationSeparator" w:id="0">
    <w:p w14:paraId="6B6475B7" w14:textId="77777777" w:rsidR="00534D4C" w:rsidRDefault="00534D4C">
      <w:r>
        <w:t xml:space="preserve"> </w:t>
      </w:r>
    </w:p>
  </w:endnote>
  <w:endnote w:type="continuationNotice" w:id="1">
    <w:p w14:paraId="3E47B988" w14:textId="77777777" w:rsidR="00534D4C" w:rsidRDefault="00534D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3B9C" w14:textId="77777777" w:rsidR="00882A69" w:rsidRDefault="00882A69">
    <w:pPr>
      <w:pStyle w:val="Footer"/>
      <w:framePr w:wrap="around" w:vAnchor="text" w:hAnchor="margin" w:xAlign="center" w:y="1"/>
    </w:pPr>
    <w:r>
      <w:fldChar w:fldCharType="begin"/>
    </w:r>
    <w:r>
      <w:instrText xml:space="preserve">PAGE  </w:instrText>
    </w:r>
    <w:r>
      <w:fldChar w:fldCharType="end"/>
    </w:r>
  </w:p>
  <w:p w14:paraId="3C2F7ECD" w14:textId="77777777" w:rsidR="00882A69" w:rsidRDefault="00882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960D" w14:textId="77777777" w:rsidR="00882A69" w:rsidRDefault="00882A69">
    <w:pPr>
      <w:pStyle w:val="Footer"/>
      <w:framePr w:wrap="around" w:vAnchor="text" w:hAnchor="margin" w:xAlign="center" w:y="1"/>
    </w:pPr>
    <w:r>
      <w:fldChar w:fldCharType="begin"/>
    </w:r>
    <w:r>
      <w:instrText xml:space="preserve">PAGE  </w:instrText>
    </w:r>
    <w:r>
      <w:fldChar w:fldCharType="separate"/>
    </w:r>
    <w:r w:rsidR="00041286">
      <w:rPr>
        <w:noProof/>
      </w:rPr>
      <w:t>3</w:t>
    </w:r>
    <w:r>
      <w:rPr>
        <w:noProof/>
      </w:rPr>
      <w:fldChar w:fldCharType="end"/>
    </w:r>
  </w:p>
  <w:p w14:paraId="42984F95" w14:textId="77777777" w:rsidR="00882A69" w:rsidRDefault="00882A69">
    <w:pPr>
      <w:jc w:val="center"/>
      <w:rPr>
        <w:b/>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A857" w14:textId="77777777" w:rsidR="00454E4B" w:rsidRDefault="0045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C3A27" w14:textId="77777777" w:rsidR="00534D4C" w:rsidRDefault="00534D4C">
      <w:r>
        <w:separator/>
      </w:r>
    </w:p>
  </w:footnote>
  <w:footnote w:type="continuationSeparator" w:id="0">
    <w:p w14:paraId="5C58F0EB" w14:textId="77777777" w:rsidR="00534D4C" w:rsidRDefault="00534D4C">
      <w:pPr>
        <w:rPr>
          <w:sz w:val="20"/>
        </w:rPr>
      </w:pPr>
      <w:r>
        <w:rPr>
          <w:sz w:val="20"/>
        </w:rPr>
        <w:t xml:space="preserve">(continued from previous page . . . ) </w:t>
      </w:r>
      <w:r>
        <w:rPr>
          <w:sz w:val="20"/>
        </w:rPr>
        <w:separator/>
      </w:r>
    </w:p>
  </w:footnote>
  <w:footnote w:type="continuationNotice" w:id="1">
    <w:p w14:paraId="5B09AFC9" w14:textId="77777777" w:rsidR="00534D4C" w:rsidRDefault="00534D4C">
      <w:pPr>
        <w:rPr>
          <w:sz w:val="20"/>
        </w:rPr>
      </w:pPr>
      <w:r>
        <w:rPr>
          <w:sz w:val="20"/>
        </w:rPr>
        <w:t>(continued . . . )</w:t>
      </w:r>
    </w:p>
  </w:footnote>
  <w:footnote w:id="2">
    <w:p w14:paraId="4A817326" w14:textId="4CDC60E4" w:rsidR="00882A69" w:rsidRPr="00FF5CB4" w:rsidRDefault="00882A69" w:rsidP="00FF5CB4">
      <w:pPr>
        <w:pStyle w:val="FootnoteText"/>
        <w:spacing w:after="120"/>
        <w:ind w:right="0" w:firstLine="0"/>
      </w:pPr>
      <w:r w:rsidRPr="00FF5CB4">
        <w:rPr>
          <w:rStyle w:val="FootnoteReference"/>
          <w:sz w:val="20"/>
        </w:rPr>
        <w:footnoteRef/>
      </w:r>
      <w:r w:rsidRPr="00FF5CB4">
        <w:t xml:space="preserve"> Although this investigation was initiated and the </w:t>
      </w:r>
      <w:r w:rsidRPr="00FF5CB4">
        <w:rPr>
          <w:i/>
        </w:rPr>
        <w:t>Notice of Apparent Liability for Forfeiture</w:t>
      </w:r>
      <w:r w:rsidRPr="00FF5CB4">
        <w:t xml:space="preserve"> was issued under File No. EB-08-SE-722, the investigation was subsequently assigned to File No. </w:t>
      </w:r>
      <w:r w:rsidR="001825D1" w:rsidRPr="00FF5CB4">
        <w:t>EB-SED-13-00009045</w:t>
      </w:r>
      <w:r w:rsidRPr="00FF5CB4">
        <w:rPr>
          <w:spacing w:val="-2"/>
          <w:lang w:val="es-ES_tradnl"/>
        </w:rPr>
        <w:t xml:space="preserve">.  </w:t>
      </w:r>
    </w:p>
  </w:footnote>
  <w:footnote w:id="3">
    <w:p w14:paraId="632B5530"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47 U.S.C. § 301; 47 C.F.R. § 1.903(a).</w:t>
      </w:r>
    </w:p>
  </w:footnote>
  <w:footnote w:id="4">
    <w:p w14:paraId="10701138" w14:textId="7B0C7249" w:rsidR="00882A69" w:rsidRPr="00FF5CB4" w:rsidRDefault="00882A69" w:rsidP="00FF5CB4">
      <w:pPr>
        <w:pStyle w:val="FootnoteText"/>
        <w:spacing w:after="120"/>
        <w:ind w:right="0" w:firstLine="0"/>
      </w:pPr>
      <w:r w:rsidRPr="00FF5CB4">
        <w:rPr>
          <w:rStyle w:val="FootnoteReference"/>
          <w:sz w:val="20"/>
        </w:rPr>
        <w:footnoteRef/>
      </w:r>
      <w:r w:rsidRPr="00FF5CB4">
        <w:t xml:space="preserve"> 47 C.F.R. § 1.949(a); </w:t>
      </w:r>
      <w:r w:rsidRPr="00FF5CB4">
        <w:rPr>
          <w:i/>
        </w:rPr>
        <w:t>see also Biennial Regulatory Review – Amendment of Parts 0, 1, 13, 22, 24, 26, 27, 80, 87, 90, 95, 97, and 101 of the Commission’s Rules to Facilitate the Development and Use of the Universal Licensing System in the Wireless Telecommunications Services</w:t>
      </w:r>
      <w:r w:rsidRPr="00FF5CB4">
        <w:t xml:space="preserve">, </w:t>
      </w:r>
      <w:r w:rsidR="009A6AEC" w:rsidRPr="00FF5CB4">
        <w:t xml:space="preserve">Report and Order, </w:t>
      </w:r>
      <w:r w:rsidRPr="00FF5CB4">
        <w:t>13 FCC Rcd 21027, 21071, para. 96 (1998) (</w:t>
      </w:r>
      <w:r w:rsidRPr="00FF5CB4">
        <w:rPr>
          <w:i/>
        </w:rPr>
        <w:t>Universal Licensing System Report and Order</w:t>
      </w:r>
      <w:r w:rsidRPr="00FF5CB4">
        <w:t xml:space="preserve">) (adopting </w:t>
      </w:r>
      <w:r w:rsidRPr="00FF5CB4">
        <w:rPr>
          <w:i/>
        </w:rPr>
        <w:t>inter alia</w:t>
      </w:r>
      <w:r w:rsidRPr="00FF5CB4">
        <w:t xml:space="preserve"> Section 1.949 of the Rules); Memorandum Opinion and Order on Reconsideration, 14 FCC Rcd 11476, 11485–86, para. 22 (1999) (</w:t>
      </w:r>
      <w:r w:rsidRPr="00FF5CB4">
        <w:rPr>
          <w:i/>
        </w:rPr>
        <w:t>Universal Licensing System MO&amp;O</w:t>
      </w:r>
      <w:r w:rsidRPr="00FF5CB4">
        <w:t xml:space="preserve">) (collectively, </w:t>
      </w:r>
      <w:r w:rsidRPr="00FF5CB4">
        <w:rPr>
          <w:i/>
        </w:rPr>
        <w:t>Universal Licensing System Orders</w:t>
      </w:r>
      <w:r w:rsidRPr="00FF5CB4">
        <w:t>).</w:t>
      </w:r>
    </w:p>
  </w:footnote>
  <w:footnote w:id="5">
    <w:p w14:paraId="365151B5" w14:textId="77777777" w:rsidR="00882A69" w:rsidRPr="00FF5CB4" w:rsidRDefault="00882A69" w:rsidP="00FF5CB4">
      <w:pPr>
        <w:pStyle w:val="FootnoteText"/>
        <w:tabs>
          <w:tab w:val="clear" w:pos="720"/>
        </w:tabs>
        <w:spacing w:after="120"/>
        <w:ind w:right="0" w:firstLine="0"/>
      </w:pPr>
      <w:r w:rsidRPr="00FF5CB4">
        <w:rPr>
          <w:rStyle w:val="FootnoteReference"/>
          <w:sz w:val="20"/>
        </w:rPr>
        <w:footnoteRef/>
      </w:r>
      <w:r w:rsidRPr="00FF5CB4">
        <w:t xml:space="preserve"> </w:t>
      </w:r>
      <w:r w:rsidRPr="00FF5CB4">
        <w:rPr>
          <w:i/>
        </w:rPr>
        <w:t>Tex. Soaring Ass’n, Inc</w:t>
      </w:r>
      <w:r w:rsidRPr="00FF5CB4">
        <w:t>., Notice of Apparent Liability for Forfeiture, 24 FCC Rcd 7638 (Enf. Bur. 2009) (</w:t>
      </w:r>
      <w:r w:rsidRPr="00FF5CB4">
        <w:rPr>
          <w:i/>
        </w:rPr>
        <w:t>NAL</w:t>
      </w:r>
      <w:r w:rsidRPr="00FF5CB4">
        <w:t xml:space="preserve">).  </w:t>
      </w:r>
    </w:p>
  </w:footnote>
  <w:footnote w:id="6">
    <w:p w14:paraId="68B867B7" w14:textId="27BCABF8"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 id.</w:t>
      </w:r>
      <w:r w:rsidRPr="00FF5CB4">
        <w:t xml:space="preserve"> at 7639–40, paras. 4, 6.  The license for station KSC8 was cancelled on November 23, 2003.  </w:t>
      </w:r>
      <w:r w:rsidRPr="00FF5CB4">
        <w:rPr>
          <w:i/>
        </w:rPr>
        <w:t xml:space="preserve">See </w:t>
      </w:r>
      <w:r w:rsidRPr="00FF5CB4">
        <w:t xml:space="preserve">Universal Licensing System (ULS) archived license record for Texas Soaring Association Inc. under call sign KSC8.  </w:t>
      </w:r>
      <w:r w:rsidRPr="00FF5CB4">
        <w:rPr>
          <w:i/>
        </w:rPr>
        <w:t>See also</w:t>
      </w:r>
      <w:r w:rsidRPr="00FF5CB4">
        <w:t xml:space="preserve"> ULS File No. 0003596329 (granting a license to TSA under call sign WQJJ668).</w:t>
      </w:r>
    </w:p>
  </w:footnote>
  <w:footnote w:id="7">
    <w:p w14:paraId="056FC4F4" w14:textId="77777777" w:rsidR="00882A69" w:rsidRPr="00FF5CB4" w:rsidRDefault="00882A69" w:rsidP="00FF5CB4">
      <w:pPr>
        <w:pStyle w:val="FootnoteText"/>
        <w:tabs>
          <w:tab w:val="clear" w:pos="720"/>
        </w:tabs>
        <w:spacing w:after="120"/>
        <w:ind w:right="0" w:firstLine="0"/>
      </w:pPr>
      <w:r w:rsidRPr="00FF5CB4">
        <w:rPr>
          <w:rStyle w:val="FootnoteReference"/>
          <w:sz w:val="20"/>
        </w:rPr>
        <w:footnoteRef/>
      </w:r>
      <w:r w:rsidRPr="00FF5CB4">
        <w:t xml:space="preserve"> </w:t>
      </w:r>
      <w:r w:rsidRPr="00FF5CB4">
        <w:rPr>
          <w:i/>
        </w:rPr>
        <w:t>See NAL</w:t>
      </w:r>
      <w:r w:rsidRPr="00FF5CB4">
        <w:t>, 24 FCC Rcd at 7639–40, para. 6.</w:t>
      </w:r>
    </w:p>
  </w:footnote>
  <w:footnote w:id="8">
    <w:p w14:paraId="2BE38694" w14:textId="0E64A130" w:rsidR="00882A69" w:rsidRPr="00FF5CB4" w:rsidRDefault="00882A69" w:rsidP="00FF5CB4">
      <w:pPr>
        <w:widowControl/>
        <w:spacing w:after="120"/>
        <w:jc w:val="left"/>
        <w:rPr>
          <w:snapToGrid/>
          <w:kern w:val="0"/>
          <w:sz w:val="20"/>
        </w:rPr>
      </w:pPr>
      <w:r w:rsidRPr="00FF5CB4">
        <w:rPr>
          <w:rStyle w:val="FootnoteReference"/>
          <w:sz w:val="20"/>
        </w:rPr>
        <w:footnoteRef/>
      </w:r>
      <w:r w:rsidRPr="00FF5CB4">
        <w:rPr>
          <w:sz w:val="20"/>
        </w:rPr>
        <w:t xml:space="preserve"> </w:t>
      </w:r>
      <w:r w:rsidRPr="00FF5CB4">
        <w:rPr>
          <w:i/>
          <w:sz w:val="20"/>
        </w:rPr>
        <w:t>See id.</w:t>
      </w:r>
      <w:r w:rsidRPr="00FF5CB4">
        <w:rPr>
          <w:sz w:val="20"/>
        </w:rPr>
        <w:t xml:space="preserve"> at 7641, para. 11</w:t>
      </w:r>
      <w:r w:rsidR="00C03DC4" w:rsidRPr="00FF5CB4">
        <w:rPr>
          <w:sz w:val="20"/>
        </w:rPr>
        <w:t xml:space="preserve"> (</w:t>
      </w:r>
      <w:r w:rsidRPr="00FF5CB4">
        <w:rPr>
          <w:sz w:val="20"/>
        </w:rPr>
        <w:t>reduc</w:t>
      </w:r>
      <w:r w:rsidR="00C03DC4" w:rsidRPr="00FF5CB4">
        <w:rPr>
          <w:sz w:val="20"/>
        </w:rPr>
        <w:t>ing</w:t>
      </w:r>
      <w:r w:rsidRPr="00FF5CB4">
        <w:rPr>
          <w:sz w:val="20"/>
        </w:rPr>
        <w:t xml:space="preserve"> the proposed base forfeiture specified in Section 1.80 of the Rules, 47 C.F.R. § 1.80, for unauthorized operations from $10,000 to $6,000 based on TSA’s status as a former licensee, reasoning that a former licensee is </w:t>
      </w:r>
      <w:r w:rsidRPr="00FF5CB4">
        <w:rPr>
          <w:snapToGrid/>
          <w:kern w:val="0"/>
          <w:sz w:val="20"/>
        </w:rPr>
        <w:t>in better stead than a “pirate” operator who lacks prior Commission authority to operate</w:t>
      </w:r>
      <w:r w:rsidR="00C03DC4" w:rsidRPr="00FF5CB4">
        <w:rPr>
          <w:snapToGrid/>
          <w:kern w:val="0"/>
          <w:sz w:val="20"/>
        </w:rPr>
        <w:t>).</w:t>
      </w:r>
      <w:r w:rsidRPr="00FF5CB4">
        <w:rPr>
          <w:snapToGrid/>
          <w:kern w:val="0"/>
          <w:sz w:val="20"/>
        </w:rPr>
        <w:t xml:space="preserve">  We have since found that these reduced forfeiture amounts fail to adequately incentivize licensees to monitor their license expiration dates and to adopt appropriate procedures to ensure substantial compliance, and accordingly, have declined to reduce forfeiture amounts on this basis.  </w:t>
      </w:r>
      <w:r w:rsidRPr="00FF5CB4">
        <w:rPr>
          <w:i/>
          <w:snapToGrid/>
          <w:kern w:val="0"/>
          <w:sz w:val="20"/>
        </w:rPr>
        <w:t>See, e.g., BASF Corp.,</w:t>
      </w:r>
      <w:r w:rsidRPr="00FF5CB4">
        <w:rPr>
          <w:kern w:val="0"/>
          <w:sz w:val="20"/>
        </w:rPr>
        <w:t xml:space="preserve"> </w:t>
      </w:r>
      <w:r w:rsidRPr="00FF5CB4">
        <w:rPr>
          <w:snapToGrid/>
          <w:kern w:val="0"/>
          <w:sz w:val="20"/>
        </w:rPr>
        <w:t>Notice of Apparent Liability for Forfeiture,</w:t>
      </w:r>
      <w:r w:rsidRPr="00FF5CB4">
        <w:rPr>
          <w:i/>
          <w:snapToGrid/>
          <w:kern w:val="0"/>
          <w:sz w:val="20"/>
        </w:rPr>
        <w:t xml:space="preserve"> </w:t>
      </w:r>
      <w:r w:rsidRPr="00FF5CB4">
        <w:rPr>
          <w:snapToGrid/>
          <w:kern w:val="0"/>
          <w:sz w:val="20"/>
        </w:rPr>
        <w:t>25 FCC Rcd 17300, 17303, para. 10 (Enf. Bur. 2010) (</w:t>
      </w:r>
      <w:r w:rsidRPr="00FF5CB4">
        <w:rPr>
          <w:i/>
          <w:snapToGrid/>
          <w:kern w:val="0"/>
          <w:sz w:val="20"/>
        </w:rPr>
        <w:t>BASF</w:t>
      </w:r>
      <w:r w:rsidRPr="00FF5CB4">
        <w:rPr>
          <w:snapToGrid/>
          <w:kern w:val="0"/>
          <w:sz w:val="20"/>
        </w:rPr>
        <w:t xml:space="preserve">) (forfeiture paid); </w:t>
      </w:r>
      <w:r w:rsidRPr="00FF5CB4">
        <w:rPr>
          <w:i/>
          <w:snapToGrid/>
          <w:kern w:val="0"/>
          <w:sz w:val="20"/>
        </w:rPr>
        <w:t>Call Mobile, Inc</w:t>
      </w:r>
      <w:r w:rsidRPr="00FF5CB4">
        <w:rPr>
          <w:snapToGrid/>
          <w:kern w:val="0"/>
          <w:sz w:val="20"/>
        </w:rPr>
        <w:t>., Notice of Apparent Liability for Forfeiture, 26 FCC Rcd 74, 76–77, para. 11 (Enf. Bur. 2011) (</w:t>
      </w:r>
      <w:r w:rsidRPr="00FF5CB4">
        <w:rPr>
          <w:i/>
          <w:snapToGrid/>
          <w:kern w:val="0"/>
          <w:sz w:val="20"/>
        </w:rPr>
        <w:t>Call Mobile</w:t>
      </w:r>
      <w:r w:rsidRPr="00FF5CB4">
        <w:rPr>
          <w:snapToGrid/>
          <w:kern w:val="0"/>
          <w:sz w:val="20"/>
        </w:rPr>
        <w:t>) (response pending).</w:t>
      </w:r>
    </w:p>
  </w:footnote>
  <w:footnote w:id="9">
    <w:p w14:paraId="52AEAF9C" w14:textId="458867C2"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w:t>
      </w:r>
      <w:r w:rsidRPr="00FF5CB4">
        <w:t xml:space="preserve"> Written Statement by the Texas Soaring Association, Inc. Seeking Cancellation or Reduction of Proposed Forfeiture (filed July 8, 2009, in EB-SED-13-00009045) (NAL Response).</w:t>
      </w:r>
    </w:p>
  </w:footnote>
  <w:footnote w:id="10">
    <w:p w14:paraId="1293D754"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 id.</w:t>
      </w:r>
      <w:r w:rsidRPr="00FF5CB4">
        <w:t xml:space="preserve"> at 2.</w:t>
      </w:r>
    </w:p>
  </w:footnote>
  <w:footnote w:id="11">
    <w:p w14:paraId="4CB87B52"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 id.</w:t>
      </w:r>
      <w:r w:rsidRPr="00FF5CB4">
        <w:t xml:space="preserve"> at 2–5.</w:t>
      </w:r>
    </w:p>
  </w:footnote>
  <w:footnote w:id="12">
    <w:p w14:paraId="5C5FCF68" w14:textId="77777777" w:rsidR="00882A69" w:rsidRPr="00FF5CB4" w:rsidRDefault="00882A69" w:rsidP="00FF5CB4">
      <w:pPr>
        <w:pStyle w:val="FootnoteText"/>
        <w:tabs>
          <w:tab w:val="clear" w:pos="720"/>
        </w:tabs>
        <w:spacing w:after="120"/>
        <w:ind w:right="0" w:firstLine="0"/>
      </w:pPr>
      <w:r w:rsidRPr="00FF5CB4">
        <w:rPr>
          <w:rStyle w:val="FootnoteReference"/>
          <w:color w:val="000000"/>
          <w:sz w:val="20"/>
        </w:rPr>
        <w:footnoteRef/>
      </w:r>
      <w:r w:rsidRPr="00FF5CB4">
        <w:rPr>
          <w:color w:val="000000"/>
        </w:rPr>
        <w:t xml:space="preserve"> 47 U.S.C. § 503(b).</w:t>
      </w:r>
    </w:p>
  </w:footnote>
  <w:footnote w:id="13">
    <w:p w14:paraId="62A4A1B8" w14:textId="77777777" w:rsidR="00882A69" w:rsidRPr="00FF5CB4" w:rsidRDefault="00882A69" w:rsidP="00FF5CB4">
      <w:pPr>
        <w:pStyle w:val="FootnoteText"/>
        <w:spacing w:after="120"/>
        <w:ind w:right="0" w:firstLine="0"/>
        <w:rPr>
          <w:color w:val="000000"/>
        </w:rPr>
      </w:pPr>
      <w:r w:rsidRPr="00FF5CB4">
        <w:rPr>
          <w:rStyle w:val="FootnoteReference"/>
          <w:color w:val="000000"/>
          <w:sz w:val="20"/>
        </w:rPr>
        <w:footnoteRef/>
      </w:r>
      <w:r w:rsidRPr="00FF5CB4">
        <w:rPr>
          <w:color w:val="000000"/>
        </w:rPr>
        <w:t xml:space="preserve"> 47 C.F.R. § 1.80.</w:t>
      </w:r>
    </w:p>
  </w:footnote>
  <w:footnote w:id="14">
    <w:p w14:paraId="60DD00FC" w14:textId="573D7312"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 xml:space="preserve">The Commission’s Forfeiture Policy Statement and Amendment of Section 1.80 of the Rules to Incorporate the Forfeiture Guidelines, </w:t>
      </w:r>
      <w:r w:rsidRPr="00FF5CB4">
        <w:t>Report and Order, 12 FCC Rcd 17087, 17113 (1997),</w:t>
      </w:r>
      <w:r w:rsidRPr="00FF5CB4">
        <w:rPr>
          <w:i/>
        </w:rPr>
        <w:t xml:space="preserve"> recon. denied</w:t>
      </w:r>
      <w:r w:rsidRPr="00FF5CB4">
        <w:t>, Memorandum Opinion and Order, 15 FCC Rcd 303 (1999) (</w:t>
      </w:r>
      <w:r w:rsidRPr="00FF5CB4">
        <w:rPr>
          <w:i/>
        </w:rPr>
        <w:t>Forfeiture Policy Statement</w:t>
      </w:r>
      <w:r w:rsidRPr="00FF5CB4">
        <w:t>).</w:t>
      </w:r>
    </w:p>
  </w:footnote>
  <w:footnote w:id="15">
    <w:p w14:paraId="197BA807" w14:textId="77777777" w:rsidR="00882A69" w:rsidRPr="00FF5CB4" w:rsidRDefault="00882A69" w:rsidP="00FF5CB4">
      <w:pPr>
        <w:widowControl/>
        <w:spacing w:after="120"/>
        <w:jc w:val="left"/>
        <w:rPr>
          <w:snapToGrid/>
          <w:color w:val="000000"/>
          <w:kern w:val="0"/>
          <w:sz w:val="20"/>
        </w:rPr>
      </w:pPr>
      <w:r w:rsidRPr="00FF5CB4">
        <w:rPr>
          <w:rStyle w:val="FootnoteReference"/>
          <w:color w:val="000000"/>
          <w:sz w:val="20"/>
        </w:rPr>
        <w:footnoteRef/>
      </w:r>
      <w:r w:rsidRPr="00FF5CB4">
        <w:rPr>
          <w:sz w:val="20"/>
        </w:rPr>
        <w:t xml:space="preserve"> 47 U.S.C. § 503(b)(2)(E).</w:t>
      </w:r>
    </w:p>
  </w:footnote>
  <w:footnote w:id="16">
    <w:p w14:paraId="37E9DE46" w14:textId="6ABAD56A" w:rsidR="00882A69" w:rsidRPr="00FF5CB4" w:rsidRDefault="00882A69" w:rsidP="00FF5CB4">
      <w:pPr>
        <w:pStyle w:val="FootnoteText"/>
        <w:spacing w:after="120"/>
        <w:ind w:right="0" w:firstLine="0"/>
      </w:pPr>
      <w:r w:rsidRPr="00FF5CB4">
        <w:rPr>
          <w:rStyle w:val="FootnoteReference"/>
          <w:sz w:val="20"/>
        </w:rPr>
        <w:footnoteRef/>
      </w:r>
      <w:r w:rsidRPr="00FF5CB4">
        <w:t xml:space="preserve"> Section 312(f)(1) of the Act defines “willful” as “the conscious and deliberate commission or omission of [any] act, irrespective of any intent to violate” the law.  </w:t>
      </w:r>
      <w:r w:rsidRPr="00FF5CB4">
        <w:rPr>
          <w:i/>
        </w:rPr>
        <w:t>Id</w:t>
      </w:r>
      <w:r w:rsidRPr="00FF5CB4">
        <w:t>. § 312(f)(1).  The legislative history of Section 312 clarifies that this definition of willful applies to Sections 312 and 503 of the Act, H.R. Rep. No. 97-765 (1982) (Conf. Rep.), and the Commission has so interpreted the term in the Section 503(b) context,</w:t>
      </w:r>
      <w:r w:rsidRPr="00FF5CB4">
        <w:rPr>
          <w:i/>
        </w:rPr>
        <w:t xml:space="preserve"> see </w:t>
      </w:r>
      <w:r w:rsidRPr="00FF5CB4">
        <w:rPr>
          <w:i/>
          <w:iCs/>
        </w:rPr>
        <w:t>So. Cal. Broad. Co.</w:t>
      </w:r>
      <w:r w:rsidRPr="00FF5CB4">
        <w:rPr>
          <w:iCs/>
        </w:rPr>
        <w:t>,</w:t>
      </w:r>
      <w:r w:rsidRPr="00FF5CB4">
        <w:t xml:space="preserve"> Memorandum Opinion and Order, 6 FCC Rcd 4387, 4387–88, para. 5 (1991) (</w:t>
      </w:r>
      <w:r w:rsidRPr="00FF5CB4">
        <w:rPr>
          <w:i/>
          <w:iCs/>
        </w:rPr>
        <w:t>So. Cal.</w:t>
      </w:r>
      <w:r w:rsidRPr="00FF5CB4">
        <w:t xml:space="preserve">), </w:t>
      </w:r>
      <w:r w:rsidRPr="00FF5CB4">
        <w:rPr>
          <w:i/>
          <w:iCs/>
        </w:rPr>
        <w:t xml:space="preserve">recon. denied, </w:t>
      </w:r>
      <w:r w:rsidRPr="00FF5CB4">
        <w:t>7 FCC Rcd 3454 (1992).</w:t>
      </w:r>
    </w:p>
  </w:footnote>
  <w:footnote w:id="17">
    <w:p w14:paraId="2200F315"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sidRPr="00FF5CB4">
        <w:rPr>
          <w:i/>
        </w:rPr>
        <w:t xml:space="preserve">see also </w:t>
      </w:r>
      <w:r w:rsidRPr="00FF5CB4">
        <w:rPr>
          <w:i/>
          <w:iCs/>
        </w:rPr>
        <w:t>So. Cal.</w:t>
      </w:r>
      <w:r w:rsidRPr="00FF5CB4">
        <w:t>, 6 FCC Rcd at 4388, para. 5.</w:t>
      </w:r>
    </w:p>
  </w:footnote>
  <w:footnote w:id="18">
    <w:p w14:paraId="197A2354" w14:textId="1E222FEC" w:rsidR="00882A69" w:rsidRPr="00FF5CB4" w:rsidRDefault="00882A69" w:rsidP="00FF5CB4">
      <w:pPr>
        <w:pStyle w:val="FootnoteText"/>
        <w:spacing w:after="120"/>
        <w:ind w:right="0" w:firstLine="0"/>
      </w:pPr>
      <w:r w:rsidRPr="00FF5CB4">
        <w:rPr>
          <w:rStyle w:val="FootnoteReference"/>
          <w:sz w:val="20"/>
        </w:rPr>
        <w:footnoteRef/>
      </w:r>
      <w:r w:rsidRPr="00FF5CB4">
        <w:t xml:space="preserve"> 47 U.S.C. § 301; 47 C.F.R. § 1.903(a).  In addition, under Section 87.18(a) of the Rules, 47 C.F.R. § 87.18(a), a station in the Aviation Service (with the exception of certain aircraft stations</w:t>
      </w:r>
      <w:r w:rsidR="00C03DC4" w:rsidRPr="00FF5CB4">
        <w:t xml:space="preserve"> not at issue here</w:t>
      </w:r>
      <w:r w:rsidRPr="00FF5CB4">
        <w:t xml:space="preserve">) must be licensed by the Commission, and under Section 87.25(b) of the Rules, </w:t>
      </w:r>
      <w:r w:rsidR="00041286">
        <w:rPr>
          <w:i/>
        </w:rPr>
        <w:t>i</w:t>
      </w:r>
      <w:r w:rsidR="00041286" w:rsidRPr="00FF5CB4">
        <w:rPr>
          <w:i/>
        </w:rPr>
        <w:t>d</w:t>
      </w:r>
      <w:r w:rsidRPr="00FF5CB4">
        <w:t xml:space="preserve">. § 87.25(b), applicants for licenses in the Aviation Service are subject to the requirements and conditions governing licensure in the Wireless Radio Services as set forth in Section 1.901 through Section 1.981 of the Rules, </w:t>
      </w:r>
      <w:r w:rsidRPr="00FF5CB4">
        <w:rPr>
          <w:i/>
        </w:rPr>
        <w:t>see</w:t>
      </w:r>
      <w:r w:rsidRPr="00FF5CB4">
        <w:t xml:space="preserve"> </w:t>
      </w:r>
      <w:r w:rsidRPr="00FF5CB4">
        <w:rPr>
          <w:i/>
        </w:rPr>
        <w:t>id</w:t>
      </w:r>
      <w:r w:rsidRPr="00FF5CB4">
        <w:t>. §§ 1.901–1.981.</w:t>
      </w:r>
    </w:p>
  </w:footnote>
  <w:footnote w:id="19">
    <w:p w14:paraId="7DAA17EA" w14:textId="1C9A2418" w:rsidR="00882A69" w:rsidRPr="00FF5CB4" w:rsidRDefault="00882A69" w:rsidP="00FF5CB4">
      <w:pPr>
        <w:pStyle w:val="FootnoteText"/>
        <w:spacing w:after="120"/>
        <w:ind w:right="0" w:firstLine="0"/>
      </w:pPr>
      <w:r w:rsidRPr="00FF5CB4">
        <w:rPr>
          <w:rStyle w:val="FootnoteReference"/>
          <w:sz w:val="20"/>
        </w:rPr>
        <w:footnoteRef/>
      </w:r>
      <w:r w:rsidRPr="00FF5CB4">
        <w:t xml:space="preserve"> 47 C.F.R. § 1.949(a).  Licensees who want to operate their stations after the expiration of their station licenses must affirmatively request continued operating authority from the Commission.  In its </w:t>
      </w:r>
      <w:r w:rsidRPr="00FF5CB4">
        <w:rPr>
          <w:i/>
        </w:rPr>
        <w:t>Universal Licensing System Orders</w:t>
      </w:r>
      <w:r w:rsidRPr="00FF5CB4">
        <w:t xml:space="preserve">, the Commission mandates the filing of certain applications to obtain such authority.  If a licensee intending continued operations fails to file a timely renewal application, the Commission nevertheless requires such licensee to seek operating authority.  </w:t>
      </w:r>
      <w:r w:rsidRPr="00FF5CB4">
        <w:rPr>
          <w:i/>
        </w:rPr>
        <w:t>See Universal Licensing System Report and Order</w:t>
      </w:r>
      <w:r w:rsidRPr="00FF5CB4">
        <w:t xml:space="preserve">, 13 FCC Rcd at 21071, para. 98 (directing licensees that fail to file timely renewal applications to submit a new application or, if necessary, a request for special temporary operating authority); </w:t>
      </w:r>
      <w:r w:rsidRPr="00FF5CB4">
        <w:rPr>
          <w:i/>
        </w:rPr>
        <w:t>Universal Licensing System MO&amp;O</w:t>
      </w:r>
      <w:r w:rsidRPr="00FF5CB4">
        <w:t xml:space="preserve">, 14 FCC Rcd at 11485–86, para. 22 (permitting, in the alternative, the acceptance and processing of late filed renewal applications under certain circumstances).  In the </w:t>
      </w:r>
      <w:r w:rsidRPr="00FF5CB4">
        <w:rPr>
          <w:i/>
        </w:rPr>
        <w:t xml:space="preserve">Universal Licensing System MO&amp;O, </w:t>
      </w:r>
      <w:r w:rsidRPr="00FF5CB4">
        <w:t xml:space="preserve">the Commission expressly held that it could “initiate enforcement action against the licensee for untimely filing and unauthorized operation between the expiration of the license and the late renewal filing, including, if appropriate, the imposition of fines or forfeitures for these rule violations.”  </w:t>
      </w:r>
      <w:r w:rsidRPr="00FF5CB4">
        <w:rPr>
          <w:i/>
        </w:rPr>
        <w:t>Id</w:t>
      </w:r>
      <w:r w:rsidRPr="00FF5CB4">
        <w:t>.</w:t>
      </w:r>
    </w:p>
  </w:footnote>
  <w:footnote w:id="20">
    <w:p w14:paraId="01647A60"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 xml:space="preserve">See </w:t>
      </w:r>
      <w:r w:rsidRPr="00FF5CB4">
        <w:t>47 C.F.R. § 1.955(a)(1).</w:t>
      </w:r>
    </w:p>
  </w:footnote>
  <w:footnote w:id="21">
    <w:p w14:paraId="06B76CDA"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w:t>
      </w:r>
      <w:r w:rsidRPr="00FF5CB4">
        <w:t xml:space="preserve"> NAL Response at 2–3.</w:t>
      </w:r>
    </w:p>
  </w:footnote>
  <w:footnote w:id="22">
    <w:p w14:paraId="45D78E9C"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 xml:space="preserve">See </w:t>
      </w:r>
      <w:r w:rsidRPr="00FF5CB4">
        <w:t xml:space="preserve">47 U.S.C. § 301; 47 C.F.R. § 1.903(a); </w:t>
      </w:r>
      <w:r w:rsidRPr="00FF5CB4">
        <w:rPr>
          <w:i/>
        </w:rPr>
        <w:t>see also</w:t>
      </w:r>
      <w:r w:rsidRPr="00FF5CB4">
        <w:t xml:space="preserve"> 47 C.F.R. § 87.18(a).</w:t>
      </w:r>
    </w:p>
  </w:footnote>
  <w:footnote w:id="23">
    <w:p w14:paraId="7986CA7A" w14:textId="72BCC256" w:rsidR="00882A69" w:rsidRPr="00FF5CB4" w:rsidRDefault="00882A69" w:rsidP="00FF5CB4">
      <w:pPr>
        <w:pStyle w:val="FootnoteText"/>
        <w:spacing w:after="120"/>
        <w:ind w:right="0" w:firstLine="0"/>
      </w:pPr>
      <w:r w:rsidRPr="00FF5CB4">
        <w:rPr>
          <w:rStyle w:val="FootnoteReference"/>
          <w:sz w:val="20"/>
        </w:rPr>
        <w:footnoteRef/>
      </w:r>
      <w:r w:rsidRPr="00FF5CB4">
        <w:t xml:space="preserve"> Contrary to TSA’s argument, any public benefits resulting from TSA’s safety-related operations do not mitigate its forfeiture liability for unauthorized operations.  </w:t>
      </w:r>
      <w:r w:rsidRPr="00FF5CB4">
        <w:rPr>
          <w:i/>
        </w:rPr>
        <w:t>See cf., e.g., Radio Beaumont, Inc.,</w:t>
      </w:r>
      <w:r w:rsidRPr="00FF5CB4">
        <w:t xml:space="preserve"> Memorandum Opinion and Order, 50 FCC 2d 904, </w:t>
      </w:r>
      <w:r w:rsidR="006A7984">
        <w:t xml:space="preserve">904, </w:t>
      </w:r>
      <w:r w:rsidRPr="00FF5CB4">
        <w:t>paras. 3–4 (1975) (a licensee’s public service to its community is not a mitigating factor).</w:t>
      </w:r>
    </w:p>
  </w:footnote>
  <w:footnote w:id="24">
    <w:p w14:paraId="43129DB6" w14:textId="26B24EA8" w:rsidR="00882A69" w:rsidRPr="00FF5CB4" w:rsidRDefault="00882A69" w:rsidP="00FF5CB4">
      <w:pPr>
        <w:pStyle w:val="FootnoteText"/>
        <w:tabs>
          <w:tab w:val="clear" w:pos="720"/>
          <w:tab w:val="clear" w:pos="1440"/>
        </w:tabs>
        <w:spacing w:after="120"/>
        <w:ind w:right="0" w:firstLine="0"/>
      </w:pPr>
      <w:r w:rsidRPr="00FF5CB4">
        <w:rPr>
          <w:rStyle w:val="FootnoteReference"/>
          <w:sz w:val="20"/>
        </w:rPr>
        <w:footnoteRef/>
      </w:r>
      <w:r w:rsidRPr="00FF5CB4">
        <w:t xml:space="preserve"> </w:t>
      </w:r>
      <w:r w:rsidRPr="00FF5CB4">
        <w:rPr>
          <w:i/>
        </w:rPr>
        <w:t>See, e.g., Promoting Efficient Use of Spectrum Through Elimination of Barriers to the Development of Secondary Markets</w:t>
      </w:r>
      <w:r w:rsidRPr="00FF5CB4">
        <w:t>, Notice of Proposed Rulemaking, 15 FCC Rcd 24203, 24217, para. 35 (2000) (“At the heart of the Commission’s concerns and obligations relating to Wireless Radio Services licenses is the need to protect the public and licensees providing service to the public from interference caused by other authorized or unauthorized users of spectrum.”).</w:t>
      </w:r>
    </w:p>
  </w:footnote>
  <w:footnote w:id="25">
    <w:p w14:paraId="3C391E78" w14:textId="2308A030" w:rsidR="00882A69" w:rsidRPr="00FF5CB4" w:rsidRDefault="00882A69" w:rsidP="00FF5CB4">
      <w:pPr>
        <w:pStyle w:val="FootnoteText"/>
        <w:spacing w:after="120"/>
        <w:ind w:right="0" w:firstLine="0"/>
      </w:pPr>
      <w:r w:rsidRPr="00FF5CB4">
        <w:rPr>
          <w:rStyle w:val="FootnoteReference"/>
          <w:sz w:val="20"/>
        </w:rPr>
        <w:footnoteRef/>
      </w:r>
      <w:r w:rsidRPr="00FF5CB4">
        <w:t xml:space="preserve"> After the expiration and cancellation of TSA’s license, the Commission may have assigned TSA’s coordinates and frequency to a third party seeking to create its own aviation support station.  Moreover, Section 87.187(y) of the Rules, 47 C.F.R. § 87.187(y), permits nearby aircraft to transmit brief keyed radio frequency (RF) signals in order to control airport lighting on frequencies reserved for aviation support stations when such frequencies are either assigned to a station at the airport and no harmful interference would be caused to voice communications or when unassigned to a station at the airport.</w:t>
      </w:r>
    </w:p>
  </w:footnote>
  <w:footnote w:id="26">
    <w:p w14:paraId="7652A2C7" w14:textId="4CC7F313" w:rsidR="00882A69" w:rsidRPr="00FF5CB4" w:rsidRDefault="00882A69" w:rsidP="00FF5CB4">
      <w:pPr>
        <w:pStyle w:val="FootnoteText"/>
        <w:spacing w:after="120"/>
        <w:ind w:right="0" w:firstLine="0"/>
      </w:pPr>
      <w:r w:rsidRPr="00FF5CB4">
        <w:rPr>
          <w:rStyle w:val="FootnoteReference"/>
          <w:sz w:val="20"/>
        </w:rPr>
        <w:footnoteRef/>
      </w:r>
      <w:r w:rsidRPr="00FF5CB4">
        <w:t xml:space="preserve"> We note that we have upwardly adjusted forfeiture amounts where public safety risks associated with unauthorized operations were substantial.  </w:t>
      </w:r>
      <w:r w:rsidRPr="00FF5CB4">
        <w:rPr>
          <w:i/>
          <w:iCs/>
        </w:rPr>
        <w:t>See</w:t>
      </w:r>
      <w:r w:rsidRPr="00FF5CB4">
        <w:t xml:space="preserve">, </w:t>
      </w:r>
      <w:r w:rsidRPr="00FF5CB4">
        <w:rPr>
          <w:i/>
        </w:rPr>
        <w:t>e.g.,</w:t>
      </w:r>
      <w:r w:rsidRPr="00FF5CB4">
        <w:t xml:space="preserve"> </w:t>
      </w:r>
      <w:r w:rsidRPr="00FF5CB4">
        <w:rPr>
          <w:i/>
          <w:iCs/>
        </w:rPr>
        <w:t>Utah Broadband</w:t>
      </w:r>
      <w:r w:rsidRPr="00FF5CB4">
        <w:t xml:space="preserve">, Notice of Apparent Liability for Forfeiture, 26 FCC Rcd 1419, 1424, para. 16 (Enf. Bur. 2011) </w:t>
      </w:r>
      <w:r w:rsidR="009A6AEC" w:rsidRPr="00FF5CB4">
        <w:t xml:space="preserve">(forfeiture paid) </w:t>
      </w:r>
      <w:r w:rsidRPr="00FF5CB4">
        <w:t xml:space="preserve">(upwardly adjusting </w:t>
      </w:r>
      <w:r w:rsidR="006A7984">
        <w:t xml:space="preserve">the proposed </w:t>
      </w:r>
      <w:r w:rsidRPr="00FF5CB4">
        <w:t xml:space="preserve">base forfeiture amount based in part on the gravity of the public safety risks associated with the unauthorized operation of transceivers causing interference to the Federal Aviation Administration’s Terminal Doppler Weather Radar installation serving Salt Lake City International Airport).  </w:t>
      </w:r>
    </w:p>
  </w:footnote>
  <w:footnote w:id="27">
    <w:p w14:paraId="5B3BAD8B" w14:textId="77777777" w:rsidR="00882A69" w:rsidRPr="00FF5CB4" w:rsidRDefault="00882A69" w:rsidP="00FF5CB4">
      <w:pPr>
        <w:pStyle w:val="FootnoteText"/>
        <w:tabs>
          <w:tab w:val="clear" w:pos="720"/>
          <w:tab w:val="clear" w:pos="1440"/>
        </w:tabs>
        <w:spacing w:after="120"/>
        <w:ind w:right="0" w:firstLine="0"/>
      </w:pPr>
      <w:r w:rsidRPr="00FF5CB4">
        <w:rPr>
          <w:rStyle w:val="FootnoteReference"/>
          <w:sz w:val="20"/>
        </w:rPr>
        <w:footnoteRef/>
      </w:r>
      <w:r w:rsidRPr="00FF5CB4">
        <w:t xml:space="preserve"> </w:t>
      </w:r>
      <w:r w:rsidRPr="00FF5CB4">
        <w:rPr>
          <w:i/>
        </w:rPr>
        <w:t>See</w:t>
      </w:r>
      <w:r w:rsidRPr="00FF5CB4">
        <w:t xml:space="preserve"> NAL Response at 4.</w:t>
      </w:r>
    </w:p>
  </w:footnote>
  <w:footnote w:id="28">
    <w:p w14:paraId="1B7D9413"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 id.</w:t>
      </w:r>
    </w:p>
  </w:footnote>
  <w:footnote w:id="29">
    <w:p w14:paraId="7A3A9ECF" w14:textId="0534FCB0"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00FF5CB4" w:rsidRPr="00FF5CB4">
        <w:rPr>
          <w:i/>
          <w:iCs/>
        </w:rPr>
        <w:t>See</w:t>
      </w:r>
      <w:r w:rsidR="006A7984">
        <w:rPr>
          <w:i/>
          <w:iCs/>
        </w:rPr>
        <w:t>,</w:t>
      </w:r>
      <w:r w:rsidR="00FF5CB4" w:rsidRPr="00FF5CB4">
        <w:rPr>
          <w:i/>
          <w:iCs/>
        </w:rPr>
        <w:t xml:space="preserve"> e.g., American Samoa Telecomm. Auth.,</w:t>
      </w:r>
      <w:r w:rsidR="00FF5CB4" w:rsidRPr="00FF5CB4">
        <w:t xml:space="preserve"> Forfeiture Order, 27 FCC Rcd 13174, 13180, para. 8 (Enf. Bur. 2012) (forfeiture paid) (emphasizing that a violation is “willful” if the violator knew it was taking or failing to take the action in question, irrespective of any intent to violate the Rules); </w:t>
      </w:r>
      <w:r w:rsidR="00FF5CB4" w:rsidRPr="00FF5CB4">
        <w:rPr>
          <w:i/>
          <w:iCs/>
        </w:rPr>
        <w:t>Saga Radio Networks, LLC</w:t>
      </w:r>
      <w:r w:rsidR="00FF5CB4" w:rsidRPr="00FF5CB4">
        <w:t xml:space="preserve">, Forfeiture Order, 24 FCC Rcd 3852, 3855, para. 10 (Enf. Bur. 2009) (same), </w:t>
      </w:r>
      <w:r w:rsidR="00FF5CB4" w:rsidRPr="00FF5CB4">
        <w:rPr>
          <w:i/>
          <w:iCs/>
        </w:rPr>
        <w:t>recon. denied</w:t>
      </w:r>
      <w:r w:rsidR="00FF5CB4" w:rsidRPr="00FF5CB4">
        <w:t xml:space="preserve">, Memorandum Opinion and Order, 28 FCC Rcd 6875 (Enf. Bur. 2009); </w:t>
      </w:r>
      <w:r w:rsidR="00FF5CB4" w:rsidRPr="00FF5CB4">
        <w:rPr>
          <w:i/>
          <w:iCs/>
        </w:rPr>
        <w:t>Alacca Bible Conf., Inc</w:t>
      </w:r>
      <w:r w:rsidR="00FF5CB4" w:rsidRPr="00FF5CB4">
        <w:t xml:space="preserve">., Forfeiture Order, 25 FCC Rcd 2584, 2585, para. 5 (Med. Bur. 2009) (same); </w:t>
      </w:r>
      <w:r w:rsidR="00FF5CB4" w:rsidRPr="00FF5CB4">
        <w:rPr>
          <w:i/>
          <w:iCs/>
        </w:rPr>
        <w:t xml:space="preserve">see also supra </w:t>
      </w:r>
      <w:r w:rsidR="00FF5CB4" w:rsidRPr="00FF5CB4">
        <w:t xml:space="preserve">note 15 (defining </w:t>
      </w:r>
      <w:r w:rsidR="003E20A9">
        <w:t>“</w:t>
      </w:r>
      <w:r w:rsidR="00FF5CB4" w:rsidRPr="00FF5CB4">
        <w:t>willful</w:t>
      </w:r>
      <w:r w:rsidR="003E20A9">
        <w:t>”</w:t>
      </w:r>
      <w:r w:rsidR="00FF5CB4" w:rsidRPr="00FF5CB4">
        <w:t xml:space="preserve"> for the purposes of Section 312 and 503(b) of the Act); H.R. Rep. No. 97-765, at 51 (1982) (Conf. Rep.) (“‘[W]illful’ means that the licensee knew that he was doing the act in question, regardless of whether there was an intent to violate the law.”).</w:t>
      </w:r>
    </w:p>
  </w:footnote>
  <w:footnote w:id="30">
    <w:p w14:paraId="186E9340" w14:textId="320A706E" w:rsidR="00FF5CB4" w:rsidRPr="00FF5CB4" w:rsidRDefault="00FF5CB4" w:rsidP="00FF5CB4">
      <w:pPr>
        <w:pStyle w:val="FootnoteText"/>
        <w:tabs>
          <w:tab w:val="clear" w:pos="720"/>
          <w:tab w:val="clear" w:pos="1440"/>
        </w:tabs>
        <w:spacing w:after="120"/>
        <w:ind w:right="0" w:firstLine="0"/>
      </w:pPr>
      <w:r w:rsidRPr="00FF5CB4">
        <w:rPr>
          <w:rStyle w:val="FootnoteReference"/>
          <w:sz w:val="20"/>
        </w:rPr>
        <w:footnoteRef/>
      </w:r>
      <w:r w:rsidRPr="00FF5CB4">
        <w:t xml:space="preserve"> </w:t>
      </w:r>
      <w:r w:rsidRPr="00FF5CB4">
        <w:rPr>
          <w:i/>
        </w:rPr>
        <w:t>See, e.g., So. Cal.</w:t>
      </w:r>
      <w:r w:rsidRPr="00FF5CB4">
        <w:t>, 6 FCC Rcd at 4387–88, para. 5 (finding that, consistent with the congressional record accompanying the 1982 amendments to the Act, a “willful” violation need not be intentional).</w:t>
      </w:r>
    </w:p>
  </w:footnote>
  <w:footnote w:id="31">
    <w:p w14:paraId="3B9797E8" w14:textId="1CC5C87B" w:rsidR="009D13AC" w:rsidRPr="00FF5CB4" w:rsidRDefault="009D13AC" w:rsidP="00FF5CB4">
      <w:pPr>
        <w:pStyle w:val="FootnoteText"/>
        <w:spacing w:after="120"/>
        <w:ind w:right="0" w:firstLine="0"/>
      </w:pPr>
      <w:r w:rsidRPr="00FF5CB4">
        <w:rPr>
          <w:rStyle w:val="FootnoteReference"/>
          <w:sz w:val="20"/>
        </w:rPr>
        <w:footnoteRef/>
      </w:r>
      <w:r w:rsidRPr="00FF5CB4">
        <w:t xml:space="preserve"> </w:t>
      </w:r>
      <w:r w:rsidR="00FF5CB4" w:rsidRPr="00FF5CB4">
        <w:rPr>
          <w:i/>
          <w:iCs/>
        </w:rPr>
        <w:t>See, e.g., Discussion Radio</w:t>
      </w:r>
      <w:r w:rsidR="00FF5CB4" w:rsidRPr="00FF5CB4">
        <w:t xml:space="preserve">, </w:t>
      </w:r>
      <w:r w:rsidR="00FF5CB4" w:rsidRPr="00FF5CB4">
        <w:rPr>
          <w:i/>
          <w:iCs/>
        </w:rPr>
        <w:t>Inc</w:t>
      </w:r>
      <w:r w:rsidR="00FF5CB4" w:rsidRPr="00FF5CB4">
        <w:t>., Memorandum Opinion and Order and Notice of Apparent Liability for Forfeiture, 19 FCC Rcd 7433, 7437, para. 4 (2004) (</w:t>
      </w:r>
      <w:r w:rsidR="00FF5CB4" w:rsidRPr="00FF5CB4">
        <w:rPr>
          <w:i/>
          <w:iCs/>
        </w:rPr>
        <w:t>Discussion Radio</w:t>
      </w:r>
      <w:r w:rsidR="00FF5CB4" w:rsidRPr="00FF5CB4">
        <w:t xml:space="preserve">) (A licensee “is charged with knowledge of the full range of its obligations, including its duty to timely seek renewal of its license to maintain operating authority.”), </w:t>
      </w:r>
      <w:r w:rsidR="00FF5CB4" w:rsidRPr="00FF5CB4">
        <w:rPr>
          <w:i/>
          <w:iCs/>
          <w:snapToGrid w:val="0"/>
        </w:rPr>
        <w:t>forfeiture ordered</w:t>
      </w:r>
      <w:r w:rsidR="00FF5CB4" w:rsidRPr="00FF5CB4">
        <w:rPr>
          <w:snapToGrid w:val="0"/>
        </w:rPr>
        <w:t xml:space="preserve">, Memorandum Opinion and Order and Forfeiture Order, 24 FCC Rcd 2206 (Med. Bur. 2009).  </w:t>
      </w:r>
      <w:r w:rsidR="00FF5CB4" w:rsidRPr="00FF5CB4">
        <w:rPr>
          <w:i/>
          <w:iCs/>
          <w:snapToGrid w:val="0"/>
        </w:rPr>
        <w:t>See</w:t>
      </w:r>
      <w:r w:rsidR="00FF5CB4" w:rsidRPr="00FF5CB4">
        <w:rPr>
          <w:snapToGrid w:val="0"/>
        </w:rPr>
        <w:t xml:space="preserve"> </w:t>
      </w:r>
      <w:r w:rsidR="00FF5CB4" w:rsidRPr="00FF5CB4">
        <w:rPr>
          <w:i/>
          <w:snapToGrid w:val="0"/>
        </w:rPr>
        <w:t>also</w:t>
      </w:r>
      <w:r w:rsidR="00FF5CB4" w:rsidRPr="00FF5CB4">
        <w:rPr>
          <w:snapToGrid w:val="0"/>
        </w:rPr>
        <w:t xml:space="preserve"> NAL Response at 4.</w:t>
      </w:r>
    </w:p>
  </w:footnote>
  <w:footnote w:id="32">
    <w:p w14:paraId="79AE382A" w14:textId="14B45A12" w:rsidR="00E07A91" w:rsidRPr="00FF5CB4" w:rsidRDefault="00E07A91" w:rsidP="00FF5CB4">
      <w:pPr>
        <w:pStyle w:val="FootnoteText"/>
        <w:spacing w:after="120"/>
        <w:ind w:right="0" w:firstLine="0"/>
      </w:pPr>
      <w:r w:rsidRPr="00FF5CB4">
        <w:rPr>
          <w:rStyle w:val="FootnoteReference"/>
          <w:sz w:val="20"/>
        </w:rPr>
        <w:footnoteRef/>
      </w:r>
      <w:r w:rsidRPr="00FF5CB4">
        <w:t xml:space="preserve"> </w:t>
      </w:r>
      <w:r w:rsidR="00FF5CB4" w:rsidRPr="00FF5CB4">
        <w:rPr>
          <w:i/>
          <w:iCs/>
        </w:rPr>
        <w:t>See, e.g., Emery Tel.,</w:t>
      </w:r>
      <w:r w:rsidR="00FF5CB4" w:rsidRPr="00FF5CB4">
        <w:t xml:space="preserve"> Memorandum Opinion and Order, 13 FCC Rcd 23854, 23859, para. 12 (1998) (By issuing forfeitures for apparently inadvertent violations, the Commission “impel[s] . . . licensees to become familiar with the terms of their licenses and the applicable rules, and to adopt procedures, including periodic review [of] operations, which will [e]nsure that stations will be operated in substantial compliance with their licenses and the Commission’s rules.”) (quoting </w:t>
      </w:r>
      <w:r w:rsidR="00FF5CB4" w:rsidRPr="00FF5CB4">
        <w:rPr>
          <w:i/>
          <w:iCs/>
        </w:rPr>
        <w:t>Crowell-Collier Broad. Corp</w:t>
      </w:r>
      <w:r w:rsidR="00FF5CB4" w:rsidRPr="00FF5CB4">
        <w:t>., Memorandum Opinion and Order, 44 FCC 2444, 2449–50, para. 16 (1961)),</w:t>
      </w:r>
      <w:r w:rsidR="00FF5CB4" w:rsidRPr="00FF5CB4">
        <w:rPr>
          <w:i/>
          <w:iCs/>
        </w:rPr>
        <w:t xml:space="preserve"> recon. dismissed in part and denied in part</w:t>
      </w:r>
      <w:r w:rsidR="00FF5CB4" w:rsidRPr="00FF5CB4">
        <w:t xml:space="preserve">, Memorandum Opinion and Order, 15 FCC Rcd 7181 (1999); </w:t>
      </w:r>
      <w:r w:rsidR="00FF5CB4" w:rsidRPr="00FF5CB4">
        <w:rPr>
          <w:i/>
          <w:iCs/>
        </w:rPr>
        <w:t>see also</w:t>
      </w:r>
      <w:r w:rsidR="00FF5CB4" w:rsidRPr="00FF5CB4">
        <w:t xml:space="preserve"> </w:t>
      </w:r>
      <w:r w:rsidR="00FF5CB4" w:rsidRPr="00FF5CB4">
        <w:rPr>
          <w:i/>
          <w:iCs/>
        </w:rPr>
        <w:t xml:space="preserve">AT&amp;T Wireless Srvs, Inc., Forfeiture Order, </w:t>
      </w:r>
      <w:r w:rsidR="00FF5CB4" w:rsidRPr="00FF5CB4">
        <w:t>17 FCC Rcd 21866, 21873, para. 21 (2002) (imposing a forfeiture for a willful violation in the absence of evidence of compliance or of periodic inspections to learn of noncompliance);</w:t>
      </w:r>
      <w:r w:rsidR="00FF5CB4" w:rsidRPr="00FF5CB4">
        <w:rPr>
          <w:i/>
          <w:iCs/>
        </w:rPr>
        <w:t xml:space="preserve"> Boulder Cmty Broad. Ass’n, Inc.</w:t>
      </w:r>
      <w:r w:rsidR="00FF5CB4" w:rsidRPr="00FF5CB4">
        <w:t>, Forfeiture Order, 23 FCC Rcd 8308, 8310, para. 10 (Enf. Bur. 2008) (holding that where a licensee was aware or should have been aware of the power limits of its authorization and had data “within its control” demonstrating noncompliance with those limits, the violation was willful).</w:t>
      </w:r>
    </w:p>
  </w:footnote>
  <w:footnote w:id="33">
    <w:p w14:paraId="35EB52C0" w14:textId="24BD1199"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00FF5CB4" w:rsidRPr="00FF5CB4">
        <w:rPr>
          <w:i/>
          <w:iCs/>
        </w:rPr>
        <w:t>See, e.g., Lakewood Broad. Serv., Inc.</w:t>
      </w:r>
      <w:r w:rsidR="00FF5CB4" w:rsidRPr="00FF5CB4">
        <w:t>, Memorandum Opinion and Order,</w:t>
      </w:r>
      <w:r w:rsidR="00FF5CB4" w:rsidRPr="00FF5CB4">
        <w:rPr>
          <w:i/>
          <w:iCs/>
        </w:rPr>
        <w:t xml:space="preserve"> </w:t>
      </w:r>
      <w:r w:rsidR="00FF5CB4" w:rsidRPr="00FF5CB4">
        <w:t>37 FCC 2d 437, 438, para. 6 (1972) (denying a mitigation claim based on a licensee’s assertion of unfamiliarity with station identification requirements, stating that licensees are expected “to know and conform their conduct to the requirements of our Rules”);</w:t>
      </w:r>
      <w:r w:rsidR="00FF5CB4" w:rsidRPr="00FF5CB4">
        <w:rPr>
          <w:i/>
          <w:iCs/>
          <w:color w:val="000000"/>
        </w:rPr>
        <w:t xml:space="preserve"> Emigrant Storage LLC, </w:t>
      </w:r>
      <w:r w:rsidR="00FF5CB4" w:rsidRPr="00FF5CB4">
        <w:rPr>
          <w:color w:val="000000"/>
        </w:rPr>
        <w:t>Notice of Apparent Liability for Forfeiture, 27 FCC Rcd 8917, 8920–</w:t>
      </w:r>
      <w:r w:rsidR="00FF5CB4" w:rsidRPr="00FF5CB4">
        <w:rPr>
          <w:color w:val="000000"/>
        </w:rPr>
        <w:softHyphen/>
        <w:t>21, para. 9 (Enf. Bur. 2012) (</w:t>
      </w:r>
      <w:r w:rsidR="00FF5CB4" w:rsidRPr="00FF5CB4">
        <w:rPr>
          <w:i/>
          <w:iCs/>
          <w:color w:val="000000"/>
        </w:rPr>
        <w:t>Emigrant Storage</w:t>
      </w:r>
      <w:r w:rsidR="00FF5CB4" w:rsidRPr="00FF5CB4">
        <w:rPr>
          <w:color w:val="000000"/>
        </w:rPr>
        <w:t>) (response pending) (denying a claim for mitigation based on attestation that the violation resulted from oversight and a change in personnel)</w:t>
      </w:r>
      <w:r w:rsidR="00FF5CB4" w:rsidRPr="00FF5CB4">
        <w:t>.</w:t>
      </w:r>
    </w:p>
  </w:footnote>
  <w:footnote w:id="34">
    <w:p w14:paraId="1FD26ACA" w14:textId="1826032D"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00FF5CB4" w:rsidRPr="00FF5CB4">
        <w:rPr>
          <w:i/>
          <w:iCs/>
        </w:rPr>
        <w:t>See, e.g.</w:t>
      </w:r>
      <w:r w:rsidR="00FF5CB4" w:rsidRPr="00FF5CB4">
        <w:t>,</w:t>
      </w:r>
      <w:r w:rsidR="00FF5CB4" w:rsidRPr="00FF5CB4">
        <w:rPr>
          <w:i/>
          <w:iCs/>
        </w:rPr>
        <w:t xml:space="preserve"> SBC Comm., Inc., </w:t>
      </w:r>
      <w:r w:rsidR="00FF5CB4" w:rsidRPr="00FF5CB4">
        <w:t>Notice of Apparent Liability for Forfeiture and Order, 16 FCC Rcd 19091, 19119, para. 75 (2001) (“[R]egardless of mitigating factors, an employer is responsible for the statements or actions of its employees and ‘those who control the corporation must be held accountable for the conduct of those who have been delegated the authority to act in its name.’”) (quoting</w:t>
      </w:r>
      <w:r w:rsidR="00FF5CB4" w:rsidRPr="00FF5CB4">
        <w:rPr>
          <w:i/>
          <w:iCs/>
        </w:rPr>
        <w:t xml:space="preserve"> Nw. Ind. Broad. Corp., </w:t>
      </w:r>
      <w:r w:rsidR="00FF5CB4" w:rsidRPr="00FF5CB4">
        <w:t>Initial Decision</w:t>
      </w:r>
      <w:r w:rsidR="00FF5CB4" w:rsidRPr="00FF5CB4">
        <w:rPr>
          <w:i/>
          <w:iCs/>
        </w:rPr>
        <w:t xml:space="preserve">, </w:t>
      </w:r>
      <w:r w:rsidR="00FF5CB4" w:rsidRPr="00FF5CB4">
        <w:t xml:space="preserve">65 FCC 2d 73, 84, para. 4 (ALJ 1976)), </w:t>
      </w:r>
      <w:r w:rsidR="00FF5CB4" w:rsidRPr="00FF5CB4">
        <w:rPr>
          <w:i/>
          <w:iCs/>
        </w:rPr>
        <w:t>consent decree ordered</w:t>
      </w:r>
      <w:r w:rsidR="00FF5CB4" w:rsidRPr="00FF5CB4">
        <w:t>, Order and Consent Decree, 17 FCC Rcd 10780 (2002).</w:t>
      </w:r>
    </w:p>
  </w:footnote>
  <w:footnote w:id="35">
    <w:p w14:paraId="66579575" w14:textId="61CFDF77" w:rsidR="00882A69" w:rsidRPr="00FF5CB4" w:rsidRDefault="00882A69" w:rsidP="00FF5CB4">
      <w:pPr>
        <w:pStyle w:val="FootnoteText"/>
        <w:spacing w:after="120"/>
        <w:ind w:right="0" w:firstLine="0"/>
        <w:rPr>
          <w:i/>
        </w:rPr>
      </w:pPr>
      <w:r w:rsidRPr="00FF5CB4">
        <w:rPr>
          <w:rStyle w:val="FootnoteReference"/>
          <w:sz w:val="20"/>
        </w:rPr>
        <w:footnoteRef/>
      </w:r>
      <w:r w:rsidRPr="00FF5CB4">
        <w:t xml:space="preserve"> </w:t>
      </w:r>
      <w:r w:rsidRPr="00FF5CB4">
        <w:rPr>
          <w:i/>
        </w:rPr>
        <w:t xml:space="preserve">See </w:t>
      </w:r>
      <w:r w:rsidRPr="00FF5CB4">
        <w:t xml:space="preserve">NAL Response at 6.  According to TSA, payment of the proposed forfeiture would impact its ability to carry out its operations.  </w:t>
      </w:r>
      <w:r w:rsidRPr="00FF5CB4">
        <w:rPr>
          <w:i/>
        </w:rPr>
        <w:t>See id</w:t>
      </w:r>
      <w:r w:rsidRPr="00FF5CB4">
        <w:t>.</w:t>
      </w:r>
    </w:p>
  </w:footnote>
  <w:footnote w:id="36">
    <w:p w14:paraId="490D8DAF" w14:textId="7EBCC732" w:rsidR="00882A69" w:rsidRPr="00FF5CB4" w:rsidRDefault="00882A69" w:rsidP="00FF5CB4">
      <w:pPr>
        <w:pStyle w:val="FootnoteText"/>
        <w:spacing w:after="120"/>
        <w:ind w:right="0" w:firstLine="0"/>
        <w:rPr>
          <w:i/>
        </w:rPr>
      </w:pPr>
      <w:r w:rsidRPr="00FF5CB4">
        <w:rPr>
          <w:rStyle w:val="FootnoteReference"/>
          <w:sz w:val="20"/>
        </w:rPr>
        <w:footnoteRef/>
      </w:r>
      <w:r w:rsidRPr="00FF5CB4">
        <w:t xml:space="preserve"> </w:t>
      </w:r>
      <w:r w:rsidRPr="00FF5CB4">
        <w:rPr>
          <w:i/>
        </w:rPr>
        <w:t>See id.</w:t>
      </w:r>
    </w:p>
  </w:footnote>
  <w:footnote w:id="37">
    <w:p w14:paraId="280146CC" w14:textId="3B66754B" w:rsidR="00882A69" w:rsidRPr="00FF5CB4" w:rsidRDefault="00882A69" w:rsidP="00FF5CB4">
      <w:pPr>
        <w:widowControl/>
        <w:spacing w:after="120"/>
        <w:jc w:val="left"/>
        <w:rPr>
          <w:snapToGrid/>
          <w:kern w:val="0"/>
          <w:sz w:val="20"/>
        </w:rPr>
      </w:pPr>
      <w:r w:rsidRPr="00FF5CB4">
        <w:rPr>
          <w:rStyle w:val="FootnoteReference"/>
          <w:sz w:val="20"/>
        </w:rPr>
        <w:footnoteRef/>
      </w:r>
      <w:r w:rsidRPr="00FF5CB4">
        <w:rPr>
          <w:sz w:val="20"/>
        </w:rPr>
        <w:t xml:space="preserve"> </w:t>
      </w:r>
      <w:r w:rsidRPr="00FF5CB4">
        <w:rPr>
          <w:i/>
          <w:sz w:val="20"/>
        </w:rPr>
        <w:t>See, e.g</w:t>
      </w:r>
      <w:r w:rsidRPr="00FF5CB4">
        <w:rPr>
          <w:sz w:val="20"/>
        </w:rPr>
        <w:t>.</w:t>
      </w:r>
      <w:r w:rsidRPr="00FF5CB4">
        <w:rPr>
          <w:i/>
          <w:sz w:val="20"/>
        </w:rPr>
        <w:t>, Lebanon Educ. Broad. Found.</w:t>
      </w:r>
      <w:r w:rsidRPr="00FF5CB4">
        <w:rPr>
          <w:sz w:val="20"/>
        </w:rPr>
        <w:t>, Memorandum Opinion and Order, 21 FCC Rcd 1442, 1446, para. 12 (Enf. Bur. 2006) (</w:t>
      </w:r>
      <w:r w:rsidRPr="00FF5CB4">
        <w:rPr>
          <w:snapToGrid/>
          <w:kern w:val="0"/>
          <w:sz w:val="20"/>
        </w:rPr>
        <w:t xml:space="preserve">“Where the Rule is violated, Section 1.80 provides that a monetary forfeiture may be imposed, and there is no exemption or reduction based on the noncommercial status of a station.”); </w:t>
      </w:r>
      <w:r w:rsidRPr="00FF5CB4">
        <w:rPr>
          <w:i/>
          <w:snapToGrid/>
          <w:kern w:val="0"/>
          <w:sz w:val="20"/>
        </w:rPr>
        <w:t>Donald Donovan Jackson</w:t>
      </w:r>
      <w:r w:rsidRPr="00FF5CB4">
        <w:rPr>
          <w:snapToGrid/>
          <w:kern w:val="0"/>
          <w:sz w:val="20"/>
        </w:rPr>
        <w:t xml:space="preserve">, Forfeiture Order, 19 FCC Rcd 15327, 15329, para. 9 (Enf. Bur. 2004) (“[O]peration for purposes other than financial gain will not, on its own, warrant the cancellation or reduction of a forfeiture.”); </w:t>
      </w:r>
      <w:r w:rsidRPr="00FF5CB4">
        <w:rPr>
          <w:i/>
          <w:snapToGrid/>
          <w:kern w:val="0"/>
          <w:sz w:val="20"/>
        </w:rPr>
        <w:t>see also Valley Pub. Television, Inc.</w:t>
      </w:r>
      <w:r w:rsidRPr="00FF5CB4">
        <w:rPr>
          <w:snapToGrid/>
          <w:kern w:val="0"/>
          <w:sz w:val="20"/>
        </w:rPr>
        <w:t>, Memorandum Opinion and Order and Forfeiture Order, 12 FCC Rcd 22795, 22796, paras. 5–6 (1998) (rejecting a nonprofit licensee’s claim that payment of a forfeiture would threaten its continued provision of service to the public where the financial data submitted by the licensee showed that it had the ability to pay the forfeiture).</w:t>
      </w:r>
    </w:p>
  </w:footnote>
  <w:footnote w:id="38">
    <w:p w14:paraId="5405B9E1" w14:textId="4D27976E" w:rsidR="00882A69" w:rsidRPr="00FF5CB4" w:rsidRDefault="00882A69" w:rsidP="00FF5CB4">
      <w:pPr>
        <w:keepLines/>
        <w:widowControl/>
        <w:spacing w:after="120"/>
        <w:jc w:val="left"/>
        <w:rPr>
          <w:sz w:val="20"/>
        </w:rPr>
      </w:pPr>
      <w:r w:rsidRPr="00FF5CB4">
        <w:rPr>
          <w:rStyle w:val="FootnoteReference"/>
          <w:sz w:val="20"/>
        </w:rPr>
        <w:footnoteRef/>
      </w:r>
      <w:r w:rsidRPr="00FF5CB4">
        <w:rPr>
          <w:sz w:val="20"/>
        </w:rPr>
        <w:t xml:space="preserve"> </w:t>
      </w:r>
      <w:r w:rsidRPr="00FF5CB4">
        <w:rPr>
          <w:color w:val="000000"/>
          <w:sz w:val="20"/>
        </w:rPr>
        <w:t xml:space="preserve">As stated in the </w:t>
      </w:r>
      <w:r w:rsidRPr="00FF5CB4">
        <w:rPr>
          <w:i/>
          <w:color w:val="000000"/>
          <w:sz w:val="20"/>
        </w:rPr>
        <w:t>NAL</w:t>
      </w:r>
      <w:r w:rsidRPr="00FF5CB4">
        <w:rPr>
          <w:color w:val="000000"/>
          <w:sz w:val="20"/>
        </w:rPr>
        <w:t xml:space="preserve">, the Commission will not consider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w:t>
      </w:r>
      <w:r w:rsidRPr="00FF5CB4">
        <w:rPr>
          <w:i/>
          <w:sz w:val="20"/>
        </w:rPr>
        <w:t>NAL</w:t>
      </w:r>
      <w:r w:rsidRPr="00FF5CB4">
        <w:rPr>
          <w:sz w:val="20"/>
        </w:rPr>
        <w:t>, 23 FCC Rcd at 7642, para. 16; s</w:t>
      </w:r>
      <w:r w:rsidRPr="00FF5CB4">
        <w:rPr>
          <w:i/>
          <w:sz w:val="20"/>
        </w:rPr>
        <w:t>ee also, e.g., Bureau D’Electronique Appliquee, Inc.</w:t>
      </w:r>
      <w:r w:rsidRPr="00FF5CB4">
        <w:rPr>
          <w:sz w:val="20"/>
        </w:rPr>
        <w:t>, Forfeiture Order, 20 FCC Rcd 17893, 17899</w:t>
      </w:r>
      <w:r w:rsidRPr="00FF5CB4">
        <w:rPr>
          <w:snapToGrid/>
          <w:kern w:val="0"/>
          <w:sz w:val="20"/>
        </w:rPr>
        <w:t>–</w:t>
      </w:r>
      <w:r w:rsidRPr="00FF5CB4">
        <w:rPr>
          <w:sz w:val="20"/>
        </w:rPr>
        <w:t>900, para. 19 (Enf. Bur. 2005) (forfeiture paid) (declining to reduce the forfeiture amount in the absence of adequate documentation supporting an inability to pay claim, despite petitioner’s claims that payment of the forfeiture would result in “‘grave consequences to the company’” and negatively impact employees).</w:t>
      </w:r>
    </w:p>
  </w:footnote>
  <w:footnote w:id="39">
    <w:p w14:paraId="7AB8C84C" w14:textId="77777777" w:rsidR="00882A69" w:rsidRPr="00FF5CB4" w:rsidRDefault="00882A69" w:rsidP="00FF5CB4">
      <w:pPr>
        <w:pStyle w:val="FootnoteText"/>
        <w:tabs>
          <w:tab w:val="clear" w:pos="720"/>
          <w:tab w:val="clear" w:pos="1440"/>
        </w:tabs>
        <w:spacing w:after="120"/>
        <w:ind w:right="0" w:firstLine="0"/>
      </w:pPr>
      <w:r w:rsidRPr="00FF5CB4">
        <w:rPr>
          <w:rStyle w:val="FootnoteReference"/>
          <w:sz w:val="20"/>
        </w:rPr>
        <w:footnoteRef/>
      </w:r>
      <w:r w:rsidRPr="00FF5CB4">
        <w:t xml:space="preserve"> </w:t>
      </w:r>
      <w:r w:rsidRPr="00FF5CB4">
        <w:rPr>
          <w:i/>
        </w:rPr>
        <w:t xml:space="preserve">See </w:t>
      </w:r>
      <w:r w:rsidRPr="00FF5CB4">
        <w:t xml:space="preserve">NAL Response at 5.  In its NAL Response, TSA asserts that it “took immediate steps” to remedy the violation.  </w:t>
      </w:r>
      <w:r w:rsidRPr="00FF5CB4">
        <w:rPr>
          <w:i/>
        </w:rPr>
        <w:t>See id</w:t>
      </w:r>
      <w:r w:rsidRPr="00FF5CB4">
        <w:t>.  Although TSA does not identify the specific steps it took, we assume that TSA is referring to its filing on October 1, 2008, of an application for a new station authorization.</w:t>
      </w:r>
    </w:p>
  </w:footnote>
  <w:footnote w:id="40">
    <w:p w14:paraId="1DE90A77"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 id.</w:t>
      </w:r>
      <w:r w:rsidRPr="00FF5CB4">
        <w:t xml:space="preserve"> at 6 (indicating that TSA posted certain notices to remind staff members of the obligation to file a timely renewal application for TSA’s current station license).</w:t>
      </w:r>
    </w:p>
  </w:footnote>
  <w:footnote w:id="41">
    <w:p w14:paraId="10433EA4"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w:t>
      </w:r>
      <w:r w:rsidRPr="00FF5CB4">
        <w:t xml:space="preserve">, </w:t>
      </w:r>
      <w:r w:rsidRPr="00FF5CB4">
        <w:rPr>
          <w:i/>
        </w:rPr>
        <w:t>e.g</w:t>
      </w:r>
      <w:r w:rsidRPr="00FF5CB4">
        <w:t xml:space="preserve">., </w:t>
      </w:r>
      <w:r w:rsidRPr="00FF5CB4">
        <w:rPr>
          <w:i/>
          <w:iCs/>
        </w:rPr>
        <w:t>Behringer USA, Inc.</w:t>
      </w:r>
      <w:r w:rsidRPr="00FF5CB4">
        <w:rPr>
          <w:iCs/>
        </w:rPr>
        <w:t xml:space="preserve">, Forfeiture Order, </w:t>
      </w:r>
      <w:r w:rsidRPr="00FF5CB4">
        <w:rPr>
          <w:rStyle w:val="documentbody"/>
        </w:rPr>
        <w:t xml:space="preserve">22 FCC Rcd 10451, 10459, para. </w:t>
      </w:r>
      <w:r w:rsidRPr="00FF5CB4">
        <w:t>19</w:t>
      </w:r>
      <w:r w:rsidRPr="00FF5CB4">
        <w:rPr>
          <w:rStyle w:val="documentbody"/>
          <w:iCs/>
        </w:rPr>
        <w:t xml:space="preserve"> (2007) (forfeiture paid)</w:t>
      </w:r>
      <w:r w:rsidRPr="00FF5CB4">
        <w:rPr>
          <w:rStyle w:val="documentbody"/>
        </w:rPr>
        <w:t>.</w:t>
      </w:r>
    </w:p>
  </w:footnote>
  <w:footnote w:id="42">
    <w:p w14:paraId="7EC6D106"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w:t>
      </w:r>
      <w:r w:rsidRPr="00FF5CB4">
        <w:t xml:space="preserve"> NAL Response at 5.</w:t>
      </w:r>
    </w:p>
  </w:footnote>
  <w:footnote w:id="43">
    <w:p w14:paraId="2C4DBCE8" w14:textId="5944303F"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 e.g.,</w:t>
      </w:r>
      <w:r w:rsidRPr="00FF5CB4">
        <w:t xml:space="preserve"> </w:t>
      </w:r>
      <w:r w:rsidRPr="00FF5CB4">
        <w:rPr>
          <w:i/>
        </w:rPr>
        <w:t>Paulino Bernal Evangelism</w:t>
      </w:r>
      <w:r w:rsidRPr="00FF5CB4">
        <w:t xml:space="preserve">, Memorandum Opinion and Order, 21 FCC Rcd 9532, 9536, para. 12 (Enf. Bur. 2006) (in determining whether a licensee has a history of overall compliance, offenses need not be “prior” to be considered), </w:t>
      </w:r>
      <w:r w:rsidRPr="00FF5CB4">
        <w:rPr>
          <w:i/>
        </w:rPr>
        <w:t>review granted in part, denied in part</w:t>
      </w:r>
      <w:r w:rsidRPr="00FF5CB4">
        <w:t xml:space="preserve">, Order on Review, 23 FCC Rcd 15959 (2008); </w:t>
      </w:r>
      <w:r w:rsidRPr="00FF5CB4">
        <w:rPr>
          <w:i/>
        </w:rPr>
        <w:t xml:space="preserve">see also Discussion Radio, </w:t>
      </w:r>
      <w:r w:rsidRPr="00FF5CB4">
        <w:t xml:space="preserve">19 FCC Rcd </w:t>
      </w:r>
      <w:r w:rsidR="007141B4" w:rsidRPr="00FF5CB4">
        <w:t xml:space="preserve">at </w:t>
      </w:r>
      <w:r w:rsidRPr="00FF5CB4">
        <w:t>7438, para. 15 (holding that a licensee’s continued operation of a station without authorization and the failure to timely seek Commission authority for such operations constitute separate violations warranting the assessment of separate forfeitures).</w:t>
      </w:r>
    </w:p>
  </w:footnote>
  <w:footnote w:id="44">
    <w:p w14:paraId="3D54CF26" w14:textId="5830F4D0" w:rsidR="00882A69" w:rsidRPr="00FF5CB4" w:rsidRDefault="00882A69" w:rsidP="00FF5CB4">
      <w:pPr>
        <w:widowControl/>
        <w:spacing w:after="120"/>
        <w:jc w:val="left"/>
        <w:rPr>
          <w:sz w:val="20"/>
        </w:rPr>
      </w:pPr>
      <w:r w:rsidRPr="00FF5CB4">
        <w:rPr>
          <w:rStyle w:val="FootnoteReference"/>
          <w:sz w:val="20"/>
        </w:rPr>
        <w:footnoteRef/>
      </w:r>
      <w:r w:rsidRPr="00FF5CB4">
        <w:rPr>
          <w:sz w:val="20"/>
        </w:rPr>
        <w:t xml:space="preserve"> </w:t>
      </w:r>
      <w:r w:rsidRPr="00FF5CB4">
        <w:rPr>
          <w:i/>
          <w:sz w:val="20"/>
        </w:rPr>
        <w:t>See, e.g., Emigrant Storage</w:t>
      </w:r>
      <w:r w:rsidRPr="00FF5CB4">
        <w:rPr>
          <w:sz w:val="20"/>
        </w:rPr>
        <w:t xml:space="preserve">, 27 FCC Rcd at 8920, n.26 (“The relative duration of a violation is a critical factor;” failure to take this factor into consideration would create “perverse incentives.”).  Recently, we have </w:t>
      </w:r>
      <w:r w:rsidRPr="00FF5CB4">
        <w:rPr>
          <w:i/>
          <w:kern w:val="0"/>
          <w:sz w:val="20"/>
        </w:rPr>
        <w:t>upwardly adjusted</w:t>
      </w:r>
      <w:r w:rsidRPr="00FF5CB4">
        <w:rPr>
          <w:kern w:val="0"/>
          <w:sz w:val="20"/>
        </w:rPr>
        <w:t xml:space="preserve"> the recommended base forfeitures where unauthorized operations continued for extended periods of time.  </w:t>
      </w:r>
      <w:r w:rsidRPr="00FF5CB4">
        <w:rPr>
          <w:i/>
          <w:sz w:val="20"/>
        </w:rPr>
        <w:t>See</w:t>
      </w:r>
      <w:r w:rsidRPr="00FF5CB4">
        <w:rPr>
          <w:sz w:val="20"/>
        </w:rPr>
        <w:t xml:space="preserve">, </w:t>
      </w:r>
      <w:r w:rsidRPr="00FF5CB4">
        <w:rPr>
          <w:i/>
          <w:iCs/>
          <w:snapToGrid/>
          <w:kern w:val="0"/>
          <w:sz w:val="20"/>
        </w:rPr>
        <w:t xml:space="preserve">e.g., </w:t>
      </w:r>
      <w:r w:rsidRPr="00FF5CB4">
        <w:rPr>
          <w:i/>
          <w:sz w:val="20"/>
        </w:rPr>
        <w:t>BASF</w:t>
      </w:r>
      <w:r w:rsidRPr="00FF5CB4">
        <w:rPr>
          <w:sz w:val="20"/>
        </w:rPr>
        <w:t xml:space="preserve">, 25 FCC Rcd at 17303, para. 11 </w:t>
      </w:r>
      <w:r w:rsidRPr="00FF5CB4">
        <w:rPr>
          <w:snapToGrid/>
          <w:kern w:val="0"/>
          <w:sz w:val="20"/>
        </w:rPr>
        <w:t xml:space="preserve">(five years of unauthorized operation); </w:t>
      </w:r>
      <w:r w:rsidRPr="00FF5CB4">
        <w:rPr>
          <w:i/>
          <w:sz w:val="20"/>
        </w:rPr>
        <w:t xml:space="preserve">Call Mobile, </w:t>
      </w:r>
      <w:r w:rsidRPr="00FF5CB4">
        <w:rPr>
          <w:sz w:val="20"/>
        </w:rPr>
        <w:t>26 FCC Rcd at 77</w:t>
      </w:r>
      <w:r w:rsidRPr="00FF5CB4">
        <w:rPr>
          <w:snapToGrid/>
          <w:kern w:val="0"/>
          <w:sz w:val="20"/>
        </w:rPr>
        <w:t>–</w:t>
      </w:r>
      <w:r w:rsidRPr="00FF5CB4">
        <w:rPr>
          <w:sz w:val="20"/>
        </w:rPr>
        <w:t>78, para. 12 (two and a half years)</w:t>
      </w:r>
      <w:r w:rsidRPr="00FF5CB4">
        <w:rPr>
          <w:snapToGrid/>
          <w:kern w:val="0"/>
          <w:sz w:val="20"/>
        </w:rPr>
        <w:t>.</w:t>
      </w:r>
    </w:p>
  </w:footnote>
  <w:footnote w:id="45">
    <w:p w14:paraId="799BA77D" w14:textId="64AE9709" w:rsidR="00882A69" w:rsidRPr="00FF5CB4" w:rsidRDefault="00882A69" w:rsidP="00FF5CB4">
      <w:pPr>
        <w:widowControl/>
        <w:spacing w:after="120"/>
        <w:jc w:val="left"/>
        <w:rPr>
          <w:kern w:val="0"/>
          <w:sz w:val="20"/>
        </w:rPr>
      </w:pPr>
      <w:r w:rsidRPr="00FF5CB4">
        <w:rPr>
          <w:rStyle w:val="FootnoteReference"/>
          <w:sz w:val="20"/>
        </w:rPr>
        <w:footnoteRef/>
      </w:r>
      <w:r w:rsidRPr="00FF5CB4">
        <w:rPr>
          <w:sz w:val="20"/>
        </w:rPr>
        <w:t xml:space="preserve"> </w:t>
      </w:r>
      <w:r w:rsidRPr="00FF5CB4">
        <w:rPr>
          <w:i/>
          <w:sz w:val="20"/>
        </w:rPr>
        <w:t xml:space="preserve">See NAL, </w:t>
      </w:r>
      <w:r w:rsidRPr="00FF5CB4">
        <w:rPr>
          <w:sz w:val="20"/>
        </w:rPr>
        <w:t xml:space="preserve">24 FCC Rcd at 7641, para 11.  </w:t>
      </w:r>
      <w:r w:rsidRPr="00FF5CB4">
        <w:rPr>
          <w:snapToGrid/>
          <w:kern w:val="0"/>
          <w:sz w:val="20"/>
        </w:rPr>
        <w:t xml:space="preserve">TSA’s unlawful operation of station KSC8 continued for approximately five years (from September 22, 2003, when the license for station KSC8 expired, until October 2, 2008, when the new station license was granted).  </w:t>
      </w:r>
      <w:r w:rsidRPr="00FF5CB4">
        <w:rPr>
          <w:i/>
          <w:snapToGrid/>
          <w:kern w:val="0"/>
          <w:sz w:val="20"/>
        </w:rPr>
        <w:t>See id</w:t>
      </w:r>
      <w:r w:rsidRPr="00FF5CB4">
        <w:rPr>
          <w:snapToGrid/>
          <w:kern w:val="0"/>
          <w:sz w:val="20"/>
        </w:rPr>
        <w:t xml:space="preserve">. at 7639, para. 4.  While Section 503(b)(6) of the Act, 47 U.S.C. § 503(b)(6), generally bars the Commission from proposing a forfeiture for violations that occurred more than one year prior to the issuance of a Notice of Apparent Liability for Forfeiture, we may consider misconduct occurring outside that period (in this case, during the four-year period preceding TSA’s last year of unauthorized operations) to place “the violations in context, thus establishing the licensee’s degree of culpability and the continuing nature of the violations.”  </w:t>
      </w:r>
      <w:r w:rsidRPr="00FF5CB4">
        <w:rPr>
          <w:i/>
          <w:snapToGrid/>
          <w:kern w:val="0"/>
          <w:sz w:val="20"/>
        </w:rPr>
        <w:t>Roadrunner Transp. Inc.</w:t>
      </w:r>
      <w:r w:rsidRPr="00FF5CB4">
        <w:rPr>
          <w:snapToGrid/>
          <w:kern w:val="0"/>
          <w:sz w:val="20"/>
        </w:rPr>
        <w:t>, Forfeiture Order, 15 FCC Rcd 9669, 9671–72, para. 8 (2000) (internal quotation marks omitted).</w:t>
      </w:r>
    </w:p>
  </w:footnote>
  <w:footnote w:id="46">
    <w:p w14:paraId="63755993"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47 U.S.C. § 301; 47 C.F.R. § 1.903(a).</w:t>
      </w:r>
    </w:p>
  </w:footnote>
  <w:footnote w:id="47">
    <w:p w14:paraId="27FA3D49"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47 C.F.R. § 1.949(a).</w:t>
      </w:r>
    </w:p>
  </w:footnote>
  <w:footnote w:id="48">
    <w:p w14:paraId="460DEE0A" w14:textId="171936A6" w:rsidR="00882A69" w:rsidRPr="00FF5CB4" w:rsidRDefault="00882A69" w:rsidP="00FF5CB4">
      <w:pPr>
        <w:pStyle w:val="FootnoteText"/>
        <w:tabs>
          <w:tab w:val="clear" w:pos="720"/>
          <w:tab w:val="clear" w:pos="1440"/>
        </w:tabs>
        <w:spacing w:after="120"/>
        <w:ind w:right="0" w:firstLine="0"/>
      </w:pPr>
      <w:r w:rsidRPr="00FF5CB4">
        <w:rPr>
          <w:rStyle w:val="FootnoteReference"/>
          <w:sz w:val="20"/>
        </w:rPr>
        <w:footnoteRef/>
      </w:r>
      <w:r w:rsidRPr="00FF5CB4">
        <w:t xml:space="preserve"> </w:t>
      </w:r>
      <w:r w:rsidRPr="00FF5CB4">
        <w:rPr>
          <w:snapToGrid w:val="0"/>
        </w:rPr>
        <w:t xml:space="preserve">On reflection, we believe that the forfeiture penalty proposed against TSA is unduly low in light of the nature and gravity of the violation, in particular the extended duration of TSA’s unauthorized operation.  If we were proposing a forfeiture for the first time here, we would be inclined to propose a significantly higher forfeiture amount.  </w:t>
      </w:r>
      <w:r w:rsidRPr="00FF5CB4">
        <w:rPr>
          <w:i/>
          <w:snapToGrid w:val="0"/>
        </w:rPr>
        <w:t>See supra</w:t>
      </w:r>
      <w:r w:rsidRPr="00FF5CB4">
        <w:rPr>
          <w:snapToGrid w:val="0"/>
        </w:rPr>
        <w:t xml:space="preserve"> note </w:t>
      </w:r>
      <w:r w:rsidR="00826A8C" w:rsidRPr="00FF5CB4">
        <w:rPr>
          <w:snapToGrid w:val="0"/>
        </w:rPr>
        <w:t>43</w:t>
      </w:r>
      <w:r w:rsidRPr="00FF5CB4">
        <w:rPr>
          <w:snapToGrid w:val="0"/>
        </w:rPr>
        <w:t>.</w:t>
      </w:r>
      <w:r w:rsidRPr="00FF5CB4">
        <w:rPr>
          <w:i/>
          <w:iCs/>
          <w:color w:val="000000"/>
        </w:rPr>
        <w:t xml:space="preserve">  </w:t>
      </w:r>
      <w:r w:rsidRPr="00FF5CB4">
        <w:rPr>
          <w:snapToGrid w:val="0"/>
        </w:rPr>
        <w:t>As we have previously explained, t</w:t>
      </w:r>
      <w:r w:rsidRPr="00FF5CB4">
        <w:rPr>
          <w:color w:val="000000"/>
        </w:rPr>
        <w:t>he relative duration of a violation is a critical factor; for example, we generally would propose a substantially higher forfeiture amount for a violation lasting nearly a decade than for a violation lasting for two months.  In doing so, we avoid creating perverse incentives and encourage licensees to monitor their license expiration dates and to timely seek renewal or otherwise take appropriate steps to quickly come into compliance with FCC rules.  </w:t>
      </w:r>
      <w:r w:rsidRPr="00FF5CB4">
        <w:rPr>
          <w:i/>
          <w:color w:val="000000"/>
        </w:rPr>
        <w:t>See id</w:t>
      </w:r>
      <w:r w:rsidRPr="00FF5CB4">
        <w:rPr>
          <w:color w:val="000000"/>
        </w:rPr>
        <w:t xml:space="preserve">; </w:t>
      </w:r>
      <w:r w:rsidRPr="00FF5CB4">
        <w:rPr>
          <w:i/>
          <w:iCs/>
          <w:color w:val="000000"/>
        </w:rPr>
        <w:t>see also</w:t>
      </w:r>
      <w:r w:rsidRPr="00FF5CB4">
        <w:rPr>
          <w:iCs/>
          <w:color w:val="000000"/>
        </w:rPr>
        <w:t xml:space="preserve"> </w:t>
      </w:r>
      <w:r w:rsidRPr="00FF5CB4">
        <w:rPr>
          <w:color w:val="000000"/>
        </w:rPr>
        <w:t xml:space="preserve">47 U.S.C. </w:t>
      </w:r>
      <w:r w:rsidRPr="00FF5CB4">
        <w:t xml:space="preserve">§ </w:t>
      </w:r>
      <w:r w:rsidRPr="00FF5CB4">
        <w:rPr>
          <w:color w:val="000000"/>
        </w:rPr>
        <w:t xml:space="preserve">503(b)(2)(E); 47 C.F.R. </w:t>
      </w:r>
      <w:r w:rsidRPr="00FF5CB4">
        <w:t xml:space="preserve">§ </w:t>
      </w:r>
      <w:r w:rsidRPr="00FF5CB4">
        <w:rPr>
          <w:color w:val="000000"/>
        </w:rPr>
        <w:t>1.80(b)(8) (listing circumstances and extent of a violation as factors in assessing a forfeiture)</w:t>
      </w:r>
      <w:r w:rsidRPr="00FF5CB4">
        <w:rPr>
          <w:snapToGrid w:val="0"/>
        </w:rPr>
        <w:t xml:space="preserve">.  However, we cannot, consistent with our rules, increase the forfeiture amount at this advanced procedural stage and </w:t>
      </w:r>
      <w:r w:rsidRPr="00FF5CB4">
        <w:rPr>
          <w:kern w:val="28"/>
        </w:rPr>
        <w:t>therefore affirm the proposed forfeiture</w:t>
      </w:r>
      <w:r w:rsidRPr="00FF5CB4">
        <w:t xml:space="preserve">.  </w:t>
      </w:r>
      <w:r w:rsidRPr="00FF5CB4">
        <w:rPr>
          <w:i/>
          <w:iCs/>
        </w:rPr>
        <w:t>See</w:t>
      </w:r>
      <w:r w:rsidRPr="00FF5CB4">
        <w:t xml:space="preserve"> 47 C.F.R. § 1.80(f)(1) (notices of apparent liability for forfeiture must specify, </w:t>
      </w:r>
      <w:r w:rsidRPr="00FF5CB4">
        <w:rPr>
          <w:i/>
          <w:iCs/>
        </w:rPr>
        <w:t>inter alia</w:t>
      </w:r>
      <w:r w:rsidRPr="00FF5CB4">
        <w:t>, amount of apparent forfeiture penalty)</w:t>
      </w:r>
      <w:r w:rsidRPr="00FF5CB4">
        <w:rPr>
          <w:kern w:val="28"/>
        </w:rPr>
        <w:t>.</w:t>
      </w:r>
    </w:p>
  </w:footnote>
  <w:footnote w:id="49">
    <w:p w14:paraId="1F71CB47" w14:textId="7A35E4AD" w:rsidR="00882A69" w:rsidRPr="00FF5CB4" w:rsidRDefault="00882A69" w:rsidP="00FF5CB4">
      <w:pPr>
        <w:pStyle w:val="FootnoteText"/>
        <w:spacing w:after="120"/>
        <w:ind w:right="0" w:firstLine="0"/>
      </w:pPr>
      <w:r w:rsidRPr="00FF5CB4">
        <w:rPr>
          <w:rStyle w:val="FootnoteReference"/>
          <w:sz w:val="20"/>
        </w:rPr>
        <w:footnoteRef/>
      </w:r>
      <w:r w:rsidRPr="00FF5CB4">
        <w:t xml:space="preserve"> 47 U.S.C. § 503(b); 47 C.F.R. §§ 0.111, 0.311, 1.80(f)(4).</w:t>
      </w:r>
    </w:p>
  </w:footnote>
  <w:footnote w:id="50">
    <w:p w14:paraId="6B902DDE"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47 U.S.C. § 301; 47 C.F.R. § 1.903(a).</w:t>
      </w:r>
    </w:p>
  </w:footnote>
  <w:footnote w:id="51">
    <w:p w14:paraId="153C9E01"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47 C.F.R. § 1.949(a).</w:t>
      </w:r>
    </w:p>
  </w:footnote>
  <w:footnote w:id="52">
    <w:p w14:paraId="518645AF"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Id</w:t>
      </w:r>
      <w:r w:rsidRPr="00FF5CB4">
        <w:t>. § 1.80.</w:t>
      </w:r>
    </w:p>
  </w:footnote>
  <w:footnote w:id="53">
    <w:p w14:paraId="272C22B1"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47 U.S.C. § 504(a).</w:t>
      </w:r>
    </w:p>
  </w:footnote>
  <w:footnote w:id="54">
    <w:p w14:paraId="633BAB27"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rFonts w:eastAsia="MS Mincho"/>
        </w:rPr>
        <w:t>An FCC Form 159 and detailed instructions for completing the form may be obtained at http://www.fcc.gov/Forms/Form159/159.pdf.</w:t>
      </w:r>
    </w:p>
  </w:footnote>
  <w:footnote w:id="55">
    <w:p w14:paraId="0321E29F" w14:textId="77777777" w:rsidR="00882A69" w:rsidRPr="00FF5CB4" w:rsidRDefault="00882A69" w:rsidP="00FF5CB4">
      <w:pPr>
        <w:pStyle w:val="FootnoteText"/>
        <w:spacing w:after="120"/>
        <w:ind w:right="0" w:firstLine="0"/>
      </w:pPr>
      <w:r w:rsidRPr="00FF5CB4">
        <w:rPr>
          <w:rStyle w:val="FootnoteReference"/>
          <w:sz w:val="20"/>
        </w:rPr>
        <w:footnoteRef/>
      </w:r>
      <w:r w:rsidRPr="00FF5CB4">
        <w:t xml:space="preserve"> </w:t>
      </w:r>
      <w:r w:rsidRPr="00FF5CB4">
        <w:rPr>
          <w:i/>
        </w:rPr>
        <w:t>See</w:t>
      </w:r>
      <w:r w:rsidRPr="00FF5CB4">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C87A" w14:textId="77777777" w:rsidR="00454E4B" w:rsidRDefault="00454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130B" w14:textId="38B5E17A" w:rsidR="00882A69" w:rsidRDefault="00882A69" w:rsidP="00C56593">
    <w:pPr>
      <w:pStyle w:val="Header"/>
    </w:pPr>
    <w:r>
      <w:tab/>
      <w:t>Federal Communications Commission</w:t>
    </w:r>
    <w:r>
      <w:tab/>
      <w:t>DA 13-1174</w:t>
    </w:r>
  </w:p>
  <w:p w14:paraId="6F1977C4" w14:textId="77777777" w:rsidR="00882A69" w:rsidRDefault="00882A69">
    <w:pPr>
      <w:tabs>
        <w:tab w:val="left" w:pos="-720"/>
      </w:tabs>
      <w:suppressAutoHyphens/>
      <w:spacing w:line="19" w:lineRule="exact"/>
      <w:rPr>
        <w:spacing w:val="-2"/>
      </w:rPr>
    </w:pPr>
    <w:r w:rsidRPr="0003438F">
      <w:rPr>
        <w:noProof/>
        <w:snapToGrid/>
      </w:rPr>
      <mc:AlternateContent>
        <mc:Choice Requires="wps">
          <w:drawing>
            <wp:anchor distT="0" distB="0" distL="114300" distR="114300" simplePos="0" relativeHeight="251657216" behindDoc="1" locked="0" layoutInCell="0" allowOverlap="1" wp14:anchorId="071B5A8E" wp14:editId="3F6DA2B9">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5FF8D02" w14:textId="77777777" w:rsidR="00882A69" w:rsidRDefault="00882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14:paraId="45FF8D02" w14:textId="77777777" w:rsidR="00882A69" w:rsidRDefault="00882A69"/>
                </w:txbxContent>
              </v:textbox>
              <w10:wrap anchorx="margin"/>
            </v:rect>
          </w:pict>
        </mc:Fallback>
      </mc:AlternateContent>
    </w:r>
  </w:p>
  <w:p w14:paraId="3F149430" w14:textId="77777777" w:rsidR="00882A69" w:rsidRDefault="00882A6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1E9C" w14:textId="0568642B" w:rsidR="00882A69" w:rsidRPr="00C56593" w:rsidRDefault="00882A69" w:rsidP="00C56593">
    <w:pPr>
      <w:pStyle w:val="Header"/>
    </w:pPr>
    <w:r>
      <w:tab/>
    </w:r>
    <w:r w:rsidRPr="00C56593">
      <w:t>Federal Communications Commission</w:t>
    </w:r>
    <w:r w:rsidRPr="00C56593">
      <w:tab/>
      <w:t>DA 13-</w:t>
    </w:r>
    <w:r>
      <w:t>1174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41127E7E"/>
    <w:multiLevelType w:val="hybridMultilevel"/>
    <w:tmpl w:val="90466524"/>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left="0" w:hanging="3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61182925"/>
    <w:multiLevelType w:val="singleLevel"/>
    <w:tmpl w:val="3B0A546C"/>
    <w:lvl w:ilvl="0">
      <w:start w:val="1"/>
      <w:numFmt w:val="decimal"/>
      <w:pStyle w:val="ParaNum"/>
      <w:lvlText w:val="%1."/>
      <w:lvlJc w:val="left"/>
      <w:pPr>
        <w:tabs>
          <w:tab w:val="num" w:pos="1080"/>
        </w:tabs>
        <w:ind w:left="0" w:firstLine="720"/>
      </w:pPr>
      <w:rPr>
        <w:b w:val="0"/>
      </w:rPr>
    </w:lvl>
  </w:abstractNum>
  <w:abstractNum w:abstractNumId="4">
    <w:nsid w:val="6D2B48D2"/>
    <w:multiLevelType w:val="singleLevel"/>
    <w:tmpl w:val="C9C40FE0"/>
    <w:lvl w:ilvl="0">
      <w:start w:val="1"/>
      <w:numFmt w:val="decimal"/>
      <w:pStyle w:val="Paranum0"/>
      <w:lvlText w:val="%1."/>
      <w:lvlJc w:val="left"/>
      <w:pPr>
        <w:tabs>
          <w:tab w:val="num" w:pos="1170"/>
        </w:tabs>
        <w:ind w:left="1170" w:hanging="360"/>
      </w:pPr>
    </w:lvl>
  </w:abstractNum>
  <w:num w:numId="1">
    <w:abstractNumId w:val="0"/>
  </w:num>
  <w:num w:numId="2">
    <w:abstractNumId w:val="3"/>
  </w:num>
  <w:num w:numId="3">
    <w:abstractNumId w:val="1"/>
  </w:num>
  <w:num w:numId="4">
    <w:abstractNumId w:val="4"/>
  </w:num>
  <w:num w:numId="5">
    <w:abstractNumId w:val="3"/>
    <w:lvlOverride w:ilvl="0">
      <w:startOverride w:val="9"/>
    </w:lvlOverride>
  </w:num>
  <w:num w:numId="6">
    <w:abstractNumId w:val="3"/>
  </w:num>
  <w:num w:numId="7">
    <w:abstractNumId w:val="1"/>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BA"/>
    <w:rsid w:val="000063F6"/>
    <w:rsid w:val="000118A8"/>
    <w:rsid w:val="00011A9B"/>
    <w:rsid w:val="000141C4"/>
    <w:rsid w:val="00016D2D"/>
    <w:rsid w:val="00022500"/>
    <w:rsid w:val="000237F5"/>
    <w:rsid w:val="00024AF0"/>
    <w:rsid w:val="00024B76"/>
    <w:rsid w:val="00025AB7"/>
    <w:rsid w:val="00026C3F"/>
    <w:rsid w:val="0003438F"/>
    <w:rsid w:val="00034C6B"/>
    <w:rsid w:val="00035BE1"/>
    <w:rsid w:val="000409A4"/>
    <w:rsid w:val="00041286"/>
    <w:rsid w:val="0004171D"/>
    <w:rsid w:val="000417B8"/>
    <w:rsid w:val="00043359"/>
    <w:rsid w:val="00046989"/>
    <w:rsid w:val="0005088D"/>
    <w:rsid w:val="00051EB8"/>
    <w:rsid w:val="00056ADC"/>
    <w:rsid w:val="0006039B"/>
    <w:rsid w:val="00060652"/>
    <w:rsid w:val="00074E9F"/>
    <w:rsid w:val="00076379"/>
    <w:rsid w:val="00076D45"/>
    <w:rsid w:val="0008104E"/>
    <w:rsid w:val="000842A4"/>
    <w:rsid w:val="0008553F"/>
    <w:rsid w:val="00087C51"/>
    <w:rsid w:val="000A1512"/>
    <w:rsid w:val="000A7C54"/>
    <w:rsid w:val="000B0E1E"/>
    <w:rsid w:val="000B31ED"/>
    <w:rsid w:val="000B5DD4"/>
    <w:rsid w:val="000C3185"/>
    <w:rsid w:val="000C5681"/>
    <w:rsid w:val="000D71BF"/>
    <w:rsid w:val="000D7DDF"/>
    <w:rsid w:val="000E0F82"/>
    <w:rsid w:val="000E3FFB"/>
    <w:rsid w:val="000E582D"/>
    <w:rsid w:val="000F0AC9"/>
    <w:rsid w:val="000F3AD1"/>
    <w:rsid w:val="000F3EDF"/>
    <w:rsid w:val="000F672F"/>
    <w:rsid w:val="000F75CD"/>
    <w:rsid w:val="0010245C"/>
    <w:rsid w:val="0010318C"/>
    <w:rsid w:val="0010344D"/>
    <w:rsid w:val="00104C30"/>
    <w:rsid w:val="00105B7F"/>
    <w:rsid w:val="00105FCF"/>
    <w:rsid w:val="00106727"/>
    <w:rsid w:val="001068E8"/>
    <w:rsid w:val="001127D8"/>
    <w:rsid w:val="00116874"/>
    <w:rsid w:val="00117480"/>
    <w:rsid w:val="00121BDE"/>
    <w:rsid w:val="00122754"/>
    <w:rsid w:val="00125C95"/>
    <w:rsid w:val="00133007"/>
    <w:rsid w:val="001342E7"/>
    <w:rsid w:val="00140A43"/>
    <w:rsid w:val="00145B6F"/>
    <w:rsid w:val="00147EA4"/>
    <w:rsid w:val="00151828"/>
    <w:rsid w:val="00155E02"/>
    <w:rsid w:val="00156E6D"/>
    <w:rsid w:val="00156F4F"/>
    <w:rsid w:val="00163BC2"/>
    <w:rsid w:val="00164799"/>
    <w:rsid w:val="00170856"/>
    <w:rsid w:val="00171FBA"/>
    <w:rsid w:val="00173C35"/>
    <w:rsid w:val="00174B43"/>
    <w:rsid w:val="00176785"/>
    <w:rsid w:val="001825D1"/>
    <w:rsid w:val="00184533"/>
    <w:rsid w:val="0018573F"/>
    <w:rsid w:val="00185EEF"/>
    <w:rsid w:val="00194035"/>
    <w:rsid w:val="00197F3F"/>
    <w:rsid w:val="001A011F"/>
    <w:rsid w:val="001A1718"/>
    <w:rsid w:val="001A4532"/>
    <w:rsid w:val="001A575F"/>
    <w:rsid w:val="001B0819"/>
    <w:rsid w:val="001B0B4C"/>
    <w:rsid w:val="001B0EC4"/>
    <w:rsid w:val="001B3176"/>
    <w:rsid w:val="001B6ED5"/>
    <w:rsid w:val="001C30BC"/>
    <w:rsid w:val="001C73DA"/>
    <w:rsid w:val="001D04B9"/>
    <w:rsid w:val="001D22C3"/>
    <w:rsid w:val="001D4AEA"/>
    <w:rsid w:val="001D67A0"/>
    <w:rsid w:val="001E00EC"/>
    <w:rsid w:val="001E2554"/>
    <w:rsid w:val="001F59D2"/>
    <w:rsid w:val="001F7EE0"/>
    <w:rsid w:val="00210BE0"/>
    <w:rsid w:val="00215532"/>
    <w:rsid w:val="00217AC4"/>
    <w:rsid w:val="002237B0"/>
    <w:rsid w:val="00225BB5"/>
    <w:rsid w:val="00227A8A"/>
    <w:rsid w:val="00231D04"/>
    <w:rsid w:val="0023717D"/>
    <w:rsid w:val="00241A3A"/>
    <w:rsid w:val="00244C5C"/>
    <w:rsid w:val="00251462"/>
    <w:rsid w:val="002554D8"/>
    <w:rsid w:val="002600C8"/>
    <w:rsid w:val="00261255"/>
    <w:rsid w:val="00261354"/>
    <w:rsid w:val="0026443E"/>
    <w:rsid w:val="00266AFB"/>
    <w:rsid w:val="00270550"/>
    <w:rsid w:val="00272790"/>
    <w:rsid w:val="00272B80"/>
    <w:rsid w:val="00277D54"/>
    <w:rsid w:val="002832EC"/>
    <w:rsid w:val="0028351E"/>
    <w:rsid w:val="00284FDA"/>
    <w:rsid w:val="00293D19"/>
    <w:rsid w:val="002953C8"/>
    <w:rsid w:val="00295664"/>
    <w:rsid w:val="002A17DE"/>
    <w:rsid w:val="002A354E"/>
    <w:rsid w:val="002A5D03"/>
    <w:rsid w:val="002A69C5"/>
    <w:rsid w:val="002B142E"/>
    <w:rsid w:val="002B1B1C"/>
    <w:rsid w:val="002B1E49"/>
    <w:rsid w:val="002B2E2F"/>
    <w:rsid w:val="002B511D"/>
    <w:rsid w:val="002B613D"/>
    <w:rsid w:val="002B76AC"/>
    <w:rsid w:val="002C541C"/>
    <w:rsid w:val="002C7678"/>
    <w:rsid w:val="002D35FC"/>
    <w:rsid w:val="002D5658"/>
    <w:rsid w:val="002D672A"/>
    <w:rsid w:val="002E1BB4"/>
    <w:rsid w:val="002E30D2"/>
    <w:rsid w:val="002E4CEB"/>
    <w:rsid w:val="002E7374"/>
    <w:rsid w:val="002F33A2"/>
    <w:rsid w:val="002F7B82"/>
    <w:rsid w:val="0030173B"/>
    <w:rsid w:val="0030366B"/>
    <w:rsid w:val="00310266"/>
    <w:rsid w:val="0032275A"/>
    <w:rsid w:val="003256CA"/>
    <w:rsid w:val="00325716"/>
    <w:rsid w:val="003279C0"/>
    <w:rsid w:val="00330A59"/>
    <w:rsid w:val="00334142"/>
    <w:rsid w:val="00335434"/>
    <w:rsid w:val="00337000"/>
    <w:rsid w:val="003405F8"/>
    <w:rsid w:val="00346EF7"/>
    <w:rsid w:val="0034794C"/>
    <w:rsid w:val="00352E8C"/>
    <w:rsid w:val="00355E41"/>
    <w:rsid w:val="003572DC"/>
    <w:rsid w:val="0036359F"/>
    <w:rsid w:val="00364310"/>
    <w:rsid w:val="003713C8"/>
    <w:rsid w:val="00371733"/>
    <w:rsid w:val="00372EAA"/>
    <w:rsid w:val="00376362"/>
    <w:rsid w:val="00377E14"/>
    <w:rsid w:val="00381A90"/>
    <w:rsid w:val="00385218"/>
    <w:rsid w:val="0038563D"/>
    <w:rsid w:val="00386A00"/>
    <w:rsid w:val="00387091"/>
    <w:rsid w:val="00392AB9"/>
    <w:rsid w:val="00393E4C"/>
    <w:rsid w:val="003A2584"/>
    <w:rsid w:val="003A2647"/>
    <w:rsid w:val="003A3671"/>
    <w:rsid w:val="003A4B34"/>
    <w:rsid w:val="003B473F"/>
    <w:rsid w:val="003C0D9D"/>
    <w:rsid w:val="003C1B31"/>
    <w:rsid w:val="003C46BD"/>
    <w:rsid w:val="003C47DC"/>
    <w:rsid w:val="003D6C44"/>
    <w:rsid w:val="003D768A"/>
    <w:rsid w:val="003E02E6"/>
    <w:rsid w:val="003E20A9"/>
    <w:rsid w:val="003E5928"/>
    <w:rsid w:val="003E5CFD"/>
    <w:rsid w:val="003E6A57"/>
    <w:rsid w:val="003E7B47"/>
    <w:rsid w:val="003F26CB"/>
    <w:rsid w:val="003F37A1"/>
    <w:rsid w:val="003F7C07"/>
    <w:rsid w:val="004014E1"/>
    <w:rsid w:val="00403B4C"/>
    <w:rsid w:val="00404110"/>
    <w:rsid w:val="004046EF"/>
    <w:rsid w:val="00405BB9"/>
    <w:rsid w:val="004064AB"/>
    <w:rsid w:val="00407D94"/>
    <w:rsid w:val="00414C1B"/>
    <w:rsid w:val="00415577"/>
    <w:rsid w:val="00422681"/>
    <w:rsid w:val="004310A2"/>
    <w:rsid w:val="00431BE2"/>
    <w:rsid w:val="00440591"/>
    <w:rsid w:val="0044329A"/>
    <w:rsid w:val="004433BA"/>
    <w:rsid w:val="004509BF"/>
    <w:rsid w:val="00454B69"/>
    <w:rsid w:val="00454E4B"/>
    <w:rsid w:val="00455095"/>
    <w:rsid w:val="00460D07"/>
    <w:rsid w:val="00465F2D"/>
    <w:rsid w:val="00466054"/>
    <w:rsid w:val="00483A9B"/>
    <w:rsid w:val="004868AD"/>
    <w:rsid w:val="00492E92"/>
    <w:rsid w:val="00494946"/>
    <w:rsid w:val="0049525C"/>
    <w:rsid w:val="0049568B"/>
    <w:rsid w:val="00497E53"/>
    <w:rsid w:val="004A2E47"/>
    <w:rsid w:val="004B39ED"/>
    <w:rsid w:val="004B4012"/>
    <w:rsid w:val="004B4155"/>
    <w:rsid w:val="004C09DC"/>
    <w:rsid w:val="004C16F3"/>
    <w:rsid w:val="004C4230"/>
    <w:rsid w:val="004C4F56"/>
    <w:rsid w:val="004C7FE5"/>
    <w:rsid w:val="004D2DAA"/>
    <w:rsid w:val="004D55AA"/>
    <w:rsid w:val="004D6C5A"/>
    <w:rsid w:val="004D7470"/>
    <w:rsid w:val="004E04A1"/>
    <w:rsid w:val="004F019C"/>
    <w:rsid w:val="004F0A53"/>
    <w:rsid w:val="004F2494"/>
    <w:rsid w:val="004F5BD6"/>
    <w:rsid w:val="004F5DBA"/>
    <w:rsid w:val="00505A9A"/>
    <w:rsid w:val="00506268"/>
    <w:rsid w:val="00507AB1"/>
    <w:rsid w:val="00515266"/>
    <w:rsid w:val="00525000"/>
    <w:rsid w:val="005253FF"/>
    <w:rsid w:val="00526D18"/>
    <w:rsid w:val="005331FC"/>
    <w:rsid w:val="00534D4C"/>
    <w:rsid w:val="005361B4"/>
    <w:rsid w:val="00542EEF"/>
    <w:rsid w:val="00542F55"/>
    <w:rsid w:val="00551311"/>
    <w:rsid w:val="00554752"/>
    <w:rsid w:val="0055534C"/>
    <w:rsid w:val="00572923"/>
    <w:rsid w:val="005766AC"/>
    <w:rsid w:val="00577162"/>
    <w:rsid w:val="00577242"/>
    <w:rsid w:val="00586761"/>
    <w:rsid w:val="00587692"/>
    <w:rsid w:val="0059377F"/>
    <w:rsid w:val="005A2867"/>
    <w:rsid w:val="005A32D8"/>
    <w:rsid w:val="005A6B77"/>
    <w:rsid w:val="005B0A42"/>
    <w:rsid w:val="005B2701"/>
    <w:rsid w:val="005B4846"/>
    <w:rsid w:val="005C5509"/>
    <w:rsid w:val="005C5760"/>
    <w:rsid w:val="005D45DB"/>
    <w:rsid w:val="005D6ABC"/>
    <w:rsid w:val="005E0DFC"/>
    <w:rsid w:val="005E612A"/>
    <w:rsid w:val="005F0678"/>
    <w:rsid w:val="005F08F5"/>
    <w:rsid w:val="005F0FE5"/>
    <w:rsid w:val="00602113"/>
    <w:rsid w:val="0060350B"/>
    <w:rsid w:val="00604322"/>
    <w:rsid w:val="006069D1"/>
    <w:rsid w:val="00613A45"/>
    <w:rsid w:val="00613FA4"/>
    <w:rsid w:val="00615C49"/>
    <w:rsid w:val="00616892"/>
    <w:rsid w:val="00623C12"/>
    <w:rsid w:val="00630854"/>
    <w:rsid w:val="00632DF5"/>
    <w:rsid w:val="00634BA5"/>
    <w:rsid w:val="00637796"/>
    <w:rsid w:val="006439F1"/>
    <w:rsid w:val="00644445"/>
    <w:rsid w:val="006470E5"/>
    <w:rsid w:val="0065001C"/>
    <w:rsid w:val="00650671"/>
    <w:rsid w:val="006541AA"/>
    <w:rsid w:val="00657F6F"/>
    <w:rsid w:val="00660BC1"/>
    <w:rsid w:val="00664973"/>
    <w:rsid w:val="00666AAE"/>
    <w:rsid w:val="00667F4D"/>
    <w:rsid w:val="00670AD4"/>
    <w:rsid w:val="006720A9"/>
    <w:rsid w:val="00672284"/>
    <w:rsid w:val="00675466"/>
    <w:rsid w:val="00675D63"/>
    <w:rsid w:val="00677CC0"/>
    <w:rsid w:val="00681A3F"/>
    <w:rsid w:val="00685862"/>
    <w:rsid w:val="00690199"/>
    <w:rsid w:val="00694F6B"/>
    <w:rsid w:val="00696BBC"/>
    <w:rsid w:val="00696E3B"/>
    <w:rsid w:val="00697A4C"/>
    <w:rsid w:val="006A0B0F"/>
    <w:rsid w:val="006A7763"/>
    <w:rsid w:val="006A77BD"/>
    <w:rsid w:val="006A7984"/>
    <w:rsid w:val="006B23D9"/>
    <w:rsid w:val="006C59C2"/>
    <w:rsid w:val="006D1811"/>
    <w:rsid w:val="006D615A"/>
    <w:rsid w:val="006E6585"/>
    <w:rsid w:val="006F0C36"/>
    <w:rsid w:val="006F1C40"/>
    <w:rsid w:val="006F2AB9"/>
    <w:rsid w:val="006F4440"/>
    <w:rsid w:val="006F4567"/>
    <w:rsid w:val="006F48A2"/>
    <w:rsid w:val="006F5046"/>
    <w:rsid w:val="006F602B"/>
    <w:rsid w:val="00702BD7"/>
    <w:rsid w:val="007068D7"/>
    <w:rsid w:val="007074A2"/>
    <w:rsid w:val="00712DF6"/>
    <w:rsid w:val="00713F92"/>
    <w:rsid w:val="007141B4"/>
    <w:rsid w:val="00714BBB"/>
    <w:rsid w:val="0071761A"/>
    <w:rsid w:val="007224A3"/>
    <w:rsid w:val="007235AC"/>
    <w:rsid w:val="00726699"/>
    <w:rsid w:val="007320F4"/>
    <w:rsid w:val="00733B7E"/>
    <w:rsid w:val="00740504"/>
    <w:rsid w:val="00743B99"/>
    <w:rsid w:val="00747521"/>
    <w:rsid w:val="00752D0E"/>
    <w:rsid w:val="00754DD7"/>
    <w:rsid w:val="0075547B"/>
    <w:rsid w:val="0075662A"/>
    <w:rsid w:val="00764FFF"/>
    <w:rsid w:val="00775A49"/>
    <w:rsid w:val="00780DE9"/>
    <w:rsid w:val="00785753"/>
    <w:rsid w:val="007907A7"/>
    <w:rsid w:val="00790C2D"/>
    <w:rsid w:val="007931C0"/>
    <w:rsid w:val="00796259"/>
    <w:rsid w:val="0079660C"/>
    <w:rsid w:val="007A0A2A"/>
    <w:rsid w:val="007A11EE"/>
    <w:rsid w:val="007A25EF"/>
    <w:rsid w:val="007A6E78"/>
    <w:rsid w:val="007A7BE3"/>
    <w:rsid w:val="007B4956"/>
    <w:rsid w:val="007C0612"/>
    <w:rsid w:val="007C211B"/>
    <w:rsid w:val="007C5835"/>
    <w:rsid w:val="007C6D63"/>
    <w:rsid w:val="007D6D8D"/>
    <w:rsid w:val="007D71CA"/>
    <w:rsid w:val="007E46E1"/>
    <w:rsid w:val="007E5500"/>
    <w:rsid w:val="007E7614"/>
    <w:rsid w:val="007F21AC"/>
    <w:rsid w:val="007F2516"/>
    <w:rsid w:val="007F3EA4"/>
    <w:rsid w:val="0080026F"/>
    <w:rsid w:val="008012AC"/>
    <w:rsid w:val="008013E9"/>
    <w:rsid w:val="008058BC"/>
    <w:rsid w:val="008113DE"/>
    <w:rsid w:val="00812A44"/>
    <w:rsid w:val="008201C2"/>
    <w:rsid w:val="0082169C"/>
    <w:rsid w:val="008263D6"/>
    <w:rsid w:val="00826989"/>
    <w:rsid w:val="00826A8C"/>
    <w:rsid w:val="008274A4"/>
    <w:rsid w:val="00830B14"/>
    <w:rsid w:val="00830F7D"/>
    <w:rsid w:val="008336B5"/>
    <w:rsid w:val="00836E1D"/>
    <w:rsid w:val="00840E2B"/>
    <w:rsid w:val="00844332"/>
    <w:rsid w:val="00845ECD"/>
    <w:rsid w:val="0084746C"/>
    <w:rsid w:val="00854FD6"/>
    <w:rsid w:val="00862483"/>
    <w:rsid w:val="008626D7"/>
    <w:rsid w:val="00865A02"/>
    <w:rsid w:val="00873F3C"/>
    <w:rsid w:val="008764A0"/>
    <w:rsid w:val="008777A3"/>
    <w:rsid w:val="00882A69"/>
    <w:rsid w:val="00886D18"/>
    <w:rsid w:val="00887970"/>
    <w:rsid w:val="00892515"/>
    <w:rsid w:val="00894820"/>
    <w:rsid w:val="00895E44"/>
    <w:rsid w:val="008A1179"/>
    <w:rsid w:val="008A2354"/>
    <w:rsid w:val="008A59CF"/>
    <w:rsid w:val="008B4714"/>
    <w:rsid w:val="008C4924"/>
    <w:rsid w:val="008D089A"/>
    <w:rsid w:val="008D179C"/>
    <w:rsid w:val="008D4795"/>
    <w:rsid w:val="008D6C1C"/>
    <w:rsid w:val="008E2A0F"/>
    <w:rsid w:val="008E68F0"/>
    <w:rsid w:val="008E7B8A"/>
    <w:rsid w:val="008F1CA1"/>
    <w:rsid w:val="008F33A8"/>
    <w:rsid w:val="008F33C3"/>
    <w:rsid w:val="008F3791"/>
    <w:rsid w:val="009068E8"/>
    <w:rsid w:val="00910F90"/>
    <w:rsid w:val="00911074"/>
    <w:rsid w:val="00913B90"/>
    <w:rsid w:val="009156AE"/>
    <w:rsid w:val="00916D04"/>
    <w:rsid w:val="00917807"/>
    <w:rsid w:val="00921A02"/>
    <w:rsid w:val="00924879"/>
    <w:rsid w:val="00931470"/>
    <w:rsid w:val="00933890"/>
    <w:rsid w:val="00935557"/>
    <w:rsid w:val="0094164C"/>
    <w:rsid w:val="009427EC"/>
    <w:rsid w:val="00950E59"/>
    <w:rsid w:val="00951497"/>
    <w:rsid w:val="0095466F"/>
    <w:rsid w:val="009559C7"/>
    <w:rsid w:val="00955DC6"/>
    <w:rsid w:val="00966D47"/>
    <w:rsid w:val="009755DC"/>
    <w:rsid w:val="0098002D"/>
    <w:rsid w:val="009827F5"/>
    <w:rsid w:val="009858D6"/>
    <w:rsid w:val="00986EA9"/>
    <w:rsid w:val="00987E7F"/>
    <w:rsid w:val="009903EA"/>
    <w:rsid w:val="009914AF"/>
    <w:rsid w:val="009946E5"/>
    <w:rsid w:val="009A2FDF"/>
    <w:rsid w:val="009A58C1"/>
    <w:rsid w:val="009A6AEC"/>
    <w:rsid w:val="009A771F"/>
    <w:rsid w:val="009B23DF"/>
    <w:rsid w:val="009B2C56"/>
    <w:rsid w:val="009B5707"/>
    <w:rsid w:val="009B65CD"/>
    <w:rsid w:val="009B675A"/>
    <w:rsid w:val="009B6B55"/>
    <w:rsid w:val="009B7C27"/>
    <w:rsid w:val="009C2DCF"/>
    <w:rsid w:val="009C5C6B"/>
    <w:rsid w:val="009D0838"/>
    <w:rsid w:val="009D13AC"/>
    <w:rsid w:val="009D2E46"/>
    <w:rsid w:val="009D3A2E"/>
    <w:rsid w:val="009D77AD"/>
    <w:rsid w:val="009E0ABA"/>
    <w:rsid w:val="009E2AA2"/>
    <w:rsid w:val="009E2E49"/>
    <w:rsid w:val="009E32D3"/>
    <w:rsid w:val="009E34DD"/>
    <w:rsid w:val="009E46FE"/>
    <w:rsid w:val="009F073B"/>
    <w:rsid w:val="009F1530"/>
    <w:rsid w:val="009F2364"/>
    <w:rsid w:val="009F7A31"/>
    <w:rsid w:val="00A0373C"/>
    <w:rsid w:val="00A06E60"/>
    <w:rsid w:val="00A1468D"/>
    <w:rsid w:val="00A153A8"/>
    <w:rsid w:val="00A2048E"/>
    <w:rsid w:val="00A22042"/>
    <w:rsid w:val="00A238C1"/>
    <w:rsid w:val="00A24993"/>
    <w:rsid w:val="00A25A12"/>
    <w:rsid w:val="00A32444"/>
    <w:rsid w:val="00A34606"/>
    <w:rsid w:val="00A371A8"/>
    <w:rsid w:val="00A40893"/>
    <w:rsid w:val="00A40990"/>
    <w:rsid w:val="00A50672"/>
    <w:rsid w:val="00A56CD1"/>
    <w:rsid w:val="00A621EA"/>
    <w:rsid w:val="00A62DB6"/>
    <w:rsid w:val="00A64CBD"/>
    <w:rsid w:val="00A65C39"/>
    <w:rsid w:val="00A714EF"/>
    <w:rsid w:val="00A71C8A"/>
    <w:rsid w:val="00A859D7"/>
    <w:rsid w:val="00A917D0"/>
    <w:rsid w:val="00A926AA"/>
    <w:rsid w:val="00A92DCC"/>
    <w:rsid w:val="00A92FD2"/>
    <w:rsid w:val="00A96463"/>
    <w:rsid w:val="00AA0FD4"/>
    <w:rsid w:val="00AA4C3C"/>
    <w:rsid w:val="00AA64AE"/>
    <w:rsid w:val="00AB69B7"/>
    <w:rsid w:val="00AB6D85"/>
    <w:rsid w:val="00AC3E8B"/>
    <w:rsid w:val="00AC5EF7"/>
    <w:rsid w:val="00AC7881"/>
    <w:rsid w:val="00AD31BF"/>
    <w:rsid w:val="00AD3708"/>
    <w:rsid w:val="00AD7F57"/>
    <w:rsid w:val="00AE4BD0"/>
    <w:rsid w:val="00AF6F12"/>
    <w:rsid w:val="00AF7F92"/>
    <w:rsid w:val="00B06D8F"/>
    <w:rsid w:val="00B1162C"/>
    <w:rsid w:val="00B11695"/>
    <w:rsid w:val="00B14D50"/>
    <w:rsid w:val="00B20B6B"/>
    <w:rsid w:val="00B27129"/>
    <w:rsid w:val="00B335CD"/>
    <w:rsid w:val="00B36880"/>
    <w:rsid w:val="00B42A33"/>
    <w:rsid w:val="00B43F8E"/>
    <w:rsid w:val="00B44508"/>
    <w:rsid w:val="00B47A1E"/>
    <w:rsid w:val="00B543BA"/>
    <w:rsid w:val="00B5575A"/>
    <w:rsid w:val="00B55F11"/>
    <w:rsid w:val="00B574E5"/>
    <w:rsid w:val="00B62B4F"/>
    <w:rsid w:val="00B65A92"/>
    <w:rsid w:val="00B65F8A"/>
    <w:rsid w:val="00B66537"/>
    <w:rsid w:val="00B67112"/>
    <w:rsid w:val="00B7266C"/>
    <w:rsid w:val="00B74463"/>
    <w:rsid w:val="00B8718A"/>
    <w:rsid w:val="00B901D4"/>
    <w:rsid w:val="00B91DAB"/>
    <w:rsid w:val="00B92983"/>
    <w:rsid w:val="00B93100"/>
    <w:rsid w:val="00B939C3"/>
    <w:rsid w:val="00BA12F0"/>
    <w:rsid w:val="00BA7856"/>
    <w:rsid w:val="00BC189D"/>
    <w:rsid w:val="00BC1EAF"/>
    <w:rsid w:val="00BC7342"/>
    <w:rsid w:val="00BE1364"/>
    <w:rsid w:val="00BE1C8A"/>
    <w:rsid w:val="00BE4649"/>
    <w:rsid w:val="00BF0691"/>
    <w:rsid w:val="00BF13CD"/>
    <w:rsid w:val="00BF3809"/>
    <w:rsid w:val="00BF609F"/>
    <w:rsid w:val="00BF6B41"/>
    <w:rsid w:val="00BF79E3"/>
    <w:rsid w:val="00C02B5E"/>
    <w:rsid w:val="00C030BC"/>
    <w:rsid w:val="00C0376B"/>
    <w:rsid w:val="00C03DC4"/>
    <w:rsid w:val="00C065E2"/>
    <w:rsid w:val="00C11723"/>
    <w:rsid w:val="00C129B9"/>
    <w:rsid w:val="00C13EB8"/>
    <w:rsid w:val="00C16D5A"/>
    <w:rsid w:val="00C221CA"/>
    <w:rsid w:val="00C2611C"/>
    <w:rsid w:val="00C261CB"/>
    <w:rsid w:val="00C339B8"/>
    <w:rsid w:val="00C33A02"/>
    <w:rsid w:val="00C36F50"/>
    <w:rsid w:val="00C42128"/>
    <w:rsid w:val="00C43A67"/>
    <w:rsid w:val="00C53605"/>
    <w:rsid w:val="00C54792"/>
    <w:rsid w:val="00C54D18"/>
    <w:rsid w:val="00C56593"/>
    <w:rsid w:val="00C56EDE"/>
    <w:rsid w:val="00C630F6"/>
    <w:rsid w:val="00C635AB"/>
    <w:rsid w:val="00C667F4"/>
    <w:rsid w:val="00C831F4"/>
    <w:rsid w:val="00C8504C"/>
    <w:rsid w:val="00C86C6A"/>
    <w:rsid w:val="00C902A9"/>
    <w:rsid w:val="00C95213"/>
    <w:rsid w:val="00C97FB6"/>
    <w:rsid w:val="00CB6D49"/>
    <w:rsid w:val="00CC1757"/>
    <w:rsid w:val="00CC6408"/>
    <w:rsid w:val="00CC7494"/>
    <w:rsid w:val="00CD03F7"/>
    <w:rsid w:val="00CD264E"/>
    <w:rsid w:val="00CE1249"/>
    <w:rsid w:val="00CF2AA8"/>
    <w:rsid w:val="00CF4F71"/>
    <w:rsid w:val="00D01383"/>
    <w:rsid w:val="00D01851"/>
    <w:rsid w:val="00D03E49"/>
    <w:rsid w:val="00D048AB"/>
    <w:rsid w:val="00D04B1F"/>
    <w:rsid w:val="00D06BB1"/>
    <w:rsid w:val="00D07F38"/>
    <w:rsid w:val="00D11BC5"/>
    <w:rsid w:val="00D122D8"/>
    <w:rsid w:val="00D14656"/>
    <w:rsid w:val="00D173A8"/>
    <w:rsid w:val="00D17967"/>
    <w:rsid w:val="00D2360A"/>
    <w:rsid w:val="00D23C6F"/>
    <w:rsid w:val="00D26EC2"/>
    <w:rsid w:val="00D3402F"/>
    <w:rsid w:val="00D37E47"/>
    <w:rsid w:val="00D44779"/>
    <w:rsid w:val="00D468F4"/>
    <w:rsid w:val="00D46D46"/>
    <w:rsid w:val="00D57634"/>
    <w:rsid w:val="00D61573"/>
    <w:rsid w:val="00D64A45"/>
    <w:rsid w:val="00D758CE"/>
    <w:rsid w:val="00D770DE"/>
    <w:rsid w:val="00D81D0D"/>
    <w:rsid w:val="00D82A7B"/>
    <w:rsid w:val="00D85F73"/>
    <w:rsid w:val="00D86564"/>
    <w:rsid w:val="00D87274"/>
    <w:rsid w:val="00D90B4E"/>
    <w:rsid w:val="00D90DB2"/>
    <w:rsid w:val="00D92032"/>
    <w:rsid w:val="00D97AC5"/>
    <w:rsid w:val="00DA2F1C"/>
    <w:rsid w:val="00DA3445"/>
    <w:rsid w:val="00DA48B0"/>
    <w:rsid w:val="00DB1276"/>
    <w:rsid w:val="00DB2E27"/>
    <w:rsid w:val="00DB59BB"/>
    <w:rsid w:val="00DB6E15"/>
    <w:rsid w:val="00DB77A2"/>
    <w:rsid w:val="00DB7D90"/>
    <w:rsid w:val="00DC5CEF"/>
    <w:rsid w:val="00DC7A41"/>
    <w:rsid w:val="00DD081A"/>
    <w:rsid w:val="00DD1908"/>
    <w:rsid w:val="00DE2125"/>
    <w:rsid w:val="00DE5196"/>
    <w:rsid w:val="00DE5AAA"/>
    <w:rsid w:val="00DE7B89"/>
    <w:rsid w:val="00DF0357"/>
    <w:rsid w:val="00DF25D6"/>
    <w:rsid w:val="00DF451E"/>
    <w:rsid w:val="00DF6B33"/>
    <w:rsid w:val="00DF7A28"/>
    <w:rsid w:val="00E006E0"/>
    <w:rsid w:val="00E03C8E"/>
    <w:rsid w:val="00E07877"/>
    <w:rsid w:val="00E07A91"/>
    <w:rsid w:val="00E11635"/>
    <w:rsid w:val="00E1667A"/>
    <w:rsid w:val="00E17D0E"/>
    <w:rsid w:val="00E20208"/>
    <w:rsid w:val="00E23356"/>
    <w:rsid w:val="00E24BA5"/>
    <w:rsid w:val="00E313E0"/>
    <w:rsid w:val="00E3148E"/>
    <w:rsid w:val="00E32D25"/>
    <w:rsid w:val="00E463F8"/>
    <w:rsid w:val="00E47199"/>
    <w:rsid w:val="00E5072F"/>
    <w:rsid w:val="00E5288B"/>
    <w:rsid w:val="00E54B29"/>
    <w:rsid w:val="00E56D61"/>
    <w:rsid w:val="00E56D87"/>
    <w:rsid w:val="00E57C30"/>
    <w:rsid w:val="00E66A5B"/>
    <w:rsid w:val="00E66ED7"/>
    <w:rsid w:val="00E70A51"/>
    <w:rsid w:val="00E70DEC"/>
    <w:rsid w:val="00E71003"/>
    <w:rsid w:val="00E73896"/>
    <w:rsid w:val="00E762CD"/>
    <w:rsid w:val="00E76A88"/>
    <w:rsid w:val="00E76B69"/>
    <w:rsid w:val="00E7727A"/>
    <w:rsid w:val="00E84A45"/>
    <w:rsid w:val="00E90216"/>
    <w:rsid w:val="00E92F2D"/>
    <w:rsid w:val="00EA77C4"/>
    <w:rsid w:val="00EA7F69"/>
    <w:rsid w:val="00EB6D96"/>
    <w:rsid w:val="00EB748F"/>
    <w:rsid w:val="00EC23D1"/>
    <w:rsid w:val="00EC246C"/>
    <w:rsid w:val="00EC5DD6"/>
    <w:rsid w:val="00ED1E38"/>
    <w:rsid w:val="00ED3264"/>
    <w:rsid w:val="00ED5D5E"/>
    <w:rsid w:val="00EE1E88"/>
    <w:rsid w:val="00EE2F81"/>
    <w:rsid w:val="00EE386B"/>
    <w:rsid w:val="00EF11E1"/>
    <w:rsid w:val="00EF5952"/>
    <w:rsid w:val="00EF7D26"/>
    <w:rsid w:val="00F05F41"/>
    <w:rsid w:val="00F06F69"/>
    <w:rsid w:val="00F1159A"/>
    <w:rsid w:val="00F174E0"/>
    <w:rsid w:val="00F176E9"/>
    <w:rsid w:val="00F2166E"/>
    <w:rsid w:val="00F242A8"/>
    <w:rsid w:val="00F24B2D"/>
    <w:rsid w:val="00F2623D"/>
    <w:rsid w:val="00F33C21"/>
    <w:rsid w:val="00F40C61"/>
    <w:rsid w:val="00F44892"/>
    <w:rsid w:val="00F474C3"/>
    <w:rsid w:val="00F608EF"/>
    <w:rsid w:val="00F774AC"/>
    <w:rsid w:val="00F80215"/>
    <w:rsid w:val="00F83A3E"/>
    <w:rsid w:val="00F854B8"/>
    <w:rsid w:val="00F86D09"/>
    <w:rsid w:val="00F87F1A"/>
    <w:rsid w:val="00F94184"/>
    <w:rsid w:val="00FA5FDD"/>
    <w:rsid w:val="00FA6A08"/>
    <w:rsid w:val="00FC20E0"/>
    <w:rsid w:val="00FC77FE"/>
    <w:rsid w:val="00FD1157"/>
    <w:rsid w:val="00FD2F57"/>
    <w:rsid w:val="00FD40D6"/>
    <w:rsid w:val="00FD5720"/>
    <w:rsid w:val="00FE54D7"/>
    <w:rsid w:val="00FE5995"/>
    <w:rsid w:val="00FF1134"/>
    <w:rsid w:val="00FF2AF3"/>
    <w:rsid w:val="00FF5CB4"/>
    <w:rsid w:val="00FF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left" w:pos="360"/>
      </w:tabs>
      <w:suppressAutoHyphens/>
      <w:spacing w:after="22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Footnote Text Char Char,rrfootnote Char Char,Footnote Text Char1 Char Char,Footnote Text Char Char Char Char,rrfootnote Char Char Char Char,rrfootnote Char1 Char Char,Footnote Text Char2 Char,Footnote Text Char2,f,fn,St"/>
    <w:link w:val="FootnoteTextChar"/>
    <w:semiHidden/>
    <w:pPr>
      <w:tabs>
        <w:tab w:val="left" w:pos="720"/>
        <w:tab w:val="left" w:pos="1440"/>
      </w:tabs>
      <w:spacing w:after="200"/>
      <w:ind w:right="144" w:firstLine="720"/>
    </w:pPr>
  </w:style>
  <w:style w:type="character" w:styleId="FootnoteReference">
    <w:name w:val="footnote reference"/>
    <w:aliases w:val="Style 12,(NECG) Footnote Reference,Appel note de bas de p,Style 124,Style 4,Style 13,o,fr,Style 3"/>
    <w:basedOn w:val="DefaultParagraphFont"/>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56593"/>
    <w:pPr>
      <w:pBdr>
        <w:bottom w:val="single" w:sz="12" w:space="1" w:color="auto"/>
      </w:pBdr>
      <w:tabs>
        <w:tab w:val="center" w:pos="4680"/>
        <w:tab w:val="right" w:pos="9360"/>
      </w:tabs>
    </w:pPr>
    <w:rPr>
      <w:rFonts w:ascii="Times New Roman Bold" w:hAnsi="Times New Roman Bold"/>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Paranum0">
    <w:name w:val="Paranum"/>
    <w:pPr>
      <w:numPr>
        <w:numId w:val="4"/>
      </w:numPr>
      <w:tabs>
        <w:tab w:val="left" w:pos="1440"/>
      </w:tabs>
      <w:spacing w:after="240"/>
      <w:ind w:left="0" w:firstLine="720"/>
      <w:jc w:val="both"/>
    </w:pPr>
    <w:rPr>
      <w:sz w:val="22"/>
    </w:rPr>
  </w:style>
  <w:style w:type="character" w:customStyle="1" w:styleId="Footnote">
    <w:name w:val="Footnote"/>
    <w:basedOn w:val="DefaultParagraphFont"/>
    <w:rPr>
      <w:rFonts w:ascii="Times New Roman" w:hAnsi="Times New Roman"/>
      <w:sz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rrfootnote Char Char Char,Footnote Text Char1 Char Char Char,Footnote Text Char Char Char Char Char,rrfootnote Char Char Char Char Char,rrfootnote Char1 Char Char Char,f Char"/>
    <w:basedOn w:val="DefaultParagraphFont"/>
    <w:link w:val="FootnoteText"/>
    <w:semiHidden/>
    <w:rPr>
      <w:lang w:val="en-US" w:eastAsia="en-US" w:bidi="ar-SA"/>
    </w:rPr>
  </w:style>
  <w:style w:type="character" w:styleId="Hyperlink">
    <w:name w:val="Hyperlink"/>
    <w:basedOn w:val="DefaultParagraphFont"/>
    <w:rPr>
      <w:color w:val="0000FF"/>
      <w:u w:val="single"/>
    </w:rPr>
  </w:style>
  <w:style w:type="character" w:customStyle="1" w:styleId="documentbody1">
    <w:name w:val="documentbody1"/>
    <w:basedOn w:val="DefaultParagraphFont"/>
    <w:rPr>
      <w:rFonts w:ascii="Verdana" w:hAnsi="Verdana" w:hint="default"/>
      <w:sz w:val="19"/>
      <w:szCs w:val="19"/>
      <w:shd w:val="clear" w:color="auto" w:fill="FFFFFF"/>
    </w:rPr>
  </w:style>
  <w:style w:type="paragraph" w:styleId="DocumentMap">
    <w:name w:val="Document Map"/>
    <w:basedOn w:val="Normal"/>
    <w:semiHidden/>
    <w:pPr>
      <w:shd w:val="clear" w:color="auto" w:fill="000080"/>
    </w:pPr>
    <w:rPr>
      <w:rFonts w:ascii="Tahoma" w:hAnsi="Tahoma" w:cs="Tahoma"/>
    </w:rPr>
  </w:style>
  <w:style w:type="character" w:customStyle="1" w:styleId="documentbody">
    <w:name w:val="documentbody"/>
    <w:basedOn w:val="DefaultParagraphFont"/>
  </w:style>
  <w:style w:type="character" w:customStyle="1" w:styleId="searchterm">
    <w:name w:val="searchterm"/>
    <w:basedOn w:val="DefaultParagraphFont"/>
  </w:style>
  <w:style w:type="character" w:customStyle="1" w:styleId="bestsection">
    <w:name w:val="bestsection"/>
    <w:basedOn w:val="DefaultParagraphFont"/>
  </w:style>
  <w:style w:type="character" w:customStyle="1" w:styleId="searchterm1">
    <w:name w:val="searchterm1"/>
    <w:basedOn w:val="DefaultParagraphFont"/>
    <w:rPr>
      <w:b/>
      <w:bCs/>
      <w:shd w:val="clear" w:color="auto" w:fill="FFFF00"/>
    </w:rPr>
  </w:style>
  <w:style w:type="character" w:styleId="FollowedHyperlink">
    <w:name w:val="FollowedHyperlink"/>
    <w:basedOn w:val="DefaultParagraphFont"/>
    <w:rPr>
      <w:color w:val="800080"/>
      <w:u w:val="single"/>
    </w:rPr>
  </w:style>
  <w:style w:type="character" w:customStyle="1" w:styleId="FootnoteTextChar1CharCharCharChar">
    <w:name w:val="Footnote Text Char1 Char Char Char Char"/>
    <w:aliases w:val="rrfootnote Char1 Char Char Char Char,Footnote Text Char Char Char Char Char Char1,rrfootnote Char Char Char Char Char Char,rrfootnote Char,Footnote Text Char Char Char Char Char Char"/>
    <w:basedOn w:val="DefaultParagraphFont"/>
    <w:rPr>
      <w:lang w:val="en-US" w:eastAsia="en-US" w:bidi="ar-SA"/>
    </w:rPr>
  </w:style>
  <w:style w:type="character" w:customStyle="1" w:styleId="starpage1">
    <w:name w:val="starpage1"/>
    <w:basedOn w:val="DefaultParagraphFont"/>
    <w:rPr>
      <w:b/>
      <w:bCs/>
      <w:i/>
      <w:iCs/>
      <w:color w:val="800080"/>
    </w:rPr>
  </w:style>
  <w:style w:type="character" w:customStyle="1" w:styleId="ParaNumChar">
    <w:name w:val="ParaNum Char"/>
    <w:basedOn w:val="DefaultParagraphFont"/>
    <w:link w:val="ParaNum"/>
    <w:rsid w:val="00B543BA"/>
    <w:rPr>
      <w:snapToGrid w:val="0"/>
      <w:kern w:val="28"/>
      <w:sz w:val="22"/>
    </w:rPr>
  </w:style>
  <w:style w:type="character" w:customStyle="1" w:styleId="bestsection1">
    <w:name w:val="bestsection1"/>
    <w:basedOn w:val="DefaultParagraphFont"/>
    <w:rsid w:val="008E2A0F"/>
    <w:rPr>
      <w:color w:val="FF0000"/>
    </w:rPr>
  </w:style>
  <w:style w:type="character" w:styleId="CommentReference">
    <w:name w:val="annotation reference"/>
    <w:basedOn w:val="DefaultParagraphFont"/>
    <w:rsid w:val="00DA3445"/>
    <w:rPr>
      <w:sz w:val="18"/>
      <w:szCs w:val="18"/>
    </w:rPr>
  </w:style>
  <w:style w:type="paragraph" w:styleId="CommentText">
    <w:name w:val="annotation text"/>
    <w:basedOn w:val="Normal"/>
    <w:link w:val="CommentTextChar"/>
    <w:rsid w:val="00DA3445"/>
    <w:rPr>
      <w:sz w:val="24"/>
      <w:szCs w:val="24"/>
    </w:rPr>
  </w:style>
  <w:style w:type="character" w:customStyle="1" w:styleId="CommentTextChar">
    <w:name w:val="Comment Text Char"/>
    <w:basedOn w:val="DefaultParagraphFont"/>
    <w:link w:val="CommentText"/>
    <w:rsid w:val="00DA3445"/>
    <w:rPr>
      <w:snapToGrid w:val="0"/>
      <w:kern w:val="28"/>
      <w:sz w:val="24"/>
      <w:szCs w:val="24"/>
    </w:rPr>
  </w:style>
  <w:style w:type="paragraph" w:styleId="CommentSubject">
    <w:name w:val="annotation subject"/>
    <w:basedOn w:val="CommentText"/>
    <w:next w:val="CommentText"/>
    <w:link w:val="CommentSubjectChar"/>
    <w:rsid w:val="001A1718"/>
    <w:rPr>
      <w:b/>
      <w:bCs/>
      <w:sz w:val="20"/>
      <w:szCs w:val="20"/>
    </w:rPr>
  </w:style>
  <w:style w:type="character" w:customStyle="1" w:styleId="CommentSubjectChar">
    <w:name w:val="Comment Subject Char"/>
    <w:basedOn w:val="CommentTextChar"/>
    <w:link w:val="CommentSubject"/>
    <w:rsid w:val="001A1718"/>
    <w:rPr>
      <w:b/>
      <w:bCs/>
      <w:snapToGrid w:val="0"/>
      <w:kern w:val="28"/>
      <w:sz w:val="24"/>
      <w:szCs w:val="24"/>
    </w:rPr>
  </w:style>
  <w:style w:type="paragraph" w:styleId="Revision">
    <w:name w:val="Revision"/>
    <w:hidden/>
    <w:uiPriority w:val="99"/>
    <w:semiHidden/>
    <w:rsid w:val="00016D2D"/>
    <w:rPr>
      <w:snapToGrid w:val="0"/>
      <w:kern w:val="28"/>
      <w:sz w:val="22"/>
    </w:rPr>
  </w:style>
  <w:style w:type="paragraph" w:styleId="ListParagraph">
    <w:name w:val="List Paragraph"/>
    <w:basedOn w:val="Normal"/>
    <w:uiPriority w:val="34"/>
    <w:qFormat/>
    <w:rsid w:val="008F3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left" w:pos="360"/>
      </w:tabs>
      <w:suppressAutoHyphens/>
      <w:spacing w:after="22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Footnote Text Char Char,rrfootnote Char Char,Footnote Text Char1 Char Char,Footnote Text Char Char Char Char,rrfootnote Char Char Char Char,rrfootnote Char1 Char Char,Footnote Text Char2 Char,Footnote Text Char2,f,fn,St"/>
    <w:link w:val="FootnoteTextChar"/>
    <w:semiHidden/>
    <w:pPr>
      <w:tabs>
        <w:tab w:val="left" w:pos="720"/>
        <w:tab w:val="left" w:pos="1440"/>
      </w:tabs>
      <w:spacing w:after="200"/>
      <w:ind w:right="144" w:firstLine="720"/>
    </w:pPr>
  </w:style>
  <w:style w:type="character" w:styleId="FootnoteReference">
    <w:name w:val="footnote reference"/>
    <w:aliases w:val="Style 12,(NECG) Footnote Reference,Appel note de bas de p,Style 124,Style 4,Style 13,o,fr,Style 3"/>
    <w:basedOn w:val="DefaultParagraphFont"/>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56593"/>
    <w:pPr>
      <w:pBdr>
        <w:bottom w:val="single" w:sz="12" w:space="1" w:color="auto"/>
      </w:pBdr>
      <w:tabs>
        <w:tab w:val="center" w:pos="4680"/>
        <w:tab w:val="right" w:pos="9360"/>
      </w:tabs>
    </w:pPr>
    <w:rPr>
      <w:rFonts w:ascii="Times New Roman Bold" w:hAnsi="Times New Roman Bold"/>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Paranum0">
    <w:name w:val="Paranum"/>
    <w:pPr>
      <w:numPr>
        <w:numId w:val="4"/>
      </w:numPr>
      <w:tabs>
        <w:tab w:val="left" w:pos="1440"/>
      </w:tabs>
      <w:spacing w:after="240"/>
      <w:ind w:left="0" w:firstLine="720"/>
      <w:jc w:val="both"/>
    </w:pPr>
    <w:rPr>
      <w:sz w:val="22"/>
    </w:rPr>
  </w:style>
  <w:style w:type="character" w:customStyle="1" w:styleId="Footnote">
    <w:name w:val="Footnote"/>
    <w:basedOn w:val="DefaultParagraphFont"/>
    <w:rPr>
      <w:rFonts w:ascii="Times New Roman" w:hAnsi="Times New Roman"/>
      <w:sz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rrfootnote Char Char Char,Footnote Text Char1 Char Char Char,Footnote Text Char Char Char Char Char,rrfootnote Char Char Char Char Char,rrfootnote Char1 Char Char Char,f Char"/>
    <w:basedOn w:val="DefaultParagraphFont"/>
    <w:link w:val="FootnoteText"/>
    <w:semiHidden/>
    <w:rPr>
      <w:lang w:val="en-US" w:eastAsia="en-US" w:bidi="ar-SA"/>
    </w:rPr>
  </w:style>
  <w:style w:type="character" w:styleId="Hyperlink">
    <w:name w:val="Hyperlink"/>
    <w:basedOn w:val="DefaultParagraphFont"/>
    <w:rPr>
      <w:color w:val="0000FF"/>
      <w:u w:val="single"/>
    </w:rPr>
  </w:style>
  <w:style w:type="character" w:customStyle="1" w:styleId="documentbody1">
    <w:name w:val="documentbody1"/>
    <w:basedOn w:val="DefaultParagraphFont"/>
    <w:rPr>
      <w:rFonts w:ascii="Verdana" w:hAnsi="Verdana" w:hint="default"/>
      <w:sz w:val="19"/>
      <w:szCs w:val="19"/>
      <w:shd w:val="clear" w:color="auto" w:fill="FFFFFF"/>
    </w:rPr>
  </w:style>
  <w:style w:type="paragraph" w:styleId="DocumentMap">
    <w:name w:val="Document Map"/>
    <w:basedOn w:val="Normal"/>
    <w:semiHidden/>
    <w:pPr>
      <w:shd w:val="clear" w:color="auto" w:fill="000080"/>
    </w:pPr>
    <w:rPr>
      <w:rFonts w:ascii="Tahoma" w:hAnsi="Tahoma" w:cs="Tahoma"/>
    </w:rPr>
  </w:style>
  <w:style w:type="character" w:customStyle="1" w:styleId="documentbody">
    <w:name w:val="documentbody"/>
    <w:basedOn w:val="DefaultParagraphFont"/>
  </w:style>
  <w:style w:type="character" w:customStyle="1" w:styleId="searchterm">
    <w:name w:val="searchterm"/>
    <w:basedOn w:val="DefaultParagraphFont"/>
  </w:style>
  <w:style w:type="character" w:customStyle="1" w:styleId="bestsection">
    <w:name w:val="bestsection"/>
    <w:basedOn w:val="DefaultParagraphFont"/>
  </w:style>
  <w:style w:type="character" w:customStyle="1" w:styleId="searchterm1">
    <w:name w:val="searchterm1"/>
    <w:basedOn w:val="DefaultParagraphFont"/>
    <w:rPr>
      <w:b/>
      <w:bCs/>
      <w:shd w:val="clear" w:color="auto" w:fill="FFFF00"/>
    </w:rPr>
  </w:style>
  <w:style w:type="character" w:styleId="FollowedHyperlink">
    <w:name w:val="FollowedHyperlink"/>
    <w:basedOn w:val="DefaultParagraphFont"/>
    <w:rPr>
      <w:color w:val="800080"/>
      <w:u w:val="single"/>
    </w:rPr>
  </w:style>
  <w:style w:type="character" w:customStyle="1" w:styleId="FootnoteTextChar1CharCharCharChar">
    <w:name w:val="Footnote Text Char1 Char Char Char Char"/>
    <w:aliases w:val="rrfootnote Char1 Char Char Char Char,Footnote Text Char Char Char Char Char Char1,rrfootnote Char Char Char Char Char Char,rrfootnote Char,Footnote Text Char Char Char Char Char Char"/>
    <w:basedOn w:val="DefaultParagraphFont"/>
    <w:rPr>
      <w:lang w:val="en-US" w:eastAsia="en-US" w:bidi="ar-SA"/>
    </w:rPr>
  </w:style>
  <w:style w:type="character" w:customStyle="1" w:styleId="starpage1">
    <w:name w:val="starpage1"/>
    <w:basedOn w:val="DefaultParagraphFont"/>
    <w:rPr>
      <w:b/>
      <w:bCs/>
      <w:i/>
      <w:iCs/>
      <w:color w:val="800080"/>
    </w:rPr>
  </w:style>
  <w:style w:type="character" w:customStyle="1" w:styleId="ParaNumChar">
    <w:name w:val="ParaNum Char"/>
    <w:basedOn w:val="DefaultParagraphFont"/>
    <w:link w:val="ParaNum"/>
    <w:rsid w:val="00B543BA"/>
    <w:rPr>
      <w:snapToGrid w:val="0"/>
      <w:kern w:val="28"/>
      <w:sz w:val="22"/>
    </w:rPr>
  </w:style>
  <w:style w:type="character" w:customStyle="1" w:styleId="bestsection1">
    <w:name w:val="bestsection1"/>
    <w:basedOn w:val="DefaultParagraphFont"/>
    <w:rsid w:val="008E2A0F"/>
    <w:rPr>
      <w:color w:val="FF0000"/>
    </w:rPr>
  </w:style>
  <w:style w:type="character" w:styleId="CommentReference">
    <w:name w:val="annotation reference"/>
    <w:basedOn w:val="DefaultParagraphFont"/>
    <w:rsid w:val="00DA3445"/>
    <w:rPr>
      <w:sz w:val="18"/>
      <w:szCs w:val="18"/>
    </w:rPr>
  </w:style>
  <w:style w:type="paragraph" w:styleId="CommentText">
    <w:name w:val="annotation text"/>
    <w:basedOn w:val="Normal"/>
    <w:link w:val="CommentTextChar"/>
    <w:rsid w:val="00DA3445"/>
    <w:rPr>
      <w:sz w:val="24"/>
      <w:szCs w:val="24"/>
    </w:rPr>
  </w:style>
  <w:style w:type="character" w:customStyle="1" w:styleId="CommentTextChar">
    <w:name w:val="Comment Text Char"/>
    <w:basedOn w:val="DefaultParagraphFont"/>
    <w:link w:val="CommentText"/>
    <w:rsid w:val="00DA3445"/>
    <w:rPr>
      <w:snapToGrid w:val="0"/>
      <w:kern w:val="28"/>
      <w:sz w:val="24"/>
      <w:szCs w:val="24"/>
    </w:rPr>
  </w:style>
  <w:style w:type="paragraph" w:styleId="CommentSubject">
    <w:name w:val="annotation subject"/>
    <w:basedOn w:val="CommentText"/>
    <w:next w:val="CommentText"/>
    <w:link w:val="CommentSubjectChar"/>
    <w:rsid w:val="001A1718"/>
    <w:rPr>
      <w:b/>
      <w:bCs/>
      <w:sz w:val="20"/>
      <w:szCs w:val="20"/>
    </w:rPr>
  </w:style>
  <w:style w:type="character" w:customStyle="1" w:styleId="CommentSubjectChar">
    <w:name w:val="Comment Subject Char"/>
    <w:basedOn w:val="CommentTextChar"/>
    <w:link w:val="CommentSubject"/>
    <w:rsid w:val="001A1718"/>
    <w:rPr>
      <w:b/>
      <w:bCs/>
      <w:snapToGrid w:val="0"/>
      <w:kern w:val="28"/>
      <w:sz w:val="24"/>
      <w:szCs w:val="24"/>
    </w:rPr>
  </w:style>
  <w:style w:type="paragraph" w:styleId="Revision">
    <w:name w:val="Revision"/>
    <w:hidden/>
    <w:uiPriority w:val="99"/>
    <w:semiHidden/>
    <w:rsid w:val="00016D2D"/>
    <w:rPr>
      <w:snapToGrid w:val="0"/>
      <w:kern w:val="28"/>
      <w:sz w:val="22"/>
    </w:rPr>
  </w:style>
  <w:style w:type="paragraph" w:styleId="ListParagraph">
    <w:name w:val="List Paragraph"/>
    <w:basedOn w:val="Normal"/>
    <w:uiPriority w:val="34"/>
    <w:qFormat/>
    <w:rsid w:val="008F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1947</Words>
  <Characters>10710</Characters>
  <Application>Microsoft Office Word</Application>
  <DocSecurity>0</DocSecurity>
  <Lines>178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2013-07-25T17:08:00Z</dcterms:created>
  <dcterms:modified xsi:type="dcterms:W3CDTF">2013-07-25T17:08:00Z</dcterms:modified>
  <cp:category> </cp:category>
  <cp:contentStatus> </cp:contentStatus>
</cp:coreProperties>
</file>