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559" w:rsidRDefault="00563559" w:rsidP="00DE0857">
      <w:pPr>
        <w:jc w:val="center"/>
        <w:rPr>
          <w:b/>
        </w:rPr>
      </w:pPr>
      <w:bookmarkStart w:id="0" w:name="_GoBack"/>
      <w:bookmarkEnd w:id="0"/>
      <w:r>
        <w:rPr>
          <w:b/>
        </w:rPr>
        <w:t>Before the</w:t>
      </w:r>
    </w:p>
    <w:p w:rsidR="00563559" w:rsidRDefault="00563559" w:rsidP="00DE0857">
      <w:pPr>
        <w:jc w:val="center"/>
        <w:rPr>
          <w:b/>
        </w:rPr>
      </w:pPr>
      <w:r>
        <w:rPr>
          <w:b/>
        </w:rPr>
        <w:t>Federal Communications Commission</w:t>
      </w:r>
    </w:p>
    <w:p w:rsidR="00563559" w:rsidRDefault="00563559" w:rsidP="00DE0857">
      <w:pPr>
        <w:jc w:val="center"/>
        <w:rPr>
          <w:b/>
        </w:rPr>
      </w:pPr>
      <w:r>
        <w:rPr>
          <w:b/>
        </w:rPr>
        <w:t>Washington, D.C. 20554</w:t>
      </w:r>
    </w:p>
    <w:p w:rsidR="00563559" w:rsidRDefault="00563559" w:rsidP="00D20805"/>
    <w:p w:rsidR="00563559" w:rsidRDefault="00563559" w:rsidP="00D20805"/>
    <w:tbl>
      <w:tblPr>
        <w:tblW w:w="0" w:type="auto"/>
        <w:tblLayout w:type="fixed"/>
        <w:tblLook w:val="0000" w:firstRow="0" w:lastRow="0" w:firstColumn="0" w:lastColumn="0" w:noHBand="0" w:noVBand="0"/>
      </w:tblPr>
      <w:tblGrid>
        <w:gridCol w:w="4698"/>
        <w:gridCol w:w="720"/>
        <w:gridCol w:w="4230"/>
      </w:tblGrid>
      <w:tr w:rsidR="00563559">
        <w:tc>
          <w:tcPr>
            <w:tcW w:w="4698" w:type="dxa"/>
          </w:tcPr>
          <w:p w:rsidR="00563559" w:rsidRPr="00C72E1D" w:rsidRDefault="00DE0857" w:rsidP="00D20805">
            <w:pPr>
              <w:ind w:right="-18"/>
            </w:pPr>
            <w:r>
              <w:t>In the M</w:t>
            </w:r>
            <w:r w:rsidR="00563559" w:rsidRPr="00C72E1D">
              <w:t>atter of</w:t>
            </w:r>
          </w:p>
          <w:p w:rsidR="00563559" w:rsidRPr="00C72E1D" w:rsidRDefault="00563559" w:rsidP="00D20805">
            <w:pPr>
              <w:ind w:right="-18"/>
            </w:pPr>
          </w:p>
          <w:p w:rsidR="008618FD" w:rsidRDefault="008618FD" w:rsidP="00D20805">
            <w:pPr>
              <w:ind w:right="-18"/>
            </w:pPr>
            <w:r w:rsidRPr="00C72E1D">
              <w:t>Use of Returned Spectrum in the 2</w:t>
            </w:r>
            <w:r w:rsidR="000D1616">
              <w:t xml:space="preserve"> </w:t>
            </w:r>
            <w:r w:rsidRPr="00C72E1D">
              <w:t>GHz Mobile Satellite Service Frequency Bands</w:t>
            </w:r>
          </w:p>
          <w:p w:rsidR="00CE7881" w:rsidRPr="00C72E1D" w:rsidRDefault="00CE7881" w:rsidP="00D20805">
            <w:pPr>
              <w:ind w:right="-18"/>
            </w:pPr>
          </w:p>
          <w:p w:rsidR="00CE7881" w:rsidRPr="009F7239" w:rsidRDefault="00CE7881" w:rsidP="00DE0857">
            <w:pPr>
              <w:rPr>
                <w:highlight w:val="yellow"/>
              </w:rPr>
            </w:pPr>
          </w:p>
        </w:tc>
        <w:tc>
          <w:tcPr>
            <w:tcW w:w="720" w:type="dxa"/>
          </w:tcPr>
          <w:p w:rsidR="00563559" w:rsidRPr="00DE0857" w:rsidRDefault="00563559" w:rsidP="00D20805">
            <w:pPr>
              <w:rPr>
                <w:b/>
              </w:rPr>
            </w:pPr>
            <w:r w:rsidRPr="00DE0857">
              <w:rPr>
                <w:b/>
              </w:rPr>
              <w:t>)</w:t>
            </w:r>
          </w:p>
          <w:p w:rsidR="00563559" w:rsidRPr="00DE0857" w:rsidRDefault="00563559" w:rsidP="00D20805">
            <w:pPr>
              <w:rPr>
                <w:b/>
              </w:rPr>
            </w:pPr>
            <w:r w:rsidRPr="00DE0857">
              <w:rPr>
                <w:b/>
              </w:rPr>
              <w:t>)</w:t>
            </w:r>
          </w:p>
          <w:p w:rsidR="00563559" w:rsidRPr="00DE0857" w:rsidRDefault="00563559" w:rsidP="00D20805">
            <w:pPr>
              <w:rPr>
                <w:b/>
              </w:rPr>
            </w:pPr>
            <w:r w:rsidRPr="00DE0857">
              <w:rPr>
                <w:b/>
              </w:rPr>
              <w:t>)</w:t>
            </w:r>
          </w:p>
          <w:p w:rsidR="00563559" w:rsidRPr="00DE0857" w:rsidRDefault="00563559" w:rsidP="00D20805">
            <w:pPr>
              <w:rPr>
                <w:b/>
              </w:rPr>
            </w:pPr>
            <w:r w:rsidRPr="00DE0857">
              <w:rPr>
                <w:b/>
              </w:rPr>
              <w:t>)</w:t>
            </w:r>
          </w:p>
          <w:p w:rsidR="008618FD" w:rsidRPr="009F7239" w:rsidRDefault="00CE7881" w:rsidP="00CE7881">
            <w:pPr>
              <w:rPr>
                <w:b/>
                <w:highlight w:val="yellow"/>
              </w:rPr>
            </w:pPr>
            <w:r w:rsidRPr="00DE0857">
              <w:rPr>
                <w:b/>
              </w:rPr>
              <w:t>)</w:t>
            </w:r>
          </w:p>
        </w:tc>
        <w:tc>
          <w:tcPr>
            <w:tcW w:w="4230" w:type="dxa"/>
          </w:tcPr>
          <w:p w:rsidR="00563559" w:rsidRDefault="00563559" w:rsidP="00D20805"/>
          <w:p w:rsidR="002F4288" w:rsidRDefault="002F4288" w:rsidP="00D20805"/>
          <w:p w:rsidR="00CE7881" w:rsidRDefault="008618FD" w:rsidP="00D20805">
            <w:r>
              <w:t xml:space="preserve">IB </w:t>
            </w:r>
            <w:r w:rsidR="00CE7881">
              <w:t xml:space="preserve">Docket No.  </w:t>
            </w:r>
            <w:r>
              <w:t xml:space="preserve"> 05-220 </w:t>
            </w:r>
          </w:p>
          <w:p w:rsidR="008618FD" w:rsidRDefault="00CE7881" w:rsidP="00CE7881">
            <w:r>
              <w:t xml:space="preserve">IB Docket No.   </w:t>
            </w:r>
            <w:r w:rsidR="008618FD">
              <w:t>05-221</w:t>
            </w:r>
          </w:p>
        </w:tc>
      </w:tr>
      <w:tr w:rsidR="008618FD">
        <w:tc>
          <w:tcPr>
            <w:tcW w:w="4698" w:type="dxa"/>
          </w:tcPr>
          <w:p w:rsidR="008618FD" w:rsidRDefault="008618FD" w:rsidP="00D20805">
            <w:pPr>
              <w:ind w:right="-18"/>
            </w:pPr>
          </w:p>
        </w:tc>
        <w:tc>
          <w:tcPr>
            <w:tcW w:w="720" w:type="dxa"/>
          </w:tcPr>
          <w:p w:rsidR="008618FD" w:rsidRDefault="008618FD" w:rsidP="00D20805">
            <w:pPr>
              <w:rPr>
                <w:b/>
              </w:rPr>
            </w:pPr>
          </w:p>
        </w:tc>
        <w:tc>
          <w:tcPr>
            <w:tcW w:w="4230" w:type="dxa"/>
          </w:tcPr>
          <w:p w:rsidR="008618FD" w:rsidRDefault="008618FD" w:rsidP="00D20805"/>
        </w:tc>
      </w:tr>
    </w:tbl>
    <w:p w:rsidR="00563559" w:rsidRDefault="00563559" w:rsidP="00E969DE">
      <w:pPr>
        <w:spacing w:before="120"/>
        <w:jc w:val="center"/>
        <w:rPr>
          <w:b/>
        </w:rPr>
      </w:pPr>
      <w:r>
        <w:rPr>
          <w:b/>
          <w:spacing w:val="-2"/>
        </w:rPr>
        <w:t>ORDER</w:t>
      </w:r>
    </w:p>
    <w:p w:rsidR="00CE7881" w:rsidRDefault="00CE7881" w:rsidP="00D20805">
      <w:pPr>
        <w:tabs>
          <w:tab w:val="left" w:pos="5760"/>
        </w:tabs>
      </w:pPr>
    </w:p>
    <w:p w:rsidR="00563559" w:rsidRDefault="00563559" w:rsidP="00D20805">
      <w:pPr>
        <w:tabs>
          <w:tab w:val="left" w:pos="5760"/>
        </w:tabs>
        <w:rPr>
          <w:b/>
        </w:rPr>
      </w:pPr>
      <w:r>
        <w:rPr>
          <w:b/>
        </w:rPr>
        <w:t xml:space="preserve">Adopted:  </w:t>
      </w:r>
      <w:r w:rsidR="00D17559">
        <w:rPr>
          <w:b/>
        </w:rPr>
        <w:t>May</w:t>
      </w:r>
      <w:r w:rsidR="00392D03">
        <w:rPr>
          <w:b/>
          <w:spacing w:val="-2"/>
        </w:rPr>
        <w:t xml:space="preserve"> </w:t>
      </w:r>
      <w:r w:rsidR="000D1616">
        <w:rPr>
          <w:b/>
          <w:spacing w:val="-2"/>
        </w:rPr>
        <w:t>22</w:t>
      </w:r>
      <w:r w:rsidR="001D1A03">
        <w:rPr>
          <w:b/>
          <w:spacing w:val="-2"/>
        </w:rPr>
        <w:t>, 2013</w:t>
      </w:r>
      <w:r>
        <w:rPr>
          <w:b/>
        </w:rPr>
        <w:tab/>
        <w:t xml:space="preserve">Released: </w:t>
      </w:r>
      <w:r w:rsidR="005F26A9">
        <w:rPr>
          <w:b/>
          <w:spacing w:val="-2"/>
        </w:rPr>
        <w:t xml:space="preserve"> </w:t>
      </w:r>
      <w:r w:rsidR="00D17559">
        <w:rPr>
          <w:b/>
          <w:spacing w:val="-2"/>
        </w:rPr>
        <w:t xml:space="preserve">May </w:t>
      </w:r>
      <w:r w:rsidR="000D1616">
        <w:rPr>
          <w:b/>
          <w:spacing w:val="-2"/>
        </w:rPr>
        <w:t>22</w:t>
      </w:r>
      <w:r w:rsidR="001D1A03">
        <w:rPr>
          <w:b/>
          <w:spacing w:val="-2"/>
        </w:rPr>
        <w:t>, 2013</w:t>
      </w:r>
    </w:p>
    <w:p w:rsidR="00563559" w:rsidRDefault="00563559" w:rsidP="00D20805">
      <w:pPr>
        <w:tabs>
          <w:tab w:val="left" w:pos="5760"/>
        </w:tabs>
        <w:rPr>
          <w:b/>
        </w:rPr>
      </w:pPr>
    </w:p>
    <w:p w:rsidR="00563559" w:rsidRDefault="00563559" w:rsidP="00D20805">
      <w:pPr>
        <w:tabs>
          <w:tab w:val="left" w:pos="5760"/>
        </w:tabs>
      </w:pPr>
      <w:r>
        <w:t xml:space="preserve">By the </w:t>
      </w:r>
      <w:r w:rsidR="00DE0857">
        <w:t xml:space="preserve">Acting </w:t>
      </w:r>
      <w:r w:rsidR="005D7BA1">
        <w:rPr>
          <w:spacing w:val="-2"/>
        </w:rPr>
        <w:t xml:space="preserve">Chief, </w:t>
      </w:r>
      <w:r w:rsidR="00EE4063">
        <w:rPr>
          <w:spacing w:val="-2"/>
        </w:rPr>
        <w:t xml:space="preserve">Satellite Division, </w:t>
      </w:r>
      <w:r w:rsidR="005D7BA1">
        <w:rPr>
          <w:spacing w:val="-2"/>
        </w:rPr>
        <w:t>International Bureau</w:t>
      </w:r>
      <w:r>
        <w:rPr>
          <w:spacing w:val="-2"/>
        </w:rPr>
        <w:t>:</w:t>
      </w:r>
    </w:p>
    <w:p w:rsidR="00563559" w:rsidRDefault="00563559" w:rsidP="00D20805">
      <w:pPr>
        <w:tabs>
          <w:tab w:val="left" w:pos="5760"/>
        </w:tabs>
        <w:rPr>
          <w:b/>
        </w:rPr>
      </w:pPr>
    </w:p>
    <w:p w:rsidR="00563559" w:rsidRPr="00B66661" w:rsidRDefault="00563559" w:rsidP="00D20805">
      <w:pPr>
        <w:pStyle w:val="ParaNum"/>
        <w:widowControl/>
        <w:numPr>
          <w:ilvl w:val="0"/>
          <w:numId w:val="22"/>
        </w:numPr>
        <w:tabs>
          <w:tab w:val="clear" w:pos="1080"/>
          <w:tab w:val="num" w:pos="1440"/>
        </w:tabs>
        <w:spacing w:after="120"/>
        <w:jc w:val="left"/>
        <w:rPr>
          <w:color w:val="000000"/>
        </w:rPr>
      </w:pPr>
      <w:r>
        <w:rPr>
          <w:color w:val="000000"/>
        </w:rPr>
        <w:t xml:space="preserve">By this </w:t>
      </w:r>
      <w:r>
        <w:rPr>
          <w:i/>
          <w:color w:val="000000"/>
        </w:rPr>
        <w:t>Order</w:t>
      </w:r>
      <w:r>
        <w:rPr>
          <w:color w:val="000000"/>
        </w:rPr>
        <w:t>, we dismiss the “Consolidated Petition for Reconsideration of Inmarsat Ventures Limited and Inmarsat Global Limited” filed</w:t>
      </w:r>
      <w:r w:rsidR="00DE0857">
        <w:rPr>
          <w:color w:val="000000"/>
        </w:rPr>
        <w:t xml:space="preserve"> in the </w:t>
      </w:r>
      <w:r w:rsidR="0057558B">
        <w:rPr>
          <w:color w:val="000000"/>
        </w:rPr>
        <w:t>above-</w:t>
      </w:r>
      <w:r w:rsidR="00DE0857">
        <w:rPr>
          <w:color w:val="000000"/>
        </w:rPr>
        <w:t>captioned proceedings</w:t>
      </w:r>
      <w:r>
        <w:rPr>
          <w:color w:val="000000"/>
        </w:rPr>
        <w:t xml:space="preserve"> on January 9, 2006.</w:t>
      </w:r>
      <w:r>
        <w:rPr>
          <w:rStyle w:val="FootnoteReference"/>
        </w:rPr>
        <w:footnoteReference w:id="2"/>
      </w:r>
      <w:r>
        <w:rPr>
          <w:color w:val="000000"/>
        </w:rPr>
        <w:t xml:space="preserve">  We take this action pursuant to the </w:t>
      </w:r>
      <w:r>
        <w:rPr>
          <w:i/>
          <w:color w:val="000000"/>
        </w:rPr>
        <w:t>AWS-4 Report and Order</w:t>
      </w:r>
      <w:r>
        <w:rPr>
          <w:rStyle w:val="FootnoteReference"/>
        </w:rPr>
        <w:footnoteReference w:id="3"/>
      </w:r>
      <w:r w:rsidR="00C13923">
        <w:rPr>
          <w:i/>
          <w:color w:val="000000"/>
        </w:rPr>
        <w:t xml:space="preserve"> </w:t>
      </w:r>
      <w:r w:rsidR="00C13923" w:rsidRPr="00C13923">
        <w:rPr>
          <w:color w:val="000000"/>
        </w:rPr>
        <w:t>and</w:t>
      </w:r>
      <w:r w:rsidR="00C13923">
        <w:rPr>
          <w:i/>
          <w:color w:val="000000"/>
        </w:rPr>
        <w:t xml:space="preserve"> </w:t>
      </w:r>
      <w:r w:rsidR="00C13923">
        <w:rPr>
          <w:color w:val="000000"/>
        </w:rPr>
        <w:t xml:space="preserve">the </w:t>
      </w:r>
      <w:r w:rsidR="008B52EE">
        <w:rPr>
          <w:color w:val="000000"/>
        </w:rPr>
        <w:t xml:space="preserve">related </w:t>
      </w:r>
      <w:r w:rsidR="00C13923">
        <w:rPr>
          <w:i/>
          <w:color w:val="000000"/>
        </w:rPr>
        <w:t>Order of Modification</w:t>
      </w:r>
      <w:r w:rsidR="00C13923">
        <w:rPr>
          <w:color w:val="000000"/>
        </w:rPr>
        <w:t>.</w:t>
      </w:r>
      <w:r w:rsidR="00C13923">
        <w:rPr>
          <w:rStyle w:val="FootnoteReference"/>
          <w:color w:val="000000"/>
        </w:rPr>
        <w:footnoteReference w:id="4"/>
      </w:r>
      <w:r w:rsidRPr="00B66661">
        <w:rPr>
          <w:color w:val="000000"/>
        </w:rPr>
        <w:t xml:space="preserve"> </w:t>
      </w:r>
    </w:p>
    <w:p w:rsidR="0072611D" w:rsidRDefault="00563559" w:rsidP="00D20805">
      <w:pPr>
        <w:pStyle w:val="ParaNum"/>
        <w:widowControl/>
        <w:numPr>
          <w:ilvl w:val="0"/>
          <w:numId w:val="22"/>
        </w:numPr>
        <w:tabs>
          <w:tab w:val="clear" w:pos="1080"/>
          <w:tab w:val="num" w:pos="1440"/>
        </w:tabs>
        <w:spacing w:after="120"/>
        <w:jc w:val="left"/>
      </w:pPr>
      <w:r>
        <w:t>In 2006, Inmarsat Ventures Limited and Inmarsat Global Limited (Inmarsat) filed a consolidated petition for reconsideration seeking rec</w:t>
      </w:r>
      <w:r w:rsidR="003926AD">
        <w:t>onsideration of two Commission O</w:t>
      </w:r>
      <w:r>
        <w:t>rd</w:t>
      </w:r>
      <w:r w:rsidR="006C3C34">
        <w:t>ers. The first</w:t>
      </w:r>
      <w:r>
        <w:t xml:space="preserve"> </w:t>
      </w:r>
      <w:r w:rsidR="003926AD">
        <w:t>O</w:t>
      </w:r>
      <w:r>
        <w:t xml:space="preserve">rder </w:t>
      </w:r>
      <w:r w:rsidR="00DE0857">
        <w:t xml:space="preserve">granted </w:t>
      </w:r>
      <w:r>
        <w:t>th</w:t>
      </w:r>
      <w:r w:rsidR="009D367F">
        <w:t xml:space="preserve">e </w:t>
      </w:r>
      <w:r w:rsidR="00DE0857">
        <w:t>request</w:t>
      </w:r>
      <w:r w:rsidR="005B0FC5">
        <w:t>s</w:t>
      </w:r>
      <w:r w:rsidR="00DE0857">
        <w:t xml:space="preserve"> of two </w:t>
      </w:r>
      <w:r w:rsidR="009D367F">
        <w:t>M</w:t>
      </w:r>
      <w:r w:rsidR="00DE0857">
        <w:t xml:space="preserve">obile </w:t>
      </w:r>
      <w:r w:rsidR="009D367F">
        <w:t>S</w:t>
      </w:r>
      <w:r w:rsidR="00DE0857">
        <w:t xml:space="preserve">atellite </w:t>
      </w:r>
      <w:r w:rsidR="009D367F">
        <w:t>S</w:t>
      </w:r>
      <w:r w:rsidR="00DE0857">
        <w:t xml:space="preserve">ervice </w:t>
      </w:r>
      <w:r w:rsidR="00F0458B">
        <w:t xml:space="preserve">(MSS) </w:t>
      </w:r>
      <w:r w:rsidR="00DE0857">
        <w:t>system</w:t>
      </w:r>
      <w:r w:rsidR="005B0FC5">
        <w:t xml:space="preserve"> operator</w:t>
      </w:r>
      <w:r w:rsidR="00D17559">
        <w:t>s</w:t>
      </w:r>
      <w:r w:rsidR="005B0FC5">
        <w:t>, now known as Gamma Acquisition L.L.C. (Gamma) and New DBSD Satellite Services G.P (New DBSD)</w:t>
      </w:r>
      <w:r w:rsidR="00D17559">
        <w:t>,</w:t>
      </w:r>
      <w:r w:rsidR="00F0458B">
        <w:t xml:space="preserve"> for reservation</w:t>
      </w:r>
      <w:r w:rsidR="002768E1">
        <w:rPr>
          <w:rStyle w:val="FootnoteReference"/>
        </w:rPr>
        <w:footnoteReference w:id="5"/>
      </w:r>
      <w:r w:rsidR="005B0FC5">
        <w:t xml:space="preserve"> </w:t>
      </w:r>
      <w:r w:rsidR="00F0458B">
        <w:t>of the available 2 GHz band MSS frequencies</w:t>
      </w:r>
      <w:r w:rsidR="005B0FC5">
        <w:t>.</w:t>
      </w:r>
      <w:r w:rsidR="000A00EC">
        <w:rPr>
          <w:rStyle w:val="FootnoteReference"/>
        </w:rPr>
        <w:footnoteReference w:id="6"/>
      </w:r>
      <w:r w:rsidR="005328C9">
        <w:t xml:space="preserve"> </w:t>
      </w:r>
      <w:r w:rsidR="005B0FC5">
        <w:t xml:space="preserve"> T</w:t>
      </w:r>
      <w:r w:rsidR="009D367F">
        <w:t xml:space="preserve">he </w:t>
      </w:r>
      <w:r>
        <w:t xml:space="preserve">second </w:t>
      </w:r>
      <w:r w:rsidR="005B0FC5">
        <w:t xml:space="preserve">Order </w:t>
      </w:r>
      <w:r>
        <w:t>dismissed Inmarsat’s request for reservation of 2 GHz spectrum</w:t>
      </w:r>
      <w:r w:rsidR="008B52EE">
        <w:t xml:space="preserve"> for</w:t>
      </w:r>
      <w:r>
        <w:t xml:space="preserve"> a</w:t>
      </w:r>
      <w:r w:rsidR="005B0FC5">
        <w:t>n</w:t>
      </w:r>
      <w:r>
        <w:t xml:space="preserve"> MSS system to serve the United States.</w:t>
      </w:r>
      <w:r>
        <w:rPr>
          <w:rStyle w:val="FootnoteReference"/>
        </w:rPr>
        <w:footnoteReference w:id="7"/>
      </w:r>
      <w:r>
        <w:t xml:space="preserve">  </w:t>
      </w:r>
    </w:p>
    <w:p w:rsidR="00510A0F" w:rsidRDefault="0072611D" w:rsidP="00F0458B">
      <w:pPr>
        <w:pStyle w:val="ParaNum"/>
        <w:widowControl/>
        <w:numPr>
          <w:ilvl w:val="0"/>
          <w:numId w:val="22"/>
        </w:numPr>
        <w:tabs>
          <w:tab w:val="clear" w:pos="1080"/>
          <w:tab w:val="num" w:pos="1440"/>
        </w:tabs>
        <w:spacing w:after="120"/>
        <w:jc w:val="left"/>
      </w:pPr>
      <w:r>
        <w:lastRenderedPageBreak/>
        <w:t xml:space="preserve">In December 2012, the Commission issued the </w:t>
      </w:r>
      <w:r w:rsidRPr="00F0458B">
        <w:rPr>
          <w:i/>
        </w:rPr>
        <w:t xml:space="preserve">AWS-4 Report and </w:t>
      </w:r>
      <w:r w:rsidRPr="00375EA0">
        <w:rPr>
          <w:i/>
        </w:rPr>
        <w:t>Order</w:t>
      </w:r>
      <w:r w:rsidR="00F0458B">
        <w:t>.</w:t>
      </w:r>
      <w:r w:rsidR="0064425B">
        <w:t xml:space="preserve"> </w:t>
      </w:r>
      <w:r w:rsidR="00F0458B">
        <w:t xml:space="preserve"> </w:t>
      </w:r>
      <w:r w:rsidR="0064425B">
        <w:t xml:space="preserve">The </w:t>
      </w:r>
      <w:r w:rsidR="0064425B" w:rsidRPr="00F0458B">
        <w:rPr>
          <w:i/>
        </w:rPr>
        <w:t xml:space="preserve">AWS-4 Report and Order </w:t>
      </w:r>
      <w:r w:rsidR="00510A0F">
        <w:t xml:space="preserve">adopted an approach </w:t>
      </w:r>
      <w:r w:rsidR="005B0FC5">
        <w:t xml:space="preserve">for the 2 GHz band that relies </w:t>
      </w:r>
      <w:r w:rsidR="005D7BA1">
        <w:t xml:space="preserve">upon rapid terrestrial build-out, with potential loss of MSS interference protection in the event terrestrial services are not built out. </w:t>
      </w:r>
      <w:r w:rsidR="0036561B">
        <w:t xml:space="preserve"> Th</w:t>
      </w:r>
      <w:r w:rsidR="005D7BA1">
        <w:t xml:space="preserve">e Commission stated in the </w:t>
      </w:r>
      <w:r w:rsidR="005D7BA1" w:rsidRPr="00F0458B">
        <w:rPr>
          <w:i/>
        </w:rPr>
        <w:t>AWS-4 Report and Order</w:t>
      </w:r>
      <w:r w:rsidR="0036561B">
        <w:t xml:space="preserve"> that </w:t>
      </w:r>
      <w:r w:rsidR="005D7BA1">
        <w:t>th</w:t>
      </w:r>
      <w:r w:rsidR="005B0FC5">
        <w:t>is</w:t>
      </w:r>
      <w:r w:rsidR="005D7BA1">
        <w:t xml:space="preserve"> approach is not compatible with deployment of addi</w:t>
      </w:r>
      <w:r w:rsidR="0036561B">
        <w:t>tional MSS systems in the band</w:t>
      </w:r>
      <w:r w:rsidR="00C72E1D">
        <w:t>.</w:t>
      </w:r>
      <w:r w:rsidR="0064425B">
        <w:rPr>
          <w:rStyle w:val="FootnoteReference"/>
        </w:rPr>
        <w:footnoteReference w:id="8"/>
      </w:r>
      <w:r w:rsidR="00C72E1D">
        <w:t xml:space="preserve"> </w:t>
      </w:r>
      <w:r w:rsidR="00F0458B">
        <w:t xml:space="preserve"> </w:t>
      </w:r>
      <w:r w:rsidR="003859C0">
        <w:t xml:space="preserve">The </w:t>
      </w:r>
      <w:r w:rsidR="003859C0" w:rsidRPr="00F0458B">
        <w:rPr>
          <w:i/>
        </w:rPr>
        <w:t xml:space="preserve">AWS-4 Report and Order </w:t>
      </w:r>
      <w:r w:rsidR="00F31AAA">
        <w:t xml:space="preserve">delegated </w:t>
      </w:r>
      <w:r w:rsidR="003859C0">
        <w:t xml:space="preserve">authority to the International Bureau to dismiss </w:t>
      </w:r>
      <w:r w:rsidR="00F0458B">
        <w:t xml:space="preserve">the </w:t>
      </w:r>
      <w:r w:rsidR="003859C0" w:rsidRPr="00224EE2">
        <w:rPr>
          <w:i/>
        </w:rPr>
        <w:t xml:space="preserve">Inmarsat </w:t>
      </w:r>
      <w:r w:rsidR="003859C0" w:rsidRPr="00F0458B">
        <w:rPr>
          <w:i/>
        </w:rPr>
        <w:t>Consolidated Petition</w:t>
      </w:r>
      <w:r w:rsidR="003859C0">
        <w:t xml:space="preserve"> once the incumbent </w:t>
      </w:r>
      <w:r w:rsidR="00ED7032">
        <w:t xml:space="preserve">2 GHz </w:t>
      </w:r>
      <w:r w:rsidR="003859C0">
        <w:t>MSS licensees accept the modified licenses authorizing AWS-4 operations.</w:t>
      </w:r>
      <w:r w:rsidR="003859C0">
        <w:rPr>
          <w:rStyle w:val="FootnoteReference"/>
        </w:rPr>
        <w:footnoteReference w:id="9"/>
      </w:r>
      <w:r w:rsidR="003859C0">
        <w:t xml:space="preserve">  </w:t>
      </w:r>
      <w:r w:rsidR="00292EC8">
        <w:t>On January 22, 2013, Gamma and New DBSD</w:t>
      </w:r>
      <w:r w:rsidR="0057558B">
        <w:t xml:space="preserve"> </w:t>
      </w:r>
      <w:r w:rsidR="00292EC8">
        <w:t>stated they would not protest the proposed license modifi</w:t>
      </w:r>
      <w:r w:rsidR="00345964">
        <w:t>cations.  On February 15</w:t>
      </w:r>
      <w:r w:rsidR="00292EC8">
        <w:t xml:space="preserve">, 2013, the Chiefs of the Satellite Division, International Bureau and </w:t>
      </w:r>
      <w:r w:rsidR="0064425B">
        <w:t xml:space="preserve">the </w:t>
      </w:r>
      <w:r w:rsidR="00292EC8">
        <w:t xml:space="preserve">Broadband Division, Wireless Telecommunications Bureau issued an </w:t>
      </w:r>
      <w:r w:rsidR="00292EC8" w:rsidRPr="00F0458B">
        <w:rPr>
          <w:i/>
        </w:rPr>
        <w:t xml:space="preserve">Order of Modification </w:t>
      </w:r>
      <w:r w:rsidR="00C311C2" w:rsidRPr="00C311C2">
        <w:t>modifying</w:t>
      </w:r>
      <w:r w:rsidR="00C311C2">
        <w:t xml:space="preserve"> Gamma’s and New DBSD’s licenses.</w:t>
      </w:r>
      <w:r w:rsidR="00330845">
        <w:rPr>
          <w:rStyle w:val="FootnoteReference"/>
        </w:rPr>
        <w:footnoteReference w:id="10"/>
      </w:r>
      <w:r w:rsidR="00C311C2">
        <w:t xml:space="preserve"> </w:t>
      </w:r>
    </w:p>
    <w:p w:rsidR="00563559" w:rsidRDefault="009F7239" w:rsidP="00D20805">
      <w:pPr>
        <w:pStyle w:val="ParaNum"/>
        <w:widowControl/>
        <w:numPr>
          <w:ilvl w:val="0"/>
          <w:numId w:val="22"/>
        </w:numPr>
        <w:tabs>
          <w:tab w:val="clear" w:pos="1080"/>
          <w:tab w:val="num" w:pos="1440"/>
        </w:tabs>
        <w:spacing w:after="120"/>
        <w:jc w:val="left"/>
      </w:pPr>
      <w:r>
        <w:t>Based on the record in this matter</w:t>
      </w:r>
      <w:r w:rsidR="00F0458B">
        <w:t xml:space="preserve">, </w:t>
      </w:r>
      <w:r>
        <w:t xml:space="preserve">the </w:t>
      </w:r>
      <w:r w:rsidRPr="00510A0F">
        <w:t>Commission’s</w:t>
      </w:r>
      <w:r>
        <w:t xml:space="preserve"> decision in the </w:t>
      </w:r>
      <w:r>
        <w:rPr>
          <w:i/>
        </w:rPr>
        <w:t>AWS-4 Report and Order</w:t>
      </w:r>
      <w:r w:rsidR="00F91461">
        <w:t xml:space="preserve">, </w:t>
      </w:r>
      <w:r w:rsidR="00F0458B">
        <w:t xml:space="preserve">and </w:t>
      </w:r>
      <w:r w:rsidR="00375EA0">
        <w:t xml:space="preserve">the </w:t>
      </w:r>
      <w:r w:rsidR="00F0458B">
        <w:rPr>
          <w:i/>
        </w:rPr>
        <w:t>Order</w:t>
      </w:r>
      <w:r w:rsidR="00375EA0">
        <w:rPr>
          <w:i/>
        </w:rPr>
        <w:t xml:space="preserve"> of Modification</w:t>
      </w:r>
      <w:r w:rsidR="00F0458B">
        <w:rPr>
          <w:i/>
        </w:rPr>
        <w:t xml:space="preserve">, </w:t>
      </w:r>
      <w:r w:rsidR="00F0458B">
        <w:t xml:space="preserve">the </w:t>
      </w:r>
      <w:r w:rsidR="00F0458B" w:rsidRPr="00224EE2">
        <w:rPr>
          <w:i/>
        </w:rPr>
        <w:t>Inmarsat</w:t>
      </w:r>
      <w:r w:rsidRPr="00224EE2">
        <w:rPr>
          <w:i/>
        </w:rPr>
        <w:t xml:space="preserve"> </w:t>
      </w:r>
      <w:r>
        <w:rPr>
          <w:i/>
        </w:rPr>
        <w:t>Consolidated Petition</w:t>
      </w:r>
      <w:r w:rsidR="00F0458B">
        <w:rPr>
          <w:i/>
        </w:rPr>
        <w:t xml:space="preserve"> </w:t>
      </w:r>
      <w:r w:rsidR="00F0458B">
        <w:t>is ripe for dismissal</w:t>
      </w:r>
      <w:r w:rsidR="005E064E">
        <w:t>.</w:t>
      </w:r>
    </w:p>
    <w:p w:rsidR="00510A0F" w:rsidRDefault="00510A0F" w:rsidP="00D20805">
      <w:pPr>
        <w:pStyle w:val="ParaNum"/>
        <w:widowControl/>
        <w:numPr>
          <w:ilvl w:val="0"/>
          <w:numId w:val="22"/>
        </w:numPr>
        <w:tabs>
          <w:tab w:val="clear" w:pos="1080"/>
          <w:tab w:val="num" w:pos="1440"/>
        </w:tabs>
        <w:spacing w:after="120"/>
        <w:jc w:val="left"/>
      </w:pPr>
      <w:r w:rsidRPr="00510A0F">
        <w:rPr>
          <w:color w:val="000000"/>
        </w:rPr>
        <w:t xml:space="preserve">Accordingly, IT IS ORDERED, pursuant to Sections 4(i) and </w:t>
      </w:r>
      <w:r w:rsidR="00597B2A">
        <w:rPr>
          <w:color w:val="000000"/>
        </w:rPr>
        <w:t>405</w:t>
      </w:r>
      <w:r w:rsidRPr="00510A0F">
        <w:rPr>
          <w:color w:val="000000"/>
        </w:rPr>
        <w:t xml:space="preserve"> of the Communications Act </w:t>
      </w:r>
      <w:r w:rsidRPr="005D7BA1">
        <w:t>of</w:t>
      </w:r>
      <w:r w:rsidRPr="00510A0F">
        <w:rPr>
          <w:color w:val="000000"/>
        </w:rPr>
        <w:t xml:space="preserve"> 1934, 47 U.S.C. §§ 154(i), </w:t>
      </w:r>
      <w:r w:rsidR="00597B2A">
        <w:rPr>
          <w:color w:val="000000"/>
        </w:rPr>
        <w:t>405</w:t>
      </w:r>
      <w:r w:rsidRPr="00510A0F">
        <w:rPr>
          <w:color w:val="000000"/>
        </w:rPr>
        <w:t>, and Section 1.</w:t>
      </w:r>
      <w:r w:rsidR="00597B2A">
        <w:rPr>
          <w:color w:val="000000"/>
        </w:rPr>
        <w:t>106</w:t>
      </w:r>
      <w:r w:rsidRPr="00510A0F">
        <w:rPr>
          <w:color w:val="000000"/>
        </w:rPr>
        <w:t xml:space="preserve"> of the Commission’s Rules, 47 C.F.R. § 1.</w:t>
      </w:r>
      <w:r w:rsidR="00597B2A">
        <w:rPr>
          <w:color w:val="000000"/>
        </w:rPr>
        <w:t>106</w:t>
      </w:r>
      <w:r w:rsidRPr="00510A0F">
        <w:rPr>
          <w:color w:val="000000"/>
        </w:rPr>
        <w:t xml:space="preserve">, that the </w:t>
      </w:r>
      <w:r w:rsidRPr="00375EA0">
        <w:rPr>
          <w:color w:val="000000"/>
        </w:rPr>
        <w:t>Consolidated Petition for R</w:t>
      </w:r>
      <w:r w:rsidR="008B52EE" w:rsidRPr="00375EA0">
        <w:rPr>
          <w:color w:val="000000"/>
        </w:rPr>
        <w:t>econsideration</w:t>
      </w:r>
      <w:r>
        <w:rPr>
          <w:color w:val="000000"/>
        </w:rPr>
        <w:t xml:space="preserve"> </w:t>
      </w:r>
      <w:r w:rsidR="008B52EE">
        <w:rPr>
          <w:color w:val="000000"/>
        </w:rPr>
        <w:t xml:space="preserve">of </w:t>
      </w:r>
      <w:r>
        <w:rPr>
          <w:color w:val="000000"/>
        </w:rPr>
        <w:t>Inmarsat Ventures Limited and Inmarsat Global Limited</w:t>
      </w:r>
      <w:r w:rsidR="008B52EE">
        <w:rPr>
          <w:color w:val="000000"/>
        </w:rPr>
        <w:t xml:space="preserve">, filed </w:t>
      </w:r>
      <w:r>
        <w:rPr>
          <w:color w:val="000000"/>
        </w:rPr>
        <w:t>in IB Docket Nos. 05-220 and 05-2201</w:t>
      </w:r>
      <w:r w:rsidR="008B52EE">
        <w:rPr>
          <w:color w:val="000000"/>
        </w:rPr>
        <w:t>,</w:t>
      </w:r>
      <w:r>
        <w:rPr>
          <w:color w:val="000000"/>
        </w:rPr>
        <w:t xml:space="preserve"> is DISMISSED</w:t>
      </w:r>
      <w:r w:rsidRPr="00510A0F">
        <w:rPr>
          <w:color w:val="000000"/>
        </w:rPr>
        <w:t>.</w:t>
      </w:r>
    </w:p>
    <w:p w:rsidR="00563559" w:rsidRDefault="00563559" w:rsidP="00D20805">
      <w:pPr>
        <w:pStyle w:val="ParaNum"/>
        <w:keepNext/>
        <w:widowControl/>
        <w:numPr>
          <w:ilvl w:val="0"/>
          <w:numId w:val="22"/>
        </w:numPr>
        <w:tabs>
          <w:tab w:val="clear" w:pos="1080"/>
          <w:tab w:val="num" w:pos="1440"/>
        </w:tabs>
        <w:spacing w:after="120"/>
        <w:jc w:val="left"/>
      </w:pPr>
      <w:r>
        <w:t>This action is taken under delegated authority pursuant to Sections 0.51,</w:t>
      </w:r>
      <w:r w:rsidR="00597B2A">
        <w:t xml:space="preserve"> and</w:t>
      </w:r>
      <w:r>
        <w:t xml:space="preserve"> 0.261 of the Commission’s Rules, 47 C.F.R. §§ 0.51, </w:t>
      </w:r>
      <w:r w:rsidR="00597B2A">
        <w:t xml:space="preserve">and </w:t>
      </w:r>
      <w:r>
        <w:t>0.261.</w:t>
      </w:r>
    </w:p>
    <w:p w:rsidR="00CE7881" w:rsidRDefault="00CE7881" w:rsidP="00D20805">
      <w:pPr>
        <w:keepNext/>
        <w:keepLines/>
        <w:ind w:left="4680"/>
        <w:rPr>
          <w:caps/>
          <w:color w:val="000000"/>
          <w:szCs w:val="22"/>
        </w:rPr>
      </w:pPr>
    </w:p>
    <w:p w:rsidR="00563559" w:rsidRDefault="00563559" w:rsidP="00D20805">
      <w:pPr>
        <w:keepNext/>
        <w:keepLines/>
        <w:ind w:left="4680"/>
        <w:rPr>
          <w:caps/>
          <w:color w:val="000000"/>
          <w:szCs w:val="22"/>
        </w:rPr>
      </w:pPr>
      <w:r>
        <w:rPr>
          <w:caps/>
          <w:color w:val="000000"/>
          <w:szCs w:val="22"/>
        </w:rPr>
        <w:t>Federal Communications Commission</w:t>
      </w:r>
    </w:p>
    <w:p w:rsidR="00563559" w:rsidRDefault="00563559" w:rsidP="00D20805">
      <w:pPr>
        <w:keepNext/>
        <w:keepLines/>
        <w:ind w:left="4680"/>
        <w:rPr>
          <w:color w:val="000000"/>
          <w:szCs w:val="22"/>
        </w:rPr>
      </w:pPr>
    </w:p>
    <w:p w:rsidR="00563559" w:rsidRDefault="00563559" w:rsidP="00D20805">
      <w:pPr>
        <w:keepNext/>
        <w:keepLines/>
        <w:ind w:left="4680"/>
        <w:rPr>
          <w:color w:val="000000"/>
          <w:szCs w:val="22"/>
        </w:rPr>
      </w:pPr>
    </w:p>
    <w:p w:rsidR="00563559" w:rsidRDefault="00563559" w:rsidP="00D20805">
      <w:pPr>
        <w:keepNext/>
        <w:keepLines/>
        <w:ind w:left="4680"/>
        <w:rPr>
          <w:color w:val="000000"/>
          <w:szCs w:val="22"/>
        </w:rPr>
      </w:pPr>
    </w:p>
    <w:p w:rsidR="00563559" w:rsidRDefault="00563559" w:rsidP="00D20805">
      <w:pPr>
        <w:keepNext/>
        <w:keepLines/>
        <w:ind w:left="4680"/>
        <w:rPr>
          <w:color w:val="000000"/>
          <w:szCs w:val="22"/>
        </w:rPr>
      </w:pPr>
      <w:r>
        <w:rPr>
          <w:color w:val="000000"/>
          <w:szCs w:val="22"/>
        </w:rPr>
        <w:t>Fern J. Jarmulnek</w:t>
      </w:r>
    </w:p>
    <w:p w:rsidR="00563559" w:rsidRDefault="00563559" w:rsidP="00D20805">
      <w:pPr>
        <w:keepNext/>
        <w:keepLines/>
        <w:ind w:left="4680"/>
        <w:rPr>
          <w:color w:val="000000"/>
          <w:szCs w:val="22"/>
        </w:rPr>
      </w:pPr>
      <w:r>
        <w:rPr>
          <w:color w:val="000000"/>
          <w:szCs w:val="22"/>
        </w:rPr>
        <w:t>Acting Chief, Satellite Division,</w:t>
      </w:r>
    </w:p>
    <w:p w:rsidR="00563559" w:rsidRDefault="00563559" w:rsidP="00D20805">
      <w:pPr>
        <w:keepNext/>
        <w:keepLines/>
        <w:ind w:left="4680"/>
        <w:rPr>
          <w:color w:val="000000"/>
          <w:szCs w:val="22"/>
        </w:rPr>
      </w:pPr>
      <w:r>
        <w:rPr>
          <w:color w:val="000000"/>
          <w:szCs w:val="22"/>
        </w:rPr>
        <w:t>International Bureau</w:t>
      </w:r>
    </w:p>
    <w:p w:rsidR="00563559" w:rsidRPr="00563559" w:rsidRDefault="00563559" w:rsidP="00D20805">
      <w:pPr>
        <w:pStyle w:val="ParaNum"/>
        <w:numPr>
          <w:ilvl w:val="0"/>
          <w:numId w:val="0"/>
        </w:numPr>
        <w:ind w:firstLine="720"/>
        <w:jc w:val="left"/>
      </w:pPr>
    </w:p>
    <w:sectPr w:rsidR="00563559" w:rsidRPr="005635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C39" w:rsidRDefault="004A3C39">
      <w:r>
        <w:separator/>
      </w:r>
    </w:p>
  </w:endnote>
  <w:endnote w:type="continuationSeparator" w:id="0">
    <w:p w:rsidR="004A3C39" w:rsidRDefault="004A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73F" w:rsidRDefault="001207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25B" w:rsidRPr="002F4288" w:rsidRDefault="0064425B">
    <w:pPr>
      <w:pStyle w:val="Footer"/>
      <w:jc w:val="center"/>
      <w:rPr>
        <w:sz w:val="20"/>
      </w:rPr>
    </w:pPr>
    <w:r w:rsidRPr="002F4288">
      <w:rPr>
        <w:rStyle w:val="PageNumber"/>
        <w:sz w:val="20"/>
      </w:rPr>
      <w:fldChar w:fldCharType="begin"/>
    </w:r>
    <w:r w:rsidRPr="002F4288">
      <w:rPr>
        <w:rStyle w:val="PageNumber"/>
        <w:sz w:val="20"/>
      </w:rPr>
      <w:instrText xml:space="preserve"> PAGE </w:instrText>
    </w:r>
    <w:r w:rsidRPr="002F4288">
      <w:rPr>
        <w:rStyle w:val="PageNumber"/>
        <w:sz w:val="20"/>
      </w:rPr>
      <w:fldChar w:fldCharType="separate"/>
    </w:r>
    <w:r w:rsidR="007D02B6">
      <w:rPr>
        <w:rStyle w:val="PageNumber"/>
        <w:noProof/>
        <w:sz w:val="20"/>
      </w:rPr>
      <w:t>2</w:t>
    </w:r>
    <w:r w:rsidRPr="002F4288">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73F" w:rsidRDefault="00120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C39" w:rsidRDefault="004A3C39">
      <w:pPr>
        <w:rPr>
          <w:sz w:val="20"/>
        </w:rPr>
      </w:pPr>
      <w:r>
        <w:rPr>
          <w:sz w:val="20"/>
        </w:rPr>
        <w:separator/>
      </w:r>
    </w:p>
  </w:footnote>
  <w:footnote w:type="continuationSeparator" w:id="0">
    <w:p w:rsidR="004A3C39" w:rsidRDefault="004A3C39">
      <w:pPr>
        <w:rPr>
          <w:sz w:val="20"/>
        </w:rPr>
      </w:pPr>
      <w:r>
        <w:rPr>
          <w:sz w:val="20"/>
        </w:rPr>
        <w:separator/>
      </w:r>
    </w:p>
    <w:p w:rsidR="004A3C39" w:rsidRDefault="004A3C39">
      <w:pPr>
        <w:rPr>
          <w:sz w:val="20"/>
        </w:rPr>
      </w:pPr>
      <w:r>
        <w:rPr>
          <w:sz w:val="20"/>
        </w:rPr>
        <w:t>(...continued from previous page)</w:t>
      </w:r>
    </w:p>
  </w:footnote>
  <w:footnote w:type="continuationNotice" w:id="1">
    <w:p w:rsidR="004A3C39" w:rsidRDefault="004A3C39">
      <w:pPr>
        <w:jc w:val="right"/>
        <w:rPr>
          <w:sz w:val="20"/>
        </w:rPr>
      </w:pPr>
      <w:r>
        <w:rPr>
          <w:sz w:val="20"/>
        </w:rPr>
        <w:t>(continued....)</w:t>
      </w:r>
    </w:p>
  </w:footnote>
  <w:footnote w:id="2">
    <w:p w:rsidR="0064425B" w:rsidRPr="0057558B" w:rsidRDefault="0064425B" w:rsidP="00D20805">
      <w:pPr>
        <w:pStyle w:val="FootnoteText"/>
        <w:jc w:val="left"/>
        <w:rPr>
          <w:i/>
        </w:rPr>
      </w:pPr>
      <w:r>
        <w:rPr>
          <w:rStyle w:val="FootnoteReference"/>
        </w:rPr>
        <w:footnoteRef/>
      </w:r>
      <w:r>
        <w:t xml:space="preserve"> </w:t>
      </w:r>
      <w:r w:rsidRPr="0057558B">
        <w:t>Inmarsat Ventures Limited and Inmarsat Global Limited, Consolidated Petition for Reconsideration of Inmarsat Ventures Limited and Inmarsat Global Limited, IB Docket Nos. 05-220 and 05-221 (filed Jan. 9, 2006)</w:t>
      </w:r>
      <w:r w:rsidR="008B52EE">
        <w:t xml:space="preserve"> </w:t>
      </w:r>
      <w:r w:rsidR="006E14EC" w:rsidRPr="0057558B">
        <w:t>(</w:t>
      </w:r>
      <w:r w:rsidR="006E14EC" w:rsidRPr="0057558B">
        <w:rPr>
          <w:i/>
        </w:rPr>
        <w:t>Inmarsat Consolidated Petition</w:t>
      </w:r>
      <w:r w:rsidR="006E14EC" w:rsidRPr="0057558B">
        <w:t>)</w:t>
      </w:r>
      <w:r w:rsidRPr="0057558B">
        <w:t>.</w:t>
      </w:r>
    </w:p>
  </w:footnote>
  <w:footnote w:id="3">
    <w:p w:rsidR="0064425B" w:rsidRPr="0057558B" w:rsidRDefault="0064425B" w:rsidP="00D20805">
      <w:pPr>
        <w:pStyle w:val="FootnoteText"/>
        <w:jc w:val="left"/>
      </w:pPr>
      <w:r w:rsidRPr="0057558B">
        <w:rPr>
          <w:rStyle w:val="FootnoteReference"/>
        </w:rPr>
        <w:footnoteRef/>
      </w:r>
      <w:r w:rsidRPr="0057558B">
        <w:t xml:space="preserve"> </w:t>
      </w:r>
      <w:r w:rsidRPr="0057558B">
        <w:rPr>
          <w:i/>
        </w:rPr>
        <w:t xml:space="preserve">See </w:t>
      </w:r>
      <w:r w:rsidRPr="0057558B">
        <w:t xml:space="preserve">Service Rules for Advanced Wireless Services in the 2000-2020 MHz and 2180-2200 MHz Bands, WT Docket Nos. 12-70 and 04-356, ET Docket No. 10-142, </w:t>
      </w:r>
      <w:r w:rsidRPr="0057558B">
        <w:rPr>
          <w:i/>
        </w:rPr>
        <w:t>Report and Order and Order of Proposed Modification</w:t>
      </w:r>
      <w:r w:rsidRPr="0057558B">
        <w:t>, 27 FCC Rcd 16102, 16220-22, 16224, at ¶¶ 319-22, 331-22 (2012)</w:t>
      </w:r>
      <w:r w:rsidR="008B52EE">
        <w:t xml:space="preserve"> </w:t>
      </w:r>
      <w:r w:rsidRPr="0057558B">
        <w:t>(</w:t>
      </w:r>
      <w:r w:rsidRPr="0057558B">
        <w:rPr>
          <w:i/>
        </w:rPr>
        <w:t>AWS-4 Report and Order</w:t>
      </w:r>
      <w:r w:rsidRPr="0057558B">
        <w:t xml:space="preserve">). </w:t>
      </w:r>
    </w:p>
  </w:footnote>
  <w:footnote w:id="4">
    <w:p w:rsidR="0064425B" w:rsidRPr="0057558B" w:rsidRDefault="0064425B" w:rsidP="00D20805">
      <w:pPr>
        <w:pStyle w:val="FootnoteText"/>
        <w:jc w:val="left"/>
      </w:pPr>
      <w:r w:rsidRPr="0057558B">
        <w:rPr>
          <w:rStyle w:val="FootnoteReference"/>
        </w:rPr>
        <w:footnoteRef/>
      </w:r>
      <w:r w:rsidRPr="0057558B">
        <w:t xml:space="preserve"> </w:t>
      </w:r>
      <w:r w:rsidR="005F5E92" w:rsidRPr="0057558B">
        <w:t xml:space="preserve">Service Rules for Advanced Wireless Services in the 2000-2020 MHz and 2180-2200 MHz Bands, WT Docket Nos. 12-70 and 04-356, ET Docket No. 10-142, </w:t>
      </w:r>
      <w:r w:rsidR="005F5E92" w:rsidRPr="0057558B">
        <w:rPr>
          <w:i/>
        </w:rPr>
        <w:t>Order of Modification</w:t>
      </w:r>
      <w:r w:rsidR="005F5E92" w:rsidRPr="0057558B">
        <w:t>, DA 13-</w:t>
      </w:r>
      <w:r w:rsidR="00224EE2" w:rsidRPr="0057558B">
        <w:t>231</w:t>
      </w:r>
      <w:r w:rsidR="005F5E92" w:rsidRPr="0057558B">
        <w:t xml:space="preserve"> (rel. Feb. 15, 2013)</w:t>
      </w:r>
      <w:r w:rsidR="008B52EE">
        <w:t xml:space="preserve"> </w:t>
      </w:r>
      <w:r w:rsidR="005F5E92" w:rsidRPr="0057558B">
        <w:t>(</w:t>
      </w:r>
      <w:r w:rsidR="005F5E92" w:rsidRPr="0057558B">
        <w:rPr>
          <w:i/>
        </w:rPr>
        <w:t>Order of Modification</w:t>
      </w:r>
      <w:r w:rsidR="005F5E92" w:rsidRPr="0057558B">
        <w:t>).</w:t>
      </w:r>
    </w:p>
  </w:footnote>
  <w:footnote w:id="5">
    <w:p w:rsidR="002768E1" w:rsidRDefault="002768E1" w:rsidP="004E7ADE">
      <w:pPr>
        <w:autoSpaceDE w:val="0"/>
        <w:autoSpaceDN w:val="0"/>
        <w:adjustRightInd w:val="0"/>
        <w:rPr>
          <w:sz w:val="20"/>
        </w:rPr>
      </w:pPr>
      <w:r>
        <w:rPr>
          <w:rStyle w:val="FootnoteReference"/>
        </w:rPr>
        <w:footnoteRef/>
      </w:r>
      <w:r>
        <w:t xml:space="preserve"> </w:t>
      </w:r>
      <w:r w:rsidRPr="002768E1">
        <w:rPr>
          <w:sz w:val="20"/>
        </w:rPr>
        <w:t>The spectrum reservation mechanism was developed to facilitate the participation of non-U.S. licensed satellite systems in the FCC licensing process, even though such systems were not seeking a U.S. space station license.  As such, favorable action on a letter of intent filing is in the nature of a policy statement or declaratory ruling with respect to the availability of spectrum for future licensing of U.S. earth stations that would operate with the non-U.S. licensed space station.</w:t>
      </w:r>
      <w:r w:rsidRPr="002768E1">
        <w:rPr>
          <w:rFonts w:ascii="TimesNewRoman,Italic" w:hAnsi="TimesNewRoman,Italic" w:cs="TimesNewRoman,Italic"/>
          <w:i/>
          <w:iCs/>
          <w:sz w:val="20"/>
        </w:rPr>
        <w:t xml:space="preserve">  </w:t>
      </w:r>
      <w:r w:rsidRPr="004E7ADE">
        <w:rPr>
          <w:sz w:val="20"/>
        </w:rPr>
        <w:t xml:space="preserve">New DBSD Satellite Services G.P., Debtor-in-Possession, Transferor, and New DBSD Satellite Services G.P., Transferee, Transfer of Control of Earth Station and Ancillary Terrestrial Component Licenses and Conforming Modifications to Commission Records, </w:t>
      </w:r>
      <w:r w:rsidRPr="004E7ADE">
        <w:rPr>
          <w:i/>
          <w:sz w:val="20"/>
        </w:rPr>
        <w:t>Order</w:t>
      </w:r>
      <w:r w:rsidRPr="004E7ADE">
        <w:rPr>
          <w:sz w:val="20"/>
        </w:rPr>
        <w:t>, 25 FCC Rcd 13664, 13667 n.18 (Int’l. Bur. 2010).</w:t>
      </w:r>
      <w:r>
        <w:rPr>
          <w:sz w:val="20"/>
        </w:rPr>
        <w:t xml:space="preserve">  The FCC subsequently granted earth station licenses to Gamma and New DBSD</w:t>
      </w:r>
      <w:r w:rsidRPr="002768E1">
        <w:rPr>
          <w:sz w:val="20"/>
        </w:rPr>
        <w:t xml:space="preserve">.  </w:t>
      </w:r>
      <w:r w:rsidRPr="004E7ADE">
        <w:rPr>
          <w:i/>
          <w:iCs/>
          <w:sz w:val="20"/>
        </w:rPr>
        <w:t xml:space="preserve">See </w:t>
      </w:r>
      <w:r w:rsidRPr="004E7ADE">
        <w:rPr>
          <w:sz w:val="20"/>
        </w:rPr>
        <w:t>New ICO Satellite Services G.P., Application for Blanket Authority to Operate Ancillary Terrestrial</w:t>
      </w:r>
      <w:r>
        <w:rPr>
          <w:sz w:val="20"/>
        </w:rPr>
        <w:t xml:space="preserve"> </w:t>
      </w:r>
      <w:r w:rsidRPr="004E7ADE">
        <w:rPr>
          <w:sz w:val="20"/>
        </w:rPr>
        <w:t xml:space="preserve">Component Base Stations and Dual-mode MSS/ATC Mobile Terminals in the 2 GHz MSS Bands, </w:t>
      </w:r>
      <w:r w:rsidRPr="004E7ADE">
        <w:rPr>
          <w:i/>
          <w:iCs/>
          <w:sz w:val="20"/>
        </w:rPr>
        <w:t>Order and</w:t>
      </w:r>
      <w:r>
        <w:rPr>
          <w:i/>
          <w:iCs/>
          <w:sz w:val="20"/>
        </w:rPr>
        <w:t xml:space="preserve"> </w:t>
      </w:r>
      <w:r w:rsidRPr="004E7ADE">
        <w:rPr>
          <w:i/>
          <w:iCs/>
          <w:sz w:val="20"/>
        </w:rPr>
        <w:t xml:space="preserve">Authorization, </w:t>
      </w:r>
      <w:r w:rsidRPr="004E7ADE">
        <w:rPr>
          <w:sz w:val="20"/>
        </w:rPr>
        <w:t>24 FCC Rcd 171 (2009); TerreStar Networks Inc., Application for Blanket</w:t>
      </w:r>
      <w:r>
        <w:rPr>
          <w:sz w:val="20"/>
        </w:rPr>
        <w:t xml:space="preserve"> </w:t>
      </w:r>
      <w:r w:rsidRPr="004E7ADE">
        <w:rPr>
          <w:sz w:val="20"/>
        </w:rPr>
        <w:t>Authority to Operate Ancillary Terrestrial Component Base Stations and Dual-Mode MSS/ATC Mobile Terminals in</w:t>
      </w:r>
      <w:r>
        <w:rPr>
          <w:sz w:val="20"/>
        </w:rPr>
        <w:t xml:space="preserve"> </w:t>
      </w:r>
      <w:r w:rsidRPr="004E7ADE">
        <w:rPr>
          <w:sz w:val="20"/>
        </w:rPr>
        <w:t xml:space="preserve">the 2 GHz MSS Bands, </w:t>
      </w:r>
      <w:r w:rsidRPr="004E7ADE">
        <w:rPr>
          <w:i/>
          <w:iCs/>
          <w:sz w:val="20"/>
        </w:rPr>
        <w:t xml:space="preserve">Order and Authorization, </w:t>
      </w:r>
      <w:r w:rsidRPr="004E7ADE">
        <w:rPr>
          <w:sz w:val="20"/>
        </w:rPr>
        <w:t>25 FCC Rcd 228 (2010)</w:t>
      </w:r>
      <w:r>
        <w:rPr>
          <w:sz w:val="20"/>
        </w:rPr>
        <w:t>.</w:t>
      </w:r>
    </w:p>
    <w:p w:rsidR="00ED7032" w:rsidRDefault="00ED7032" w:rsidP="004E7ADE">
      <w:pPr>
        <w:autoSpaceDE w:val="0"/>
        <w:autoSpaceDN w:val="0"/>
        <w:adjustRightInd w:val="0"/>
      </w:pPr>
    </w:p>
  </w:footnote>
  <w:footnote w:id="6">
    <w:p w:rsidR="0064425B" w:rsidRPr="0057558B" w:rsidRDefault="0064425B" w:rsidP="00D20805">
      <w:pPr>
        <w:pStyle w:val="FootnoteText"/>
        <w:jc w:val="left"/>
        <w:rPr>
          <w:i/>
        </w:rPr>
      </w:pPr>
      <w:r w:rsidRPr="0057558B">
        <w:rPr>
          <w:rStyle w:val="FootnoteReference"/>
        </w:rPr>
        <w:footnoteRef/>
      </w:r>
      <w:r w:rsidRPr="0057558B">
        <w:t xml:space="preserve"> </w:t>
      </w:r>
      <w:r w:rsidR="002768E1" w:rsidRPr="004E7ADE">
        <w:t>Use of Returned Spectrum in the 2 GHz Mobile Satellite Service Frequency Bands</w:t>
      </w:r>
      <w:r w:rsidR="002768E1">
        <w:t xml:space="preserve">, </w:t>
      </w:r>
      <w:r w:rsidR="00ED7032">
        <w:rPr>
          <w:i/>
        </w:rPr>
        <w:t xml:space="preserve">Order, </w:t>
      </w:r>
      <w:r w:rsidR="002768E1">
        <w:t>20 FCC Rcd 19696 (2005)</w:t>
      </w:r>
      <w:r w:rsidR="00ED7032">
        <w:t>.</w:t>
      </w:r>
    </w:p>
  </w:footnote>
  <w:footnote w:id="7">
    <w:p w:rsidR="0064425B" w:rsidRPr="0057558B" w:rsidRDefault="0064425B" w:rsidP="00D20805">
      <w:pPr>
        <w:pStyle w:val="FootnoteText"/>
        <w:jc w:val="left"/>
      </w:pPr>
      <w:r w:rsidRPr="0057558B">
        <w:rPr>
          <w:rStyle w:val="FootnoteReference"/>
        </w:rPr>
        <w:footnoteRef/>
      </w:r>
      <w:r w:rsidRPr="0057558B">
        <w:t xml:space="preserve"> Inmarsat Global Limited, Petition for Declaratory Ruling to Provide Mobile Satellite Service to the United States Using the 2 GHz and Extended Ku-Bands, </w:t>
      </w:r>
      <w:r w:rsidRPr="0057558B">
        <w:rPr>
          <w:i/>
        </w:rPr>
        <w:t>Order</w:t>
      </w:r>
      <w:r w:rsidRPr="0057558B">
        <w:t>, 20 FCC Rcd 19409 (2005).</w:t>
      </w:r>
    </w:p>
  </w:footnote>
  <w:footnote w:id="8">
    <w:p w:rsidR="0064425B" w:rsidRPr="00A52AED" w:rsidRDefault="0064425B" w:rsidP="00D20805">
      <w:pPr>
        <w:pStyle w:val="FootnoteText"/>
        <w:jc w:val="left"/>
      </w:pPr>
      <w:r w:rsidRPr="0057558B">
        <w:rPr>
          <w:rStyle w:val="FootnoteReference"/>
        </w:rPr>
        <w:footnoteRef/>
      </w:r>
      <w:r w:rsidRPr="0057558B">
        <w:t xml:space="preserve"> </w:t>
      </w:r>
      <w:r w:rsidR="0057558B" w:rsidRPr="0057558B">
        <w:rPr>
          <w:i/>
        </w:rPr>
        <w:t xml:space="preserve">AWS-4 Report and </w:t>
      </w:r>
      <w:r w:rsidR="0057558B" w:rsidRPr="00A52AED">
        <w:rPr>
          <w:i/>
        </w:rPr>
        <w:t>Order</w:t>
      </w:r>
      <w:r w:rsidR="0057558B" w:rsidRPr="00A52AED">
        <w:t xml:space="preserve">, </w:t>
      </w:r>
      <w:r w:rsidR="00DB0E52">
        <w:t>27 FCC Rcd at</w:t>
      </w:r>
      <w:r w:rsidR="009819E5" w:rsidRPr="0057558B">
        <w:t xml:space="preserve"> </w:t>
      </w:r>
      <w:r w:rsidR="00DB0E52">
        <w:t xml:space="preserve">16164, </w:t>
      </w:r>
      <w:r w:rsidR="009819E5" w:rsidRPr="0057558B">
        <w:t>n.</w:t>
      </w:r>
      <w:r w:rsidR="008B52EE">
        <w:t xml:space="preserve"> </w:t>
      </w:r>
      <w:r w:rsidR="009819E5" w:rsidRPr="0057558B">
        <w:t>468.</w:t>
      </w:r>
    </w:p>
  </w:footnote>
  <w:footnote w:id="9">
    <w:p w:rsidR="003859C0" w:rsidRPr="00A52AED" w:rsidRDefault="003859C0" w:rsidP="00D20805">
      <w:pPr>
        <w:pStyle w:val="FootnoteText"/>
        <w:jc w:val="left"/>
      </w:pPr>
      <w:r w:rsidRPr="00A52AED">
        <w:rPr>
          <w:rStyle w:val="FootnoteReference"/>
        </w:rPr>
        <w:footnoteRef/>
      </w:r>
      <w:r w:rsidRPr="00A52AED">
        <w:t xml:space="preserve"> </w:t>
      </w:r>
      <w:r w:rsidR="00FD0140" w:rsidRPr="00A52AED">
        <w:rPr>
          <w:i/>
        </w:rPr>
        <w:t xml:space="preserve">Id. </w:t>
      </w:r>
      <w:r w:rsidRPr="00A52AED">
        <w:t xml:space="preserve">at </w:t>
      </w:r>
      <w:r w:rsidR="00DB0E52">
        <w:t>16164</w:t>
      </w:r>
      <w:r w:rsidRPr="00A52AED">
        <w:t>, n.</w:t>
      </w:r>
      <w:r w:rsidR="004E7ADE">
        <w:t xml:space="preserve"> </w:t>
      </w:r>
      <w:r w:rsidRPr="00A52AED">
        <w:t xml:space="preserve">468 and </w:t>
      </w:r>
      <w:r w:rsidR="00DB0E52">
        <w:t xml:space="preserve">16224, </w:t>
      </w:r>
      <w:r w:rsidRPr="00A52AED">
        <w:t>¶ 336.</w:t>
      </w:r>
    </w:p>
  </w:footnote>
  <w:footnote w:id="10">
    <w:p w:rsidR="00330845" w:rsidRPr="00A52AED" w:rsidRDefault="00330845" w:rsidP="00D20805">
      <w:pPr>
        <w:pStyle w:val="FootnoteText"/>
        <w:jc w:val="left"/>
      </w:pPr>
      <w:r w:rsidRPr="00A52AED">
        <w:rPr>
          <w:rStyle w:val="FootnoteReference"/>
        </w:rPr>
        <w:footnoteRef/>
      </w:r>
      <w:r w:rsidRPr="00A52AED">
        <w:t xml:space="preserve"> </w:t>
      </w:r>
      <w:r w:rsidR="00345964" w:rsidRPr="00A52AED">
        <w:rPr>
          <w:i/>
        </w:rPr>
        <w:t xml:space="preserve">Order of Modification </w:t>
      </w:r>
      <w:r w:rsidR="00345964" w:rsidRPr="00A52AED">
        <w:t>at 2-3, ¶¶ 6, 7-10.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73F" w:rsidRDefault="001207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25B" w:rsidRDefault="0064425B">
    <w:pPr>
      <w:pStyle w:val="Header"/>
      <w:tabs>
        <w:tab w:val="clear" w:pos="4320"/>
        <w:tab w:val="clear" w:pos="8640"/>
        <w:tab w:val="center" w:pos="4680"/>
        <w:tab w:val="right" w:pos="9360"/>
      </w:tabs>
      <w:rPr>
        <w:b/>
      </w:rPr>
    </w:pPr>
    <w:r>
      <w:rPr>
        <w:b/>
      </w:rPr>
      <w:tab/>
      <w:t>Federal Communications Commission</w:t>
    </w:r>
    <w:r>
      <w:rPr>
        <w:b/>
      </w:rPr>
      <w:tab/>
    </w:r>
    <w:r w:rsidR="00AD3631">
      <w:rPr>
        <w:b/>
      </w:rPr>
      <w:t>DA 13</w:t>
    </w:r>
    <w:r w:rsidR="002F4288">
      <w:rPr>
        <w:b/>
      </w:rPr>
      <w:t>-</w:t>
    </w:r>
    <w:r w:rsidR="000D1616">
      <w:rPr>
        <w:b/>
      </w:rPr>
      <w:t>1193</w:t>
    </w:r>
    <w:r w:rsidR="002F4288">
      <w:rPr>
        <w:b/>
      </w:rPr>
      <w:t xml:space="preserve"> </w:t>
    </w:r>
    <w:r>
      <w:rPr>
        <w:b/>
      </w:rPr>
      <w:t xml:space="preserve"> </w:t>
    </w:r>
  </w:p>
  <w:p w:rsidR="0064425B" w:rsidRDefault="009819E5">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52B0DBBB" wp14:editId="65EA66D4">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64425B" w:rsidRDefault="006442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25B" w:rsidRDefault="0064425B">
    <w:pPr>
      <w:pStyle w:val="Header"/>
      <w:tabs>
        <w:tab w:val="clear" w:pos="4320"/>
        <w:tab w:val="clear" w:pos="8640"/>
        <w:tab w:val="center" w:pos="4680"/>
        <w:tab w:val="right" w:pos="9360"/>
      </w:tabs>
      <w:rPr>
        <w:b/>
      </w:rPr>
    </w:pPr>
    <w:r>
      <w:rPr>
        <w:b/>
      </w:rPr>
      <w:tab/>
      <w:t>Federal Communications Commission</w:t>
    </w:r>
    <w:r>
      <w:rPr>
        <w:b/>
      </w:rPr>
      <w:tab/>
    </w:r>
    <w:r w:rsidR="00AD3631">
      <w:rPr>
        <w:b/>
      </w:rPr>
      <w:t>DA</w:t>
    </w:r>
    <w:r>
      <w:rPr>
        <w:b/>
      </w:rPr>
      <w:t xml:space="preserve"> </w:t>
    </w:r>
    <w:r w:rsidR="00AD3631">
      <w:rPr>
        <w:b/>
      </w:rPr>
      <w:t>13</w:t>
    </w:r>
    <w:r>
      <w:rPr>
        <w:b/>
      </w:rPr>
      <w:t>-</w:t>
    </w:r>
    <w:r w:rsidR="000D1616">
      <w:rPr>
        <w:b/>
      </w:rPr>
      <w:t>1193</w:t>
    </w:r>
  </w:p>
  <w:p w:rsidR="0064425B" w:rsidRDefault="009819E5">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1182925"/>
    <w:multiLevelType w:val="singleLevel"/>
    <w:tmpl w:val="DCE2864C"/>
    <w:lvl w:ilvl="0">
      <w:start w:val="1"/>
      <w:numFmt w:val="decimal"/>
      <w:lvlText w:val="%1."/>
      <w:lvlJc w:val="left"/>
      <w:pPr>
        <w:tabs>
          <w:tab w:val="num" w:pos="1080"/>
        </w:tabs>
        <w:ind w:left="0" w:firstLine="720"/>
      </w:pPr>
      <w:rPr>
        <w:b w:val="0"/>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5"/>
  </w:num>
  <w:num w:numId="5">
    <w:abstractNumId w:val="4"/>
  </w:num>
  <w:num w:numId="6">
    <w:abstractNumId w:val="18"/>
  </w:num>
  <w:num w:numId="7">
    <w:abstractNumId w:val="12"/>
  </w:num>
  <w:num w:numId="8">
    <w:abstractNumId w:val="5"/>
  </w:num>
  <w:num w:numId="9">
    <w:abstractNumId w:val="17"/>
  </w:num>
  <w:num w:numId="10">
    <w:abstractNumId w:val="10"/>
  </w:num>
  <w:num w:numId="11">
    <w:abstractNumId w:val="9"/>
  </w:num>
  <w:num w:numId="12">
    <w:abstractNumId w:val="6"/>
  </w:num>
  <w:num w:numId="13">
    <w:abstractNumId w:val="11"/>
  </w:num>
  <w:num w:numId="14">
    <w:abstractNumId w:val="16"/>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4"/>
  </w:num>
  <w:num w:numId="22">
    <w:abstractNumId w:val="19"/>
  </w:num>
  <w:num w:numId="23">
    <w:abstractNumId w:val="19"/>
    <w:lvlOverride w:ilvl="0">
      <w:startOverride w:val="1"/>
    </w:lvlOverride>
  </w:num>
  <w:num w:numId="24">
    <w:abstractNumId w:val="1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32"/>
    <w:rsid w:val="000219E1"/>
    <w:rsid w:val="000A00EC"/>
    <w:rsid w:val="000D1616"/>
    <w:rsid w:val="001005DC"/>
    <w:rsid w:val="0012073F"/>
    <w:rsid w:val="001B6876"/>
    <w:rsid w:val="001D1A03"/>
    <w:rsid w:val="00224EE2"/>
    <w:rsid w:val="0024098C"/>
    <w:rsid w:val="002768E1"/>
    <w:rsid w:val="00292EC8"/>
    <w:rsid w:val="002F4288"/>
    <w:rsid w:val="00330845"/>
    <w:rsid w:val="00345964"/>
    <w:rsid w:val="00355F1E"/>
    <w:rsid w:val="0036561B"/>
    <w:rsid w:val="00375EA0"/>
    <w:rsid w:val="003859C0"/>
    <w:rsid w:val="003926AD"/>
    <w:rsid w:val="00392D03"/>
    <w:rsid w:val="003D4997"/>
    <w:rsid w:val="00403C49"/>
    <w:rsid w:val="0043774E"/>
    <w:rsid w:val="0049614B"/>
    <w:rsid w:val="004A3C39"/>
    <w:rsid w:val="004C5298"/>
    <w:rsid w:val="004D3E68"/>
    <w:rsid w:val="004D46BE"/>
    <w:rsid w:val="004E751A"/>
    <w:rsid w:val="004E7ADE"/>
    <w:rsid w:val="00510A0F"/>
    <w:rsid w:val="00513963"/>
    <w:rsid w:val="005328C9"/>
    <w:rsid w:val="005346C7"/>
    <w:rsid w:val="00563559"/>
    <w:rsid w:val="0057558B"/>
    <w:rsid w:val="00597B2A"/>
    <w:rsid w:val="005B0FC5"/>
    <w:rsid w:val="005D7BA1"/>
    <w:rsid w:val="005E064E"/>
    <w:rsid w:val="005F26A9"/>
    <w:rsid w:val="005F5E92"/>
    <w:rsid w:val="0064425B"/>
    <w:rsid w:val="006C239D"/>
    <w:rsid w:val="006C3C34"/>
    <w:rsid w:val="006D4CB7"/>
    <w:rsid w:val="006E14EC"/>
    <w:rsid w:val="007113BE"/>
    <w:rsid w:val="007214AA"/>
    <w:rsid w:val="00725696"/>
    <w:rsid w:val="0072611D"/>
    <w:rsid w:val="007310E3"/>
    <w:rsid w:val="00756D32"/>
    <w:rsid w:val="007A019E"/>
    <w:rsid w:val="007D02B6"/>
    <w:rsid w:val="007E23B1"/>
    <w:rsid w:val="007E342E"/>
    <w:rsid w:val="007E5E26"/>
    <w:rsid w:val="007E5E28"/>
    <w:rsid w:val="00840656"/>
    <w:rsid w:val="008618FD"/>
    <w:rsid w:val="008A46B0"/>
    <w:rsid w:val="008B52EE"/>
    <w:rsid w:val="009819E5"/>
    <w:rsid w:val="00991DA3"/>
    <w:rsid w:val="009D367F"/>
    <w:rsid w:val="009F7239"/>
    <w:rsid w:val="00A52AED"/>
    <w:rsid w:val="00AD3631"/>
    <w:rsid w:val="00B60600"/>
    <w:rsid w:val="00C046E8"/>
    <w:rsid w:val="00C13923"/>
    <w:rsid w:val="00C311C2"/>
    <w:rsid w:val="00C467D8"/>
    <w:rsid w:val="00C72E1D"/>
    <w:rsid w:val="00C936A4"/>
    <w:rsid w:val="00CE7881"/>
    <w:rsid w:val="00D17559"/>
    <w:rsid w:val="00D20805"/>
    <w:rsid w:val="00D25A4D"/>
    <w:rsid w:val="00D36631"/>
    <w:rsid w:val="00DA4C6E"/>
    <w:rsid w:val="00DB0E52"/>
    <w:rsid w:val="00DE0857"/>
    <w:rsid w:val="00E969DE"/>
    <w:rsid w:val="00EB0B29"/>
    <w:rsid w:val="00ED7032"/>
    <w:rsid w:val="00EE4063"/>
    <w:rsid w:val="00F0458B"/>
    <w:rsid w:val="00F133CB"/>
    <w:rsid w:val="00F31AAA"/>
    <w:rsid w:val="00F40E30"/>
    <w:rsid w:val="00F91461"/>
    <w:rsid w:val="00FA2C0B"/>
    <w:rsid w:val="00FD0140"/>
    <w:rsid w:val="00FE6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left" w:pos="1440"/>
      </w:tabs>
      <w:spacing w:after="220"/>
      <w:jc w:val="both"/>
    </w:p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
    <w:basedOn w:val="Normal"/>
    <w:link w:val="FootnoteTextChar"/>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4,Appel note de bas de p,Style 12,(NECG) Footnote Reference,o,fr,Style 3,Style 17,FR,Style 13,Footnote Reference/,Style 6"/>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563559"/>
    <w:rPr>
      <w:sz w:val="22"/>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563559"/>
  </w:style>
  <w:style w:type="paragraph" w:styleId="BalloonText">
    <w:name w:val="Balloon Text"/>
    <w:basedOn w:val="Normal"/>
    <w:link w:val="BalloonTextChar"/>
    <w:uiPriority w:val="99"/>
    <w:semiHidden/>
    <w:unhideWhenUsed/>
    <w:rsid w:val="00DE0857"/>
    <w:rPr>
      <w:rFonts w:ascii="Tahoma" w:hAnsi="Tahoma" w:cs="Tahoma"/>
      <w:sz w:val="16"/>
      <w:szCs w:val="16"/>
    </w:rPr>
  </w:style>
  <w:style w:type="character" w:customStyle="1" w:styleId="BalloonTextChar">
    <w:name w:val="Balloon Text Char"/>
    <w:basedOn w:val="DefaultParagraphFont"/>
    <w:link w:val="BalloonText"/>
    <w:uiPriority w:val="99"/>
    <w:semiHidden/>
    <w:rsid w:val="00DE0857"/>
    <w:rPr>
      <w:rFonts w:ascii="Tahoma" w:hAnsi="Tahoma" w:cs="Tahoma"/>
      <w:sz w:val="16"/>
      <w:szCs w:val="16"/>
    </w:rPr>
  </w:style>
  <w:style w:type="character" w:styleId="CommentReference">
    <w:name w:val="annotation reference"/>
    <w:basedOn w:val="DefaultParagraphFont"/>
    <w:uiPriority w:val="99"/>
    <w:semiHidden/>
    <w:unhideWhenUsed/>
    <w:rsid w:val="00DE0857"/>
    <w:rPr>
      <w:sz w:val="16"/>
      <w:szCs w:val="16"/>
    </w:rPr>
  </w:style>
  <w:style w:type="paragraph" w:styleId="CommentText">
    <w:name w:val="annotation text"/>
    <w:basedOn w:val="Normal"/>
    <w:link w:val="CommentTextChar"/>
    <w:uiPriority w:val="99"/>
    <w:semiHidden/>
    <w:unhideWhenUsed/>
    <w:rsid w:val="00DE0857"/>
    <w:rPr>
      <w:sz w:val="20"/>
    </w:rPr>
  </w:style>
  <w:style w:type="character" w:customStyle="1" w:styleId="CommentTextChar">
    <w:name w:val="Comment Text Char"/>
    <w:basedOn w:val="DefaultParagraphFont"/>
    <w:link w:val="CommentText"/>
    <w:uiPriority w:val="99"/>
    <w:semiHidden/>
    <w:rsid w:val="00DE0857"/>
  </w:style>
  <w:style w:type="paragraph" w:styleId="CommentSubject">
    <w:name w:val="annotation subject"/>
    <w:basedOn w:val="CommentText"/>
    <w:next w:val="CommentText"/>
    <w:link w:val="CommentSubjectChar"/>
    <w:uiPriority w:val="99"/>
    <w:semiHidden/>
    <w:unhideWhenUsed/>
    <w:rsid w:val="00DE0857"/>
    <w:rPr>
      <w:b/>
      <w:bCs/>
    </w:rPr>
  </w:style>
  <w:style w:type="character" w:customStyle="1" w:styleId="CommentSubjectChar">
    <w:name w:val="Comment Subject Char"/>
    <w:basedOn w:val="CommentTextChar"/>
    <w:link w:val="CommentSubject"/>
    <w:uiPriority w:val="99"/>
    <w:semiHidden/>
    <w:rsid w:val="00DE08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left" w:pos="1440"/>
      </w:tabs>
      <w:spacing w:after="220"/>
      <w:jc w:val="both"/>
    </w:p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
    <w:basedOn w:val="Normal"/>
    <w:link w:val="FootnoteTextChar"/>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4,Appel note de bas de p,Style 12,(NECG) Footnote Reference,o,fr,Style 3,Style 17,FR,Style 13,Footnote Reference/,Style 6"/>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563559"/>
    <w:rPr>
      <w:sz w:val="22"/>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563559"/>
  </w:style>
  <w:style w:type="paragraph" w:styleId="BalloonText">
    <w:name w:val="Balloon Text"/>
    <w:basedOn w:val="Normal"/>
    <w:link w:val="BalloonTextChar"/>
    <w:uiPriority w:val="99"/>
    <w:semiHidden/>
    <w:unhideWhenUsed/>
    <w:rsid w:val="00DE0857"/>
    <w:rPr>
      <w:rFonts w:ascii="Tahoma" w:hAnsi="Tahoma" w:cs="Tahoma"/>
      <w:sz w:val="16"/>
      <w:szCs w:val="16"/>
    </w:rPr>
  </w:style>
  <w:style w:type="character" w:customStyle="1" w:styleId="BalloonTextChar">
    <w:name w:val="Balloon Text Char"/>
    <w:basedOn w:val="DefaultParagraphFont"/>
    <w:link w:val="BalloonText"/>
    <w:uiPriority w:val="99"/>
    <w:semiHidden/>
    <w:rsid w:val="00DE0857"/>
    <w:rPr>
      <w:rFonts w:ascii="Tahoma" w:hAnsi="Tahoma" w:cs="Tahoma"/>
      <w:sz w:val="16"/>
      <w:szCs w:val="16"/>
    </w:rPr>
  </w:style>
  <w:style w:type="character" w:styleId="CommentReference">
    <w:name w:val="annotation reference"/>
    <w:basedOn w:val="DefaultParagraphFont"/>
    <w:uiPriority w:val="99"/>
    <w:semiHidden/>
    <w:unhideWhenUsed/>
    <w:rsid w:val="00DE0857"/>
    <w:rPr>
      <w:sz w:val="16"/>
      <w:szCs w:val="16"/>
    </w:rPr>
  </w:style>
  <w:style w:type="paragraph" w:styleId="CommentText">
    <w:name w:val="annotation text"/>
    <w:basedOn w:val="Normal"/>
    <w:link w:val="CommentTextChar"/>
    <w:uiPriority w:val="99"/>
    <w:semiHidden/>
    <w:unhideWhenUsed/>
    <w:rsid w:val="00DE0857"/>
    <w:rPr>
      <w:sz w:val="20"/>
    </w:rPr>
  </w:style>
  <w:style w:type="character" w:customStyle="1" w:styleId="CommentTextChar">
    <w:name w:val="Comment Text Char"/>
    <w:basedOn w:val="DefaultParagraphFont"/>
    <w:link w:val="CommentText"/>
    <w:uiPriority w:val="99"/>
    <w:semiHidden/>
    <w:rsid w:val="00DE0857"/>
  </w:style>
  <w:style w:type="paragraph" w:styleId="CommentSubject">
    <w:name w:val="annotation subject"/>
    <w:basedOn w:val="CommentText"/>
    <w:next w:val="CommentText"/>
    <w:link w:val="CommentSubjectChar"/>
    <w:uiPriority w:val="99"/>
    <w:semiHidden/>
    <w:unhideWhenUsed/>
    <w:rsid w:val="00DE0857"/>
    <w:rPr>
      <w:b/>
      <w:bCs/>
    </w:rPr>
  </w:style>
  <w:style w:type="character" w:customStyle="1" w:styleId="CommentSubjectChar">
    <w:name w:val="Comment Subject Char"/>
    <w:basedOn w:val="CommentTextChar"/>
    <w:link w:val="CommentSubject"/>
    <w:uiPriority w:val="99"/>
    <w:semiHidden/>
    <w:rsid w:val="00DE08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e.Montgomery\AppData\Roaming\Microsoft\Windows\Libraries\My%20Documents\IB\Satellite%20Application%20Review\AWS-4\Inmarsat%202%20GHz%20dismissa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Inmarsat 2 GHz dismissal order</Template>
  <TotalTime>0</TotalTime>
  <Pages>2</Pages>
  <Words>455</Words>
  <Characters>2496</Characters>
  <Application>Microsoft Office Word</Application>
  <DocSecurity>0</DocSecurity>
  <Lines>66</Lines>
  <Paragraphs>25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2944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2013-05-22T18:58:00Z</cp:lastPrinted>
  <dcterms:created xsi:type="dcterms:W3CDTF">2013-05-22T19:19:00Z</dcterms:created>
  <dcterms:modified xsi:type="dcterms:W3CDTF">2013-05-22T19:19:00Z</dcterms:modified>
  <cp:category> </cp:category>
  <cp:contentStatus> </cp:contentStatus>
</cp:coreProperties>
</file>