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A8" w:rsidRDefault="000718A8">
      <w:pPr>
        <w:tabs>
          <w:tab w:val="center" w:pos="4680"/>
          <w:tab w:val="right" w:pos="9360"/>
        </w:tabs>
        <w:jc w:val="center"/>
        <w:rPr>
          <w:b/>
          <w:sz w:val="22"/>
          <w:szCs w:val="22"/>
        </w:rPr>
      </w:pPr>
      <w:bookmarkStart w:id="0" w:name="_GoBack"/>
      <w:bookmarkEnd w:id="0"/>
    </w:p>
    <w:p w:rsidR="000718A8" w:rsidRDefault="000718A8" w:rsidP="005E045C">
      <w:pPr>
        <w:tabs>
          <w:tab w:val="center" w:pos="4680"/>
          <w:tab w:val="right" w:pos="9360"/>
        </w:tabs>
        <w:jc w:val="right"/>
        <w:rPr>
          <w:b/>
          <w:sz w:val="22"/>
          <w:szCs w:val="22"/>
        </w:rPr>
      </w:pPr>
      <w:r>
        <w:rPr>
          <w:b/>
          <w:sz w:val="22"/>
          <w:szCs w:val="22"/>
        </w:rPr>
        <w:t>DA 1</w:t>
      </w:r>
      <w:r w:rsidR="001B6DD1">
        <w:rPr>
          <w:b/>
          <w:sz w:val="22"/>
          <w:szCs w:val="22"/>
        </w:rPr>
        <w:t>3</w:t>
      </w:r>
      <w:r>
        <w:rPr>
          <w:b/>
          <w:sz w:val="22"/>
          <w:szCs w:val="22"/>
        </w:rPr>
        <w:t>-</w:t>
      </w:r>
      <w:r w:rsidR="00C468B5">
        <w:rPr>
          <w:b/>
          <w:sz w:val="22"/>
          <w:szCs w:val="22"/>
        </w:rPr>
        <w:t>11</w:t>
      </w:r>
    </w:p>
    <w:p w:rsidR="000718A8" w:rsidRDefault="000718A8" w:rsidP="005E045C">
      <w:pPr>
        <w:tabs>
          <w:tab w:val="center" w:pos="4680"/>
          <w:tab w:val="right" w:pos="9360"/>
        </w:tabs>
        <w:jc w:val="right"/>
        <w:rPr>
          <w:b/>
          <w:sz w:val="22"/>
          <w:szCs w:val="22"/>
        </w:rPr>
      </w:pPr>
      <w:r>
        <w:rPr>
          <w:b/>
          <w:sz w:val="22"/>
          <w:szCs w:val="22"/>
        </w:rPr>
        <w:t xml:space="preserve">Released: </w:t>
      </w:r>
      <w:r w:rsidR="001B6DD1">
        <w:rPr>
          <w:b/>
          <w:sz w:val="22"/>
          <w:szCs w:val="22"/>
        </w:rPr>
        <w:t>January 4, 2013</w:t>
      </w:r>
    </w:p>
    <w:p w:rsidR="000718A8" w:rsidRDefault="000718A8">
      <w:pPr>
        <w:tabs>
          <w:tab w:val="center" w:pos="4680"/>
          <w:tab w:val="right" w:pos="9360"/>
        </w:tabs>
        <w:jc w:val="center"/>
        <w:rPr>
          <w:b/>
          <w:sz w:val="22"/>
          <w:szCs w:val="22"/>
        </w:rPr>
      </w:pPr>
    </w:p>
    <w:p w:rsidR="000718A8" w:rsidRDefault="000C442C">
      <w:pPr>
        <w:tabs>
          <w:tab w:val="center" w:pos="4680"/>
          <w:tab w:val="right" w:pos="9360"/>
        </w:tabs>
        <w:jc w:val="center"/>
        <w:rPr>
          <w:b/>
          <w:sz w:val="22"/>
          <w:szCs w:val="22"/>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33.35pt;margin-top:5.3pt;width:369.25pt;height:45pt;z-index:251657728" filled="f" stroked="f">
            <v:textbox style="mso-next-textbox:#_x0000_s1029">
              <w:txbxContent>
                <w:p w:rsidR="000E4836" w:rsidRPr="005E045C" w:rsidRDefault="000E4836" w:rsidP="005E045C">
                  <w:pPr>
                    <w:rPr>
                      <w:szCs w:val="24"/>
                    </w:rPr>
                  </w:pPr>
                </w:p>
              </w:txbxContent>
            </v:textbox>
          </v:shape>
        </w:pict>
      </w:r>
      <w:r w:rsidR="007E0FE5">
        <w:rPr>
          <w:b/>
          <w:sz w:val="22"/>
          <w:szCs w:val="22"/>
        </w:rPr>
        <w:t>COMMENT SOUGHT ON</w:t>
      </w:r>
      <w:r w:rsidR="000718A8">
        <w:rPr>
          <w:b/>
          <w:sz w:val="22"/>
          <w:szCs w:val="22"/>
        </w:rPr>
        <w:t xml:space="preserve"> </w:t>
      </w:r>
    </w:p>
    <w:p w:rsidR="000718A8" w:rsidRPr="00DB0B30" w:rsidRDefault="000718A8">
      <w:pPr>
        <w:tabs>
          <w:tab w:val="center" w:pos="4680"/>
          <w:tab w:val="right" w:pos="9360"/>
        </w:tabs>
        <w:jc w:val="center"/>
        <w:rPr>
          <w:b/>
          <w:sz w:val="22"/>
          <w:szCs w:val="22"/>
        </w:rPr>
      </w:pPr>
      <w:r>
        <w:rPr>
          <w:b/>
          <w:sz w:val="22"/>
          <w:szCs w:val="22"/>
        </w:rPr>
        <w:t xml:space="preserve">INTERCARRIER COMPENSATION </w:t>
      </w:r>
      <w:r w:rsidR="00ED538B">
        <w:rPr>
          <w:b/>
          <w:sz w:val="22"/>
          <w:szCs w:val="22"/>
        </w:rPr>
        <w:t xml:space="preserve">REFORM </w:t>
      </w:r>
      <w:r w:rsidR="007E0FE5">
        <w:rPr>
          <w:b/>
          <w:sz w:val="22"/>
          <w:szCs w:val="22"/>
        </w:rPr>
        <w:t>COMPLIANCE AND MONITORING FORM</w:t>
      </w:r>
    </w:p>
    <w:p w:rsidR="00655331" w:rsidRDefault="00655331" w:rsidP="002D7993">
      <w:pPr>
        <w:spacing w:after="200"/>
        <w:jc w:val="center"/>
        <w:rPr>
          <w:b/>
          <w:sz w:val="22"/>
          <w:szCs w:val="22"/>
        </w:rPr>
      </w:pPr>
    </w:p>
    <w:p w:rsidR="00655331" w:rsidRPr="00655331" w:rsidRDefault="00655331" w:rsidP="00655331">
      <w:pPr>
        <w:autoSpaceDE w:val="0"/>
        <w:autoSpaceDN w:val="0"/>
        <w:adjustRightInd w:val="0"/>
        <w:rPr>
          <w:b/>
          <w:bCs/>
          <w:color w:val="010101"/>
          <w:sz w:val="22"/>
          <w:szCs w:val="22"/>
        </w:rPr>
      </w:pPr>
      <w:r w:rsidRPr="00655331">
        <w:rPr>
          <w:b/>
          <w:bCs/>
          <w:color w:val="010101"/>
          <w:sz w:val="22"/>
          <w:szCs w:val="22"/>
        </w:rPr>
        <w:t>CC Docket Nos. 01-92, 96-45; GN Docket No. 09-51; WC Docket Nos. 03-109, 05-337, 07-135, 10-90;</w:t>
      </w:r>
    </w:p>
    <w:p w:rsidR="00655331" w:rsidRPr="00655331" w:rsidRDefault="00655331" w:rsidP="00655331">
      <w:pPr>
        <w:spacing w:after="200"/>
        <w:jc w:val="center"/>
        <w:rPr>
          <w:b/>
          <w:sz w:val="22"/>
          <w:szCs w:val="22"/>
        </w:rPr>
      </w:pPr>
      <w:r w:rsidRPr="00655331">
        <w:rPr>
          <w:b/>
          <w:bCs/>
          <w:color w:val="010101"/>
          <w:sz w:val="22"/>
          <w:szCs w:val="22"/>
        </w:rPr>
        <w:t>WT Docket No. 10-208</w:t>
      </w:r>
    </w:p>
    <w:p w:rsidR="00B62564" w:rsidRDefault="00EF5A17" w:rsidP="00EF5A17">
      <w:pPr>
        <w:rPr>
          <w:b/>
          <w:sz w:val="22"/>
          <w:szCs w:val="22"/>
        </w:rPr>
      </w:pPr>
      <w:r>
        <w:rPr>
          <w:b/>
          <w:sz w:val="22"/>
          <w:szCs w:val="22"/>
        </w:rPr>
        <w:t>Comment Date</w:t>
      </w:r>
      <w:r w:rsidR="000718A8" w:rsidRPr="0026134F">
        <w:rPr>
          <w:b/>
          <w:sz w:val="22"/>
          <w:szCs w:val="22"/>
        </w:rPr>
        <w:t>:</w:t>
      </w:r>
      <w:r w:rsidR="001B6DD1">
        <w:rPr>
          <w:b/>
          <w:sz w:val="22"/>
          <w:szCs w:val="22"/>
        </w:rPr>
        <w:t xml:space="preserve"> February 4</w:t>
      </w:r>
      <w:r w:rsidR="000718A8" w:rsidRPr="0026134F">
        <w:rPr>
          <w:b/>
          <w:sz w:val="22"/>
          <w:szCs w:val="22"/>
        </w:rPr>
        <w:t xml:space="preserve">, </w:t>
      </w:r>
      <w:r w:rsidR="0011521F" w:rsidRPr="0026134F">
        <w:rPr>
          <w:b/>
          <w:sz w:val="22"/>
          <w:szCs w:val="22"/>
        </w:rPr>
        <w:t>201</w:t>
      </w:r>
      <w:r w:rsidR="0011521F">
        <w:rPr>
          <w:b/>
          <w:sz w:val="22"/>
          <w:szCs w:val="22"/>
        </w:rPr>
        <w:t>3</w:t>
      </w:r>
    </w:p>
    <w:p w:rsidR="000718A8" w:rsidRDefault="00EF5A17" w:rsidP="00EF5A17">
      <w:pPr>
        <w:rPr>
          <w:b/>
          <w:sz w:val="22"/>
          <w:szCs w:val="22"/>
        </w:rPr>
      </w:pPr>
      <w:r>
        <w:rPr>
          <w:b/>
          <w:sz w:val="22"/>
          <w:szCs w:val="22"/>
        </w:rPr>
        <w:t>Reply Comment Date</w:t>
      </w:r>
      <w:r w:rsidR="000718A8" w:rsidRPr="0026134F">
        <w:rPr>
          <w:b/>
          <w:sz w:val="22"/>
          <w:szCs w:val="22"/>
        </w:rPr>
        <w:t>:</w:t>
      </w:r>
      <w:r w:rsidR="001B6DD1">
        <w:rPr>
          <w:b/>
          <w:sz w:val="22"/>
          <w:szCs w:val="22"/>
        </w:rPr>
        <w:t xml:space="preserve"> February 19</w:t>
      </w:r>
      <w:r w:rsidR="000718A8" w:rsidRPr="0026134F">
        <w:rPr>
          <w:b/>
          <w:sz w:val="22"/>
          <w:szCs w:val="22"/>
        </w:rPr>
        <w:t xml:space="preserve">, </w:t>
      </w:r>
      <w:r w:rsidR="0011521F" w:rsidRPr="0026134F">
        <w:rPr>
          <w:b/>
          <w:sz w:val="22"/>
          <w:szCs w:val="22"/>
        </w:rPr>
        <w:t>201</w:t>
      </w:r>
      <w:r w:rsidR="0011521F">
        <w:rPr>
          <w:b/>
          <w:sz w:val="22"/>
          <w:szCs w:val="22"/>
        </w:rPr>
        <w:t>3</w:t>
      </w:r>
    </w:p>
    <w:p w:rsidR="00EF5A17" w:rsidRPr="0026134F" w:rsidRDefault="00EF5A17" w:rsidP="00EF5A17">
      <w:pPr>
        <w:rPr>
          <w:b/>
          <w:sz w:val="22"/>
          <w:szCs w:val="22"/>
        </w:rPr>
      </w:pPr>
    </w:p>
    <w:p w:rsidR="0020588A" w:rsidRDefault="000718A8" w:rsidP="000B42AE">
      <w:pPr>
        <w:spacing w:after="200"/>
        <w:ind w:firstLine="720"/>
        <w:rPr>
          <w:sz w:val="22"/>
          <w:szCs w:val="22"/>
        </w:rPr>
      </w:pPr>
      <w:r>
        <w:rPr>
          <w:sz w:val="22"/>
          <w:szCs w:val="22"/>
        </w:rPr>
        <w:t xml:space="preserve">On October 27, 2011, the Commission adopted a Report and Order and Further Notice of Proposed Rulemaking comprehensively reforming its Universal Service </w:t>
      </w:r>
      <w:r w:rsidR="00BF3C0A">
        <w:rPr>
          <w:sz w:val="22"/>
          <w:szCs w:val="22"/>
        </w:rPr>
        <w:t xml:space="preserve">Fund (USF) </w:t>
      </w:r>
      <w:r>
        <w:rPr>
          <w:sz w:val="22"/>
          <w:szCs w:val="22"/>
        </w:rPr>
        <w:t>and intercarrier compensation</w:t>
      </w:r>
      <w:r w:rsidR="00BF3C0A">
        <w:rPr>
          <w:sz w:val="22"/>
          <w:szCs w:val="22"/>
        </w:rPr>
        <w:t xml:space="preserve"> (ICC)</w:t>
      </w:r>
      <w:r>
        <w:rPr>
          <w:sz w:val="22"/>
          <w:szCs w:val="22"/>
        </w:rPr>
        <w:t xml:space="preserve"> systems.</w:t>
      </w:r>
      <w:r>
        <w:rPr>
          <w:rStyle w:val="FootnoteReference"/>
          <w:sz w:val="22"/>
          <w:szCs w:val="22"/>
        </w:rPr>
        <w:footnoteReference w:id="2"/>
      </w:r>
      <w:r>
        <w:rPr>
          <w:sz w:val="22"/>
          <w:szCs w:val="22"/>
        </w:rPr>
        <w:t xml:space="preserve">  As part of its reforms, the Commission adopted a recovery mechanism to facilitate incumbent local exchange carriers’ (LECs) gradual transition away from intercarrier revenues reduced as part of the </w:t>
      </w:r>
      <w:r w:rsidR="0020588A">
        <w:rPr>
          <w:sz w:val="22"/>
          <w:szCs w:val="22"/>
        </w:rPr>
        <w:t xml:space="preserve">reforms </w:t>
      </w:r>
      <w:r w:rsidR="003023D6">
        <w:rPr>
          <w:sz w:val="22"/>
          <w:szCs w:val="22"/>
        </w:rPr>
        <w:t xml:space="preserve">adopted in the </w:t>
      </w:r>
      <w:r w:rsidRPr="003E7B46">
        <w:rPr>
          <w:i/>
          <w:sz w:val="22"/>
          <w:szCs w:val="22"/>
        </w:rPr>
        <w:t>USF/ICC Transformation Order</w:t>
      </w:r>
      <w:r>
        <w:rPr>
          <w:sz w:val="22"/>
          <w:szCs w:val="22"/>
        </w:rPr>
        <w:t>.</w:t>
      </w:r>
      <w:r>
        <w:rPr>
          <w:rStyle w:val="FootnoteReference"/>
          <w:sz w:val="22"/>
          <w:szCs w:val="22"/>
        </w:rPr>
        <w:footnoteReference w:id="3"/>
      </w:r>
      <w:r>
        <w:rPr>
          <w:sz w:val="22"/>
          <w:szCs w:val="22"/>
        </w:rPr>
        <w:t xml:space="preserve">  The </w:t>
      </w:r>
      <w:r w:rsidRPr="00581883">
        <w:rPr>
          <w:i/>
          <w:sz w:val="22"/>
          <w:szCs w:val="22"/>
        </w:rPr>
        <w:t>USF/ICC Transformation Order</w:t>
      </w:r>
      <w:r>
        <w:rPr>
          <w:sz w:val="22"/>
          <w:szCs w:val="22"/>
        </w:rPr>
        <w:t xml:space="preserve"> requires incumbent LECs that participate in the intercarrier compensation recovery mechanism to file, on an annual basis, data regarding their “ICC rates, revenues, expenses, and demand.”</w:t>
      </w:r>
      <w:r>
        <w:rPr>
          <w:rStyle w:val="FootnoteReference"/>
          <w:sz w:val="22"/>
          <w:szCs w:val="22"/>
        </w:rPr>
        <w:footnoteReference w:id="4"/>
      </w:r>
    </w:p>
    <w:p w:rsidR="000718A8" w:rsidRDefault="000718A8" w:rsidP="0020588A">
      <w:pPr>
        <w:spacing w:after="200"/>
        <w:ind w:firstLine="720"/>
        <w:rPr>
          <w:sz w:val="22"/>
          <w:szCs w:val="22"/>
        </w:rPr>
      </w:pPr>
      <w:r>
        <w:rPr>
          <w:sz w:val="22"/>
          <w:szCs w:val="22"/>
        </w:rPr>
        <w:t>The Commission explained that such data are necessary</w:t>
      </w:r>
      <w:r w:rsidR="001B5ED3">
        <w:rPr>
          <w:sz w:val="22"/>
          <w:szCs w:val="22"/>
        </w:rPr>
        <w:t xml:space="preserve"> to</w:t>
      </w:r>
      <w:r w:rsidR="00BF3C0A">
        <w:rPr>
          <w:sz w:val="22"/>
          <w:szCs w:val="22"/>
        </w:rPr>
        <w:t>: (1)</w:t>
      </w:r>
      <w:r>
        <w:rPr>
          <w:sz w:val="22"/>
          <w:szCs w:val="22"/>
        </w:rPr>
        <w:t xml:space="preserve"> monitor compliance with the provisions of the Order and accompanying rules; </w:t>
      </w:r>
      <w:r w:rsidR="00BF3C0A">
        <w:rPr>
          <w:sz w:val="22"/>
          <w:szCs w:val="22"/>
        </w:rPr>
        <w:t xml:space="preserve">(2) </w:t>
      </w:r>
      <w:r>
        <w:rPr>
          <w:sz w:val="22"/>
          <w:szCs w:val="22"/>
        </w:rPr>
        <w:t xml:space="preserve">monitor the impact of the reforms adopted in the Order; </w:t>
      </w:r>
      <w:r w:rsidR="00BF3C0A">
        <w:rPr>
          <w:sz w:val="22"/>
          <w:szCs w:val="22"/>
        </w:rPr>
        <w:t xml:space="preserve">(3) </w:t>
      </w:r>
      <w:r>
        <w:rPr>
          <w:sz w:val="22"/>
          <w:szCs w:val="22"/>
        </w:rPr>
        <w:t xml:space="preserve">resolve outstanding issues raised in the Further Notice portion of the Order; </w:t>
      </w:r>
      <w:r w:rsidR="00BF3C0A">
        <w:rPr>
          <w:sz w:val="22"/>
          <w:szCs w:val="22"/>
        </w:rPr>
        <w:t xml:space="preserve">(4) </w:t>
      </w:r>
      <w:r>
        <w:rPr>
          <w:sz w:val="22"/>
          <w:szCs w:val="22"/>
        </w:rPr>
        <w:t xml:space="preserve">enable the Commission to evaluate the trend of intercarrier revenues, expenses, and minutes; and </w:t>
      </w:r>
      <w:r w:rsidR="00BF3C0A">
        <w:rPr>
          <w:sz w:val="22"/>
          <w:szCs w:val="22"/>
        </w:rPr>
        <w:t xml:space="preserve">(5) </w:t>
      </w:r>
      <w:r>
        <w:rPr>
          <w:sz w:val="22"/>
          <w:szCs w:val="22"/>
        </w:rPr>
        <w:t>compare such data uniformly across all carriers.</w:t>
      </w:r>
      <w:r>
        <w:rPr>
          <w:rStyle w:val="FootnoteReference"/>
          <w:sz w:val="22"/>
          <w:szCs w:val="22"/>
        </w:rPr>
        <w:footnoteReference w:id="5"/>
      </w:r>
      <w:r w:rsidRPr="00581883">
        <w:rPr>
          <w:sz w:val="22"/>
          <w:szCs w:val="22"/>
        </w:rPr>
        <w:t xml:space="preserve"> </w:t>
      </w:r>
      <w:r>
        <w:rPr>
          <w:sz w:val="22"/>
          <w:szCs w:val="22"/>
        </w:rPr>
        <w:t xml:space="preserve"> The Commission delegated to the Wireline Competition Bureau “the authority to adopt a template for submitting the data . . . .”</w:t>
      </w:r>
      <w:r>
        <w:rPr>
          <w:rStyle w:val="FootnoteReference"/>
          <w:sz w:val="22"/>
          <w:szCs w:val="22"/>
        </w:rPr>
        <w:footnoteReference w:id="6"/>
      </w:r>
      <w:r>
        <w:rPr>
          <w:sz w:val="22"/>
          <w:szCs w:val="22"/>
        </w:rPr>
        <w:t xml:space="preserve">  By this Public Notice, we seek</w:t>
      </w:r>
      <w:r w:rsidR="005B62E1">
        <w:rPr>
          <w:sz w:val="22"/>
          <w:szCs w:val="22"/>
        </w:rPr>
        <w:t xml:space="preserve"> comment</w:t>
      </w:r>
      <w:r>
        <w:rPr>
          <w:sz w:val="22"/>
          <w:szCs w:val="22"/>
        </w:rPr>
        <w:t xml:space="preserve"> </w:t>
      </w:r>
      <w:r w:rsidR="0020588A">
        <w:rPr>
          <w:sz w:val="22"/>
          <w:szCs w:val="22"/>
        </w:rPr>
        <w:t>on</w:t>
      </w:r>
      <w:r w:rsidR="001576F2">
        <w:rPr>
          <w:sz w:val="22"/>
          <w:szCs w:val="22"/>
        </w:rPr>
        <w:t xml:space="preserve"> using</w:t>
      </w:r>
      <w:r>
        <w:rPr>
          <w:sz w:val="22"/>
          <w:szCs w:val="22"/>
        </w:rPr>
        <w:t xml:space="preserve"> the </w:t>
      </w:r>
      <w:r w:rsidR="001576F2">
        <w:rPr>
          <w:sz w:val="22"/>
          <w:szCs w:val="22"/>
        </w:rPr>
        <w:t xml:space="preserve">proposed </w:t>
      </w:r>
      <w:r w:rsidR="0020588A">
        <w:rPr>
          <w:sz w:val="22"/>
          <w:szCs w:val="22"/>
        </w:rPr>
        <w:t>ICC</w:t>
      </w:r>
      <w:r>
        <w:rPr>
          <w:sz w:val="22"/>
          <w:szCs w:val="22"/>
        </w:rPr>
        <w:t xml:space="preserve"> </w:t>
      </w:r>
      <w:r w:rsidR="00242785">
        <w:rPr>
          <w:sz w:val="22"/>
          <w:szCs w:val="22"/>
        </w:rPr>
        <w:t>Reform C</w:t>
      </w:r>
      <w:r>
        <w:rPr>
          <w:sz w:val="22"/>
          <w:szCs w:val="22"/>
        </w:rPr>
        <w:t>ompliance</w:t>
      </w:r>
      <w:r w:rsidR="007E0FE5">
        <w:rPr>
          <w:sz w:val="22"/>
          <w:szCs w:val="22"/>
        </w:rPr>
        <w:t xml:space="preserve"> </w:t>
      </w:r>
      <w:r>
        <w:rPr>
          <w:sz w:val="22"/>
          <w:szCs w:val="22"/>
        </w:rPr>
        <w:t xml:space="preserve">and </w:t>
      </w:r>
      <w:r w:rsidR="00242785">
        <w:rPr>
          <w:sz w:val="22"/>
          <w:szCs w:val="22"/>
        </w:rPr>
        <w:t>M</w:t>
      </w:r>
      <w:r>
        <w:rPr>
          <w:sz w:val="22"/>
          <w:szCs w:val="22"/>
        </w:rPr>
        <w:t>onitoring</w:t>
      </w:r>
      <w:r w:rsidR="001576F2">
        <w:rPr>
          <w:sz w:val="22"/>
          <w:szCs w:val="22"/>
        </w:rPr>
        <w:t xml:space="preserve"> </w:t>
      </w:r>
      <w:r w:rsidR="00242785">
        <w:rPr>
          <w:sz w:val="22"/>
          <w:szCs w:val="22"/>
        </w:rPr>
        <w:t>F</w:t>
      </w:r>
      <w:r w:rsidR="001576F2">
        <w:rPr>
          <w:sz w:val="22"/>
          <w:szCs w:val="22"/>
        </w:rPr>
        <w:t xml:space="preserve">orm </w:t>
      </w:r>
      <w:r>
        <w:rPr>
          <w:sz w:val="22"/>
          <w:szCs w:val="22"/>
        </w:rPr>
        <w:t xml:space="preserve">and </w:t>
      </w:r>
      <w:r w:rsidR="0020588A">
        <w:rPr>
          <w:sz w:val="22"/>
          <w:szCs w:val="22"/>
        </w:rPr>
        <w:t xml:space="preserve">the </w:t>
      </w:r>
      <w:r>
        <w:rPr>
          <w:sz w:val="22"/>
          <w:szCs w:val="22"/>
        </w:rPr>
        <w:t>accompanying instructions</w:t>
      </w:r>
      <w:r w:rsidR="001576F2">
        <w:rPr>
          <w:sz w:val="22"/>
          <w:szCs w:val="22"/>
        </w:rPr>
        <w:t xml:space="preserve"> available through the Internet link below</w:t>
      </w:r>
      <w:r>
        <w:rPr>
          <w:sz w:val="22"/>
          <w:szCs w:val="22"/>
        </w:rPr>
        <w:t xml:space="preserve"> as a means to collect the required data.</w:t>
      </w:r>
    </w:p>
    <w:p w:rsidR="000718A8" w:rsidRPr="00CA1A88" w:rsidRDefault="002E3A06" w:rsidP="00CA1A88">
      <w:pPr>
        <w:tabs>
          <w:tab w:val="left" w:pos="900"/>
        </w:tabs>
        <w:spacing w:after="120"/>
        <w:rPr>
          <w:sz w:val="22"/>
          <w:szCs w:val="22"/>
        </w:rPr>
      </w:pPr>
      <w:r>
        <w:rPr>
          <w:sz w:val="22"/>
          <w:szCs w:val="22"/>
        </w:rPr>
        <w:lastRenderedPageBreak/>
        <w:tab/>
      </w:r>
      <w:r w:rsidR="000718A8">
        <w:rPr>
          <w:sz w:val="22"/>
          <w:szCs w:val="22"/>
        </w:rPr>
        <w:t xml:space="preserve">In the </w:t>
      </w:r>
      <w:r w:rsidR="000718A8" w:rsidRPr="00073F11">
        <w:rPr>
          <w:i/>
          <w:sz w:val="22"/>
          <w:szCs w:val="22"/>
        </w:rPr>
        <w:t>USF/ICC Transformation Order</w:t>
      </w:r>
      <w:r w:rsidR="000718A8">
        <w:rPr>
          <w:sz w:val="22"/>
          <w:szCs w:val="22"/>
        </w:rPr>
        <w:t xml:space="preserve">, the Commission </w:t>
      </w:r>
      <w:r w:rsidR="0020588A">
        <w:rPr>
          <w:sz w:val="22"/>
          <w:szCs w:val="22"/>
        </w:rPr>
        <w:t>require</w:t>
      </w:r>
      <w:r w:rsidR="000E4836">
        <w:rPr>
          <w:sz w:val="22"/>
          <w:szCs w:val="22"/>
        </w:rPr>
        <w:t>d</w:t>
      </w:r>
      <w:r w:rsidR="000718A8">
        <w:rPr>
          <w:sz w:val="22"/>
          <w:szCs w:val="22"/>
        </w:rPr>
        <w:t xml:space="preserve"> incumbent </w:t>
      </w:r>
      <w:r w:rsidR="002C5978">
        <w:rPr>
          <w:sz w:val="22"/>
          <w:szCs w:val="22"/>
        </w:rPr>
        <w:t>LECs to</w:t>
      </w:r>
      <w:r w:rsidR="000718A8">
        <w:rPr>
          <w:sz w:val="22"/>
          <w:szCs w:val="22"/>
        </w:rPr>
        <w:t xml:space="preserve"> file </w:t>
      </w:r>
      <w:r w:rsidR="001576F2">
        <w:rPr>
          <w:sz w:val="22"/>
          <w:szCs w:val="22"/>
        </w:rPr>
        <w:t xml:space="preserve">ICC </w:t>
      </w:r>
      <w:r w:rsidR="000718A8">
        <w:rPr>
          <w:sz w:val="22"/>
          <w:szCs w:val="22"/>
        </w:rPr>
        <w:t>data</w:t>
      </w:r>
      <w:r w:rsidR="00557A1C">
        <w:rPr>
          <w:sz w:val="22"/>
          <w:szCs w:val="22"/>
        </w:rPr>
        <w:t xml:space="preserve"> </w:t>
      </w:r>
      <w:r w:rsidR="0020588A">
        <w:rPr>
          <w:sz w:val="22"/>
          <w:szCs w:val="22"/>
        </w:rPr>
        <w:t>from</w:t>
      </w:r>
      <w:r w:rsidR="00557A1C">
        <w:rPr>
          <w:sz w:val="22"/>
          <w:szCs w:val="22"/>
        </w:rPr>
        <w:t xml:space="preserve"> the preceding fiscal year</w:t>
      </w:r>
      <w:r w:rsidR="000718A8">
        <w:rPr>
          <w:sz w:val="22"/>
          <w:szCs w:val="22"/>
        </w:rPr>
        <w:t xml:space="preserve"> “electronically annually at the same time as their annual interstate access tariff filings.”</w:t>
      </w:r>
      <w:r w:rsidR="000718A8">
        <w:rPr>
          <w:rStyle w:val="FootnoteReference"/>
          <w:sz w:val="22"/>
          <w:szCs w:val="22"/>
        </w:rPr>
        <w:footnoteReference w:id="7"/>
      </w:r>
      <w:r w:rsidR="000718A8">
        <w:rPr>
          <w:sz w:val="22"/>
          <w:szCs w:val="22"/>
        </w:rPr>
        <w:t xml:space="preserve">  </w:t>
      </w:r>
      <w:r w:rsidR="00557A1C">
        <w:rPr>
          <w:sz w:val="22"/>
          <w:szCs w:val="22"/>
        </w:rPr>
        <w:t xml:space="preserve">Though the 2012 annual access tariff filing has already taken place, we intend to collect Fiscal Year 2011 data.  We will establish a </w:t>
      </w:r>
      <w:r w:rsidR="00741AC4">
        <w:rPr>
          <w:sz w:val="22"/>
          <w:szCs w:val="22"/>
        </w:rPr>
        <w:t>deadline</w:t>
      </w:r>
      <w:r w:rsidR="00557A1C">
        <w:rPr>
          <w:sz w:val="22"/>
          <w:szCs w:val="22"/>
        </w:rPr>
        <w:t xml:space="preserve"> for submitting that data after</w:t>
      </w:r>
      <w:r w:rsidR="000718A8">
        <w:rPr>
          <w:sz w:val="22"/>
          <w:szCs w:val="22"/>
        </w:rPr>
        <w:t xml:space="preserve"> we receive comment in response to this Public Notice and finalize the </w:t>
      </w:r>
      <w:r w:rsidR="00F31237">
        <w:rPr>
          <w:sz w:val="22"/>
          <w:szCs w:val="22"/>
        </w:rPr>
        <w:t>ICC</w:t>
      </w:r>
      <w:r w:rsidR="00242785">
        <w:rPr>
          <w:sz w:val="22"/>
          <w:szCs w:val="22"/>
        </w:rPr>
        <w:t xml:space="preserve"> Reform</w:t>
      </w:r>
      <w:r w:rsidR="00F31237">
        <w:rPr>
          <w:sz w:val="22"/>
          <w:szCs w:val="22"/>
        </w:rPr>
        <w:t xml:space="preserve"> </w:t>
      </w:r>
      <w:r w:rsidR="00242785">
        <w:rPr>
          <w:sz w:val="22"/>
          <w:szCs w:val="22"/>
        </w:rPr>
        <w:t>C</w:t>
      </w:r>
      <w:r w:rsidR="000718A8">
        <w:rPr>
          <w:sz w:val="22"/>
          <w:szCs w:val="22"/>
        </w:rPr>
        <w:t xml:space="preserve">ompliance and </w:t>
      </w:r>
      <w:r w:rsidR="00242785">
        <w:rPr>
          <w:sz w:val="22"/>
          <w:szCs w:val="22"/>
        </w:rPr>
        <w:t>M</w:t>
      </w:r>
      <w:r w:rsidR="000718A8">
        <w:rPr>
          <w:sz w:val="22"/>
          <w:szCs w:val="22"/>
        </w:rPr>
        <w:t xml:space="preserve">onitoring </w:t>
      </w:r>
      <w:r w:rsidR="00242785">
        <w:rPr>
          <w:sz w:val="22"/>
          <w:szCs w:val="22"/>
        </w:rPr>
        <w:t>F</w:t>
      </w:r>
      <w:r w:rsidR="000718A8">
        <w:rPr>
          <w:sz w:val="22"/>
          <w:szCs w:val="22"/>
        </w:rPr>
        <w:t>or</w:t>
      </w:r>
      <w:r w:rsidR="00F31237">
        <w:rPr>
          <w:sz w:val="22"/>
          <w:szCs w:val="22"/>
        </w:rPr>
        <w:t>m</w:t>
      </w:r>
      <w:r w:rsidR="000718A8">
        <w:rPr>
          <w:sz w:val="22"/>
          <w:szCs w:val="22"/>
        </w:rPr>
        <w:t xml:space="preserve"> and instructions.</w:t>
      </w:r>
      <w:r w:rsidR="009604E8">
        <w:rPr>
          <w:rStyle w:val="FootnoteReference"/>
          <w:sz w:val="22"/>
          <w:szCs w:val="22"/>
        </w:rPr>
        <w:footnoteReference w:id="8"/>
      </w:r>
      <w:r w:rsidR="000718A8">
        <w:rPr>
          <w:sz w:val="22"/>
          <w:szCs w:val="22"/>
        </w:rPr>
        <w:t xml:space="preserve">  In subsequent years, </w:t>
      </w:r>
      <w:r w:rsidR="001576F2">
        <w:rPr>
          <w:sz w:val="22"/>
          <w:szCs w:val="22"/>
        </w:rPr>
        <w:t xml:space="preserve">incumbent LECs must submit </w:t>
      </w:r>
      <w:r w:rsidR="000718A8">
        <w:rPr>
          <w:sz w:val="22"/>
          <w:szCs w:val="22"/>
        </w:rPr>
        <w:t>this information at the same time as the</w:t>
      </w:r>
      <w:r w:rsidR="00B04BE4">
        <w:rPr>
          <w:sz w:val="22"/>
          <w:szCs w:val="22"/>
        </w:rPr>
        <w:t>y file their</w:t>
      </w:r>
      <w:r w:rsidR="000718A8">
        <w:rPr>
          <w:sz w:val="22"/>
          <w:szCs w:val="22"/>
        </w:rPr>
        <w:t xml:space="preserve"> annual interstate access tariff filings, as required by the </w:t>
      </w:r>
      <w:r w:rsidR="000718A8" w:rsidRPr="00073F11">
        <w:rPr>
          <w:i/>
          <w:sz w:val="22"/>
          <w:szCs w:val="22"/>
        </w:rPr>
        <w:t>USF/ICC Transformation Order</w:t>
      </w:r>
      <w:r w:rsidR="000718A8">
        <w:rPr>
          <w:i/>
          <w:sz w:val="22"/>
          <w:szCs w:val="22"/>
        </w:rPr>
        <w:t>.</w:t>
      </w:r>
      <w:r w:rsidR="000718A8" w:rsidRPr="0072501C">
        <w:rPr>
          <w:rStyle w:val="FootnoteReference"/>
          <w:sz w:val="22"/>
          <w:szCs w:val="22"/>
        </w:rPr>
        <w:footnoteReference w:id="9"/>
      </w:r>
    </w:p>
    <w:p w:rsidR="000718A8" w:rsidRPr="005047FC" w:rsidRDefault="00971E67" w:rsidP="003844EA">
      <w:pPr>
        <w:numPr>
          <w:ilvl w:val="0"/>
          <w:numId w:val="20"/>
        </w:numPr>
        <w:spacing w:after="120"/>
        <w:rPr>
          <w:b/>
          <w:sz w:val="22"/>
          <w:szCs w:val="22"/>
        </w:rPr>
      </w:pPr>
      <w:r>
        <w:rPr>
          <w:b/>
          <w:sz w:val="22"/>
          <w:szCs w:val="22"/>
        </w:rPr>
        <w:t xml:space="preserve">ICC </w:t>
      </w:r>
      <w:r w:rsidR="00242785">
        <w:rPr>
          <w:b/>
          <w:sz w:val="22"/>
          <w:szCs w:val="22"/>
        </w:rPr>
        <w:t xml:space="preserve">Reform </w:t>
      </w:r>
      <w:r w:rsidR="00B04BE4">
        <w:rPr>
          <w:b/>
          <w:sz w:val="22"/>
          <w:szCs w:val="22"/>
        </w:rPr>
        <w:t>Compliance</w:t>
      </w:r>
      <w:r w:rsidR="00242785">
        <w:rPr>
          <w:b/>
          <w:sz w:val="22"/>
          <w:szCs w:val="22"/>
        </w:rPr>
        <w:t xml:space="preserve"> and</w:t>
      </w:r>
      <w:r w:rsidR="00B04BE4">
        <w:rPr>
          <w:b/>
          <w:sz w:val="22"/>
          <w:szCs w:val="22"/>
        </w:rPr>
        <w:t xml:space="preserve"> Monitoring </w:t>
      </w:r>
      <w:r w:rsidR="000718A8" w:rsidRPr="005047FC">
        <w:rPr>
          <w:b/>
          <w:sz w:val="22"/>
          <w:szCs w:val="22"/>
        </w:rPr>
        <w:t>Form Content and Instructions</w:t>
      </w:r>
    </w:p>
    <w:p w:rsidR="00A84B02" w:rsidRDefault="000718A8" w:rsidP="007E0FE5">
      <w:pPr>
        <w:tabs>
          <w:tab w:val="left" w:pos="900"/>
        </w:tabs>
        <w:spacing w:after="120"/>
        <w:rPr>
          <w:sz w:val="22"/>
          <w:szCs w:val="22"/>
        </w:rPr>
      </w:pPr>
      <w:r>
        <w:rPr>
          <w:sz w:val="22"/>
          <w:szCs w:val="22"/>
        </w:rPr>
        <w:tab/>
      </w:r>
      <w:r w:rsidR="00F2572E">
        <w:rPr>
          <w:sz w:val="22"/>
          <w:szCs w:val="22"/>
        </w:rPr>
        <w:t xml:space="preserve">The Internet link below labeled “Proposed </w:t>
      </w:r>
      <w:r w:rsidR="007E0FE5">
        <w:rPr>
          <w:sz w:val="22"/>
          <w:szCs w:val="22"/>
        </w:rPr>
        <w:t xml:space="preserve">ICC Reform Compliance and </w:t>
      </w:r>
      <w:r w:rsidR="00F2572E">
        <w:rPr>
          <w:sz w:val="22"/>
          <w:szCs w:val="22"/>
        </w:rPr>
        <w:t xml:space="preserve">Monitoring Form” leads to a Microsoft </w:t>
      </w:r>
      <w:r w:rsidR="002B5980">
        <w:rPr>
          <w:sz w:val="22"/>
          <w:szCs w:val="22"/>
        </w:rPr>
        <w:t>Excel</w:t>
      </w:r>
      <w:r w:rsidR="00F2572E">
        <w:rPr>
          <w:sz w:val="22"/>
          <w:szCs w:val="22"/>
        </w:rPr>
        <w:t xml:space="preserve"> 2010</w:t>
      </w:r>
      <w:r w:rsidR="002B5980">
        <w:rPr>
          <w:sz w:val="22"/>
          <w:szCs w:val="22"/>
        </w:rPr>
        <w:t xml:space="preserve"> spreadsheet</w:t>
      </w:r>
      <w:r w:rsidR="00F2572E">
        <w:rPr>
          <w:sz w:val="22"/>
          <w:szCs w:val="22"/>
        </w:rPr>
        <w:t xml:space="preserve"> with multiple tabs</w:t>
      </w:r>
      <w:r w:rsidR="002B5980">
        <w:rPr>
          <w:sz w:val="22"/>
          <w:szCs w:val="22"/>
        </w:rPr>
        <w:t xml:space="preserve"> which, if completed, </w:t>
      </w:r>
      <w:r w:rsidR="00F2572E">
        <w:rPr>
          <w:sz w:val="22"/>
          <w:szCs w:val="22"/>
        </w:rPr>
        <w:t>would contain</w:t>
      </w:r>
      <w:r w:rsidR="002B5980">
        <w:rPr>
          <w:sz w:val="22"/>
          <w:szCs w:val="22"/>
        </w:rPr>
        <w:t xml:space="preserve"> the data that we </w:t>
      </w:r>
      <w:r w:rsidR="00F2572E">
        <w:rPr>
          <w:sz w:val="22"/>
          <w:szCs w:val="22"/>
        </w:rPr>
        <w:t>propose</w:t>
      </w:r>
      <w:r w:rsidR="002B5980">
        <w:rPr>
          <w:sz w:val="22"/>
          <w:szCs w:val="22"/>
        </w:rPr>
        <w:t xml:space="preserve"> to collect</w:t>
      </w:r>
      <w:r w:rsidR="002F375B">
        <w:rPr>
          <w:sz w:val="22"/>
          <w:szCs w:val="22"/>
        </w:rPr>
        <w:t xml:space="preserve"> </w:t>
      </w:r>
      <w:r w:rsidR="002C5978">
        <w:rPr>
          <w:sz w:val="22"/>
          <w:szCs w:val="22"/>
        </w:rPr>
        <w:t>from incumbent</w:t>
      </w:r>
      <w:r w:rsidR="00F2572E">
        <w:rPr>
          <w:sz w:val="22"/>
          <w:szCs w:val="22"/>
        </w:rPr>
        <w:t xml:space="preserve"> </w:t>
      </w:r>
      <w:r w:rsidR="002F375B">
        <w:rPr>
          <w:sz w:val="22"/>
          <w:szCs w:val="22"/>
        </w:rPr>
        <w:t xml:space="preserve">LECs </w:t>
      </w:r>
      <w:r w:rsidR="00F2572E">
        <w:rPr>
          <w:sz w:val="22"/>
          <w:szCs w:val="22"/>
        </w:rPr>
        <w:t xml:space="preserve">participating in the recovery mechanism.  A document containing instructions for completing this proposed </w:t>
      </w:r>
      <w:r w:rsidR="007E0FE5">
        <w:rPr>
          <w:sz w:val="22"/>
          <w:szCs w:val="22"/>
        </w:rPr>
        <w:t xml:space="preserve">ICC </w:t>
      </w:r>
      <w:r w:rsidR="00242785">
        <w:rPr>
          <w:sz w:val="22"/>
          <w:szCs w:val="22"/>
        </w:rPr>
        <w:t>R</w:t>
      </w:r>
      <w:r w:rsidR="007E0FE5">
        <w:rPr>
          <w:sz w:val="22"/>
          <w:szCs w:val="22"/>
        </w:rPr>
        <w:t xml:space="preserve">eform </w:t>
      </w:r>
      <w:r w:rsidR="00242785">
        <w:rPr>
          <w:sz w:val="22"/>
          <w:szCs w:val="22"/>
        </w:rPr>
        <w:t>C</w:t>
      </w:r>
      <w:r w:rsidR="007E0FE5">
        <w:rPr>
          <w:sz w:val="22"/>
          <w:szCs w:val="22"/>
        </w:rPr>
        <w:t xml:space="preserve">ompliance and </w:t>
      </w:r>
      <w:r w:rsidR="00242785">
        <w:rPr>
          <w:sz w:val="22"/>
          <w:szCs w:val="22"/>
        </w:rPr>
        <w:t>M</w:t>
      </w:r>
      <w:r w:rsidR="007E0FE5">
        <w:rPr>
          <w:sz w:val="22"/>
          <w:szCs w:val="22"/>
        </w:rPr>
        <w:t xml:space="preserve">onitoring </w:t>
      </w:r>
      <w:r w:rsidR="00242785">
        <w:rPr>
          <w:sz w:val="22"/>
          <w:szCs w:val="22"/>
        </w:rPr>
        <w:t>F</w:t>
      </w:r>
      <w:r w:rsidR="007E0FE5">
        <w:rPr>
          <w:sz w:val="22"/>
          <w:szCs w:val="22"/>
        </w:rPr>
        <w:t>orm</w:t>
      </w:r>
      <w:r w:rsidR="00F2572E">
        <w:rPr>
          <w:sz w:val="22"/>
          <w:szCs w:val="22"/>
        </w:rPr>
        <w:t xml:space="preserve"> is</w:t>
      </w:r>
      <w:r w:rsidR="002B5980">
        <w:rPr>
          <w:sz w:val="22"/>
          <w:szCs w:val="22"/>
        </w:rPr>
        <w:t xml:space="preserve"> </w:t>
      </w:r>
      <w:r w:rsidR="002F375B">
        <w:rPr>
          <w:sz w:val="22"/>
          <w:szCs w:val="22"/>
        </w:rPr>
        <w:t xml:space="preserve">attached to this Public Notice as </w:t>
      </w:r>
      <w:r w:rsidR="002F375B" w:rsidRPr="00181C96">
        <w:rPr>
          <w:sz w:val="22"/>
          <w:szCs w:val="22"/>
          <w:u w:val="single"/>
        </w:rPr>
        <w:t xml:space="preserve">Attachment </w:t>
      </w:r>
      <w:r w:rsidR="00F2572E">
        <w:rPr>
          <w:sz w:val="22"/>
          <w:szCs w:val="22"/>
          <w:u w:val="single"/>
        </w:rPr>
        <w:t>A.</w:t>
      </w:r>
      <w:r w:rsidR="002B5980">
        <w:rPr>
          <w:sz w:val="22"/>
          <w:szCs w:val="22"/>
        </w:rPr>
        <w:t xml:space="preserve">  </w:t>
      </w:r>
      <w:r>
        <w:rPr>
          <w:sz w:val="22"/>
          <w:szCs w:val="22"/>
        </w:rPr>
        <w:t xml:space="preserve">We seek comment on whether the </w:t>
      </w:r>
      <w:r w:rsidR="007E0FE5">
        <w:rPr>
          <w:sz w:val="22"/>
          <w:szCs w:val="22"/>
        </w:rPr>
        <w:t xml:space="preserve">proposed form </w:t>
      </w:r>
      <w:r w:rsidR="002F375B">
        <w:rPr>
          <w:sz w:val="22"/>
          <w:szCs w:val="22"/>
        </w:rPr>
        <w:t xml:space="preserve">and the accompanying instructions </w:t>
      </w:r>
      <w:r w:rsidR="001B5ED3">
        <w:rPr>
          <w:sz w:val="22"/>
          <w:szCs w:val="22"/>
        </w:rPr>
        <w:t>are</w:t>
      </w:r>
      <w:r w:rsidR="002F375B">
        <w:rPr>
          <w:sz w:val="22"/>
          <w:szCs w:val="22"/>
        </w:rPr>
        <w:t xml:space="preserve"> sufficient to collect the data</w:t>
      </w:r>
      <w:r>
        <w:rPr>
          <w:sz w:val="22"/>
          <w:szCs w:val="22"/>
        </w:rPr>
        <w:t xml:space="preserve"> </w:t>
      </w:r>
      <w:r w:rsidR="002F375B">
        <w:rPr>
          <w:sz w:val="22"/>
          <w:szCs w:val="22"/>
        </w:rPr>
        <w:t xml:space="preserve">required </w:t>
      </w:r>
      <w:r>
        <w:rPr>
          <w:sz w:val="22"/>
          <w:szCs w:val="22"/>
        </w:rPr>
        <w:t xml:space="preserve">to monitor </w:t>
      </w:r>
      <w:r w:rsidR="00F2572E">
        <w:rPr>
          <w:sz w:val="22"/>
          <w:szCs w:val="22"/>
        </w:rPr>
        <w:t>compliance with</w:t>
      </w:r>
      <w:r>
        <w:rPr>
          <w:sz w:val="22"/>
          <w:szCs w:val="22"/>
        </w:rPr>
        <w:t xml:space="preserve"> the </w:t>
      </w:r>
      <w:r w:rsidR="007E0FE5">
        <w:rPr>
          <w:i/>
          <w:sz w:val="22"/>
          <w:szCs w:val="22"/>
        </w:rPr>
        <w:t>USF/ICC Trans</w:t>
      </w:r>
      <w:r w:rsidR="007E0FE5" w:rsidRPr="007E0FE5">
        <w:rPr>
          <w:i/>
          <w:sz w:val="22"/>
          <w:szCs w:val="22"/>
        </w:rPr>
        <w:t>f</w:t>
      </w:r>
      <w:r w:rsidR="007E0FE5">
        <w:rPr>
          <w:i/>
          <w:sz w:val="22"/>
          <w:szCs w:val="22"/>
        </w:rPr>
        <w:t>o</w:t>
      </w:r>
      <w:r w:rsidR="007E0FE5" w:rsidRPr="007E0FE5">
        <w:rPr>
          <w:i/>
          <w:sz w:val="22"/>
          <w:szCs w:val="22"/>
        </w:rPr>
        <w:t xml:space="preserve">rmation </w:t>
      </w:r>
      <w:r w:rsidRPr="007E0FE5">
        <w:rPr>
          <w:i/>
          <w:sz w:val="22"/>
          <w:szCs w:val="22"/>
        </w:rPr>
        <w:t>Order</w:t>
      </w:r>
      <w:r w:rsidR="007E0FE5">
        <w:rPr>
          <w:sz w:val="22"/>
          <w:szCs w:val="22"/>
        </w:rPr>
        <w:t>; to monitor its</w:t>
      </w:r>
      <w:r>
        <w:rPr>
          <w:sz w:val="22"/>
          <w:szCs w:val="22"/>
        </w:rPr>
        <w:t xml:space="preserve"> impact; to resolve outstanding issues raised in the </w:t>
      </w:r>
      <w:r w:rsidR="00AF212A">
        <w:rPr>
          <w:sz w:val="22"/>
          <w:szCs w:val="22"/>
        </w:rPr>
        <w:t xml:space="preserve">Further Notice of Proposed Rulemaking portion of the </w:t>
      </w:r>
      <w:r w:rsidR="007E0FE5" w:rsidRPr="007E0FE5">
        <w:rPr>
          <w:i/>
          <w:sz w:val="22"/>
          <w:szCs w:val="22"/>
        </w:rPr>
        <w:t xml:space="preserve">USF/ICC Transformation </w:t>
      </w:r>
      <w:r w:rsidRPr="007E0FE5">
        <w:rPr>
          <w:i/>
          <w:sz w:val="22"/>
          <w:szCs w:val="22"/>
        </w:rPr>
        <w:t>Order</w:t>
      </w:r>
      <w:r>
        <w:rPr>
          <w:sz w:val="22"/>
          <w:szCs w:val="22"/>
        </w:rPr>
        <w:t xml:space="preserve">; to evaluate intercarrier </w:t>
      </w:r>
      <w:r w:rsidR="002F375B">
        <w:rPr>
          <w:sz w:val="22"/>
          <w:szCs w:val="22"/>
        </w:rPr>
        <w:t xml:space="preserve">compensation </w:t>
      </w:r>
      <w:r>
        <w:rPr>
          <w:sz w:val="22"/>
          <w:szCs w:val="22"/>
        </w:rPr>
        <w:t>trends; and to compare data across all carriers.</w:t>
      </w:r>
      <w:r>
        <w:rPr>
          <w:rStyle w:val="FootnoteReference"/>
          <w:sz w:val="22"/>
          <w:szCs w:val="22"/>
        </w:rPr>
        <w:footnoteReference w:id="10"/>
      </w:r>
      <w:r w:rsidR="00D86BDF">
        <w:rPr>
          <w:sz w:val="22"/>
          <w:szCs w:val="22"/>
        </w:rPr>
        <w:t xml:space="preserve">  We also seek comment as to whether th</w:t>
      </w:r>
      <w:r w:rsidR="007E0FE5">
        <w:rPr>
          <w:sz w:val="22"/>
          <w:szCs w:val="22"/>
        </w:rPr>
        <w:t>e</w:t>
      </w:r>
      <w:r w:rsidR="00D86BDF">
        <w:rPr>
          <w:sz w:val="22"/>
          <w:szCs w:val="22"/>
        </w:rPr>
        <w:t xml:space="preserve"> </w:t>
      </w:r>
      <w:r w:rsidR="007E0FE5">
        <w:rPr>
          <w:sz w:val="22"/>
          <w:szCs w:val="22"/>
        </w:rPr>
        <w:t>proposed form</w:t>
      </w:r>
      <w:r w:rsidR="00D86BDF">
        <w:rPr>
          <w:sz w:val="22"/>
          <w:szCs w:val="22"/>
        </w:rPr>
        <w:t xml:space="preserve"> </w:t>
      </w:r>
      <w:r w:rsidR="002C5B09">
        <w:rPr>
          <w:sz w:val="22"/>
          <w:szCs w:val="22"/>
        </w:rPr>
        <w:t xml:space="preserve">would collect data in </w:t>
      </w:r>
      <w:r w:rsidR="00525E90">
        <w:rPr>
          <w:sz w:val="22"/>
          <w:szCs w:val="22"/>
        </w:rPr>
        <w:t xml:space="preserve">a </w:t>
      </w:r>
      <w:r w:rsidR="00C55B35">
        <w:rPr>
          <w:sz w:val="22"/>
          <w:szCs w:val="22"/>
        </w:rPr>
        <w:t>mann</w:t>
      </w:r>
      <w:r w:rsidR="002C5B09">
        <w:rPr>
          <w:sz w:val="22"/>
          <w:szCs w:val="22"/>
        </w:rPr>
        <w:t>er</w:t>
      </w:r>
      <w:r w:rsidR="00871B7C">
        <w:rPr>
          <w:sz w:val="22"/>
          <w:szCs w:val="22"/>
        </w:rPr>
        <w:t xml:space="preserve"> consistent with</w:t>
      </w:r>
      <w:r w:rsidR="00525E90">
        <w:rPr>
          <w:sz w:val="22"/>
          <w:szCs w:val="22"/>
        </w:rPr>
        <w:t xml:space="preserve"> </w:t>
      </w:r>
      <w:r w:rsidR="00C55B35">
        <w:rPr>
          <w:sz w:val="22"/>
          <w:szCs w:val="22"/>
        </w:rPr>
        <w:t xml:space="preserve">the </w:t>
      </w:r>
      <w:r w:rsidR="007E0FE5">
        <w:rPr>
          <w:i/>
          <w:sz w:val="22"/>
          <w:szCs w:val="22"/>
        </w:rPr>
        <w:t>USF/ICC Trans</w:t>
      </w:r>
      <w:r w:rsidR="007E0FE5" w:rsidRPr="007E0FE5">
        <w:rPr>
          <w:i/>
          <w:sz w:val="22"/>
          <w:szCs w:val="22"/>
        </w:rPr>
        <w:t>f</w:t>
      </w:r>
      <w:r w:rsidR="007E0FE5">
        <w:rPr>
          <w:i/>
          <w:sz w:val="22"/>
          <w:szCs w:val="22"/>
        </w:rPr>
        <w:t>o</w:t>
      </w:r>
      <w:r w:rsidR="007E0FE5" w:rsidRPr="007E0FE5">
        <w:rPr>
          <w:i/>
          <w:sz w:val="22"/>
          <w:szCs w:val="22"/>
        </w:rPr>
        <w:t>rmation Order</w:t>
      </w:r>
      <w:r w:rsidR="007E0FE5">
        <w:rPr>
          <w:sz w:val="22"/>
          <w:szCs w:val="22"/>
        </w:rPr>
        <w:t xml:space="preserve"> </w:t>
      </w:r>
      <w:r w:rsidR="00C55B35">
        <w:rPr>
          <w:sz w:val="22"/>
          <w:szCs w:val="22"/>
        </w:rPr>
        <w:t>and subsequent clarification Order.</w:t>
      </w:r>
      <w:r w:rsidR="00871B7C">
        <w:rPr>
          <w:rStyle w:val="FootnoteReference"/>
          <w:sz w:val="22"/>
          <w:szCs w:val="22"/>
        </w:rPr>
        <w:footnoteReference w:id="11"/>
      </w:r>
    </w:p>
    <w:p w:rsidR="000718A8" w:rsidRDefault="00A84B02" w:rsidP="00F713A9">
      <w:pPr>
        <w:tabs>
          <w:tab w:val="left" w:pos="900"/>
        </w:tabs>
        <w:spacing w:after="120"/>
        <w:rPr>
          <w:sz w:val="22"/>
          <w:szCs w:val="22"/>
        </w:rPr>
      </w:pPr>
      <w:r>
        <w:rPr>
          <w:sz w:val="22"/>
          <w:szCs w:val="22"/>
        </w:rPr>
        <w:tab/>
      </w:r>
      <w:r w:rsidR="000718A8">
        <w:rPr>
          <w:sz w:val="22"/>
          <w:szCs w:val="22"/>
        </w:rPr>
        <w:t>With respect to the confidentiality of data to be submitted,</w:t>
      </w:r>
      <w:r w:rsidR="000718A8">
        <w:rPr>
          <w:rStyle w:val="FootnoteReference"/>
          <w:sz w:val="22"/>
          <w:szCs w:val="22"/>
        </w:rPr>
        <w:footnoteReference w:id="12"/>
      </w:r>
      <w:r w:rsidR="000718A8">
        <w:rPr>
          <w:sz w:val="22"/>
          <w:szCs w:val="22"/>
        </w:rPr>
        <w:t xml:space="preserve"> </w:t>
      </w:r>
      <w:r w:rsidR="002F375B">
        <w:rPr>
          <w:sz w:val="22"/>
          <w:szCs w:val="22"/>
        </w:rPr>
        <w:t xml:space="preserve">we seek comment regarding whether </w:t>
      </w:r>
      <w:r w:rsidR="000718A8">
        <w:rPr>
          <w:sz w:val="22"/>
          <w:szCs w:val="22"/>
        </w:rPr>
        <w:t xml:space="preserve">the protections afforded in the Commission’s </w:t>
      </w:r>
      <w:r w:rsidR="0072501C">
        <w:rPr>
          <w:i/>
          <w:sz w:val="22"/>
          <w:szCs w:val="22"/>
        </w:rPr>
        <w:t>Third</w:t>
      </w:r>
      <w:r w:rsidR="000718A8" w:rsidRPr="00D34CFB">
        <w:rPr>
          <w:i/>
          <w:sz w:val="22"/>
          <w:szCs w:val="22"/>
        </w:rPr>
        <w:t xml:space="preserve"> Protective Order</w:t>
      </w:r>
      <w:r w:rsidR="000718A8">
        <w:rPr>
          <w:rStyle w:val="FootnoteReference"/>
          <w:sz w:val="22"/>
          <w:szCs w:val="22"/>
        </w:rPr>
        <w:footnoteReference w:id="13"/>
      </w:r>
      <w:r w:rsidR="000718A8">
        <w:rPr>
          <w:sz w:val="22"/>
          <w:szCs w:val="22"/>
        </w:rPr>
        <w:t xml:space="preserve"> adopted in these proceedings </w:t>
      </w:r>
      <w:r w:rsidR="002F375B">
        <w:rPr>
          <w:sz w:val="22"/>
          <w:szCs w:val="22"/>
        </w:rPr>
        <w:t xml:space="preserve">are </w:t>
      </w:r>
      <w:r w:rsidR="000718A8">
        <w:rPr>
          <w:sz w:val="22"/>
          <w:szCs w:val="22"/>
        </w:rPr>
        <w:t>sufficient to protect any confidential data that may be</w:t>
      </w:r>
      <w:r w:rsidR="005B62E1">
        <w:rPr>
          <w:sz w:val="22"/>
          <w:szCs w:val="22"/>
        </w:rPr>
        <w:t xml:space="preserve"> provided</w:t>
      </w:r>
      <w:r w:rsidR="002F375B">
        <w:rPr>
          <w:sz w:val="22"/>
          <w:szCs w:val="22"/>
        </w:rPr>
        <w:t>.</w:t>
      </w:r>
      <w:r w:rsidR="000718A8">
        <w:rPr>
          <w:sz w:val="22"/>
          <w:szCs w:val="22"/>
        </w:rPr>
        <w:t xml:space="preserve">  If not, what other measures are needed </w:t>
      </w:r>
      <w:r w:rsidR="002F375B">
        <w:rPr>
          <w:sz w:val="22"/>
          <w:szCs w:val="22"/>
        </w:rPr>
        <w:t xml:space="preserve">to satisfy this purpose </w:t>
      </w:r>
      <w:r w:rsidR="000718A8">
        <w:rPr>
          <w:sz w:val="22"/>
          <w:szCs w:val="22"/>
        </w:rPr>
        <w:t xml:space="preserve">and why?  We also seek comment on the proposed instructions </w:t>
      </w:r>
      <w:r w:rsidR="00727385">
        <w:rPr>
          <w:sz w:val="22"/>
          <w:szCs w:val="22"/>
        </w:rPr>
        <w:t xml:space="preserve">attached to this Public Notice as </w:t>
      </w:r>
      <w:r w:rsidR="00727385" w:rsidRPr="005B62E1">
        <w:rPr>
          <w:sz w:val="22"/>
          <w:szCs w:val="22"/>
          <w:u w:val="single"/>
        </w:rPr>
        <w:t>Attachment A</w:t>
      </w:r>
      <w:r w:rsidR="00727385">
        <w:rPr>
          <w:sz w:val="22"/>
          <w:szCs w:val="22"/>
        </w:rPr>
        <w:t xml:space="preserve">.  </w:t>
      </w:r>
      <w:r w:rsidR="007E0FE5">
        <w:rPr>
          <w:sz w:val="22"/>
          <w:szCs w:val="22"/>
        </w:rPr>
        <w:t>Are</w:t>
      </w:r>
      <w:r w:rsidR="00AF212A">
        <w:rPr>
          <w:sz w:val="22"/>
          <w:szCs w:val="22"/>
        </w:rPr>
        <w:t xml:space="preserve"> the </w:t>
      </w:r>
      <w:r w:rsidR="007E0FE5">
        <w:rPr>
          <w:sz w:val="22"/>
          <w:szCs w:val="22"/>
        </w:rPr>
        <w:t xml:space="preserve">proposed ICC </w:t>
      </w:r>
      <w:r w:rsidR="00242785">
        <w:rPr>
          <w:sz w:val="22"/>
          <w:szCs w:val="22"/>
        </w:rPr>
        <w:t>R</w:t>
      </w:r>
      <w:r w:rsidR="007E0FE5">
        <w:rPr>
          <w:sz w:val="22"/>
          <w:szCs w:val="22"/>
        </w:rPr>
        <w:t xml:space="preserve">eform </w:t>
      </w:r>
      <w:r w:rsidR="00242785">
        <w:rPr>
          <w:sz w:val="22"/>
          <w:szCs w:val="22"/>
        </w:rPr>
        <w:t>C</w:t>
      </w:r>
      <w:r w:rsidR="007E0FE5">
        <w:rPr>
          <w:sz w:val="22"/>
          <w:szCs w:val="22"/>
        </w:rPr>
        <w:t xml:space="preserve">ompliance and </w:t>
      </w:r>
      <w:r w:rsidR="00242785">
        <w:rPr>
          <w:sz w:val="22"/>
          <w:szCs w:val="22"/>
        </w:rPr>
        <w:t>M</w:t>
      </w:r>
      <w:r w:rsidR="007E0FE5">
        <w:rPr>
          <w:sz w:val="22"/>
          <w:szCs w:val="22"/>
        </w:rPr>
        <w:t xml:space="preserve">onitoring </w:t>
      </w:r>
      <w:r w:rsidR="00242785">
        <w:rPr>
          <w:sz w:val="22"/>
          <w:szCs w:val="22"/>
        </w:rPr>
        <w:t>F</w:t>
      </w:r>
      <w:r w:rsidR="00727385">
        <w:rPr>
          <w:sz w:val="22"/>
          <w:szCs w:val="22"/>
        </w:rPr>
        <w:t xml:space="preserve">orm and </w:t>
      </w:r>
      <w:r w:rsidR="007E0FE5">
        <w:rPr>
          <w:sz w:val="22"/>
          <w:szCs w:val="22"/>
        </w:rPr>
        <w:t xml:space="preserve">accompanying </w:t>
      </w:r>
      <w:r w:rsidR="00AF212A">
        <w:rPr>
          <w:sz w:val="22"/>
          <w:szCs w:val="22"/>
        </w:rPr>
        <w:t xml:space="preserve">instructions sufficiently clear </w:t>
      </w:r>
      <w:r w:rsidR="009D6A9B">
        <w:rPr>
          <w:sz w:val="22"/>
          <w:szCs w:val="22"/>
        </w:rPr>
        <w:t xml:space="preserve">so </w:t>
      </w:r>
      <w:r w:rsidR="00AF212A">
        <w:rPr>
          <w:sz w:val="22"/>
          <w:szCs w:val="22"/>
        </w:rPr>
        <w:t xml:space="preserve">parties </w:t>
      </w:r>
      <w:r w:rsidR="009D6A9B">
        <w:rPr>
          <w:sz w:val="22"/>
          <w:szCs w:val="22"/>
        </w:rPr>
        <w:t xml:space="preserve">will </w:t>
      </w:r>
      <w:r w:rsidR="00AF212A">
        <w:rPr>
          <w:sz w:val="22"/>
          <w:szCs w:val="22"/>
        </w:rPr>
        <w:t xml:space="preserve">know exactly what data to file?  </w:t>
      </w:r>
      <w:r w:rsidR="000718A8">
        <w:rPr>
          <w:sz w:val="22"/>
          <w:szCs w:val="22"/>
        </w:rPr>
        <w:t>Are these instructions sufficient to ensure that filers report data in a uniform manner?</w:t>
      </w:r>
    </w:p>
    <w:p w:rsidR="000718A8" w:rsidRPr="005047FC" w:rsidRDefault="00971E67" w:rsidP="000B42AE">
      <w:pPr>
        <w:keepNext/>
        <w:numPr>
          <w:ilvl w:val="0"/>
          <w:numId w:val="20"/>
        </w:numPr>
        <w:spacing w:after="120"/>
        <w:rPr>
          <w:b/>
          <w:sz w:val="22"/>
          <w:szCs w:val="22"/>
        </w:rPr>
      </w:pPr>
      <w:r>
        <w:rPr>
          <w:b/>
          <w:sz w:val="22"/>
          <w:szCs w:val="22"/>
        </w:rPr>
        <w:t xml:space="preserve">ICC </w:t>
      </w:r>
      <w:r w:rsidR="00A84B02">
        <w:rPr>
          <w:b/>
          <w:sz w:val="22"/>
          <w:szCs w:val="22"/>
        </w:rPr>
        <w:t xml:space="preserve">Compliance Monitoring </w:t>
      </w:r>
      <w:r w:rsidR="00727385">
        <w:rPr>
          <w:b/>
          <w:sz w:val="22"/>
          <w:szCs w:val="22"/>
        </w:rPr>
        <w:t>Form</w:t>
      </w:r>
      <w:r w:rsidR="00A84B02">
        <w:rPr>
          <w:b/>
          <w:sz w:val="22"/>
          <w:szCs w:val="22"/>
        </w:rPr>
        <w:t xml:space="preserve"> </w:t>
      </w:r>
      <w:r w:rsidR="000718A8" w:rsidRPr="005047FC">
        <w:rPr>
          <w:b/>
          <w:sz w:val="22"/>
          <w:szCs w:val="22"/>
        </w:rPr>
        <w:t>Format and Filing</w:t>
      </w:r>
      <w:r w:rsidR="002F375B">
        <w:rPr>
          <w:b/>
          <w:sz w:val="22"/>
          <w:szCs w:val="22"/>
        </w:rPr>
        <w:t xml:space="preserve"> Procedures</w:t>
      </w:r>
    </w:p>
    <w:p w:rsidR="00DC50C7" w:rsidRDefault="000718A8" w:rsidP="000B42AE">
      <w:pPr>
        <w:keepNext/>
        <w:tabs>
          <w:tab w:val="left" w:pos="900"/>
        </w:tabs>
        <w:spacing w:after="120"/>
        <w:rPr>
          <w:sz w:val="22"/>
          <w:szCs w:val="22"/>
        </w:rPr>
      </w:pPr>
      <w:r>
        <w:rPr>
          <w:sz w:val="22"/>
          <w:szCs w:val="22"/>
        </w:rPr>
        <w:tab/>
        <w:t>We separately seek comment on the</w:t>
      </w:r>
      <w:r w:rsidR="00CC48D7">
        <w:rPr>
          <w:sz w:val="22"/>
          <w:szCs w:val="22"/>
        </w:rPr>
        <w:t xml:space="preserve"> format and filing </w:t>
      </w:r>
      <w:r w:rsidR="00DC50C7">
        <w:rPr>
          <w:sz w:val="22"/>
          <w:szCs w:val="22"/>
        </w:rPr>
        <w:t>procedures</w:t>
      </w:r>
      <w:r w:rsidR="00CC48D7">
        <w:rPr>
          <w:sz w:val="22"/>
          <w:szCs w:val="22"/>
        </w:rPr>
        <w:t xml:space="preserve"> we should adopt to collect the required </w:t>
      </w:r>
      <w:r w:rsidR="002C5978">
        <w:rPr>
          <w:sz w:val="22"/>
          <w:szCs w:val="22"/>
        </w:rPr>
        <w:t>data.</w:t>
      </w:r>
      <w:r>
        <w:rPr>
          <w:sz w:val="22"/>
          <w:szCs w:val="22"/>
        </w:rPr>
        <w:t xml:space="preserve">  </w:t>
      </w:r>
      <w:r w:rsidR="00727385">
        <w:rPr>
          <w:sz w:val="22"/>
          <w:szCs w:val="22"/>
        </w:rPr>
        <w:t>Initially, w</w:t>
      </w:r>
      <w:r>
        <w:rPr>
          <w:sz w:val="22"/>
          <w:szCs w:val="22"/>
        </w:rPr>
        <w:t>e propose to</w:t>
      </w:r>
      <w:r w:rsidR="00CC48D7">
        <w:rPr>
          <w:sz w:val="22"/>
          <w:szCs w:val="22"/>
        </w:rPr>
        <w:t xml:space="preserve"> </w:t>
      </w:r>
      <w:r>
        <w:rPr>
          <w:sz w:val="22"/>
          <w:szCs w:val="22"/>
        </w:rPr>
        <w:t xml:space="preserve">use </w:t>
      </w:r>
      <w:r w:rsidR="000E4836">
        <w:rPr>
          <w:sz w:val="22"/>
          <w:szCs w:val="22"/>
        </w:rPr>
        <w:t xml:space="preserve">a </w:t>
      </w:r>
      <w:r>
        <w:rPr>
          <w:sz w:val="22"/>
          <w:szCs w:val="22"/>
        </w:rPr>
        <w:t>Microsoft Excel</w:t>
      </w:r>
      <w:r w:rsidR="00727385">
        <w:rPr>
          <w:sz w:val="22"/>
          <w:szCs w:val="22"/>
        </w:rPr>
        <w:t xml:space="preserve"> 2010</w:t>
      </w:r>
      <w:r>
        <w:rPr>
          <w:sz w:val="22"/>
          <w:szCs w:val="22"/>
        </w:rPr>
        <w:t xml:space="preserve"> </w:t>
      </w:r>
      <w:r w:rsidR="000E4836">
        <w:rPr>
          <w:sz w:val="22"/>
          <w:szCs w:val="22"/>
        </w:rPr>
        <w:t>spreadsheet</w:t>
      </w:r>
      <w:r w:rsidR="00727385">
        <w:rPr>
          <w:sz w:val="22"/>
          <w:szCs w:val="22"/>
        </w:rPr>
        <w:t xml:space="preserve"> with multiple tabs</w:t>
      </w:r>
      <w:r w:rsidR="000E4836">
        <w:rPr>
          <w:sz w:val="22"/>
          <w:szCs w:val="22"/>
        </w:rPr>
        <w:t xml:space="preserve"> </w:t>
      </w:r>
      <w:r>
        <w:rPr>
          <w:sz w:val="22"/>
          <w:szCs w:val="22"/>
        </w:rPr>
        <w:t>as the filing format.</w:t>
      </w:r>
      <w:r w:rsidR="00727385">
        <w:rPr>
          <w:sz w:val="22"/>
          <w:szCs w:val="22"/>
        </w:rPr>
        <w:t xml:space="preserve">  We </w:t>
      </w:r>
      <w:r w:rsidR="00242785">
        <w:rPr>
          <w:sz w:val="22"/>
          <w:szCs w:val="22"/>
        </w:rPr>
        <w:t xml:space="preserve">believe that </w:t>
      </w:r>
      <w:r w:rsidR="00727385">
        <w:rPr>
          <w:sz w:val="22"/>
          <w:szCs w:val="22"/>
        </w:rPr>
        <w:t xml:space="preserve">this format </w:t>
      </w:r>
      <w:r w:rsidR="00242785">
        <w:rPr>
          <w:sz w:val="22"/>
          <w:szCs w:val="22"/>
        </w:rPr>
        <w:t xml:space="preserve">will </w:t>
      </w:r>
      <w:r w:rsidR="00727385">
        <w:rPr>
          <w:sz w:val="22"/>
          <w:szCs w:val="22"/>
        </w:rPr>
        <w:t>gather data in a manner compatible with database software, including automated database applications.</w:t>
      </w:r>
      <w:r>
        <w:rPr>
          <w:sz w:val="22"/>
          <w:szCs w:val="22"/>
        </w:rPr>
        <w:t xml:space="preserve">  </w:t>
      </w:r>
      <w:r w:rsidR="00727385">
        <w:rPr>
          <w:sz w:val="22"/>
          <w:szCs w:val="22"/>
        </w:rPr>
        <w:t xml:space="preserve">We seek comment on whether we should adopt a </w:t>
      </w:r>
      <w:r w:rsidR="002C5978">
        <w:rPr>
          <w:sz w:val="22"/>
          <w:szCs w:val="22"/>
        </w:rPr>
        <w:t>format</w:t>
      </w:r>
      <w:r w:rsidR="00727385">
        <w:rPr>
          <w:sz w:val="22"/>
          <w:szCs w:val="22"/>
        </w:rPr>
        <w:t xml:space="preserve"> that is compatible with database software, including </w:t>
      </w:r>
      <w:r w:rsidR="0011521F">
        <w:rPr>
          <w:sz w:val="22"/>
          <w:szCs w:val="22"/>
        </w:rPr>
        <w:t>automated</w:t>
      </w:r>
      <w:r w:rsidR="00727385">
        <w:rPr>
          <w:sz w:val="22"/>
          <w:szCs w:val="22"/>
        </w:rPr>
        <w:t xml:space="preserve"> database applications, and if so, whether the </w:t>
      </w:r>
      <w:r w:rsidR="001B6DD1">
        <w:rPr>
          <w:sz w:val="22"/>
          <w:szCs w:val="22"/>
        </w:rPr>
        <w:t>proposed form</w:t>
      </w:r>
      <w:r w:rsidR="007E0FE5">
        <w:rPr>
          <w:sz w:val="22"/>
          <w:szCs w:val="22"/>
        </w:rPr>
        <w:t xml:space="preserve"> </w:t>
      </w:r>
      <w:r w:rsidR="00727385">
        <w:rPr>
          <w:sz w:val="22"/>
          <w:szCs w:val="22"/>
        </w:rPr>
        <w:t>work</w:t>
      </w:r>
      <w:r w:rsidR="002C5978">
        <w:rPr>
          <w:sz w:val="22"/>
          <w:szCs w:val="22"/>
        </w:rPr>
        <w:t>s</w:t>
      </w:r>
      <w:r w:rsidR="00727385">
        <w:rPr>
          <w:sz w:val="22"/>
          <w:szCs w:val="22"/>
        </w:rPr>
        <w:t xml:space="preserve"> for this purpose.  </w:t>
      </w:r>
      <w:r>
        <w:rPr>
          <w:sz w:val="22"/>
          <w:szCs w:val="22"/>
        </w:rPr>
        <w:t xml:space="preserve">Would a different format be more efficient or appropriate?  The </w:t>
      </w:r>
      <w:r w:rsidRPr="00073F11">
        <w:rPr>
          <w:i/>
          <w:sz w:val="22"/>
          <w:szCs w:val="22"/>
        </w:rPr>
        <w:t>USF/ICC Transformation Order</w:t>
      </w:r>
      <w:r>
        <w:rPr>
          <w:sz w:val="22"/>
          <w:szCs w:val="22"/>
        </w:rPr>
        <w:t xml:space="preserve"> </w:t>
      </w:r>
      <w:r w:rsidR="001B5ED3">
        <w:rPr>
          <w:sz w:val="22"/>
          <w:szCs w:val="22"/>
        </w:rPr>
        <w:t>requires</w:t>
      </w:r>
      <w:r>
        <w:rPr>
          <w:sz w:val="22"/>
          <w:szCs w:val="22"/>
        </w:rPr>
        <w:t xml:space="preserve"> information </w:t>
      </w:r>
      <w:r w:rsidR="001B5ED3">
        <w:rPr>
          <w:sz w:val="22"/>
          <w:szCs w:val="22"/>
        </w:rPr>
        <w:t>to</w:t>
      </w:r>
      <w:r>
        <w:rPr>
          <w:sz w:val="22"/>
          <w:szCs w:val="22"/>
        </w:rPr>
        <w:t xml:space="preserve"> be filed annually and electronically.</w:t>
      </w:r>
      <w:r>
        <w:rPr>
          <w:rStyle w:val="FootnoteReference"/>
          <w:sz w:val="22"/>
          <w:szCs w:val="22"/>
        </w:rPr>
        <w:footnoteReference w:id="14"/>
      </w:r>
      <w:r>
        <w:rPr>
          <w:sz w:val="22"/>
          <w:szCs w:val="22"/>
        </w:rPr>
        <w:t xml:space="preserve">  We envision requiring parties to file the</w:t>
      </w:r>
      <w:r w:rsidR="00727385">
        <w:rPr>
          <w:sz w:val="22"/>
          <w:szCs w:val="22"/>
        </w:rPr>
        <w:t xml:space="preserve"> </w:t>
      </w:r>
      <w:r w:rsidR="007E0FE5">
        <w:rPr>
          <w:sz w:val="22"/>
          <w:szCs w:val="22"/>
        </w:rPr>
        <w:t xml:space="preserve">proposed ICC </w:t>
      </w:r>
      <w:r w:rsidR="00242785">
        <w:rPr>
          <w:sz w:val="22"/>
          <w:szCs w:val="22"/>
        </w:rPr>
        <w:t>R</w:t>
      </w:r>
      <w:r w:rsidR="007E0FE5">
        <w:rPr>
          <w:sz w:val="22"/>
          <w:szCs w:val="22"/>
        </w:rPr>
        <w:t xml:space="preserve">eform </w:t>
      </w:r>
      <w:r w:rsidR="00242785">
        <w:rPr>
          <w:sz w:val="22"/>
          <w:szCs w:val="22"/>
        </w:rPr>
        <w:t>C</w:t>
      </w:r>
      <w:r w:rsidR="007E0FE5">
        <w:rPr>
          <w:sz w:val="22"/>
          <w:szCs w:val="22"/>
        </w:rPr>
        <w:t xml:space="preserve">ompliance and </w:t>
      </w:r>
      <w:r w:rsidR="00242785">
        <w:rPr>
          <w:sz w:val="22"/>
          <w:szCs w:val="22"/>
        </w:rPr>
        <w:t>M</w:t>
      </w:r>
      <w:r w:rsidR="007E0FE5">
        <w:rPr>
          <w:sz w:val="22"/>
          <w:szCs w:val="22"/>
        </w:rPr>
        <w:t xml:space="preserve">onitoring </w:t>
      </w:r>
      <w:r w:rsidR="00242785">
        <w:rPr>
          <w:sz w:val="22"/>
          <w:szCs w:val="22"/>
        </w:rPr>
        <w:t>F</w:t>
      </w:r>
      <w:r w:rsidR="007E0FE5">
        <w:rPr>
          <w:sz w:val="22"/>
          <w:szCs w:val="22"/>
        </w:rPr>
        <w:t xml:space="preserve">orm </w:t>
      </w:r>
      <w:r w:rsidR="00727385">
        <w:rPr>
          <w:sz w:val="22"/>
          <w:szCs w:val="22"/>
        </w:rPr>
        <w:t xml:space="preserve">using </w:t>
      </w:r>
      <w:r>
        <w:rPr>
          <w:sz w:val="22"/>
          <w:szCs w:val="22"/>
        </w:rPr>
        <w:t xml:space="preserve">the Commission’s Electronic Tariff Filing System (ETFS).  </w:t>
      </w:r>
      <w:r w:rsidR="001E3C21">
        <w:rPr>
          <w:sz w:val="22"/>
          <w:szCs w:val="22"/>
        </w:rPr>
        <w:t>This</w:t>
      </w:r>
      <w:r w:rsidR="00AF212A">
        <w:rPr>
          <w:sz w:val="22"/>
          <w:szCs w:val="22"/>
        </w:rPr>
        <w:t xml:space="preserve"> process</w:t>
      </w:r>
      <w:r w:rsidR="001E3C21">
        <w:rPr>
          <w:sz w:val="22"/>
          <w:szCs w:val="22"/>
        </w:rPr>
        <w:t xml:space="preserve"> is comparable to the manner</w:t>
      </w:r>
      <w:r w:rsidR="00AF212A">
        <w:rPr>
          <w:sz w:val="22"/>
          <w:szCs w:val="22"/>
        </w:rPr>
        <w:t xml:space="preserve"> in which </w:t>
      </w:r>
      <w:r w:rsidR="001E3C21">
        <w:rPr>
          <w:sz w:val="22"/>
          <w:szCs w:val="22"/>
        </w:rPr>
        <w:t xml:space="preserve">Annual </w:t>
      </w:r>
      <w:r w:rsidR="008E2EA3">
        <w:rPr>
          <w:sz w:val="22"/>
          <w:szCs w:val="22"/>
        </w:rPr>
        <w:t>Access Tariff</w:t>
      </w:r>
      <w:r w:rsidR="00AF212A">
        <w:rPr>
          <w:sz w:val="22"/>
          <w:szCs w:val="22"/>
        </w:rPr>
        <w:t xml:space="preserve"> Review Plans are submitted</w:t>
      </w:r>
      <w:r w:rsidR="007E0FE5">
        <w:rPr>
          <w:sz w:val="22"/>
          <w:szCs w:val="22"/>
        </w:rPr>
        <w:t xml:space="preserve"> through the</w:t>
      </w:r>
      <w:r w:rsidR="001E3C21">
        <w:rPr>
          <w:sz w:val="22"/>
          <w:szCs w:val="22"/>
        </w:rPr>
        <w:t xml:space="preserve"> ETFS</w:t>
      </w:r>
      <w:r w:rsidR="00AF212A">
        <w:rPr>
          <w:sz w:val="22"/>
          <w:szCs w:val="22"/>
        </w:rPr>
        <w:t xml:space="preserve">.  </w:t>
      </w:r>
      <w:r>
        <w:rPr>
          <w:sz w:val="22"/>
          <w:szCs w:val="22"/>
        </w:rPr>
        <w:t>Will submission</w:t>
      </w:r>
      <w:r w:rsidR="001E3C21">
        <w:rPr>
          <w:sz w:val="22"/>
          <w:szCs w:val="22"/>
        </w:rPr>
        <w:t xml:space="preserve"> of </w:t>
      </w:r>
      <w:r w:rsidR="007E0FE5">
        <w:rPr>
          <w:sz w:val="22"/>
          <w:szCs w:val="22"/>
        </w:rPr>
        <w:t>a Commission-provided spreadsheet, such as the proposed ICC reform compliance and monitoring form,</w:t>
      </w:r>
      <w:r>
        <w:rPr>
          <w:sz w:val="22"/>
          <w:szCs w:val="22"/>
        </w:rPr>
        <w:t xml:space="preserve"> within ETFS work as a method of filing the required data?  If not, what would be a preferable electronic filing method?</w:t>
      </w:r>
    </w:p>
    <w:p w:rsidR="00BE58C9" w:rsidRPr="006A4637" w:rsidRDefault="006A4637" w:rsidP="003844EA">
      <w:pPr>
        <w:numPr>
          <w:ilvl w:val="0"/>
          <w:numId w:val="20"/>
        </w:numPr>
        <w:spacing w:after="120"/>
        <w:rPr>
          <w:b/>
          <w:sz w:val="22"/>
          <w:szCs w:val="22"/>
        </w:rPr>
      </w:pPr>
      <w:r w:rsidRPr="006A4637">
        <w:rPr>
          <w:b/>
          <w:sz w:val="22"/>
          <w:szCs w:val="22"/>
        </w:rPr>
        <w:t>Proposed Intercarrier Compensation Reform Compliance and Monitoring Form</w:t>
      </w:r>
    </w:p>
    <w:p w:rsidR="006A4637" w:rsidRPr="00350D83" w:rsidRDefault="006A4637" w:rsidP="006A4637">
      <w:pPr>
        <w:spacing w:after="120"/>
        <w:ind w:firstLine="900"/>
        <w:rPr>
          <w:sz w:val="22"/>
          <w:szCs w:val="22"/>
        </w:rPr>
      </w:pPr>
      <w:r w:rsidRPr="00350D83">
        <w:rPr>
          <w:sz w:val="22"/>
          <w:szCs w:val="22"/>
        </w:rPr>
        <w:t>The p</w:t>
      </w:r>
      <w:r w:rsidR="00BE58C9" w:rsidRPr="00350D83">
        <w:rPr>
          <w:sz w:val="22"/>
          <w:szCs w:val="22"/>
        </w:rPr>
        <w:t xml:space="preserve">roposed </w:t>
      </w:r>
      <w:r w:rsidR="00971E67" w:rsidRPr="00350D83">
        <w:rPr>
          <w:sz w:val="22"/>
          <w:szCs w:val="22"/>
        </w:rPr>
        <w:t xml:space="preserve">ICC </w:t>
      </w:r>
      <w:r w:rsidRPr="00350D83">
        <w:rPr>
          <w:sz w:val="22"/>
          <w:szCs w:val="22"/>
        </w:rPr>
        <w:t xml:space="preserve">Reform Compliance </w:t>
      </w:r>
      <w:r w:rsidR="00971E67" w:rsidRPr="00350D83">
        <w:rPr>
          <w:sz w:val="22"/>
          <w:szCs w:val="22"/>
        </w:rPr>
        <w:t xml:space="preserve">and </w:t>
      </w:r>
      <w:r w:rsidRPr="00350D83">
        <w:rPr>
          <w:sz w:val="22"/>
          <w:szCs w:val="22"/>
        </w:rPr>
        <w:t>Monitoring Form is available at the following Internet address within the Commission Website:</w:t>
      </w:r>
    </w:p>
    <w:p w:rsidR="00BE58C9" w:rsidRDefault="000C442C" w:rsidP="00350D83">
      <w:pPr>
        <w:spacing w:after="120"/>
        <w:ind w:left="360"/>
        <w:rPr>
          <w:color w:val="1F497D"/>
          <w:sz w:val="22"/>
          <w:szCs w:val="22"/>
        </w:rPr>
      </w:pPr>
      <w:hyperlink r:id="rId8" w:history="1">
        <w:r w:rsidR="00350D83" w:rsidRPr="00350D83">
          <w:rPr>
            <w:rStyle w:val="Hyperlink"/>
            <w:sz w:val="22"/>
            <w:szCs w:val="22"/>
          </w:rPr>
          <w:t>http://transition.fcc.gov/wcb/ppd/ICC-Data/ICC_DATA_FORM_FOR_COMMENT_DA13-11.xls</w:t>
        </w:r>
      </w:hyperlink>
    </w:p>
    <w:p w:rsidR="000718A8" w:rsidRPr="007E59A8" w:rsidRDefault="000718A8" w:rsidP="003844EA">
      <w:pPr>
        <w:numPr>
          <w:ilvl w:val="0"/>
          <w:numId w:val="20"/>
        </w:numPr>
        <w:spacing w:after="120"/>
        <w:rPr>
          <w:b/>
          <w:sz w:val="22"/>
          <w:szCs w:val="22"/>
        </w:rPr>
      </w:pPr>
      <w:r>
        <w:rPr>
          <w:b/>
          <w:sz w:val="22"/>
          <w:szCs w:val="22"/>
        </w:rPr>
        <w:t>Procedural</w:t>
      </w:r>
      <w:r w:rsidRPr="007E59A8">
        <w:rPr>
          <w:b/>
          <w:sz w:val="22"/>
          <w:szCs w:val="22"/>
        </w:rPr>
        <w:t xml:space="preserve"> Information</w:t>
      </w:r>
    </w:p>
    <w:p w:rsidR="000718A8" w:rsidRDefault="000718A8" w:rsidP="000B42AE">
      <w:pPr>
        <w:autoSpaceDE w:val="0"/>
        <w:autoSpaceDN w:val="0"/>
        <w:adjustRightInd w:val="0"/>
        <w:ind w:firstLine="720"/>
        <w:rPr>
          <w:sz w:val="22"/>
          <w:szCs w:val="22"/>
        </w:rPr>
      </w:pPr>
      <w:r w:rsidRPr="009B343A">
        <w:rPr>
          <w:sz w:val="22"/>
          <w:szCs w:val="22"/>
        </w:rPr>
        <w:t>Pursuant to section</w:t>
      </w:r>
      <w:r>
        <w:rPr>
          <w:sz w:val="22"/>
          <w:szCs w:val="22"/>
        </w:rPr>
        <w:t>s 1.415 and 1.419 of the Commis</w:t>
      </w:r>
      <w:r w:rsidRPr="009B343A">
        <w:rPr>
          <w:sz w:val="22"/>
          <w:szCs w:val="22"/>
        </w:rPr>
        <w:t xml:space="preserve">sion's rules, 47 CFR </w:t>
      </w:r>
      <w:r>
        <w:rPr>
          <w:sz w:val="22"/>
          <w:szCs w:val="22"/>
        </w:rPr>
        <w:t>§§ 1.415, 1.419, interested par</w:t>
      </w:r>
      <w:r w:rsidRPr="009B343A">
        <w:rPr>
          <w:sz w:val="22"/>
          <w:szCs w:val="22"/>
        </w:rPr>
        <w:t xml:space="preserve">ties may file comments and reply comments on or before the dates indicated above. </w:t>
      </w:r>
      <w:r>
        <w:rPr>
          <w:sz w:val="22"/>
          <w:szCs w:val="22"/>
        </w:rPr>
        <w:t xml:space="preserve"> </w:t>
      </w:r>
      <w:r w:rsidRPr="009B343A">
        <w:rPr>
          <w:sz w:val="22"/>
          <w:szCs w:val="22"/>
        </w:rPr>
        <w:t xml:space="preserve">All pleadings are to reference </w:t>
      </w:r>
      <w:r w:rsidR="00C84B8E" w:rsidRPr="00655331">
        <w:rPr>
          <w:b/>
          <w:bCs/>
          <w:color w:val="010101"/>
          <w:sz w:val="22"/>
          <w:szCs w:val="22"/>
        </w:rPr>
        <w:t>CC Docket Nos. 01-92, 96-45; GN Docket No. 09-51; WC Docket Nos.</w:t>
      </w:r>
      <w:r w:rsidR="00F91E99">
        <w:rPr>
          <w:b/>
          <w:bCs/>
          <w:color w:val="010101"/>
          <w:sz w:val="22"/>
          <w:szCs w:val="22"/>
        </w:rPr>
        <w:t xml:space="preserve"> 03-109, 05-337, 07-135, 10-90;</w:t>
      </w:r>
      <w:r w:rsidR="00C84B8E" w:rsidRPr="00655331">
        <w:rPr>
          <w:b/>
          <w:bCs/>
          <w:color w:val="010101"/>
          <w:sz w:val="22"/>
          <w:szCs w:val="22"/>
        </w:rPr>
        <w:t>WT Docket No. 10-208</w:t>
      </w:r>
      <w:r w:rsidRPr="008F27BD">
        <w:rPr>
          <w:sz w:val="22"/>
          <w:szCs w:val="22"/>
        </w:rPr>
        <w:t xml:space="preserve">.  </w:t>
      </w:r>
      <w:r>
        <w:rPr>
          <w:sz w:val="22"/>
          <w:szCs w:val="22"/>
        </w:rPr>
        <w:t>C</w:t>
      </w:r>
      <w:r w:rsidRPr="009B343A">
        <w:rPr>
          <w:sz w:val="22"/>
          <w:szCs w:val="22"/>
        </w:rPr>
        <w:t>omments may be filed using the Commission's Electronic Comment Filing System (ECFS).</w:t>
      </w:r>
      <w:r>
        <w:rPr>
          <w:rStyle w:val="FootnoteReference"/>
          <w:sz w:val="22"/>
          <w:szCs w:val="22"/>
        </w:rPr>
        <w:footnoteReference w:id="15"/>
      </w:r>
      <w:r w:rsidRPr="009B343A">
        <w:rPr>
          <w:sz w:val="22"/>
          <w:szCs w:val="22"/>
        </w:rPr>
        <w:t xml:space="preserve"> </w:t>
      </w:r>
      <w:r>
        <w:rPr>
          <w:sz w:val="22"/>
          <w:szCs w:val="22"/>
        </w:rPr>
        <w:t xml:space="preserve"> </w:t>
      </w:r>
      <w:r w:rsidRPr="009B343A">
        <w:rPr>
          <w:sz w:val="22"/>
          <w:szCs w:val="22"/>
        </w:rPr>
        <w:t xml:space="preserve">Two courtesy copies must be delivered to </w:t>
      </w:r>
      <w:r w:rsidR="005D3E91">
        <w:rPr>
          <w:sz w:val="22"/>
          <w:szCs w:val="22"/>
        </w:rPr>
        <w:t>Greg</w:t>
      </w:r>
      <w:r w:rsidR="006A4637">
        <w:rPr>
          <w:sz w:val="22"/>
          <w:szCs w:val="22"/>
        </w:rPr>
        <w:t>ory</w:t>
      </w:r>
      <w:r w:rsidR="005D3E91">
        <w:rPr>
          <w:sz w:val="22"/>
          <w:szCs w:val="22"/>
        </w:rPr>
        <w:t xml:space="preserve"> Haledjian</w:t>
      </w:r>
      <w:r w:rsidRPr="009B343A">
        <w:rPr>
          <w:sz w:val="22"/>
          <w:szCs w:val="22"/>
        </w:rPr>
        <w:t>, Federal C</w:t>
      </w:r>
      <w:r>
        <w:rPr>
          <w:sz w:val="22"/>
          <w:szCs w:val="22"/>
        </w:rPr>
        <w:t>ommunica</w:t>
      </w:r>
      <w:r w:rsidRPr="009B343A">
        <w:rPr>
          <w:sz w:val="22"/>
          <w:szCs w:val="22"/>
        </w:rPr>
        <w:t>tions Commission, Wireline Competition Bureau, Pricing Policy Division, 445 12th Street, SW</w:t>
      </w:r>
      <w:r>
        <w:rPr>
          <w:sz w:val="22"/>
          <w:szCs w:val="22"/>
        </w:rPr>
        <w:t>, Room 5-A333</w:t>
      </w:r>
      <w:r w:rsidRPr="009B343A">
        <w:rPr>
          <w:sz w:val="22"/>
          <w:szCs w:val="22"/>
        </w:rPr>
        <w:t xml:space="preserve">, Washington, DC 20554, or via e-mail at </w:t>
      </w:r>
      <w:hyperlink r:id="rId9" w:history="1">
        <w:r w:rsidR="00F91E99" w:rsidRPr="00D2223E">
          <w:rPr>
            <w:rStyle w:val="Hyperlink"/>
            <w:sz w:val="22"/>
            <w:szCs w:val="22"/>
          </w:rPr>
          <w:t>Gregory.Haledjian@fcc.gov</w:t>
        </w:r>
      </w:hyperlink>
      <w:r w:rsidRPr="009B343A">
        <w:rPr>
          <w:sz w:val="22"/>
          <w:szCs w:val="22"/>
        </w:rPr>
        <w:t>.</w:t>
      </w:r>
    </w:p>
    <w:p w:rsidR="00F91E99" w:rsidRPr="00F91E99" w:rsidRDefault="00F91E99" w:rsidP="00F91E99">
      <w:pPr>
        <w:autoSpaceDE w:val="0"/>
        <w:autoSpaceDN w:val="0"/>
        <w:adjustRightInd w:val="0"/>
        <w:rPr>
          <w:b/>
          <w:bCs/>
          <w:color w:val="010101"/>
          <w:sz w:val="22"/>
          <w:szCs w:val="22"/>
        </w:rPr>
      </w:pPr>
    </w:p>
    <w:p w:rsidR="000718A8" w:rsidRPr="009B343A" w:rsidRDefault="000718A8" w:rsidP="009B343A">
      <w:pPr>
        <w:spacing w:after="120"/>
        <w:ind w:firstLine="720"/>
        <w:rPr>
          <w:sz w:val="22"/>
          <w:szCs w:val="22"/>
        </w:rPr>
      </w:pPr>
      <w:r w:rsidRPr="009B343A">
        <w:rPr>
          <w:sz w:val="22"/>
          <w:szCs w:val="22"/>
        </w:rPr>
        <w:t xml:space="preserve">• </w:t>
      </w:r>
      <w:r w:rsidRPr="00D23D50">
        <w:rPr>
          <w:sz w:val="22"/>
          <w:szCs w:val="22"/>
          <w:u w:val="single"/>
        </w:rPr>
        <w:t>Electronic Filers</w:t>
      </w:r>
      <w:r>
        <w:rPr>
          <w:sz w:val="22"/>
          <w:szCs w:val="22"/>
        </w:rPr>
        <w:t>: Comments may be filed elec</w:t>
      </w:r>
      <w:r w:rsidRPr="009B343A">
        <w:rPr>
          <w:sz w:val="22"/>
          <w:szCs w:val="22"/>
        </w:rPr>
        <w:t xml:space="preserve">tronically using the Internet by accessing the ECFS: </w:t>
      </w:r>
      <w:r w:rsidRPr="00553F20">
        <w:rPr>
          <w:sz w:val="22"/>
          <w:szCs w:val="22"/>
          <w:u w:val="single"/>
        </w:rPr>
        <w:t>http://fjallfoss.fcc.gov/ecfs2</w:t>
      </w:r>
      <w:r w:rsidRPr="009B343A">
        <w:rPr>
          <w:sz w:val="22"/>
          <w:szCs w:val="22"/>
        </w:rPr>
        <w:t>/.</w:t>
      </w:r>
    </w:p>
    <w:p w:rsidR="000718A8" w:rsidRPr="009B343A" w:rsidRDefault="000718A8" w:rsidP="009B343A">
      <w:pPr>
        <w:spacing w:after="120"/>
        <w:ind w:firstLine="720"/>
        <w:rPr>
          <w:sz w:val="22"/>
          <w:szCs w:val="22"/>
        </w:rPr>
      </w:pPr>
      <w:r w:rsidRPr="009B343A">
        <w:rPr>
          <w:sz w:val="22"/>
          <w:szCs w:val="22"/>
        </w:rPr>
        <w:t xml:space="preserve">• </w:t>
      </w:r>
      <w:r w:rsidRPr="00D23D50">
        <w:rPr>
          <w:sz w:val="22"/>
          <w:szCs w:val="22"/>
          <w:u w:val="single"/>
        </w:rPr>
        <w:t>Paper Filers</w:t>
      </w:r>
      <w:r w:rsidRPr="009B343A">
        <w:rPr>
          <w:sz w:val="22"/>
          <w:szCs w:val="22"/>
        </w:rPr>
        <w:t>: P</w:t>
      </w:r>
      <w:r>
        <w:rPr>
          <w:sz w:val="22"/>
          <w:szCs w:val="22"/>
        </w:rPr>
        <w:t>arties who choose to file by pa</w:t>
      </w:r>
      <w:r w:rsidRPr="009B343A">
        <w:rPr>
          <w:sz w:val="22"/>
          <w:szCs w:val="22"/>
        </w:rPr>
        <w:t>per must file an original and one copy of each filing.</w:t>
      </w:r>
      <w:r>
        <w:rPr>
          <w:sz w:val="22"/>
          <w:szCs w:val="22"/>
        </w:rPr>
        <w:t xml:space="preserve">  I</w:t>
      </w:r>
      <w:r w:rsidRPr="009B343A">
        <w:rPr>
          <w:sz w:val="22"/>
          <w:szCs w:val="22"/>
        </w:rPr>
        <w:t>f more than one docket or rulemaking number appears in the caption of this proceeding, filers must submit two additional copies for each additional docket or rulemaking number.</w:t>
      </w:r>
    </w:p>
    <w:p w:rsidR="000718A8" w:rsidRPr="009B343A" w:rsidRDefault="000718A8" w:rsidP="009B343A">
      <w:pPr>
        <w:spacing w:after="120"/>
        <w:ind w:firstLine="720"/>
        <w:rPr>
          <w:sz w:val="22"/>
          <w:szCs w:val="22"/>
        </w:rPr>
      </w:pPr>
      <w:r w:rsidRPr="009B343A">
        <w:rPr>
          <w:sz w:val="22"/>
          <w:szCs w:val="22"/>
        </w:rPr>
        <w:t xml:space="preserve">Filings can </w:t>
      </w:r>
      <w:r>
        <w:rPr>
          <w:sz w:val="22"/>
          <w:szCs w:val="22"/>
        </w:rPr>
        <w:t>be sent by hand or messenger de</w:t>
      </w:r>
      <w:r w:rsidRPr="009B343A">
        <w:rPr>
          <w:sz w:val="22"/>
          <w:szCs w:val="22"/>
        </w:rPr>
        <w:t>livery, by commercial overnight courier, or by first-cla</w:t>
      </w:r>
      <w:r>
        <w:rPr>
          <w:sz w:val="22"/>
          <w:szCs w:val="22"/>
        </w:rPr>
        <w:t>ss or overnight U.S. Postal Ser</w:t>
      </w:r>
      <w:r w:rsidRPr="009B343A">
        <w:rPr>
          <w:sz w:val="22"/>
          <w:szCs w:val="22"/>
        </w:rPr>
        <w:t>vice mail.</w:t>
      </w:r>
      <w:r>
        <w:rPr>
          <w:sz w:val="22"/>
          <w:szCs w:val="22"/>
        </w:rPr>
        <w:t xml:space="preserve"> </w:t>
      </w:r>
      <w:r w:rsidRPr="009B343A">
        <w:rPr>
          <w:sz w:val="22"/>
          <w:szCs w:val="22"/>
        </w:rPr>
        <w:t xml:space="preserve"> All filings must be addressed to the Commission's Secretary, Office of the Secret</w:t>
      </w:r>
      <w:r>
        <w:rPr>
          <w:sz w:val="22"/>
          <w:szCs w:val="22"/>
        </w:rPr>
        <w:t>ary, Federal Communications Com</w:t>
      </w:r>
      <w:r w:rsidRPr="009B343A">
        <w:rPr>
          <w:sz w:val="22"/>
          <w:szCs w:val="22"/>
        </w:rPr>
        <w:t>mission.</w:t>
      </w:r>
    </w:p>
    <w:p w:rsidR="000718A8" w:rsidRPr="009B343A" w:rsidRDefault="000718A8" w:rsidP="00C12539">
      <w:pPr>
        <w:spacing w:after="120"/>
        <w:ind w:left="720"/>
        <w:rPr>
          <w:sz w:val="22"/>
          <w:szCs w:val="22"/>
        </w:rPr>
      </w:pPr>
      <w:r w:rsidRPr="009B343A">
        <w:rPr>
          <w:sz w:val="22"/>
          <w:szCs w:val="22"/>
        </w:rPr>
        <w:t>• All hand-delivered or messenger-deliver</w:t>
      </w:r>
      <w:r>
        <w:rPr>
          <w:sz w:val="22"/>
          <w:szCs w:val="22"/>
        </w:rPr>
        <w:t>ed paper filings for the Commis</w:t>
      </w:r>
      <w:r w:rsidRPr="009B343A">
        <w:rPr>
          <w:sz w:val="22"/>
          <w:szCs w:val="22"/>
        </w:rPr>
        <w:t xml:space="preserve">sion's Secretary must be delivered to FCC Headquarters at </w:t>
      </w:r>
      <w:smartTag w:uri="urn:schemas-microsoft-com:office:smarttags" w:element="address">
        <w:smartTag w:uri="urn:schemas-microsoft-com:office:smarttags" w:element="Street">
          <w:r w:rsidRPr="009B343A">
            <w:rPr>
              <w:sz w:val="22"/>
              <w:szCs w:val="22"/>
            </w:rPr>
            <w:t>445 12th St., SW</w:t>
          </w:r>
        </w:smartTag>
      </w:smartTag>
      <w:r w:rsidRPr="009B343A">
        <w:rPr>
          <w:sz w:val="22"/>
          <w:szCs w:val="22"/>
        </w:rPr>
        <w:t xml:space="preserve">, Room TW-A325, </w:t>
      </w:r>
      <w:smartTag w:uri="urn:schemas-microsoft-com:office:smarttags" w:element="place">
        <w:smartTag w:uri="urn:schemas-microsoft-com:office:smarttags" w:element="City">
          <w:r w:rsidRPr="009B343A">
            <w:rPr>
              <w:sz w:val="22"/>
              <w:szCs w:val="22"/>
            </w:rPr>
            <w:t>Washington</w:t>
          </w:r>
        </w:smartTag>
        <w:r w:rsidRPr="009B343A">
          <w:rPr>
            <w:sz w:val="22"/>
            <w:szCs w:val="22"/>
          </w:rPr>
          <w:t xml:space="preserve">, </w:t>
        </w:r>
        <w:smartTag w:uri="urn:schemas-microsoft-com:office:smarttags" w:element="State">
          <w:r w:rsidRPr="009B343A">
            <w:rPr>
              <w:sz w:val="22"/>
              <w:szCs w:val="22"/>
            </w:rPr>
            <w:t>DC</w:t>
          </w:r>
        </w:smartTag>
        <w:r w:rsidRPr="009B343A">
          <w:rPr>
            <w:sz w:val="22"/>
            <w:szCs w:val="22"/>
          </w:rPr>
          <w:t xml:space="preserve"> </w:t>
        </w:r>
        <w:smartTag w:uri="urn:schemas-microsoft-com:office:smarttags" w:element="PostalCode">
          <w:r w:rsidRPr="009B343A">
            <w:rPr>
              <w:sz w:val="22"/>
              <w:szCs w:val="22"/>
            </w:rPr>
            <w:t>20554</w:t>
          </w:r>
        </w:smartTag>
      </w:smartTag>
      <w:r w:rsidRPr="009B343A">
        <w:rPr>
          <w:sz w:val="22"/>
          <w:szCs w:val="22"/>
        </w:rPr>
        <w:t xml:space="preserve">. The filing </w:t>
      </w:r>
      <w:r>
        <w:rPr>
          <w:sz w:val="22"/>
          <w:szCs w:val="22"/>
        </w:rPr>
        <w:t>hours are 8:00 a.m. to 7:00 p.m.  A</w:t>
      </w:r>
      <w:r w:rsidRPr="009B343A">
        <w:rPr>
          <w:sz w:val="22"/>
          <w:szCs w:val="22"/>
        </w:rPr>
        <w:t>ll hand deliveries must be held to</w:t>
      </w:r>
      <w:r>
        <w:rPr>
          <w:sz w:val="22"/>
          <w:szCs w:val="22"/>
        </w:rPr>
        <w:t>gether with rubber bands or fas</w:t>
      </w:r>
      <w:r w:rsidRPr="009B343A">
        <w:rPr>
          <w:sz w:val="22"/>
          <w:szCs w:val="22"/>
        </w:rPr>
        <w:t xml:space="preserve">teners. </w:t>
      </w:r>
      <w:r>
        <w:rPr>
          <w:sz w:val="22"/>
          <w:szCs w:val="22"/>
        </w:rPr>
        <w:t xml:space="preserve"> </w:t>
      </w:r>
      <w:r w:rsidRPr="009B343A">
        <w:rPr>
          <w:sz w:val="22"/>
          <w:szCs w:val="22"/>
        </w:rPr>
        <w:t>Any envelopes and boxes must be disposed of before entering the building.</w:t>
      </w:r>
    </w:p>
    <w:p w:rsidR="000718A8" w:rsidRPr="009B343A" w:rsidRDefault="000718A8" w:rsidP="00C12539">
      <w:pPr>
        <w:spacing w:after="120"/>
        <w:ind w:left="720"/>
        <w:rPr>
          <w:sz w:val="22"/>
          <w:szCs w:val="22"/>
        </w:rPr>
      </w:pPr>
      <w:r w:rsidRPr="009B343A">
        <w:rPr>
          <w:sz w:val="22"/>
          <w:szCs w:val="22"/>
        </w:rPr>
        <w:t xml:space="preserve">• Commercial overnight mail (other than U.S. Postal Service Express Mail and Priority Mail) must be sent to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9B343A">
                <w:rPr>
                  <w:sz w:val="22"/>
                  <w:szCs w:val="22"/>
                </w:rPr>
                <w:t>9300 East Hampton Drive</w:t>
              </w:r>
            </w:smartTag>
          </w:smartTag>
          <w:r w:rsidRPr="009B343A">
            <w:rPr>
              <w:sz w:val="22"/>
              <w:szCs w:val="22"/>
            </w:rPr>
            <w:t xml:space="preserve">, </w:t>
          </w:r>
          <w:smartTag w:uri="urn:schemas-microsoft-com:office:smarttags" w:element="City">
            <w:r w:rsidRPr="009B343A">
              <w:rPr>
                <w:sz w:val="22"/>
                <w:szCs w:val="22"/>
              </w:rPr>
              <w:t>Capitol Heights</w:t>
            </w:r>
          </w:smartTag>
          <w:r w:rsidRPr="009B343A">
            <w:rPr>
              <w:sz w:val="22"/>
              <w:szCs w:val="22"/>
            </w:rPr>
            <w:t xml:space="preserve">, </w:t>
          </w:r>
          <w:smartTag w:uri="urn:schemas-microsoft-com:office:smarttags" w:element="State">
            <w:r w:rsidRPr="009B343A">
              <w:rPr>
                <w:sz w:val="22"/>
                <w:szCs w:val="22"/>
              </w:rPr>
              <w:t>MD</w:t>
            </w:r>
          </w:smartTag>
          <w:r w:rsidRPr="009B343A">
            <w:rPr>
              <w:sz w:val="22"/>
              <w:szCs w:val="22"/>
            </w:rPr>
            <w:t xml:space="preserve"> </w:t>
          </w:r>
          <w:smartTag w:uri="urn:schemas-microsoft-com:office:smarttags" w:element="PostalCode">
            <w:r w:rsidRPr="009B343A">
              <w:rPr>
                <w:sz w:val="22"/>
                <w:szCs w:val="22"/>
              </w:rPr>
              <w:t>20743</w:t>
            </w:r>
          </w:smartTag>
        </w:smartTag>
      </w:smartTag>
      <w:r w:rsidRPr="009B343A">
        <w:rPr>
          <w:sz w:val="22"/>
          <w:szCs w:val="22"/>
        </w:rPr>
        <w:t>.</w:t>
      </w:r>
    </w:p>
    <w:p w:rsidR="000718A8" w:rsidRPr="009B343A" w:rsidRDefault="000718A8" w:rsidP="00C12539">
      <w:pPr>
        <w:spacing w:after="120"/>
        <w:ind w:left="720"/>
        <w:rPr>
          <w:sz w:val="22"/>
          <w:szCs w:val="22"/>
        </w:rPr>
      </w:pPr>
      <w:r w:rsidRPr="009B343A">
        <w:rPr>
          <w:sz w:val="22"/>
          <w:szCs w:val="22"/>
        </w:rPr>
        <w:t>• U.S.</w:t>
      </w:r>
      <w:r>
        <w:rPr>
          <w:sz w:val="22"/>
          <w:szCs w:val="22"/>
        </w:rPr>
        <w:t xml:space="preserve"> Postal Service first-class, Ex</w:t>
      </w:r>
      <w:r w:rsidRPr="009B343A">
        <w:rPr>
          <w:sz w:val="22"/>
          <w:szCs w:val="22"/>
        </w:rPr>
        <w:t>pres</w:t>
      </w:r>
      <w:r>
        <w:rPr>
          <w:sz w:val="22"/>
          <w:szCs w:val="22"/>
        </w:rPr>
        <w:t>s, and Priority mail must be ad</w:t>
      </w:r>
      <w:r w:rsidRPr="009B343A">
        <w:rPr>
          <w:sz w:val="22"/>
          <w:szCs w:val="22"/>
        </w:rPr>
        <w:t xml:space="preserve">dressed to </w:t>
      </w:r>
      <w:smartTag w:uri="urn:schemas-microsoft-com:office:smarttags" w:element="address">
        <w:smartTag w:uri="urn:schemas-microsoft-com:office:smarttags" w:element="Street">
          <w:smartTag w:uri="urn:schemas-microsoft-com:office:smarttags" w:element="PostalCode">
            <w:smartTag w:uri="urn:schemas-microsoft-com:office:smarttags" w:element="Street">
              <w:smartTag w:uri="urn:schemas-microsoft-com:office:smarttags" w:element="PostalCode">
                <w:smartTag w:uri="urn:schemas-microsoft-com:office:smarttags" w:element="address">
                  <w:r w:rsidRPr="009B343A">
                    <w:rPr>
                      <w:sz w:val="22"/>
                      <w:szCs w:val="22"/>
                    </w:rPr>
                    <w:t>445 12th Street, SW</w:t>
                  </w:r>
                </w:smartTag>
              </w:smartTag>
            </w:smartTag>
            <w:r>
              <w:rPr>
                <w:sz w:val="22"/>
                <w:szCs w:val="22"/>
              </w:rPr>
              <w:t xml:space="preserve">, </w:t>
            </w:r>
            <w:smartTag w:uri="urn:schemas-microsoft-com:office:smarttags" w:element="City">
              <w:smartTag w:uri="urn:schemas-microsoft-com:office:smarttags" w:element="PostalCode">
                <w:r>
                  <w:rPr>
                    <w:sz w:val="22"/>
                    <w:szCs w:val="22"/>
                  </w:rPr>
                  <w:t>Wash</w:t>
                </w:r>
                <w:r w:rsidRPr="009B343A">
                  <w:rPr>
                    <w:sz w:val="22"/>
                    <w:szCs w:val="22"/>
                  </w:rPr>
                  <w:t>ington</w:t>
                </w:r>
              </w:smartTag>
            </w:smartTag>
            <w:r w:rsidRPr="009B343A">
              <w:rPr>
                <w:sz w:val="22"/>
                <w:szCs w:val="22"/>
              </w:rPr>
              <w:t xml:space="preserve"> </w:t>
            </w:r>
            <w:smartTag w:uri="urn:schemas-microsoft-com:office:smarttags" w:element="State">
              <w:smartTag w:uri="urn:schemas-microsoft-com:office:smarttags" w:element="PostalCode">
                <w:r w:rsidRPr="009B343A">
                  <w:rPr>
                    <w:sz w:val="22"/>
                    <w:szCs w:val="22"/>
                  </w:rPr>
                  <w:t>DC</w:t>
                </w:r>
              </w:smartTag>
            </w:smartTag>
            <w:r w:rsidRPr="009B343A">
              <w:rPr>
                <w:sz w:val="22"/>
                <w:szCs w:val="22"/>
              </w:rPr>
              <w:t xml:space="preserve"> </w:t>
            </w:r>
            <w:smartTag w:uri="urn:schemas-microsoft-com:office:smarttags" w:element="PostalCode">
              <w:r w:rsidRPr="009B343A">
                <w:rPr>
                  <w:sz w:val="22"/>
                  <w:szCs w:val="22"/>
                </w:rPr>
                <w:t>20554</w:t>
              </w:r>
            </w:smartTag>
          </w:smartTag>
        </w:smartTag>
      </w:smartTag>
      <w:r w:rsidRPr="009B343A">
        <w:rPr>
          <w:sz w:val="22"/>
          <w:szCs w:val="22"/>
        </w:rPr>
        <w:t>.</w:t>
      </w:r>
    </w:p>
    <w:p w:rsidR="000718A8" w:rsidRPr="009B343A" w:rsidRDefault="000718A8" w:rsidP="00EC05F1">
      <w:pPr>
        <w:tabs>
          <w:tab w:val="left" w:pos="4680"/>
        </w:tabs>
        <w:spacing w:after="120"/>
        <w:ind w:firstLine="720"/>
        <w:rPr>
          <w:sz w:val="22"/>
          <w:szCs w:val="22"/>
        </w:rPr>
      </w:pPr>
      <w:r w:rsidRPr="009B343A">
        <w:rPr>
          <w:sz w:val="22"/>
          <w:szCs w:val="22"/>
        </w:rPr>
        <w:t>People with Disabilit</w:t>
      </w:r>
      <w:r>
        <w:rPr>
          <w:sz w:val="22"/>
          <w:szCs w:val="22"/>
        </w:rPr>
        <w:t>ies: To request materials in ac</w:t>
      </w:r>
      <w:r w:rsidRPr="009B343A">
        <w:rPr>
          <w:sz w:val="22"/>
          <w:szCs w:val="22"/>
        </w:rPr>
        <w:t xml:space="preserve">cessible formats for people with disabilities (Braille, large print, electronic files, audio format), send an e-mail to </w:t>
      </w:r>
      <w:r w:rsidRPr="004C3CF4">
        <w:rPr>
          <w:sz w:val="22"/>
          <w:szCs w:val="22"/>
          <w:u w:val="single"/>
        </w:rPr>
        <w:t>fcc504@fcc.go</w:t>
      </w:r>
      <w:r w:rsidRPr="009B343A">
        <w:rPr>
          <w:sz w:val="22"/>
          <w:szCs w:val="22"/>
        </w:rPr>
        <w:t>v or call the Consumer &amp; Governmental Affairs Bureau at 202-418-0530 (</w:t>
      </w:r>
      <w:r w:rsidR="00295E2A">
        <w:rPr>
          <w:sz w:val="22"/>
          <w:szCs w:val="22"/>
        </w:rPr>
        <w:t>V</w:t>
      </w:r>
      <w:r w:rsidRPr="009B343A">
        <w:rPr>
          <w:sz w:val="22"/>
          <w:szCs w:val="22"/>
        </w:rPr>
        <w:t>oice), 202-418-0432 (</w:t>
      </w:r>
      <w:r w:rsidR="00B96D28">
        <w:rPr>
          <w:sz w:val="22"/>
          <w:szCs w:val="22"/>
        </w:rPr>
        <w:t>TTY</w:t>
      </w:r>
      <w:r w:rsidRPr="009B343A">
        <w:rPr>
          <w:sz w:val="22"/>
          <w:szCs w:val="22"/>
        </w:rPr>
        <w:t>).</w:t>
      </w:r>
      <w:r>
        <w:rPr>
          <w:sz w:val="22"/>
          <w:szCs w:val="22"/>
        </w:rPr>
        <w:t xml:space="preserve">  </w:t>
      </w:r>
      <w:r w:rsidRPr="009B343A">
        <w:rPr>
          <w:sz w:val="22"/>
          <w:szCs w:val="22"/>
        </w:rPr>
        <w:t xml:space="preserve">This Public Notice establishes certain procedural requirements relating to consideration of the </w:t>
      </w:r>
      <w:r w:rsidRPr="00A937B9">
        <w:rPr>
          <w:i/>
          <w:sz w:val="22"/>
          <w:szCs w:val="22"/>
        </w:rPr>
        <w:t>USF/ICC Transformation Order</w:t>
      </w:r>
      <w:r w:rsidRPr="009B343A">
        <w:rPr>
          <w:sz w:val="22"/>
          <w:szCs w:val="22"/>
        </w:rPr>
        <w:t>.</w:t>
      </w:r>
      <w:r>
        <w:rPr>
          <w:sz w:val="22"/>
          <w:szCs w:val="22"/>
        </w:rPr>
        <w:t xml:space="preserve">  T</w:t>
      </w:r>
      <w:r w:rsidRPr="009B343A">
        <w:rPr>
          <w:sz w:val="22"/>
          <w:szCs w:val="22"/>
        </w:rPr>
        <w:t>his matter shall be treated as a “permit-but-disclose” procee</w:t>
      </w:r>
      <w:r>
        <w:rPr>
          <w:sz w:val="22"/>
          <w:szCs w:val="22"/>
        </w:rPr>
        <w:t>ding in accordance with the Com</w:t>
      </w:r>
      <w:r w:rsidRPr="009B343A">
        <w:rPr>
          <w:sz w:val="22"/>
          <w:szCs w:val="22"/>
        </w:rPr>
        <w:t xml:space="preserve">mission's </w:t>
      </w:r>
      <w:r w:rsidRPr="00FF6421">
        <w:rPr>
          <w:i/>
          <w:sz w:val="22"/>
          <w:szCs w:val="22"/>
        </w:rPr>
        <w:t>ex parte</w:t>
      </w:r>
      <w:r w:rsidRPr="009B343A">
        <w:rPr>
          <w:sz w:val="22"/>
          <w:szCs w:val="22"/>
        </w:rPr>
        <w:t xml:space="preserve"> rules.</w:t>
      </w:r>
      <w:r>
        <w:rPr>
          <w:rStyle w:val="FootnoteReference"/>
          <w:sz w:val="22"/>
          <w:szCs w:val="22"/>
        </w:rPr>
        <w:footnoteReference w:id="16"/>
      </w:r>
      <w:r>
        <w:rPr>
          <w:sz w:val="22"/>
          <w:szCs w:val="22"/>
        </w:rPr>
        <w:t xml:space="preserve"> </w:t>
      </w:r>
      <w:r w:rsidRPr="009B343A">
        <w:rPr>
          <w:sz w:val="22"/>
          <w:szCs w:val="22"/>
        </w:rPr>
        <w:t xml:space="preserve"> Persons making </w:t>
      </w:r>
      <w:r w:rsidRPr="00FF6421">
        <w:rPr>
          <w:i/>
          <w:sz w:val="22"/>
          <w:szCs w:val="22"/>
        </w:rPr>
        <w:t>ex parte</w:t>
      </w:r>
      <w:r w:rsidRPr="009B343A">
        <w:rPr>
          <w:sz w:val="22"/>
          <w:szCs w:val="22"/>
        </w:rPr>
        <w:t xml:space="preserve"> presentations must fi</w:t>
      </w:r>
      <w:r>
        <w:rPr>
          <w:sz w:val="22"/>
          <w:szCs w:val="22"/>
        </w:rPr>
        <w:t>le a copy of any written presen</w:t>
      </w:r>
      <w:r w:rsidRPr="009B343A">
        <w:rPr>
          <w:sz w:val="22"/>
          <w:szCs w:val="22"/>
        </w:rPr>
        <w:t>tation or a memor</w:t>
      </w:r>
      <w:r>
        <w:rPr>
          <w:sz w:val="22"/>
          <w:szCs w:val="22"/>
        </w:rPr>
        <w:t>andum summarizing any oral pres</w:t>
      </w:r>
      <w:r w:rsidRPr="009B343A">
        <w:rPr>
          <w:sz w:val="22"/>
          <w:szCs w:val="22"/>
        </w:rPr>
        <w:t>entation within two b</w:t>
      </w:r>
      <w:r>
        <w:rPr>
          <w:sz w:val="22"/>
          <w:szCs w:val="22"/>
        </w:rPr>
        <w:t>usiness days after the presenta</w:t>
      </w:r>
      <w:r w:rsidRPr="009B343A">
        <w:rPr>
          <w:sz w:val="22"/>
          <w:szCs w:val="22"/>
        </w:rPr>
        <w:t xml:space="preserve">tion (unless a different deadline applicable to the Sunshine period applies). </w:t>
      </w:r>
      <w:r>
        <w:rPr>
          <w:sz w:val="22"/>
          <w:szCs w:val="22"/>
        </w:rPr>
        <w:t xml:space="preserve"> </w:t>
      </w:r>
      <w:r w:rsidRPr="009B343A">
        <w:rPr>
          <w:sz w:val="22"/>
          <w:szCs w:val="22"/>
        </w:rPr>
        <w:t xml:space="preserve">Persons making oral </w:t>
      </w:r>
      <w:r w:rsidRPr="00FF6421">
        <w:rPr>
          <w:i/>
          <w:sz w:val="22"/>
          <w:szCs w:val="22"/>
        </w:rPr>
        <w:t>ex parte</w:t>
      </w:r>
      <w:r w:rsidRPr="009B343A">
        <w:rPr>
          <w:sz w:val="22"/>
          <w:szCs w:val="22"/>
        </w:rPr>
        <w:t xml:space="preserve"> presentations are reminded that memoranda summarizing the presentation must (1) list all persons attending or otherwise participating in the meeting at which the </w:t>
      </w:r>
      <w:r w:rsidRPr="00FF6421">
        <w:rPr>
          <w:i/>
          <w:sz w:val="22"/>
          <w:szCs w:val="22"/>
        </w:rPr>
        <w:t>ex parte</w:t>
      </w:r>
      <w:r w:rsidRPr="009B343A">
        <w:rPr>
          <w:sz w:val="22"/>
          <w:szCs w:val="22"/>
        </w:rPr>
        <w:t xml:space="preserve"> presentation was made, and (2) summarize all data presented and arguments made during the presentation.</w:t>
      </w:r>
      <w:r>
        <w:rPr>
          <w:sz w:val="22"/>
          <w:szCs w:val="22"/>
        </w:rPr>
        <w:t xml:space="preserve"> </w:t>
      </w:r>
      <w:r w:rsidRPr="009B343A">
        <w:rPr>
          <w:sz w:val="22"/>
          <w:szCs w:val="22"/>
        </w:rPr>
        <w:t xml:space="preserve"> If the presentation consisted in whole or in part of</w:t>
      </w:r>
      <w:r>
        <w:rPr>
          <w:sz w:val="22"/>
          <w:szCs w:val="22"/>
        </w:rPr>
        <w:t xml:space="preserve"> the presentation of data or ar</w:t>
      </w:r>
      <w:r w:rsidRPr="009B343A">
        <w:rPr>
          <w:sz w:val="22"/>
          <w:szCs w:val="22"/>
        </w:rPr>
        <w:t>guments already reflected in the presenter's written comments, memora</w:t>
      </w:r>
      <w:r>
        <w:rPr>
          <w:sz w:val="22"/>
          <w:szCs w:val="22"/>
        </w:rPr>
        <w:t>nda or other filings in the pro</w:t>
      </w:r>
      <w:r w:rsidRPr="009B343A">
        <w:rPr>
          <w:sz w:val="22"/>
          <w:szCs w:val="22"/>
        </w:rPr>
        <w:t xml:space="preserve">ceeding, the presenter may provide citations to such data or arguments in his or her prior comments, memoranda, or other filings (specifying the relevant page and/or paragraph numbers where such data or arguments can be found) in lieu of summarizing them in the memorandum. </w:t>
      </w:r>
      <w:r>
        <w:rPr>
          <w:sz w:val="22"/>
          <w:szCs w:val="22"/>
        </w:rPr>
        <w:t xml:space="preserve"> </w:t>
      </w:r>
      <w:r w:rsidRPr="009B343A">
        <w:rPr>
          <w:sz w:val="22"/>
          <w:szCs w:val="22"/>
        </w:rPr>
        <w:t xml:space="preserve">Documents shown or given to Commission staff during </w:t>
      </w:r>
      <w:r w:rsidRPr="00FF6421">
        <w:rPr>
          <w:i/>
          <w:sz w:val="22"/>
          <w:szCs w:val="22"/>
        </w:rPr>
        <w:t>ex parte</w:t>
      </w:r>
      <w:r w:rsidRPr="009B343A">
        <w:rPr>
          <w:sz w:val="22"/>
          <w:szCs w:val="22"/>
        </w:rPr>
        <w:t xml:space="preserve"> meetings are deemed to be written </w:t>
      </w:r>
      <w:r w:rsidRPr="00FF6421">
        <w:rPr>
          <w:i/>
          <w:sz w:val="22"/>
          <w:szCs w:val="22"/>
        </w:rPr>
        <w:t>ex parte</w:t>
      </w:r>
      <w:r w:rsidRPr="009B343A">
        <w:rPr>
          <w:sz w:val="22"/>
          <w:szCs w:val="22"/>
        </w:rPr>
        <w:t xml:space="preserve"> presentations and must be filed consistent </w:t>
      </w:r>
      <w:r>
        <w:rPr>
          <w:sz w:val="22"/>
          <w:szCs w:val="22"/>
        </w:rPr>
        <w:t>with rule 1.1206(b).  In proceed</w:t>
      </w:r>
      <w:r w:rsidRPr="009B343A">
        <w:rPr>
          <w:sz w:val="22"/>
          <w:szCs w:val="22"/>
        </w:rPr>
        <w:t>ings governed by ru</w:t>
      </w:r>
      <w:r>
        <w:rPr>
          <w:sz w:val="22"/>
          <w:szCs w:val="22"/>
        </w:rPr>
        <w:t>le 1.49(f) or for which the Com</w:t>
      </w:r>
      <w:r w:rsidRPr="009B343A">
        <w:rPr>
          <w:sz w:val="22"/>
          <w:szCs w:val="22"/>
        </w:rPr>
        <w:t xml:space="preserve">mission has made available a method of electronic filing, written </w:t>
      </w:r>
      <w:r w:rsidRPr="00FF6421">
        <w:rPr>
          <w:i/>
          <w:sz w:val="22"/>
          <w:szCs w:val="22"/>
        </w:rPr>
        <w:t>ex parte</w:t>
      </w:r>
      <w:r w:rsidRPr="009B343A">
        <w:rPr>
          <w:sz w:val="22"/>
          <w:szCs w:val="22"/>
        </w:rPr>
        <w:t xml:space="preserve"> presentations and memoranda summarizing oral </w:t>
      </w:r>
      <w:r w:rsidRPr="00FF6421">
        <w:rPr>
          <w:i/>
          <w:sz w:val="22"/>
          <w:szCs w:val="22"/>
        </w:rPr>
        <w:t>ex parte</w:t>
      </w:r>
      <w:r w:rsidRPr="009B343A">
        <w:rPr>
          <w:sz w:val="22"/>
          <w:szCs w:val="22"/>
        </w:rPr>
        <w:t xml:space="preserve"> presentations, and all attachments thereto,</w:t>
      </w:r>
      <w:r>
        <w:rPr>
          <w:sz w:val="22"/>
          <w:szCs w:val="22"/>
        </w:rPr>
        <w:t xml:space="preserve"> must be filed through the elec</w:t>
      </w:r>
      <w:r w:rsidRPr="009B343A">
        <w:rPr>
          <w:sz w:val="22"/>
          <w:szCs w:val="22"/>
        </w:rPr>
        <w:t>tronic comment filin</w:t>
      </w:r>
      <w:r>
        <w:rPr>
          <w:sz w:val="22"/>
          <w:szCs w:val="22"/>
        </w:rPr>
        <w:t>g system available for that pro</w:t>
      </w:r>
      <w:r w:rsidRPr="009B343A">
        <w:rPr>
          <w:sz w:val="22"/>
          <w:szCs w:val="22"/>
        </w:rPr>
        <w:t>ceeding, and must be filed in their native format (e.g., .doc, .xml, .ppt, searchable .pdf).</w:t>
      </w:r>
      <w:r>
        <w:rPr>
          <w:sz w:val="22"/>
          <w:szCs w:val="22"/>
        </w:rPr>
        <w:t xml:space="preserve"> </w:t>
      </w:r>
      <w:r w:rsidRPr="009B343A">
        <w:rPr>
          <w:sz w:val="22"/>
          <w:szCs w:val="22"/>
        </w:rPr>
        <w:t xml:space="preserve"> Participants in this proceeding should familiarize themselves with the Commission's </w:t>
      </w:r>
      <w:r w:rsidRPr="00FF6421">
        <w:rPr>
          <w:i/>
          <w:sz w:val="22"/>
          <w:szCs w:val="22"/>
        </w:rPr>
        <w:t xml:space="preserve">ex parte </w:t>
      </w:r>
      <w:r w:rsidRPr="009B343A">
        <w:rPr>
          <w:sz w:val="22"/>
          <w:szCs w:val="22"/>
        </w:rPr>
        <w:t>rules.</w:t>
      </w:r>
    </w:p>
    <w:p w:rsidR="000718A8" w:rsidRPr="009B343A" w:rsidRDefault="000718A8" w:rsidP="009B343A">
      <w:pPr>
        <w:spacing w:after="120"/>
        <w:ind w:firstLine="720"/>
        <w:rPr>
          <w:sz w:val="22"/>
          <w:szCs w:val="22"/>
        </w:rPr>
      </w:pPr>
      <w:r w:rsidRPr="009B343A">
        <w:rPr>
          <w:sz w:val="22"/>
          <w:szCs w:val="22"/>
        </w:rPr>
        <w:t xml:space="preserve">For further information regarding this proceeding, contact </w:t>
      </w:r>
      <w:r w:rsidR="005D3E91">
        <w:rPr>
          <w:sz w:val="22"/>
          <w:szCs w:val="22"/>
        </w:rPr>
        <w:t>Greg</w:t>
      </w:r>
      <w:r w:rsidR="006A4637">
        <w:rPr>
          <w:sz w:val="22"/>
          <w:szCs w:val="22"/>
        </w:rPr>
        <w:t>ory</w:t>
      </w:r>
      <w:r w:rsidR="005D3E91">
        <w:rPr>
          <w:sz w:val="22"/>
          <w:szCs w:val="22"/>
        </w:rPr>
        <w:t xml:space="preserve"> Haledjian</w:t>
      </w:r>
      <w:r w:rsidRPr="009B343A">
        <w:rPr>
          <w:sz w:val="22"/>
          <w:szCs w:val="22"/>
        </w:rPr>
        <w:t xml:space="preserve">, Pricing Policy Division, Wireline Competition Bureau, (202) 418-1520, or via e-mail at </w:t>
      </w:r>
      <w:r w:rsidR="005D3E91">
        <w:rPr>
          <w:sz w:val="22"/>
          <w:szCs w:val="22"/>
          <w:u w:val="single"/>
        </w:rPr>
        <w:t>Gregory.</w:t>
      </w:r>
      <w:r w:rsidR="00B07562">
        <w:rPr>
          <w:sz w:val="22"/>
          <w:szCs w:val="22"/>
          <w:u w:val="single"/>
        </w:rPr>
        <w:t>H</w:t>
      </w:r>
      <w:r w:rsidR="005D3E91">
        <w:rPr>
          <w:sz w:val="22"/>
          <w:szCs w:val="22"/>
          <w:u w:val="single"/>
        </w:rPr>
        <w:t>aledjian</w:t>
      </w:r>
      <w:r w:rsidRPr="00B97BA2">
        <w:rPr>
          <w:sz w:val="22"/>
          <w:szCs w:val="22"/>
          <w:u w:val="single"/>
        </w:rPr>
        <w:t>@fcc.gov</w:t>
      </w:r>
      <w:r w:rsidRPr="009B343A">
        <w:rPr>
          <w:sz w:val="22"/>
          <w:szCs w:val="22"/>
        </w:rPr>
        <w:t>.</w:t>
      </w:r>
    </w:p>
    <w:p w:rsidR="000718A8" w:rsidRDefault="000718A8" w:rsidP="00295E2A">
      <w:pPr>
        <w:spacing w:after="120"/>
        <w:rPr>
          <w:sz w:val="22"/>
          <w:szCs w:val="22"/>
        </w:rPr>
      </w:pPr>
    </w:p>
    <w:p w:rsidR="0055120A" w:rsidRDefault="000718A8" w:rsidP="00295E2A">
      <w:pPr>
        <w:pStyle w:val="Style12ptBefore6ptAfter12pt"/>
        <w:spacing w:before="0" w:afterLines="200" w:after="480"/>
        <w:jc w:val="center"/>
        <w:rPr>
          <w:b/>
          <w:sz w:val="22"/>
          <w:szCs w:val="22"/>
        </w:rPr>
        <w:sectPr w:rsidR="0055120A" w:rsidSect="00B10AC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1440" w:gutter="0"/>
          <w:cols w:space="720"/>
          <w:titlePg/>
        </w:sectPr>
      </w:pPr>
      <w:r>
        <w:rPr>
          <w:b/>
          <w:sz w:val="22"/>
          <w:szCs w:val="22"/>
        </w:rPr>
        <w:t xml:space="preserve"> – FCC –</w:t>
      </w:r>
    </w:p>
    <w:p w:rsidR="00CD2FAA" w:rsidRPr="000F787F" w:rsidRDefault="00CD2FAA" w:rsidP="00353A6B">
      <w:pPr>
        <w:jc w:val="center"/>
        <w:outlineLvl w:val="0"/>
        <w:rPr>
          <w:b/>
          <w:sz w:val="22"/>
          <w:szCs w:val="22"/>
        </w:rPr>
      </w:pPr>
      <w:r w:rsidRPr="000F787F">
        <w:rPr>
          <w:b/>
          <w:sz w:val="22"/>
          <w:szCs w:val="22"/>
        </w:rPr>
        <w:t>ATTACHMENT A</w:t>
      </w:r>
    </w:p>
    <w:p w:rsidR="00CD2FAA" w:rsidRPr="000F787F" w:rsidRDefault="00CD2FAA" w:rsidP="00353A6B">
      <w:pPr>
        <w:jc w:val="center"/>
        <w:outlineLvl w:val="0"/>
        <w:rPr>
          <w:b/>
          <w:sz w:val="22"/>
          <w:szCs w:val="22"/>
        </w:rPr>
      </w:pPr>
    </w:p>
    <w:p w:rsidR="00CD2FAA" w:rsidRPr="000F787F" w:rsidRDefault="00CD2FAA" w:rsidP="00353A6B">
      <w:pPr>
        <w:jc w:val="center"/>
        <w:outlineLvl w:val="0"/>
        <w:rPr>
          <w:b/>
          <w:sz w:val="22"/>
          <w:szCs w:val="22"/>
        </w:rPr>
      </w:pPr>
      <w:r w:rsidRPr="000F787F">
        <w:rPr>
          <w:b/>
          <w:sz w:val="22"/>
          <w:szCs w:val="22"/>
        </w:rPr>
        <w:t>Intercarrier Compensation</w:t>
      </w:r>
      <w:r w:rsidR="006A4637">
        <w:rPr>
          <w:b/>
          <w:sz w:val="22"/>
          <w:szCs w:val="22"/>
        </w:rPr>
        <w:t xml:space="preserve"> Reform</w:t>
      </w:r>
      <w:r w:rsidRPr="000F787F">
        <w:rPr>
          <w:b/>
          <w:sz w:val="22"/>
          <w:szCs w:val="22"/>
        </w:rPr>
        <w:t xml:space="preserve"> Compliance and Monitoring </w:t>
      </w:r>
      <w:r w:rsidR="006A4637">
        <w:rPr>
          <w:b/>
          <w:sz w:val="22"/>
          <w:szCs w:val="22"/>
        </w:rPr>
        <w:t>Form Instructions</w:t>
      </w:r>
    </w:p>
    <w:p w:rsidR="00CD2FAA" w:rsidRPr="000F787F" w:rsidRDefault="00CD2FAA" w:rsidP="006A4637">
      <w:pPr>
        <w:rPr>
          <w:bCs/>
          <w:sz w:val="22"/>
          <w:szCs w:val="22"/>
        </w:rPr>
      </w:pPr>
    </w:p>
    <w:p w:rsidR="00CD2FAA" w:rsidRPr="000F787F" w:rsidRDefault="00CD2FAA" w:rsidP="00D329F2">
      <w:pPr>
        <w:ind w:firstLine="720"/>
        <w:rPr>
          <w:sz w:val="22"/>
          <w:szCs w:val="22"/>
        </w:rPr>
      </w:pPr>
      <w:r w:rsidRPr="000F787F">
        <w:rPr>
          <w:sz w:val="22"/>
          <w:szCs w:val="22"/>
        </w:rPr>
        <w:t xml:space="preserve">The </w:t>
      </w:r>
      <w:r w:rsidR="009C165B">
        <w:rPr>
          <w:sz w:val="22"/>
          <w:szCs w:val="22"/>
        </w:rPr>
        <w:t>I</w:t>
      </w:r>
      <w:r w:rsidR="006A4637">
        <w:rPr>
          <w:sz w:val="22"/>
          <w:szCs w:val="22"/>
        </w:rPr>
        <w:t xml:space="preserve">ntercarrier </w:t>
      </w:r>
      <w:r w:rsidR="009C165B">
        <w:rPr>
          <w:sz w:val="22"/>
          <w:szCs w:val="22"/>
        </w:rPr>
        <w:t>C</w:t>
      </w:r>
      <w:r w:rsidRPr="000F787F">
        <w:rPr>
          <w:sz w:val="22"/>
          <w:szCs w:val="22"/>
        </w:rPr>
        <w:t>ompensation</w:t>
      </w:r>
      <w:r w:rsidR="006A4637">
        <w:rPr>
          <w:sz w:val="22"/>
          <w:szCs w:val="22"/>
        </w:rPr>
        <w:t xml:space="preserve"> </w:t>
      </w:r>
      <w:r w:rsidR="009C165B">
        <w:rPr>
          <w:sz w:val="22"/>
          <w:szCs w:val="22"/>
        </w:rPr>
        <w:t>R</w:t>
      </w:r>
      <w:r w:rsidR="006A4637">
        <w:rPr>
          <w:sz w:val="22"/>
          <w:szCs w:val="22"/>
        </w:rPr>
        <w:t xml:space="preserve">eform </w:t>
      </w:r>
      <w:r w:rsidR="009C165B">
        <w:rPr>
          <w:sz w:val="22"/>
          <w:szCs w:val="22"/>
        </w:rPr>
        <w:t>C</w:t>
      </w:r>
      <w:r w:rsidR="006A4637">
        <w:rPr>
          <w:sz w:val="22"/>
          <w:szCs w:val="22"/>
        </w:rPr>
        <w:t xml:space="preserve">ompliance and </w:t>
      </w:r>
      <w:r w:rsidR="009C165B">
        <w:rPr>
          <w:sz w:val="22"/>
          <w:szCs w:val="22"/>
        </w:rPr>
        <w:t>M</w:t>
      </w:r>
      <w:r w:rsidRPr="000F787F">
        <w:rPr>
          <w:sz w:val="22"/>
          <w:szCs w:val="22"/>
        </w:rPr>
        <w:t xml:space="preserve">onitoring </w:t>
      </w:r>
      <w:r w:rsidR="009C165B">
        <w:rPr>
          <w:sz w:val="22"/>
          <w:szCs w:val="22"/>
        </w:rPr>
        <w:t>F</w:t>
      </w:r>
      <w:r w:rsidR="006A4637">
        <w:rPr>
          <w:sz w:val="22"/>
          <w:szCs w:val="22"/>
        </w:rPr>
        <w:t>orm require</w:t>
      </w:r>
      <w:r w:rsidR="009C165B">
        <w:rPr>
          <w:sz w:val="22"/>
          <w:szCs w:val="22"/>
        </w:rPr>
        <w:t>s</w:t>
      </w:r>
      <w:r w:rsidRPr="000F787F">
        <w:rPr>
          <w:sz w:val="22"/>
          <w:szCs w:val="22"/>
        </w:rPr>
        <w:t xml:space="preserve"> </w:t>
      </w:r>
      <w:r w:rsidR="006A4637">
        <w:rPr>
          <w:sz w:val="22"/>
          <w:szCs w:val="22"/>
        </w:rPr>
        <w:t>i</w:t>
      </w:r>
      <w:r w:rsidRPr="000F787F">
        <w:rPr>
          <w:sz w:val="22"/>
          <w:szCs w:val="22"/>
        </w:rPr>
        <w:t>ncumbent LECs to file certain interstate and intrastate data related to intercarrier compensation rates, revenues, expenses, and demand.  For interstate data, reporting LECs must aggregate data for all of a holding company’s LEC operations.  For intrastate data, reporting LECs must aggregate data for each of a holding company’s LEC state operations, and must also report totals as the sum for all states.  The proposed Microsoft Excel</w:t>
      </w:r>
      <w:r w:rsidR="006A4637">
        <w:rPr>
          <w:sz w:val="22"/>
          <w:szCs w:val="22"/>
        </w:rPr>
        <w:t xml:space="preserve"> form</w:t>
      </w:r>
      <w:r w:rsidRPr="000F787F">
        <w:rPr>
          <w:sz w:val="22"/>
          <w:szCs w:val="22"/>
        </w:rPr>
        <w:t xml:space="preserve"> template is a multi-tab worksheet that has separate rows within the relevant tabs on which to report intrastate data for each of the 50 states, the District of Columbia, Guam, Puerto Rico, and American Samoa.</w:t>
      </w:r>
    </w:p>
    <w:p w:rsidR="00CD2FAA" w:rsidRPr="000F787F" w:rsidRDefault="00CD2FAA" w:rsidP="00D329F2">
      <w:pPr>
        <w:ind w:left="720" w:hanging="720"/>
        <w:rPr>
          <w:bCs/>
          <w:sz w:val="22"/>
          <w:szCs w:val="22"/>
        </w:rPr>
      </w:pPr>
    </w:p>
    <w:p w:rsidR="006A4637" w:rsidRDefault="00CD2FAA" w:rsidP="00D329F2">
      <w:pPr>
        <w:rPr>
          <w:sz w:val="22"/>
          <w:szCs w:val="22"/>
        </w:rPr>
      </w:pPr>
      <w:r w:rsidRPr="000F787F">
        <w:rPr>
          <w:sz w:val="22"/>
          <w:szCs w:val="22"/>
        </w:rPr>
        <w:t>Reporting LECs must report</w:t>
      </w:r>
      <w:r w:rsidR="006A4637">
        <w:rPr>
          <w:sz w:val="22"/>
          <w:szCs w:val="22"/>
        </w:rPr>
        <w:t>:</w:t>
      </w:r>
      <w:r w:rsidR="006A4637">
        <w:rPr>
          <w:sz w:val="22"/>
          <w:szCs w:val="22"/>
        </w:rPr>
        <w:br/>
      </w:r>
    </w:p>
    <w:p w:rsidR="006A4637" w:rsidRDefault="006A4637" w:rsidP="006A4637">
      <w:pPr>
        <w:numPr>
          <w:ilvl w:val="0"/>
          <w:numId w:val="29"/>
        </w:numPr>
        <w:rPr>
          <w:sz w:val="22"/>
          <w:szCs w:val="22"/>
        </w:rPr>
      </w:pPr>
      <w:r>
        <w:rPr>
          <w:sz w:val="22"/>
          <w:szCs w:val="22"/>
        </w:rPr>
        <w:t>T</w:t>
      </w:r>
      <w:r w:rsidR="00CD2FAA" w:rsidRPr="000F787F">
        <w:rPr>
          <w:sz w:val="22"/>
          <w:szCs w:val="22"/>
        </w:rPr>
        <w:t xml:space="preserve">he number of lines and ports as of the end of the reporting period (September 30 of the prior reporting year), and the 12-month amount of minutes of use (MOU), messages, revenue, and expense for the reporting </w:t>
      </w:r>
      <w:r>
        <w:rPr>
          <w:sz w:val="22"/>
          <w:szCs w:val="22"/>
        </w:rPr>
        <w:t>period</w:t>
      </w:r>
      <w:r>
        <w:rPr>
          <w:sz w:val="22"/>
          <w:szCs w:val="22"/>
        </w:rPr>
        <w:br/>
      </w:r>
    </w:p>
    <w:p w:rsidR="006A4637" w:rsidRDefault="006A4637" w:rsidP="006A4637">
      <w:pPr>
        <w:numPr>
          <w:ilvl w:val="0"/>
          <w:numId w:val="29"/>
        </w:numPr>
        <w:rPr>
          <w:sz w:val="22"/>
          <w:szCs w:val="22"/>
        </w:rPr>
      </w:pPr>
      <w:r>
        <w:rPr>
          <w:sz w:val="22"/>
          <w:szCs w:val="22"/>
        </w:rPr>
        <w:t>D</w:t>
      </w:r>
      <w:r w:rsidR="00CD2FAA" w:rsidRPr="000F787F">
        <w:rPr>
          <w:sz w:val="22"/>
          <w:szCs w:val="22"/>
        </w:rPr>
        <w:t>emand (</w:t>
      </w:r>
      <w:r w:rsidR="00CD2FAA" w:rsidRPr="000F787F">
        <w:rPr>
          <w:i/>
          <w:sz w:val="22"/>
          <w:szCs w:val="22"/>
        </w:rPr>
        <w:t>e.g.</w:t>
      </w:r>
      <w:r w:rsidR="00CD2FAA" w:rsidRPr="000F787F">
        <w:rPr>
          <w:sz w:val="22"/>
          <w:szCs w:val="22"/>
        </w:rPr>
        <w:t>, MOU) for services provided in the reporting year and for which revenue was collected by March 31 of the following year</w:t>
      </w:r>
      <w:r>
        <w:rPr>
          <w:sz w:val="22"/>
          <w:szCs w:val="22"/>
        </w:rPr>
        <w:br/>
      </w:r>
      <w:r w:rsidR="00CD2FAA" w:rsidRPr="000F787F">
        <w:rPr>
          <w:sz w:val="22"/>
          <w:szCs w:val="22"/>
        </w:rPr>
        <w:t xml:space="preserve"> </w:t>
      </w:r>
    </w:p>
    <w:p w:rsidR="006A4637" w:rsidRDefault="006A4637" w:rsidP="006A4637">
      <w:pPr>
        <w:ind w:left="720"/>
        <w:rPr>
          <w:sz w:val="22"/>
          <w:szCs w:val="22"/>
        </w:rPr>
      </w:pPr>
      <w:r>
        <w:rPr>
          <w:sz w:val="22"/>
          <w:szCs w:val="22"/>
        </w:rPr>
        <w:t>R</w:t>
      </w:r>
      <w:r w:rsidR="00CD2FAA" w:rsidRPr="000F787F">
        <w:rPr>
          <w:sz w:val="22"/>
          <w:szCs w:val="22"/>
        </w:rPr>
        <w:t>evenue for services provided in the reporting year and collected by March 31 of the follo</w:t>
      </w:r>
      <w:r>
        <w:rPr>
          <w:sz w:val="22"/>
          <w:szCs w:val="22"/>
        </w:rPr>
        <w:t>wing year.</w:t>
      </w:r>
      <w:r>
        <w:rPr>
          <w:sz w:val="22"/>
          <w:szCs w:val="22"/>
        </w:rPr>
        <w:br/>
        <w:t xml:space="preserve"> </w:t>
      </w:r>
    </w:p>
    <w:p w:rsidR="006A4637" w:rsidRDefault="006A4637" w:rsidP="006A4637">
      <w:pPr>
        <w:numPr>
          <w:ilvl w:val="0"/>
          <w:numId w:val="29"/>
        </w:numPr>
        <w:rPr>
          <w:sz w:val="22"/>
          <w:szCs w:val="22"/>
        </w:rPr>
      </w:pPr>
      <w:r>
        <w:rPr>
          <w:sz w:val="22"/>
          <w:szCs w:val="22"/>
        </w:rPr>
        <w:t>E</w:t>
      </w:r>
      <w:r w:rsidR="00CD2FAA" w:rsidRPr="000F787F">
        <w:rPr>
          <w:sz w:val="22"/>
          <w:szCs w:val="22"/>
        </w:rPr>
        <w:t xml:space="preserve">xpense for services received in the reporting year and paid for by March 31 of the following year.  </w:t>
      </w:r>
    </w:p>
    <w:p w:rsidR="006A4637" w:rsidRDefault="006A4637" w:rsidP="00D329F2">
      <w:pPr>
        <w:rPr>
          <w:sz w:val="22"/>
          <w:szCs w:val="22"/>
        </w:rPr>
      </w:pPr>
    </w:p>
    <w:p w:rsidR="00CD2FAA" w:rsidRPr="000F787F" w:rsidRDefault="00CD2FAA" w:rsidP="00D329F2">
      <w:pPr>
        <w:rPr>
          <w:sz w:val="22"/>
          <w:szCs w:val="22"/>
        </w:rPr>
      </w:pPr>
      <w:r w:rsidRPr="000F787F">
        <w:rPr>
          <w:sz w:val="22"/>
          <w:szCs w:val="22"/>
        </w:rPr>
        <w:t>Reporting LECs shall report all data in whole numbers, shall report dollar amounts without using dollar signs, and shall report all amounts using a comma to separate thousands (</w:t>
      </w:r>
      <w:r w:rsidRPr="000F787F">
        <w:rPr>
          <w:i/>
          <w:sz w:val="22"/>
          <w:szCs w:val="22"/>
        </w:rPr>
        <w:t>e.g.</w:t>
      </w:r>
      <w:r w:rsidRPr="000F787F">
        <w:rPr>
          <w:sz w:val="22"/>
          <w:szCs w:val="22"/>
        </w:rPr>
        <w:t>, report one million as 1,000,000).</w:t>
      </w:r>
    </w:p>
    <w:p w:rsidR="00CD2FAA" w:rsidRPr="000F787F" w:rsidRDefault="00CD2FAA" w:rsidP="00D329F2">
      <w:pPr>
        <w:rPr>
          <w:sz w:val="22"/>
          <w:szCs w:val="22"/>
        </w:rPr>
      </w:pPr>
    </w:p>
    <w:p w:rsidR="00CD2FAA" w:rsidRPr="000F787F" w:rsidRDefault="00CD2FAA" w:rsidP="00D329F2">
      <w:pPr>
        <w:rPr>
          <w:sz w:val="22"/>
          <w:szCs w:val="22"/>
        </w:rPr>
      </w:pPr>
      <w:r w:rsidRPr="000F787F">
        <w:rPr>
          <w:sz w:val="22"/>
          <w:szCs w:val="22"/>
        </w:rPr>
        <w:t>All instructions shall be followed.  All questions must be answered and all statements must be completed.  If the proper answer is “none” or “not applicable,” parties are required to insert that answer.</w:t>
      </w:r>
    </w:p>
    <w:p w:rsidR="00CD2FAA" w:rsidRPr="000F787F" w:rsidRDefault="00CD2FAA" w:rsidP="00D55F30">
      <w:pPr>
        <w:rPr>
          <w:sz w:val="22"/>
          <w:szCs w:val="22"/>
        </w:rPr>
      </w:pPr>
    </w:p>
    <w:p w:rsidR="00CD2FAA" w:rsidRPr="000F787F" w:rsidRDefault="00CD2FAA" w:rsidP="00207F02">
      <w:pPr>
        <w:outlineLvl w:val="0"/>
        <w:rPr>
          <w:sz w:val="22"/>
          <w:szCs w:val="22"/>
        </w:rPr>
      </w:pPr>
      <w:r w:rsidRPr="000F787F">
        <w:rPr>
          <w:sz w:val="22"/>
          <w:szCs w:val="22"/>
        </w:rPr>
        <w:t>All data that requires clarification should be noted and fully explained.</w:t>
      </w:r>
    </w:p>
    <w:p w:rsidR="00CD2FAA" w:rsidRPr="000F787F" w:rsidRDefault="00CD2FAA" w:rsidP="008F34EE">
      <w:pPr>
        <w:rPr>
          <w:sz w:val="22"/>
          <w:szCs w:val="22"/>
        </w:rPr>
      </w:pPr>
    </w:p>
    <w:p w:rsidR="00CD2FAA" w:rsidRPr="006A4637" w:rsidRDefault="00CD2FAA" w:rsidP="00D329F2">
      <w:pPr>
        <w:jc w:val="center"/>
        <w:rPr>
          <w:b/>
          <w:sz w:val="22"/>
          <w:szCs w:val="22"/>
        </w:rPr>
      </w:pPr>
      <w:r w:rsidRPr="006A4637">
        <w:rPr>
          <w:b/>
          <w:sz w:val="22"/>
          <w:szCs w:val="22"/>
        </w:rPr>
        <w:t xml:space="preserve"> TAB INSTRUCTIONS</w:t>
      </w:r>
    </w:p>
    <w:p w:rsidR="00CD2FAA" w:rsidRPr="000F787F" w:rsidRDefault="00CD2FAA" w:rsidP="00D329F2">
      <w:pPr>
        <w:jc w:val="center"/>
        <w:rPr>
          <w:sz w:val="22"/>
          <w:szCs w:val="22"/>
        </w:rPr>
      </w:pPr>
    </w:p>
    <w:p w:rsidR="00CD2FAA" w:rsidRPr="000F787F" w:rsidRDefault="00CD2FAA" w:rsidP="00D329F2">
      <w:pPr>
        <w:rPr>
          <w:sz w:val="22"/>
          <w:szCs w:val="22"/>
        </w:rPr>
      </w:pPr>
      <w:r w:rsidRPr="000F787F">
        <w:rPr>
          <w:sz w:val="22"/>
          <w:szCs w:val="22"/>
        </w:rPr>
        <w:t>Within each tab on the worksheet, each row, other than row 1, specifies a switched access or reciprocal compensation rate element, group of rate elements, or total for a group of rate elements for which demand, revenue, or expense data are reported.  Row 1 contains the column heading.</w:t>
      </w:r>
    </w:p>
    <w:p w:rsidR="00CD2FAA" w:rsidRPr="000F787F" w:rsidRDefault="00CD2FAA" w:rsidP="00975C9B">
      <w:pPr>
        <w:rPr>
          <w:sz w:val="22"/>
          <w:szCs w:val="22"/>
        </w:rPr>
      </w:pPr>
    </w:p>
    <w:p w:rsidR="00CD2FAA" w:rsidRPr="000F787F" w:rsidRDefault="00CD2FAA" w:rsidP="00D55F30">
      <w:pPr>
        <w:outlineLvl w:val="0"/>
        <w:rPr>
          <w:sz w:val="22"/>
          <w:szCs w:val="22"/>
        </w:rPr>
      </w:pPr>
      <w:r w:rsidRPr="000F787F">
        <w:rPr>
          <w:sz w:val="22"/>
          <w:szCs w:val="22"/>
        </w:rPr>
        <w:t>Row number references below are to the row numbers on the specific Excel worksheet tab.</w:t>
      </w:r>
    </w:p>
    <w:p w:rsidR="00CD2FAA" w:rsidRPr="000F787F" w:rsidRDefault="00CD2FAA" w:rsidP="00207F02">
      <w:pPr>
        <w:rPr>
          <w:sz w:val="22"/>
          <w:szCs w:val="22"/>
        </w:rPr>
      </w:pPr>
    </w:p>
    <w:p w:rsidR="00CD2FAA" w:rsidRPr="000F787F" w:rsidRDefault="00CD2FAA" w:rsidP="00207F02">
      <w:pPr>
        <w:rPr>
          <w:sz w:val="22"/>
          <w:szCs w:val="22"/>
        </w:rPr>
      </w:pPr>
    </w:p>
    <w:p w:rsidR="00CD2FAA" w:rsidRPr="000F787F" w:rsidRDefault="00CD2FAA" w:rsidP="00D329F2">
      <w:pPr>
        <w:outlineLvl w:val="0"/>
        <w:rPr>
          <w:sz w:val="22"/>
          <w:szCs w:val="22"/>
        </w:rPr>
      </w:pPr>
      <w:r w:rsidRPr="000F787F">
        <w:rPr>
          <w:sz w:val="22"/>
          <w:szCs w:val="22"/>
        </w:rPr>
        <w:t>TAB “COVERPAGE”</w:t>
      </w:r>
    </w:p>
    <w:p w:rsidR="00CD2FAA" w:rsidRPr="000F787F" w:rsidRDefault="00CD2FAA" w:rsidP="00D329F2">
      <w:pPr>
        <w:rPr>
          <w:sz w:val="22"/>
          <w:szCs w:val="22"/>
        </w:rPr>
      </w:pPr>
    </w:p>
    <w:p w:rsidR="00CD2FAA" w:rsidRPr="000F787F" w:rsidRDefault="00CD2FAA" w:rsidP="00D329F2">
      <w:pPr>
        <w:rPr>
          <w:sz w:val="22"/>
          <w:szCs w:val="22"/>
          <w:u w:val="single"/>
        </w:rPr>
      </w:pPr>
      <w:r w:rsidRPr="000F787F">
        <w:rPr>
          <w:sz w:val="22"/>
          <w:szCs w:val="22"/>
          <w:u w:val="single"/>
        </w:rPr>
        <w:t>Row</w:t>
      </w:r>
      <w:r w:rsidRPr="000F787F">
        <w:rPr>
          <w:sz w:val="22"/>
          <w:szCs w:val="22"/>
        </w:rPr>
        <w:tab/>
      </w:r>
      <w:r w:rsidRPr="000F787F">
        <w:rPr>
          <w:sz w:val="22"/>
          <w:szCs w:val="22"/>
          <w:u w:val="single"/>
        </w:rPr>
        <w:t>Category Description</w:t>
      </w:r>
    </w:p>
    <w:p w:rsidR="00CD2FAA" w:rsidRPr="000F787F" w:rsidRDefault="00CD2FAA" w:rsidP="00D329F2">
      <w:pPr>
        <w:rPr>
          <w:sz w:val="22"/>
          <w:szCs w:val="22"/>
          <w:u w:val="single"/>
        </w:rPr>
      </w:pPr>
    </w:p>
    <w:p w:rsidR="00CD2FAA" w:rsidRPr="000F787F" w:rsidRDefault="00CD2FAA" w:rsidP="00D329F2">
      <w:pPr>
        <w:outlineLvl w:val="0"/>
        <w:rPr>
          <w:b/>
          <w:sz w:val="22"/>
          <w:szCs w:val="22"/>
        </w:rPr>
      </w:pPr>
      <w:r w:rsidRPr="000F787F">
        <w:rPr>
          <w:sz w:val="22"/>
          <w:szCs w:val="22"/>
        </w:rPr>
        <w:tab/>
      </w:r>
      <w:r w:rsidRPr="000F787F">
        <w:rPr>
          <w:b/>
          <w:sz w:val="22"/>
          <w:szCs w:val="22"/>
        </w:rPr>
        <w:t>Basic Filing Information</w:t>
      </w:r>
    </w:p>
    <w:p w:rsidR="00CD2FAA" w:rsidRPr="000F787F" w:rsidRDefault="00CD2FAA" w:rsidP="00975C9B">
      <w:pPr>
        <w:rPr>
          <w:sz w:val="22"/>
          <w:szCs w:val="22"/>
          <w:u w:val="single"/>
        </w:rPr>
      </w:pPr>
    </w:p>
    <w:p w:rsidR="00CD2FAA" w:rsidRPr="000F787F" w:rsidRDefault="00CD2FAA" w:rsidP="00D55F30">
      <w:pPr>
        <w:rPr>
          <w:sz w:val="22"/>
          <w:szCs w:val="22"/>
          <w:u w:val="single"/>
        </w:rPr>
      </w:pPr>
      <w:r w:rsidRPr="000F787F">
        <w:rPr>
          <w:sz w:val="22"/>
          <w:szCs w:val="22"/>
        </w:rPr>
        <w:t>2</w:t>
      </w:r>
      <w:r w:rsidRPr="000F787F">
        <w:rPr>
          <w:sz w:val="22"/>
          <w:szCs w:val="22"/>
        </w:rPr>
        <w:tab/>
        <w:t>Enter the name of the holding company for which the report is filed.</w:t>
      </w:r>
    </w:p>
    <w:p w:rsidR="00CD2FAA" w:rsidRPr="000F787F" w:rsidRDefault="00CD2FAA" w:rsidP="00207F02">
      <w:pPr>
        <w:rPr>
          <w:sz w:val="22"/>
          <w:szCs w:val="22"/>
        </w:rPr>
      </w:pPr>
    </w:p>
    <w:p w:rsidR="00CD2FAA" w:rsidRPr="000F787F" w:rsidRDefault="00CD2FAA" w:rsidP="00C66B84">
      <w:pPr>
        <w:ind w:left="720" w:hanging="720"/>
        <w:rPr>
          <w:sz w:val="22"/>
          <w:szCs w:val="22"/>
        </w:rPr>
      </w:pPr>
      <w:r w:rsidRPr="000F787F">
        <w:rPr>
          <w:sz w:val="22"/>
          <w:szCs w:val="22"/>
        </w:rPr>
        <w:t>3</w:t>
      </w:r>
      <w:r w:rsidRPr="000F787F">
        <w:rPr>
          <w:sz w:val="22"/>
          <w:szCs w:val="22"/>
        </w:rPr>
        <w:tab/>
        <w:t>Enter the one-year reporting period from October 1 through September 30 using the following format:  “10/01/YYYY - 09/30/YYYY,” where YYYY identifies a year.</w:t>
      </w:r>
    </w:p>
    <w:p w:rsidR="00CD2FAA" w:rsidRPr="000F787F" w:rsidRDefault="00CD2FAA" w:rsidP="008F34EE">
      <w:pPr>
        <w:rPr>
          <w:sz w:val="22"/>
          <w:szCs w:val="22"/>
        </w:rPr>
      </w:pPr>
    </w:p>
    <w:p w:rsidR="00CD2FAA" w:rsidRPr="000F787F" w:rsidRDefault="00CD2FAA" w:rsidP="008F34EE">
      <w:pPr>
        <w:ind w:left="720" w:hanging="720"/>
        <w:rPr>
          <w:sz w:val="22"/>
          <w:szCs w:val="22"/>
        </w:rPr>
      </w:pPr>
      <w:r w:rsidRPr="000F787F">
        <w:rPr>
          <w:sz w:val="22"/>
          <w:szCs w:val="22"/>
        </w:rPr>
        <w:t>4</w:t>
      </w:r>
      <w:r w:rsidRPr="000F787F">
        <w:rPr>
          <w:sz w:val="22"/>
          <w:szCs w:val="22"/>
        </w:rPr>
        <w:tab/>
        <w:t>Enter the filing date using the following the format:  “MM/DD/YYYY” to indicate the month, day, and year.</w:t>
      </w:r>
      <w:r w:rsidRPr="000F787F">
        <w:rPr>
          <w:sz w:val="22"/>
          <w:szCs w:val="22"/>
        </w:rPr>
        <w:br/>
      </w:r>
    </w:p>
    <w:p w:rsidR="00CD2FAA" w:rsidRPr="000F787F" w:rsidRDefault="00CD2FAA" w:rsidP="008F34EE">
      <w:pPr>
        <w:ind w:left="720" w:hanging="720"/>
        <w:rPr>
          <w:sz w:val="22"/>
          <w:szCs w:val="22"/>
        </w:rPr>
      </w:pPr>
      <w:r w:rsidRPr="000F787F">
        <w:rPr>
          <w:sz w:val="22"/>
          <w:szCs w:val="22"/>
        </w:rPr>
        <w:t>5</w:t>
      </w:r>
      <w:r w:rsidRPr="000F787F">
        <w:rPr>
          <w:sz w:val="22"/>
          <w:szCs w:val="22"/>
        </w:rPr>
        <w:tab/>
        <w:t>Contact Name.</w:t>
      </w:r>
      <w:r w:rsidRPr="000F787F">
        <w:rPr>
          <w:sz w:val="22"/>
          <w:szCs w:val="22"/>
        </w:rPr>
        <w:br/>
      </w:r>
    </w:p>
    <w:p w:rsidR="00CD2FAA" w:rsidRPr="000F787F" w:rsidRDefault="00CD2FAA" w:rsidP="008F34EE">
      <w:pPr>
        <w:ind w:left="720" w:hanging="720"/>
        <w:rPr>
          <w:sz w:val="22"/>
          <w:szCs w:val="22"/>
        </w:rPr>
      </w:pPr>
      <w:r w:rsidRPr="000F787F">
        <w:rPr>
          <w:sz w:val="22"/>
          <w:szCs w:val="22"/>
        </w:rPr>
        <w:t>6</w:t>
      </w:r>
      <w:r w:rsidRPr="000F787F">
        <w:rPr>
          <w:sz w:val="22"/>
          <w:szCs w:val="22"/>
        </w:rPr>
        <w:tab/>
        <w:t>Contact E-mail.</w:t>
      </w:r>
    </w:p>
    <w:p w:rsidR="00CD2FAA" w:rsidRPr="000F787F" w:rsidRDefault="00CD2FAA" w:rsidP="00293944">
      <w:pPr>
        <w:ind w:left="720" w:hanging="720"/>
        <w:rPr>
          <w:sz w:val="22"/>
          <w:szCs w:val="22"/>
        </w:rPr>
      </w:pPr>
    </w:p>
    <w:p w:rsidR="00CD2FAA" w:rsidRPr="000F787F" w:rsidRDefault="00CD2FAA" w:rsidP="00384AB7">
      <w:pPr>
        <w:ind w:left="720" w:hanging="720"/>
        <w:rPr>
          <w:sz w:val="22"/>
          <w:szCs w:val="22"/>
        </w:rPr>
      </w:pPr>
      <w:r w:rsidRPr="000F787F">
        <w:rPr>
          <w:sz w:val="22"/>
          <w:szCs w:val="22"/>
        </w:rPr>
        <w:t>7</w:t>
      </w:r>
      <w:r w:rsidRPr="000F787F">
        <w:rPr>
          <w:sz w:val="22"/>
          <w:szCs w:val="22"/>
        </w:rPr>
        <w:tab/>
        <w:t>Contact Phone.</w:t>
      </w:r>
    </w:p>
    <w:p w:rsidR="00CD2FAA" w:rsidRPr="000F787F" w:rsidRDefault="00CD2FAA" w:rsidP="005D2292">
      <w:pPr>
        <w:ind w:left="720" w:hanging="720"/>
        <w:rPr>
          <w:sz w:val="22"/>
          <w:szCs w:val="22"/>
        </w:rPr>
      </w:pPr>
    </w:p>
    <w:p w:rsidR="00CD2FAA" w:rsidRPr="000F787F" w:rsidRDefault="00CD2FAA" w:rsidP="005D2292">
      <w:pPr>
        <w:ind w:left="720" w:hanging="720"/>
        <w:rPr>
          <w:sz w:val="22"/>
          <w:szCs w:val="22"/>
        </w:rPr>
      </w:pPr>
      <w:r w:rsidRPr="000F787F">
        <w:rPr>
          <w:sz w:val="22"/>
          <w:szCs w:val="22"/>
        </w:rPr>
        <w:t>8</w:t>
      </w:r>
      <w:r w:rsidRPr="000F787F">
        <w:rPr>
          <w:sz w:val="22"/>
          <w:szCs w:val="22"/>
        </w:rPr>
        <w:tab/>
      </w:r>
      <w:r w:rsidR="006A4637">
        <w:rPr>
          <w:sz w:val="22"/>
          <w:szCs w:val="22"/>
        </w:rPr>
        <w:t xml:space="preserve">Enter </w:t>
      </w:r>
      <w:r w:rsidRPr="000F787F">
        <w:rPr>
          <w:sz w:val="22"/>
          <w:szCs w:val="22"/>
        </w:rPr>
        <w:t>Study Area Codes contained in the filing (enter one code in each column</w:t>
      </w:r>
      <w:r w:rsidR="006A4637">
        <w:rPr>
          <w:sz w:val="22"/>
          <w:szCs w:val="22"/>
        </w:rPr>
        <w:t xml:space="preserve"> in this row</w:t>
      </w:r>
      <w:r w:rsidRPr="000F787F">
        <w:rPr>
          <w:sz w:val="22"/>
          <w:szCs w:val="22"/>
        </w:rPr>
        <w:t>; use as many columns as necessary)</w:t>
      </w:r>
      <w:r w:rsidR="006A4637">
        <w:rPr>
          <w:sz w:val="22"/>
          <w:szCs w:val="22"/>
        </w:rPr>
        <w:t>.</w:t>
      </w:r>
    </w:p>
    <w:p w:rsidR="00CD2FAA" w:rsidRPr="000F787F" w:rsidRDefault="00CD2FAA" w:rsidP="005423BE">
      <w:pPr>
        <w:rPr>
          <w:sz w:val="22"/>
          <w:szCs w:val="22"/>
          <w:u w:val="single"/>
        </w:rPr>
      </w:pPr>
    </w:p>
    <w:p w:rsidR="00CD2FAA" w:rsidRPr="000F787F" w:rsidRDefault="00CD2FAA" w:rsidP="005423BE">
      <w:pPr>
        <w:outlineLvl w:val="0"/>
        <w:rPr>
          <w:sz w:val="22"/>
          <w:szCs w:val="22"/>
        </w:rPr>
      </w:pPr>
    </w:p>
    <w:p w:rsidR="00CD2FAA" w:rsidRPr="000F787F" w:rsidRDefault="00CD2FAA" w:rsidP="00D329F2">
      <w:pPr>
        <w:outlineLvl w:val="0"/>
        <w:rPr>
          <w:sz w:val="22"/>
          <w:szCs w:val="22"/>
        </w:rPr>
      </w:pPr>
      <w:r w:rsidRPr="000F787F">
        <w:rPr>
          <w:sz w:val="22"/>
          <w:szCs w:val="22"/>
        </w:rPr>
        <w:t xml:space="preserve">TAB “ARC”: </w:t>
      </w:r>
      <w:r w:rsidRPr="000F787F">
        <w:rPr>
          <w:b/>
          <w:sz w:val="22"/>
          <w:szCs w:val="22"/>
        </w:rPr>
        <w:t>Access Recovery Charge (ARC) Elements</w:t>
      </w:r>
    </w:p>
    <w:p w:rsidR="00CD2FAA" w:rsidRPr="000F787F" w:rsidRDefault="00CD2FAA" w:rsidP="00975C9B">
      <w:pPr>
        <w:rPr>
          <w:sz w:val="22"/>
          <w:szCs w:val="22"/>
        </w:rPr>
      </w:pPr>
    </w:p>
    <w:p w:rsidR="00CD2FAA" w:rsidRPr="000F787F" w:rsidRDefault="00CD2FAA" w:rsidP="00D55F30">
      <w:pPr>
        <w:ind w:left="720" w:hanging="720"/>
        <w:rPr>
          <w:sz w:val="22"/>
          <w:szCs w:val="22"/>
        </w:rPr>
      </w:pPr>
      <w:r w:rsidRPr="000F787F">
        <w:rPr>
          <w:sz w:val="22"/>
          <w:szCs w:val="22"/>
        </w:rPr>
        <w:t>2</w:t>
      </w:r>
      <w:r w:rsidRPr="000F787F">
        <w:rPr>
          <w:sz w:val="22"/>
          <w:szCs w:val="22"/>
        </w:rPr>
        <w:tab/>
      </w:r>
      <w:r w:rsidRPr="000F787F">
        <w:rPr>
          <w:sz w:val="22"/>
          <w:szCs w:val="22"/>
          <w:u w:val="single"/>
        </w:rPr>
        <w:t>Residential ARC</w:t>
      </w:r>
      <w:r w:rsidRPr="000F787F">
        <w:rPr>
          <w:sz w:val="22"/>
          <w:szCs w:val="22"/>
        </w:rPr>
        <w:t xml:space="preserve">– The interstate element for which a rate is assessed upon residential end users pursuant to section 51.915(e) of the Commission’s rules for price cap carriers, or section 51.917(e) for rate-of-return carriers.  </w:t>
      </w:r>
    </w:p>
    <w:p w:rsidR="00CD2FAA" w:rsidRPr="000F787F" w:rsidRDefault="00CD2FAA" w:rsidP="00207F02">
      <w:pPr>
        <w:ind w:left="720" w:hanging="720"/>
        <w:rPr>
          <w:sz w:val="22"/>
          <w:szCs w:val="22"/>
        </w:rPr>
      </w:pPr>
    </w:p>
    <w:p w:rsidR="00CD2FAA" w:rsidRPr="000F787F" w:rsidRDefault="00CD2FAA" w:rsidP="00C66B84">
      <w:pPr>
        <w:ind w:left="720" w:hanging="720"/>
        <w:rPr>
          <w:sz w:val="22"/>
          <w:szCs w:val="22"/>
        </w:rPr>
      </w:pPr>
      <w:r w:rsidRPr="000F787F">
        <w:rPr>
          <w:sz w:val="22"/>
          <w:szCs w:val="22"/>
        </w:rPr>
        <w:t>3</w:t>
      </w:r>
      <w:r w:rsidRPr="000F787F">
        <w:rPr>
          <w:sz w:val="22"/>
          <w:szCs w:val="22"/>
        </w:rPr>
        <w:tab/>
      </w:r>
      <w:r w:rsidRPr="000F787F">
        <w:rPr>
          <w:sz w:val="22"/>
          <w:szCs w:val="22"/>
          <w:u w:val="single"/>
        </w:rPr>
        <w:t>Single-Line Business ARC</w:t>
      </w:r>
      <w:r w:rsidRPr="000F787F">
        <w:rPr>
          <w:sz w:val="22"/>
          <w:szCs w:val="22"/>
        </w:rPr>
        <w:t xml:space="preserve"> – The interstate element for which a rate is assessed upon Single-Line Business (SLB) end users pursuant to section 51.915(e) of the Commission’s rules for price cap carriers, or section 51.917(e) for rate-of-return carriers.</w:t>
      </w:r>
    </w:p>
    <w:p w:rsidR="00CD2FAA" w:rsidRPr="000F787F" w:rsidRDefault="00CD2FAA" w:rsidP="008F34EE">
      <w:pPr>
        <w:ind w:left="720" w:hanging="720"/>
        <w:rPr>
          <w:sz w:val="22"/>
          <w:szCs w:val="22"/>
        </w:rPr>
      </w:pPr>
    </w:p>
    <w:p w:rsidR="00CD2FAA" w:rsidRPr="000F787F" w:rsidRDefault="00CD2FAA" w:rsidP="008F34EE">
      <w:pPr>
        <w:ind w:left="720" w:hanging="720"/>
        <w:rPr>
          <w:sz w:val="22"/>
          <w:szCs w:val="22"/>
        </w:rPr>
      </w:pPr>
      <w:r w:rsidRPr="000F787F">
        <w:rPr>
          <w:sz w:val="22"/>
          <w:szCs w:val="22"/>
        </w:rPr>
        <w:t>4</w:t>
      </w:r>
      <w:r w:rsidRPr="000F787F">
        <w:rPr>
          <w:sz w:val="22"/>
          <w:szCs w:val="22"/>
        </w:rPr>
        <w:tab/>
      </w:r>
      <w:r w:rsidRPr="000F787F">
        <w:rPr>
          <w:sz w:val="22"/>
          <w:szCs w:val="22"/>
          <w:u w:val="single"/>
        </w:rPr>
        <w:t>Multi-Line Business ARC</w:t>
      </w:r>
      <w:r w:rsidRPr="000F787F">
        <w:rPr>
          <w:sz w:val="22"/>
          <w:szCs w:val="22"/>
        </w:rPr>
        <w:t xml:space="preserve"> – The interstate element for which a rate is assessed upon Multi-Line Business (MLB) end users pursuant to section 51.915(e) of the Commission’s rules for price cap carriers, or section 51.917(e) for rate-of-return carriers.</w:t>
      </w:r>
    </w:p>
    <w:p w:rsidR="00CD2FAA" w:rsidRPr="000F787F" w:rsidRDefault="00CD2FAA" w:rsidP="008F34EE">
      <w:pPr>
        <w:ind w:left="720" w:hanging="720"/>
        <w:rPr>
          <w:sz w:val="22"/>
          <w:szCs w:val="22"/>
        </w:rPr>
      </w:pPr>
    </w:p>
    <w:p w:rsidR="00CD2FAA" w:rsidRPr="000F787F" w:rsidRDefault="00CD2FAA" w:rsidP="008F34EE">
      <w:pPr>
        <w:ind w:left="720" w:hanging="720"/>
        <w:rPr>
          <w:sz w:val="22"/>
          <w:szCs w:val="22"/>
        </w:rPr>
      </w:pPr>
      <w:r w:rsidRPr="000F787F">
        <w:rPr>
          <w:sz w:val="22"/>
          <w:szCs w:val="22"/>
        </w:rPr>
        <w:t>5</w:t>
      </w:r>
      <w:r w:rsidRPr="000F787F">
        <w:rPr>
          <w:sz w:val="22"/>
          <w:szCs w:val="22"/>
        </w:rPr>
        <w:tab/>
      </w:r>
      <w:r w:rsidRPr="000F787F">
        <w:rPr>
          <w:sz w:val="22"/>
          <w:szCs w:val="22"/>
          <w:u w:val="single"/>
        </w:rPr>
        <w:t>Total ARC</w:t>
      </w:r>
      <w:r w:rsidRPr="000F787F">
        <w:rPr>
          <w:sz w:val="22"/>
          <w:szCs w:val="22"/>
        </w:rPr>
        <w:t xml:space="preserve"> – The sum of rows 2 through 4.</w:t>
      </w:r>
    </w:p>
    <w:p w:rsidR="00CD2FAA" w:rsidRPr="000F787F" w:rsidRDefault="00CD2FAA" w:rsidP="008F34EE">
      <w:pPr>
        <w:ind w:left="720" w:hanging="720"/>
        <w:rPr>
          <w:sz w:val="22"/>
          <w:szCs w:val="22"/>
        </w:rPr>
      </w:pPr>
    </w:p>
    <w:p w:rsidR="00CD2FAA" w:rsidRPr="000F787F" w:rsidRDefault="00CD2FAA" w:rsidP="00293944">
      <w:pPr>
        <w:ind w:left="720" w:hanging="720"/>
        <w:rPr>
          <w:sz w:val="22"/>
          <w:szCs w:val="22"/>
        </w:rPr>
      </w:pPr>
    </w:p>
    <w:p w:rsidR="00CD2FAA" w:rsidRPr="000F787F" w:rsidRDefault="00CD2FAA" w:rsidP="00384AB7">
      <w:pPr>
        <w:ind w:left="720" w:hanging="720"/>
        <w:outlineLvl w:val="0"/>
        <w:rPr>
          <w:b/>
          <w:sz w:val="22"/>
          <w:szCs w:val="22"/>
        </w:rPr>
      </w:pPr>
      <w:r w:rsidRPr="000F787F">
        <w:rPr>
          <w:sz w:val="22"/>
          <w:szCs w:val="22"/>
        </w:rPr>
        <w:t xml:space="preserve">TAB “CommonLine”: </w:t>
      </w:r>
      <w:r w:rsidRPr="000F787F">
        <w:rPr>
          <w:b/>
          <w:sz w:val="22"/>
          <w:szCs w:val="22"/>
        </w:rPr>
        <w:t>Common Line Rate Elements</w:t>
      </w:r>
    </w:p>
    <w:p w:rsidR="00CD2FAA" w:rsidRPr="000F787F" w:rsidRDefault="00CD2FAA" w:rsidP="005D2292">
      <w:pPr>
        <w:ind w:left="720" w:hanging="720"/>
        <w:rPr>
          <w:sz w:val="22"/>
          <w:szCs w:val="22"/>
        </w:rPr>
      </w:pPr>
    </w:p>
    <w:p w:rsidR="00CD2FAA" w:rsidRPr="000F787F" w:rsidRDefault="00CD2FAA" w:rsidP="005D2292">
      <w:pPr>
        <w:ind w:left="720" w:hanging="720"/>
        <w:rPr>
          <w:sz w:val="22"/>
          <w:szCs w:val="22"/>
        </w:rPr>
      </w:pPr>
      <w:r w:rsidRPr="000F787F">
        <w:rPr>
          <w:sz w:val="22"/>
          <w:szCs w:val="22"/>
        </w:rPr>
        <w:t>2</w:t>
      </w:r>
      <w:r w:rsidRPr="000F787F">
        <w:rPr>
          <w:sz w:val="22"/>
          <w:szCs w:val="22"/>
        </w:rPr>
        <w:tab/>
      </w:r>
      <w:r w:rsidRPr="000F787F">
        <w:rPr>
          <w:sz w:val="22"/>
          <w:szCs w:val="22"/>
          <w:u w:val="single"/>
        </w:rPr>
        <w:t>Primary Residential, SLB, and Lifeline end user common line</w:t>
      </w:r>
      <w:r w:rsidRPr="000F787F">
        <w:rPr>
          <w:sz w:val="22"/>
          <w:szCs w:val="22"/>
        </w:rPr>
        <w:t xml:space="preserve"> – The interstate end user common line (EUCL) elements for which a rate is assessed upon primary residential and SLB end users pursuant to sections 69.104 for rate-of-return carriers and 69.152 for price cap carriers, and the element for which a carrier is reimbursed in whole or in part for providing lifeline service to an end user pursuant to section 54.407.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3</w:t>
      </w:r>
      <w:r w:rsidRPr="000F787F">
        <w:rPr>
          <w:sz w:val="22"/>
          <w:szCs w:val="22"/>
        </w:rPr>
        <w:tab/>
      </w:r>
      <w:r w:rsidRPr="000F787F">
        <w:rPr>
          <w:sz w:val="22"/>
          <w:szCs w:val="22"/>
          <w:u w:val="single"/>
        </w:rPr>
        <w:t>Nonprimary Residential and Basic Rate Interface Integrated Services Digital Network EUCL</w:t>
      </w:r>
      <w:r w:rsidRPr="000F787F">
        <w:rPr>
          <w:sz w:val="22"/>
          <w:szCs w:val="22"/>
        </w:rPr>
        <w:t xml:space="preserve"> – The interstate element for which a rate is assessed upon nonprimary residential and basic rate interface (BRI) integrated services digital network (ISDN) end users pursuant to sections 69.104 for rate-of-return carriers and 69.152 for price cap carriers.</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4</w:t>
      </w:r>
      <w:r w:rsidRPr="000F787F">
        <w:rPr>
          <w:sz w:val="22"/>
          <w:szCs w:val="22"/>
        </w:rPr>
        <w:tab/>
      </w:r>
      <w:r w:rsidRPr="000F787F">
        <w:rPr>
          <w:sz w:val="22"/>
          <w:szCs w:val="22"/>
          <w:u w:val="single"/>
        </w:rPr>
        <w:t>MLB, Primary Rate Interface ISDN, and Centrex EUCL</w:t>
      </w:r>
      <w:r w:rsidRPr="000F787F">
        <w:rPr>
          <w:sz w:val="22"/>
          <w:szCs w:val="22"/>
        </w:rPr>
        <w:t xml:space="preserve"> – The interstate element for which a rate is assessed upon MLB, primary rate interface (PRI) ISDN, and Centrex end users pursuant to sections 69.104 for rate-of-return carriers and 69.152 for price cap carriers.</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5</w:t>
      </w:r>
      <w:r w:rsidRPr="000F787F">
        <w:rPr>
          <w:sz w:val="22"/>
          <w:szCs w:val="22"/>
        </w:rPr>
        <w:tab/>
      </w:r>
      <w:r w:rsidRPr="000F787F">
        <w:rPr>
          <w:sz w:val="22"/>
          <w:szCs w:val="22"/>
          <w:u w:val="single"/>
        </w:rPr>
        <w:t xml:space="preserve">MLB and PRI ISDN Presubscribed Interexchange Carrier Charge </w:t>
      </w:r>
      <w:r w:rsidRPr="000F787F">
        <w:rPr>
          <w:sz w:val="22"/>
          <w:szCs w:val="22"/>
        </w:rPr>
        <w:t xml:space="preserve"> – The interstate element for which a rate or presubscribed interexchange carrier charge (PICC) is assessed upon a MLB (excluding business Centrex) or PRI ISDN end user’s presubscribed interexchange carrier (IXC) pursuant to section 69.153.</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6</w:t>
      </w:r>
      <w:r w:rsidRPr="000F787F">
        <w:rPr>
          <w:sz w:val="22"/>
          <w:szCs w:val="22"/>
        </w:rPr>
        <w:tab/>
      </w:r>
      <w:r w:rsidRPr="000F787F">
        <w:rPr>
          <w:sz w:val="22"/>
          <w:szCs w:val="22"/>
          <w:u w:val="single"/>
        </w:rPr>
        <w:t>Business Centrex PICC</w:t>
      </w:r>
      <w:r w:rsidRPr="000F787F">
        <w:rPr>
          <w:sz w:val="22"/>
          <w:szCs w:val="22"/>
        </w:rPr>
        <w:t xml:space="preserve"> – The interstate element for which a rate is assessed upon a business Centrex end user’s presubscribed IXC pursuant to section 69.153.</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7</w:t>
      </w:r>
      <w:r w:rsidRPr="000F787F">
        <w:rPr>
          <w:sz w:val="22"/>
          <w:szCs w:val="22"/>
        </w:rPr>
        <w:tab/>
      </w:r>
      <w:r w:rsidRPr="000F787F">
        <w:rPr>
          <w:sz w:val="22"/>
          <w:szCs w:val="22"/>
          <w:u w:val="single"/>
        </w:rPr>
        <w:t>Carrier Common Line Per MOU</w:t>
      </w:r>
      <w:r w:rsidRPr="000F787F">
        <w:rPr>
          <w:sz w:val="22"/>
          <w:szCs w:val="22"/>
        </w:rPr>
        <w:t xml:space="preserve"> – The interstate common line elements for which per MOU rates are assessed upon IXCs pursuant to section 69.154.</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8</w:t>
      </w:r>
      <w:r w:rsidRPr="000F787F">
        <w:rPr>
          <w:sz w:val="22"/>
          <w:szCs w:val="22"/>
        </w:rPr>
        <w:tab/>
      </w:r>
      <w:r w:rsidRPr="000F787F">
        <w:rPr>
          <w:sz w:val="22"/>
          <w:szCs w:val="22"/>
          <w:u w:val="single"/>
        </w:rPr>
        <w:t>Line Port Costs in Excess of Basic Analog Services</w:t>
      </w:r>
      <w:r w:rsidRPr="000F787F">
        <w:rPr>
          <w:sz w:val="22"/>
          <w:szCs w:val="22"/>
        </w:rPr>
        <w:t xml:space="preserve"> – The interstate elements for which rates are assessed on end users pursuant to section 69.157.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9</w:t>
      </w:r>
      <w:r w:rsidRPr="000F787F">
        <w:rPr>
          <w:sz w:val="22"/>
          <w:szCs w:val="22"/>
        </w:rPr>
        <w:tab/>
      </w:r>
      <w:r w:rsidRPr="000F787F">
        <w:rPr>
          <w:sz w:val="22"/>
          <w:szCs w:val="22"/>
          <w:u w:val="single"/>
        </w:rPr>
        <w:t>Total Common Line – Interstate</w:t>
      </w:r>
      <w:r w:rsidRPr="000F787F">
        <w:rPr>
          <w:sz w:val="22"/>
          <w:szCs w:val="22"/>
        </w:rPr>
        <w:t xml:space="preserve"> – The sum of rows 2 through 8.</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10-</w:t>
      </w:r>
      <w:r w:rsidRPr="000F787F">
        <w:rPr>
          <w:sz w:val="22"/>
          <w:szCs w:val="22"/>
        </w:rPr>
        <w:tab/>
      </w:r>
      <w:r w:rsidRPr="000F787F">
        <w:rPr>
          <w:sz w:val="22"/>
          <w:szCs w:val="22"/>
          <w:u w:val="single"/>
        </w:rPr>
        <w:t xml:space="preserve">Common Line – Intrastate </w:t>
      </w:r>
      <w:r w:rsidRPr="000F787F">
        <w:rPr>
          <w:sz w:val="22"/>
          <w:szCs w:val="22"/>
        </w:rPr>
        <w:t xml:space="preserve">– The intrastate functional equivalent of the common </w:t>
      </w:r>
    </w:p>
    <w:p w:rsidR="00CD2FAA" w:rsidRPr="000F787F" w:rsidRDefault="00CD2FAA" w:rsidP="005423BE">
      <w:pPr>
        <w:ind w:left="720" w:hanging="720"/>
        <w:rPr>
          <w:sz w:val="22"/>
          <w:szCs w:val="22"/>
        </w:rPr>
      </w:pPr>
      <w:r w:rsidRPr="000F787F">
        <w:rPr>
          <w:sz w:val="22"/>
          <w:szCs w:val="22"/>
        </w:rPr>
        <w:t>62</w:t>
      </w:r>
      <w:r w:rsidRPr="000F787F">
        <w:rPr>
          <w:sz w:val="22"/>
          <w:szCs w:val="22"/>
        </w:rPr>
        <w:tab/>
        <w:t>line elements on rows 2 through 8.  Each row is for a different state.</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63</w:t>
      </w:r>
      <w:r w:rsidRPr="000F787F">
        <w:rPr>
          <w:sz w:val="22"/>
          <w:szCs w:val="22"/>
        </w:rPr>
        <w:tab/>
      </w:r>
      <w:r w:rsidRPr="000F787F">
        <w:rPr>
          <w:sz w:val="22"/>
          <w:szCs w:val="22"/>
          <w:u w:val="single"/>
        </w:rPr>
        <w:t>Total Common Line – Intrastate</w:t>
      </w:r>
      <w:r w:rsidRPr="000F787F">
        <w:rPr>
          <w:sz w:val="22"/>
          <w:szCs w:val="22"/>
        </w:rPr>
        <w:t xml:space="preserve"> – The sum of rows 10 through 62.</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64</w:t>
      </w:r>
      <w:r w:rsidRPr="000F787F">
        <w:rPr>
          <w:sz w:val="22"/>
          <w:szCs w:val="22"/>
        </w:rPr>
        <w:tab/>
      </w:r>
      <w:r w:rsidRPr="000F787F">
        <w:rPr>
          <w:sz w:val="22"/>
          <w:szCs w:val="22"/>
          <w:u w:val="single"/>
        </w:rPr>
        <w:t>Total Interstate and Intrastate Common Line</w:t>
      </w:r>
      <w:r w:rsidRPr="000F787F">
        <w:rPr>
          <w:sz w:val="22"/>
          <w:szCs w:val="22"/>
        </w:rPr>
        <w:t xml:space="preserve"> – The sum of rows 9 and 63.</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p>
    <w:p w:rsidR="00CD2FAA" w:rsidRPr="000F787F" w:rsidRDefault="00CD2FAA" w:rsidP="00975C9B">
      <w:pPr>
        <w:rPr>
          <w:b/>
          <w:sz w:val="22"/>
          <w:szCs w:val="22"/>
        </w:rPr>
      </w:pPr>
      <w:r w:rsidRPr="000F787F">
        <w:rPr>
          <w:sz w:val="22"/>
          <w:szCs w:val="22"/>
        </w:rPr>
        <w:t xml:space="preserve">TAB “LocalSwitching”: </w:t>
      </w:r>
      <w:r w:rsidRPr="000F787F">
        <w:rPr>
          <w:b/>
          <w:sz w:val="22"/>
          <w:szCs w:val="22"/>
        </w:rPr>
        <w:t>Local Switching (including trunk ports and signaling for call setup) Rate Elements</w:t>
      </w:r>
    </w:p>
    <w:p w:rsidR="00CD2FAA" w:rsidRPr="000F787F" w:rsidRDefault="00CD2FAA" w:rsidP="00975C9B">
      <w:pPr>
        <w:ind w:left="720" w:hanging="720"/>
        <w:rPr>
          <w:b/>
          <w:sz w:val="22"/>
          <w:szCs w:val="22"/>
        </w:rPr>
      </w:pPr>
    </w:p>
    <w:p w:rsidR="00CD2FAA" w:rsidRPr="000F787F" w:rsidRDefault="00CD2FAA" w:rsidP="00975C9B">
      <w:pPr>
        <w:ind w:left="720" w:hanging="720"/>
        <w:rPr>
          <w:sz w:val="22"/>
          <w:szCs w:val="22"/>
        </w:rPr>
      </w:pPr>
      <w:r w:rsidRPr="000F787F">
        <w:rPr>
          <w:sz w:val="22"/>
          <w:szCs w:val="22"/>
        </w:rPr>
        <w:t>2</w:t>
      </w:r>
      <w:r w:rsidRPr="000F787F">
        <w:rPr>
          <w:sz w:val="22"/>
          <w:szCs w:val="22"/>
        </w:rPr>
        <w:tab/>
      </w:r>
      <w:r w:rsidRPr="000F787F">
        <w:rPr>
          <w:sz w:val="22"/>
          <w:szCs w:val="22"/>
          <w:u w:val="single"/>
        </w:rPr>
        <w:t>Local Switching – Interstate</w:t>
      </w:r>
      <w:r w:rsidRPr="000F787F">
        <w:rPr>
          <w:sz w:val="22"/>
          <w:szCs w:val="22"/>
        </w:rPr>
        <w:t xml:space="preserve"> – The interstate local switching elements for which rates are assessed pursuant to section 69.106.</w:t>
      </w:r>
    </w:p>
    <w:p w:rsidR="00CD2FAA" w:rsidRPr="000F787F" w:rsidRDefault="00CD2FAA" w:rsidP="00975C9B">
      <w:pPr>
        <w:ind w:left="720" w:hanging="720"/>
        <w:rPr>
          <w:sz w:val="22"/>
          <w:szCs w:val="22"/>
        </w:rPr>
      </w:pPr>
    </w:p>
    <w:p w:rsidR="00CD2FAA" w:rsidRPr="000F787F" w:rsidRDefault="00CD2FAA" w:rsidP="00D55F30">
      <w:pPr>
        <w:ind w:left="720" w:hanging="720"/>
        <w:rPr>
          <w:sz w:val="22"/>
          <w:szCs w:val="22"/>
        </w:rPr>
      </w:pPr>
      <w:r w:rsidRPr="000F787F">
        <w:rPr>
          <w:sz w:val="22"/>
          <w:szCs w:val="22"/>
        </w:rPr>
        <w:t>3-</w:t>
      </w:r>
      <w:r w:rsidRPr="000F787F">
        <w:rPr>
          <w:sz w:val="22"/>
          <w:szCs w:val="22"/>
        </w:rPr>
        <w:tab/>
      </w:r>
      <w:r w:rsidRPr="000F787F">
        <w:rPr>
          <w:sz w:val="22"/>
          <w:szCs w:val="22"/>
          <w:u w:val="single"/>
        </w:rPr>
        <w:t>Local Switching – Intrastate</w:t>
      </w:r>
      <w:r w:rsidRPr="000F787F">
        <w:rPr>
          <w:sz w:val="22"/>
          <w:szCs w:val="22"/>
        </w:rPr>
        <w:t xml:space="preserve"> – The intrastate functional equivalent of the interstate </w:t>
      </w:r>
    </w:p>
    <w:p w:rsidR="00CD2FAA" w:rsidRPr="000F787F" w:rsidRDefault="00CD2FAA" w:rsidP="00207F02">
      <w:pPr>
        <w:ind w:left="720" w:hanging="720"/>
        <w:rPr>
          <w:sz w:val="22"/>
          <w:szCs w:val="22"/>
        </w:rPr>
      </w:pPr>
      <w:r w:rsidRPr="000F787F">
        <w:rPr>
          <w:sz w:val="22"/>
          <w:szCs w:val="22"/>
        </w:rPr>
        <w:t>55</w:t>
      </w:r>
      <w:r w:rsidRPr="000F787F">
        <w:rPr>
          <w:sz w:val="22"/>
          <w:szCs w:val="22"/>
        </w:rPr>
        <w:tab/>
        <w:t>local switching elements.  Each row is for a different state.</w:t>
      </w:r>
    </w:p>
    <w:p w:rsidR="00CD2FAA" w:rsidRPr="000F787F" w:rsidRDefault="00CD2FAA" w:rsidP="00C66B84">
      <w:pPr>
        <w:ind w:left="720" w:hanging="720"/>
        <w:rPr>
          <w:sz w:val="22"/>
          <w:szCs w:val="22"/>
        </w:rPr>
      </w:pPr>
    </w:p>
    <w:p w:rsidR="00CD2FAA" w:rsidRPr="000F787F" w:rsidRDefault="00CD2FAA" w:rsidP="008F34EE">
      <w:pPr>
        <w:ind w:left="720" w:hanging="720"/>
        <w:rPr>
          <w:sz w:val="22"/>
          <w:szCs w:val="22"/>
        </w:rPr>
      </w:pPr>
      <w:r w:rsidRPr="000F787F">
        <w:rPr>
          <w:sz w:val="22"/>
          <w:szCs w:val="22"/>
        </w:rPr>
        <w:t>56</w:t>
      </w:r>
      <w:r w:rsidRPr="000F787F">
        <w:rPr>
          <w:sz w:val="22"/>
          <w:szCs w:val="22"/>
        </w:rPr>
        <w:tab/>
      </w:r>
      <w:r w:rsidRPr="000F787F">
        <w:rPr>
          <w:sz w:val="22"/>
          <w:szCs w:val="22"/>
          <w:u w:val="single"/>
        </w:rPr>
        <w:t>Total Local Switching – Intrastate</w:t>
      </w:r>
      <w:r w:rsidRPr="000F787F">
        <w:rPr>
          <w:sz w:val="22"/>
          <w:szCs w:val="22"/>
        </w:rPr>
        <w:t xml:space="preserve"> </w:t>
      </w:r>
      <w:r w:rsidRPr="000F787F">
        <w:rPr>
          <w:b/>
          <w:sz w:val="22"/>
          <w:szCs w:val="22"/>
        </w:rPr>
        <w:t>–</w:t>
      </w:r>
      <w:r w:rsidRPr="000F787F">
        <w:rPr>
          <w:sz w:val="22"/>
          <w:szCs w:val="22"/>
        </w:rPr>
        <w:t xml:space="preserve"> The sum of rows 3 through 55.</w:t>
      </w:r>
    </w:p>
    <w:p w:rsidR="00CD2FAA" w:rsidRPr="000F787F" w:rsidRDefault="00CD2FAA" w:rsidP="008F34EE">
      <w:pPr>
        <w:ind w:left="720" w:hanging="720"/>
        <w:rPr>
          <w:sz w:val="22"/>
          <w:szCs w:val="22"/>
        </w:rPr>
      </w:pPr>
    </w:p>
    <w:p w:rsidR="00CD2FAA" w:rsidRPr="000F787F" w:rsidRDefault="00CD2FAA" w:rsidP="008F34EE">
      <w:pPr>
        <w:ind w:left="720" w:hanging="720"/>
        <w:rPr>
          <w:sz w:val="22"/>
          <w:szCs w:val="22"/>
        </w:rPr>
      </w:pPr>
      <w:r w:rsidRPr="000F787F">
        <w:rPr>
          <w:sz w:val="22"/>
          <w:szCs w:val="22"/>
        </w:rPr>
        <w:t>57</w:t>
      </w:r>
      <w:r w:rsidRPr="000F787F">
        <w:rPr>
          <w:sz w:val="22"/>
          <w:szCs w:val="22"/>
        </w:rPr>
        <w:tab/>
      </w:r>
      <w:r w:rsidRPr="000F787F">
        <w:rPr>
          <w:sz w:val="22"/>
          <w:szCs w:val="22"/>
          <w:u w:val="single"/>
        </w:rPr>
        <w:t>Total Interstate and Intrastate Local Switching</w:t>
      </w:r>
      <w:r w:rsidRPr="000F787F">
        <w:rPr>
          <w:sz w:val="22"/>
          <w:szCs w:val="22"/>
        </w:rPr>
        <w:t xml:space="preserve"> – The sum of rows 2 and 56.</w:t>
      </w:r>
    </w:p>
    <w:p w:rsidR="00CD2FAA" w:rsidRPr="000F787F" w:rsidRDefault="00CD2FAA" w:rsidP="008F34EE">
      <w:pPr>
        <w:ind w:left="720" w:hanging="720"/>
        <w:rPr>
          <w:sz w:val="22"/>
          <w:szCs w:val="22"/>
        </w:rPr>
      </w:pPr>
    </w:p>
    <w:p w:rsidR="00CD2FAA" w:rsidRPr="000F787F" w:rsidRDefault="00CD2FAA" w:rsidP="00293944">
      <w:pPr>
        <w:ind w:left="720" w:hanging="720"/>
        <w:rPr>
          <w:sz w:val="22"/>
          <w:szCs w:val="22"/>
        </w:rPr>
      </w:pPr>
    </w:p>
    <w:p w:rsidR="00CD2FAA" w:rsidRPr="000F787F" w:rsidRDefault="00CD2FAA" w:rsidP="00141B2B">
      <w:pPr>
        <w:ind w:left="720" w:hanging="720"/>
        <w:outlineLvl w:val="0"/>
        <w:rPr>
          <w:b/>
          <w:sz w:val="22"/>
          <w:szCs w:val="22"/>
        </w:rPr>
      </w:pPr>
      <w:r w:rsidRPr="000F787F">
        <w:rPr>
          <w:sz w:val="22"/>
          <w:szCs w:val="22"/>
        </w:rPr>
        <w:t xml:space="preserve">TAB: “TandemInfo”: </w:t>
      </w:r>
      <w:r w:rsidRPr="000F787F">
        <w:rPr>
          <w:b/>
          <w:sz w:val="22"/>
          <w:szCs w:val="22"/>
        </w:rPr>
        <w:t>Tandem-Switched Transport and Tandem Rate Elements</w:t>
      </w:r>
    </w:p>
    <w:p w:rsidR="00CD2FAA" w:rsidRPr="000F787F" w:rsidRDefault="00CD2FAA" w:rsidP="00D55F30">
      <w:pPr>
        <w:ind w:left="720" w:hanging="720"/>
        <w:rPr>
          <w:b/>
          <w:sz w:val="22"/>
          <w:szCs w:val="22"/>
        </w:rPr>
      </w:pPr>
    </w:p>
    <w:p w:rsidR="00CD2FAA" w:rsidRPr="000F787F" w:rsidRDefault="00CD2FAA" w:rsidP="00207F02">
      <w:pPr>
        <w:ind w:left="720" w:hanging="720"/>
        <w:rPr>
          <w:rFonts w:cs="Arial"/>
          <w:bCs/>
          <w:sz w:val="22"/>
          <w:szCs w:val="22"/>
        </w:rPr>
      </w:pPr>
      <w:r w:rsidRPr="000F787F">
        <w:rPr>
          <w:sz w:val="22"/>
          <w:szCs w:val="22"/>
        </w:rPr>
        <w:t>2</w:t>
      </w:r>
      <w:r w:rsidRPr="000F787F">
        <w:rPr>
          <w:sz w:val="22"/>
          <w:szCs w:val="22"/>
        </w:rPr>
        <w:tab/>
      </w:r>
      <w:r w:rsidRPr="000F787F">
        <w:rPr>
          <w:rFonts w:cs="Arial"/>
          <w:bCs/>
          <w:sz w:val="22"/>
          <w:szCs w:val="22"/>
          <w:u w:val="single"/>
        </w:rPr>
        <w:t>Tandem Switching (excluding common and dedicated multiplexers and dedicated trunk ports elements)</w:t>
      </w:r>
      <w:r w:rsidRPr="000F787F">
        <w:rPr>
          <w:rFonts w:cs="Arial"/>
          <w:bCs/>
          <w:sz w:val="22"/>
          <w:szCs w:val="22"/>
        </w:rPr>
        <w:t xml:space="preserve"> – The interstate tandem switching element </w:t>
      </w:r>
      <w:r w:rsidRPr="000F787F">
        <w:rPr>
          <w:sz w:val="22"/>
          <w:szCs w:val="22"/>
        </w:rPr>
        <w:t xml:space="preserve">for which a rate is assessed pursuant to section </w:t>
      </w:r>
      <w:r w:rsidRPr="000F787F">
        <w:rPr>
          <w:rFonts w:cs="Arial"/>
          <w:bCs/>
          <w:sz w:val="22"/>
          <w:szCs w:val="22"/>
        </w:rPr>
        <w:t>69.111(a)(2)(ii), excluding rates for tandem-related common and dedicated multiplexers and dedicated trunk ports if the carrier has separate rates for these multiplexers and ports.</w:t>
      </w:r>
    </w:p>
    <w:p w:rsidR="00CD2FAA" w:rsidRPr="000F787F" w:rsidRDefault="00CD2FAA" w:rsidP="00C66B84">
      <w:pPr>
        <w:ind w:left="720" w:hanging="720"/>
        <w:rPr>
          <w:rFonts w:cs="Arial"/>
          <w:bCs/>
          <w:sz w:val="22"/>
          <w:szCs w:val="22"/>
          <w:u w:val="single"/>
        </w:rPr>
      </w:pPr>
    </w:p>
    <w:p w:rsidR="00CD2FAA" w:rsidRPr="000F787F" w:rsidRDefault="00CD2FAA" w:rsidP="008F34EE">
      <w:pPr>
        <w:ind w:left="720" w:hanging="720"/>
        <w:rPr>
          <w:rFonts w:cs="Arial"/>
          <w:bCs/>
          <w:sz w:val="22"/>
          <w:szCs w:val="22"/>
        </w:rPr>
      </w:pPr>
      <w:r w:rsidRPr="000F787F">
        <w:rPr>
          <w:rFonts w:cs="Arial"/>
          <w:bCs/>
          <w:sz w:val="22"/>
          <w:szCs w:val="22"/>
        </w:rPr>
        <w:t>3</w:t>
      </w:r>
      <w:r w:rsidRPr="000F787F">
        <w:rPr>
          <w:rFonts w:cs="Arial"/>
          <w:bCs/>
          <w:sz w:val="22"/>
          <w:szCs w:val="22"/>
        </w:rPr>
        <w:tab/>
      </w:r>
      <w:r w:rsidRPr="000F787F">
        <w:rPr>
          <w:rFonts w:cs="Arial"/>
          <w:bCs/>
          <w:sz w:val="22"/>
          <w:szCs w:val="22"/>
          <w:u w:val="single"/>
        </w:rPr>
        <w:t>Tandem-Switched Transport – Common (excluding common multiplexers elements)</w:t>
      </w:r>
      <w:r w:rsidRPr="000F787F">
        <w:rPr>
          <w:rFonts w:cs="Arial"/>
          <w:bCs/>
          <w:sz w:val="22"/>
          <w:szCs w:val="22"/>
        </w:rPr>
        <w:t xml:space="preserve"> -  The interstate elements </w:t>
      </w:r>
      <w:r w:rsidRPr="000F787F">
        <w:rPr>
          <w:sz w:val="22"/>
          <w:szCs w:val="22"/>
        </w:rPr>
        <w:t xml:space="preserve">for which a rate is assessed </w:t>
      </w:r>
      <w:r w:rsidRPr="000F787F">
        <w:rPr>
          <w:rFonts w:cs="Arial"/>
          <w:bCs/>
          <w:sz w:val="22"/>
          <w:szCs w:val="22"/>
        </w:rPr>
        <w:t>for common transport between the end office and the tandem switching office pursuant to 69.111(a)(2)(i).</w:t>
      </w:r>
    </w:p>
    <w:p w:rsidR="00CD2FAA" w:rsidRPr="000F787F" w:rsidRDefault="00CD2FAA" w:rsidP="008F34EE">
      <w:pPr>
        <w:ind w:left="720" w:hanging="720"/>
        <w:rPr>
          <w:rFonts w:cs="Arial"/>
          <w:bCs/>
          <w:sz w:val="22"/>
          <w:szCs w:val="22"/>
        </w:rPr>
      </w:pPr>
    </w:p>
    <w:p w:rsidR="00CD2FAA" w:rsidRPr="000F787F" w:rsidRDefault="00CD2FAA" w:rsidP="008F34EE">
      <w:pPr>
        <w:ind w:left="720" w:hanging="720"/>
        <w:rPr>
          <w:rFonts w:cs="Arial"/>
          <w:bCs/>
          <w:sz w:val="22"/>
          <w:szCs w:val="22"/>
        </w:rPr>
      </w:pPr>
      <w:r w:rsidRPr="000F787F">
        <w:rPr>
          <w:rFonts w:cs="Arial"/>
          <w:bCs/>
          <w:sz w:val="22"/>
          <w:szCs w:val="22"/>
        </w:rPr>
        <w:t>4</w:t>
      </w:r>
      <w:r w:rsidRPr="000F787F">
        <w:rPr>
          <w:rFonts w:cs="Arial"/>
          <w:bCs/>
          <w:sz w:val="22"/>
          <w:szCs w:val="22"/>
        </w:rPr>
        <w:tab/>
      </w:r>
      <w:r w:rsidRPr="000F787F">
        <w:rPr>
          <w:rFonts w:cs="Arial"/>
          <w:bCs/>
          <w:sz w:val="22"/>
          <w:szCs w:val="22"/>
          <w:u w:val="single"/>
        </w:rPr>
        <w:t>Common Multiplexers</w:t>
      </w:r>
      <w:r w:rsidRPr="000F787F">
        <w:rPr>
          <w:rFonts w:cs="Arial"/>
          <w:bCs/>
          <w:sz w:val="22"/>
          <w:szCs w:val="22"/>
        </w:rPr>
        <w:t xml:space="preserve"> – The interstate elements </w:t>
      </w:r>
      <w:r w:rsidRPr="000F787F">
        <w:rPr>
          <w:sz w:val="22"/>
          <w:szCs w:val="22"/>
        </w:rPr>
        <w:t xml:space="preserve">for which rates are assessed </w:t>
      </w:r>
      <w:r w:rsidRPr="000F787F">
        <w:rPr>
          <w:rFonts w:cs="Arial"/>
          <w:bCs/>
          <w:sz w:val="22"/>
          <w:szCs w:val="22"/>
        </w:rPr>
        <w:t>for common multiplexers used on the end office side of the tandem switch pursuant to section 69.111(l)(1), if the carrier has separate rates for these multiplexers.</w:t>
      </w:r>
    </w:p>
    <w:p w:rsidR="00CD2FAA" w:rsidRPr="000F787F" w:rsidRDefault="00CD2FAA" w:rsidP="008F34EE">
      <w:pPr>
        <w:ind w:left="720" w:hanging="720"/>
        <w:rPr>
          <w:rFonts w:cs="Arial"/>
          <w:bCs/>
          <w:sz w:val="22"/>
          <w:szCs w:val="22"/>
        </w:rPr>
      </w:pPr>
    </w:p>
    <w:p w:rsidR="00CD2FAA" w:rsidRPr="000F787F" w:rsidRDefault="00CD2FAA" w:rsidP="00293944">
      <w:pPr>
        <w:ind w:left="720" w:hanging="720"/>
        <w:rPr>
          <w:rFonts w:cs="Arial"/>
          <w:bCs/>
          <w:sz w:val="22"/>
          <w:szCs w:val="22"/>
        </w:rPr>
      </w:pPr>
      <w:r w:rsidRPr="000F787F">
        <w:rPr>
          <w:rFonts w:cs="Arial"/>
          <w:bCs/>
          <w:sz w:val="22"/>
          <w:szCs w:val="22"/>
        </w:rPr>
        <w:t>5</w:t>
      </w:r>
      <w:r w:rsidRPr="000F787F">
        <w:rPr>
          <w:rFonts w:cs="Arial"/>
          <w:bCs/>
          <w:sz w:val="22"/>
          <w:szCs w:val="22"/>
        </w:rPr>
        <w:tab/>
      </w:r>
      <w:r w:rsidRPr="000F787F">
        <w:rPr>
          <w:bCs/>
          <w:sz w:val="22"/>
          <w:szCs w:val="22"/>
          <w:u w:val="single"/>
        </w:rPr>
        <w:t>Tandem-Switched Transport - Dedicated (excluding dedicated multiplexers and dedicated trunk ports elements)</w:t>
      </w:r>
      <w:r w:rsidRPr="000F787F">
        <w:rPr>
          <w:bCs/>
          <w:sz w:val="22"/>
          <w:szCs w:val="22"/>
        </w:rPr>
        <w:t xml:space="preserve"> – The interstate</w:t>
      </w:r>
      <w:r w:rsidRPr="000F787F">
        <w:rPr>
          <w:rFonts w:cs="Arial"/>
          <w:bCs/>
          <w:sz w:val="22"/>
          <w:szCs w:val="22"/>
        </w:rPr>
        <w:t xml:space="preserve"> elements for</w:t>
      </w:r>
      <w:r w:rsidRPr="000F787F">
        <w:rPr>
          <w:sz w:val="22"/>
          <w:szCs w:val="22"/>
        </w:rPr>
        <w:t xml:space="preserve"> which rates are assessed for </w:t>
      </w:r>
      <w:r w:rsidRPr="000F787F">
        <w:rPr>
          <w:rFonts w:cs="Arial"/>
          <w:bCs/>
          <w:sz w:val="22"/>
          <w:szCs w:val="22"/>
        </w:rPr>
        <w:t>dedicated transport between the serving wire center and the tandem switching office pursuant to section 69.111(a)(2)(iii).</w:t>
      </w:r>
    </w:p>
    <w:p w:rsidR="00CD2FAA" w:rsidRPr="000F787F" w:rsidRDefault="00CD2FAA" w:rsidP="00384AB7">
      <w:pPr>
        <w:ind w:left="720" w:hanging="720"/>
        <w:rPr>
          <w:rFonts w:cs="Arial"/>
          <w:bCs/>
          <w:sz w:val="22"/>
          <w:szCs w:val="22"/>
        </w:rPr>
      </w:pPr>
    </w:p>
    <w:p w:rsidR="00CD2FAA" w:rsidRPr="000F787F" w:rsidRDefault="00CD2FAA" w:rsidP="005D2292">
      <w:pPr>
        <w:ind w:left="720" w:hanging="720"/>
        <w:rPr>
          <w:rFonts w:cs="Arial"/>
          <w:bCs/>
          <w:sz w:val="22"/>
          <w:szCs w:val="22"/>
        </w:rPr>
      </w:pPr>
      <w:r w:rsidRPr="000F787F">
        <w:rPr>
          <w:rFonts w:cs="Arial"/>
          <w:bCs/>
          <w:sz w:val="22"/>
          <w:szCs w:val="22"/>
        </w:rPr>
        <w:t>6</w:t>
      </w:r>
      <w:r w:rsidRPr="000F787F">
        <w:rPr>
          <w:rFonts w:cs="Arial"/>
          <w:bCs/>
          <w:sz w:val="22"/>
          <w:szCs w:val="22"/>
        </w:rPr>
        <w:tab/>
      </w:r>
      <w:r w:rsidRPr="000F787F">
        <w:rPr>
          <w:rFonts w:cs="Arial"/>
          <w:bCs/>
          <w:sz w:val="22"/>
          <w:szCs w:val="22"/>
          <w:u w:val="single"/>
        </w:rPr>
        <w:t>Dedicated Multiplexers</w:t>
      </w:r>
      <w:r w:rsidRPr="000F787F">
        <w:rPr>
          <w:rFonts w:cs="Arial"/>
          <w:bCs/>
          <w:sz w:val="22"/>
          <w:szCs w:val="22"/>
        </w:rPr>
        <w:t xml:space="preserve"> – The interstate elements </w:t>
      </w:r>
      <w:r w:rsidRPr="000F787F">
        <w:rPr>
          <w:sz w:val="22"/>
          <w:szCs w:val="22"/>
        </w:rPr>
        <w:t xml:space="preserve">for which rates are assessed </w:t>
      </w:r>
      <w:r w:rsidRPr="000F787F">
        <w:rPr>
          <w:rFonts w:cs="Arial"/>
          <w:bCs/>
          <w:sz w:val="22"/>
          <w:szCs w:val="22"/>
        </w:rPr>
        <w:t>for dedicated multiplexers used on the serving wire center side of the tandem switch pursuant to sections 69.111(l)(2)(i) and 69.111(l)(2)(ii), if the carrier has separate rates for these multiplexers.</w:t>
      </w:r>
    </w:p>
    <w:p w:rsidR="00CD2FAA" w:rsidRPr="000F787F" w:rsidRDefault="00CD2FAA" w:rsidP="005D2292">
      <w:pPr>
        <w:ind w:left="720" w:hanging="720"/>
        <w:rPr>
          <w:rFonts w:cs="Arial"/>
          <w:bCs/>
          <w:sz w:val="22"/>
          <w:szCs w:val="22"/>
        </w:rPr>
      </w:pPr>
    </w:p>
    <w:p w:rsidR="00CD2FAA" w:rsidRPr="000F787F" w:rsidRDefault="00CD2FAA" w:rsidP="005423BE">
      <w:pPr>
        <w:ind w:left="720" w:hanging="720"/>
        <w:rPr>
          <w:rFonts w:cs="Arial"/>
          <w:bCs/>
          <w:sz w:val="22"/>
          <w:szCs w:val="22"/>
        </w:rPr>
      </w:pPr>
      <w:r w:rsidRPr="000F787F">
        <w:rPr>
          <w:rFonts w:cs="Arial"/>
          <w:bCs/>
          <w:sz w:val="22"/>
          <w:szCs w:val="22"/>
        </w:rPr>
        <w:t>7</w:t>
      </w:r>
      <w:r w:rsidRPr="000F787F">
        <w:rPr>
          <w:rFonts w:cs="Arial"/>
          <w:bCs/>
          <w:sz w:val="22"/>
          <w:szCs w:val="22"/>
        </w:rPr>
        <w:tab/>
      </w:r>
      <w:r w:rsidRPr="000F787F">
        <w:rPr>
          <w:rFonts w:cs="Arial"/>
          <w:bCs/>
          <w:sz w:val="22"/>
          <w:szCs w:val="22"/>
          <w:u w:val="single"/>
        </w:rPr>
        <w:t>Dedicated Trunk Ports</w:t>
      </w:r>
      <w:r w:rsidRPr="000F787F">
        <w:rPr>
          <w:rFonts w:cs="Arial"/>
          <w:bCs/>
          <w:sz w:val="22"/>
          <w:szCs w:val="22"/>
        </w:rPr>
        <w:t xml:space="preserve"> – The interstate elements for </w:t>
      </w:r>
      <w:r w:rsidRPr="000F787F">
        <w:rPr>
          <w:sz w:val="22"/>
          <w:szCs w:val="22"/>
        </w:rPr>
        <w:t xml:space="preserve">which rates are assessed for </w:t>
      </w:r>
      <w:r w:rsidRPr="000F787F">
        <w:rPr>
          <w:rFonts w:cs="Arial"/>
          <w:bCs/>
          <w:sz w:val="22"/>
          <w:szCs w:val="22"/>
        </w:rPr>
        <w:t>dedicated trunk ports on the serving wire center side of the tandem switch pursuant to section 69.111(l)(2)(i) and 69.111(l)(3), if the carrier has separate rates for these trunk ports.</w:t>
      </w:r>
    </w:p>
    <w:p w:rsidR="00CD2FAA" w:rsidRPr="000F787F" w:rsidRDefault="00CD2FAA" w:rsidP="005423BE">
      <w:pPr>
        <w:ind w:left="720" w:hanging="720"/>
        <w:rPr>
          <w:rFonts w:cs="Arial"/>
          <w:bCs/>
          <w:sz w:val="22"/>
          <w:szCs w:val="22"/>
        </w:rPr>
      </w:pPr>
    </w:p>
    <w:p w:rsidR="00CD2FAA" w:rsidRPr="000F787F" w:rsidRDefault="00CD2FAA" w:rsidP="005423BE">
      <w:pPr>
        <w:ind w:left="720" w:hanging="720"/>
        <w:rPr>
          <w:rFonts w:cs="Arial"/>
          <w:bCs/>
          <w:sz w:val="22"/>
          <w:szCs w:val="22"/>
        </w:rPr>
      </w:pPr>
      <w:r w:rsidRPr="000F787F">
        <w:rPr>
          <w:rFonts w:cs="Arial"/>
          <w:bCs/>
          <w:sz w:val="22"/>
          <w:szCs w:val="22"/>
        </w:rPr>
        <w:t>8</w:t>
      </w:r>
      <w:r w:rsidRPr="000F787F">
        <w:rPr>
          <w:rFonts w:cs="Arial"/>
          <w:bCs/>
          <w:sz w:val="22"/>
          <w:szCs w:val="22"/>
        </w:rPr>
        <w:tab/>
      </w:r>
      <w:r w:rsidRPr="000F787F">
        <w:rPr>
          <w:rFonts w:cs="Arial"/>
          <w:bCs/>
          <w:sz w:val="22"/>
          <w:szCs w:val="22"/>
          <w:u w:val="single"/>
        </w:rPr>
        <w:t>Total Tandem-Switched Transport and Tandem – Interstate</w:t>
      </w:r>
      <w:r w:rsidRPr="000F787F">
        <w:rPr>
          <w:rFonts w:cs="Arial"/>
          <w:bCs/>
          <w:sz w:val="22"/>
          <w:szCs w:val="22"/>
        </w:rPr>
        <w:t xml:space="preserve"> – </w:t>
      </w:r>
      <w:r w:rsidRPr="000F787F">
        <w:rPr>
          <w:sz w:val="22"/>
          <w:szCs w:val="22"/>
        </w:rPr>
        <w:t>The sum of rows 2 through 7.</w:t>
      </w:r>
    </w:p>
    <w:p w:rsidR="00CD2FAA" w:rsidRPr="000F787F" w:rsidRDefault="00CD2FAA" w:rsidP="005423BE">
      <w:pPr>
        <w:ind w:left="720" w:hanging="720"/>
        <w:rPr>
          <w:rFonts w:cs="Arial"/>
          <w:bCs/>
          <w:sz w:val="22"/>
          <w:szCs w:val="22"/>
        </w:rPr>
      </w:pPr>
    </w:p>
    <w:p w:rsidR="00CD2FAA" w:rsidRPr="000F787F" w:rsidRDefault="00CD2FAA" w:rsidP="005423BE">
      <w:pPr>
        <w:ind w:left="720" w:hanging="720"/>
        <w:rPr>
          <w:sz w:val="22"/>
          <w:szCs w:val="22"/>
        </w:rPr>
      </w:pPr>
      <w:r w:rsidRPr="000F787F">
        <w:rPr>
          <w:sz w:val="22"/>
          <w:szCs w:val="22"/>
        </w:rPr>
        <w:t>9-</w:t>
      </w:r>
      <w:r w:rsidRPr="000F787F">
        <w:rPr>
          <w:sz w:val="22"/>
          <w:szCs w:val="22"/>
        </w:rPr>
        <w:tab/>
      </w:r>
      <w:r w:rsidRPr="000F787F">
        <w:rPr>
          <w:rFonts w:cs="Arial"/>
          <w:bCs/>
          <w:sz w:val="22"/>
          <w:szCs w:val="22"/>
          <w:u w:val="single"/>
        </w:rPr>
        <w:t>Tandem-Switched Transport and Tandem</w:t>
      </w:r>
      <w:r w:rsidRPr="000F787F">
        <w:rPr>
          <w:sz w:val="22"/>
          <w:szCs w:val="22"/>
          <w:u w:val="single"/>
        </w:rPr>
        <w:t xml:space="preserve"> – Intrastate</w:t>
      </w:r>
      <w:r w:rsidRPr="000F787F">
        <w:rPr>
          <w:rFonts w:cs="Arial"/>
          <w:bCs/>
          <w:sz w:val="22"/>
          <w:szCs w:val="22"/>
        </w:rPr>
        <w:t xml:space="preserve"> – </w:t>
      </w:r>
      <w:r w:rsidRPr="000F787F">
        <w:rPr>
          <w:sz w:val="22"/>
          <w:szCs w:val="22"/>
        </w:rPr>
        <w:t xml:space="preserve">The intrastate functional </w:t>
      </w:r>
    </w:p>
    <w:p w:rsidR="00CD2FAA" w:rsidRPr="000F787F" w:rsidRDefault="00CD2FAA" w:rsidP="005423BE">
      <w:pPr>
        <w:ind w:left="720" w:hanging="720"/>
        <w:rPr>
          <w:sz w:val="22"/>
          <w:szCs w:val="22"/>
        </w:rPr>
      </w:pPr>
      <w:r w:rsidRPr="000F787F">
        <w:rPr>
          <w:sz w:val="22"/>
          <w:szCs w:val="22"/>
        </w:rPr>
        <w:t>61</w:t>
      </w:r>
      <w:r w:rsidRPr="000F787F">
        <w:rPr>
          <w:sz w:val="22"/>
          <w:szCs w:val="22"/>
        </w:rPr>
        <w:tab/>
        <w:t>equivalent of the interstate tandem-switched transport and tandem elements on rows 2 through 7.  Each row is for a different state.</w:t>
      </w:r>
    </w:p>
    <w:p w:rsidR="00CD2FAA" w:rsidRPr="000F787F" w:rsidRDefault="00CD2FAA" w:rsidP="005423BE">
      <w:pPr>
        <w:ind w:left="720" w:hanging="720"/>
        <w:rPr>
          <w:sz w:val="22"/>
          <w:szCs w:val="22"/>
        </w:rPr>
      </w:pPr>
    </w:p>
    <w:p w:rsidR="00CD2FAA" w:rsidRPr="000F787F" w:rsidRDefault="00CD2FAA" w:rsidP="005423BE">
      <w:pPr>
        <w:ind w:left="720" w:hanging="720"/>
        <w:rPr>
          <w:bCs/>
          <w:sz w:val="22"/>
          <w:szCs w:val="22"/>
        </w:rPr>
      </w:pPr>
      <w:r w:rsidRPr="000F787F">
        <w:rPr>
          <w:sz w:val="22"/>
          <w:szCs w:val="22"/>
        </w:rPr>
        <w:t>62</w:t>
      </w:r>
      <w:r w:rsidRPr="000F787F">
        <w:rPr>
          <w:sz w:val="22"/>
          <w:szCs w:val="22"/>
        </w:rPr>
        <w:tab/>
      </w:r>
      <w:r w:rsidRPr="000F787F">
        <w:rPr>
          <w:bCs/>
          <w:sz w:val="22"/>
          <w:szCs w:val="22"/>
          <w:u w:val="single"/>
        </w:rPr>
        <w:t>Total Tandem-Switched Transport and Tandem – Intrastate</w:t>
      </w:r>
      <w:r w:rsidRPr="000F787F">
        <w:rPr>
          <w:bCs/>
          <w:sz w:val="22"/>
          <w:szCs w:val="22"/>
        </w:rPr>
        <w:t xml:space="preserve"> – The sum of rows 9 through 61.</w:t>
      </w:r>
    </w:p>
    <w:p w:rsidR="00CD2FAA" w:rsidRPr="000F787F" w:rsidRDefault="00CD2FAA" w:rsidP="005423BE">
      <w:pPr>
        <w:ind w:left="720" w:hanging="720"/>
        <w:rPr>
          <w:bCs/>
          <w:sz w:val="22"/>
          <w:szCs w:val="22"/>
        </w:rPr>
      </w:pPr>
    </w:p>
    <w:p w:rsidR="00CD2FAA" w:rsidRPr="000F787F" w:rsidRDefault="00CD2FAA" w:rsidP="005423BE">
      <w:pPr>
        <w:ind w:left="720" w:hanging="720"/>
        <w:rPr>
          <w:sz w:val="22"/>
          <w:szCs w:val="22"/>
        </w:rPr>
      </w:pPr>
      <w:r w:rsidRPr="000F787F">
        <w:rPr>
          <w:bCs/>
          <w:sz w:val="22"/>
          <w:szCs w:val="22"/>
        </w:rPr>
        <w:t>63</w:t>
      </w:r>
      <w:r w:rsidRPr="000F787F">
        <w:rPr>
          <w:bCs/>
          <w:sz w:val="22"/>
          <w:szCs w:val="22"/>
        </w:rPr>
        <w:tab/>
      </w:r>
      <w:r w:rsidRPr="000F787F">
        <w:rPr>
          <w:bCs/>
          <w:sz w:val="22"/>
          <w:szCs w:val="22"/>
          <w:u w:val="single"/>
        </w:rPr>
        <w:t>Total Interstate and Intrastate Tandem-Switched Transport and Tandem</w:t>
      </w:r>
      <w:r w:rsidRPr="000F787F">
        <w:rPr>
          <w:bCs/>
          <w:sz w:val="22"/>
          <w:szCs w:val="22"/>
        </w:rPr>
        <w:t xml:space="preserve"> – </w:t>
      </w:r>
      <w:r w:rsidRPr="000F787F">
        <w:rPr>
          <w:sz w:val="22"/>
          <w:szCs w:val="22"/>
        </w:rPr>
        <w:t>The sum of rows 8 and 62.</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p>
    <w:p w:rsidR="00CD2FAA" w:rsidRPr="000F787F" w:rsidRDefault="00CD2FAA" w:rsidP="005423BE">
      <w:pPr>
        <w:ind w:left="720" w:hanging="720"/>
        <w:outlineLvl w:val="0"/>
        <w:rPr>
          <w:b/>
          <w:bCs/>
          <w:sz w:val="22"/>
          <w:szCs w:val="22"/>
        </w:rPr>
      </w:pPr>
      <w:r w:rsidRPr="000F787F">
        <w:rPr>
          <w:bCs/>
          <w:sz w:val="22"/>
          <w:szCs w:val="22"/>
        </w:rPr>
        <w:t xml:space="preserve">TAB “SignalTandem”: </w:t>
      </w:r>
      <w:r w:rsidRPr="000F787F">
        <w:rPr>
          <w:b/>
          <w:bCs/>
          <w:sz w:val="22"/>
          <w:szCs w:val="22"/>
        </w:rPr>
        <w:t>Signaling for Tandem Switching Rate Elements</w:t>
      </w:r>
    </w:p>
    <w:p w:rsidR="00CD2FAA" w:rsidRPr="000F787F" w:rsidRDefault="00CD2FAA" w:rsidP="005423BE">
      <w:pPr>
        <w:ind w:left="720" w:hanging="720"/>
        <w:rPr>
          <w:bCs/>
          <w:sz w:val="22"/>
          <w:szCs w:val="22"/>
        </w:rPr>
      </w:pPr>
    </w:p>
    <w:p w:rsidR="00CD2FAA" w:rsidRPr="000F787F" w:rsidRDefault="00CD2FAA" w:rsidP="005423BE">
      <w:pPr>
        <w:ind w:left="720" w:hanging="720"/>
        <w:rPr>
          <w:sz w:val="22"/>
          <w:szCs w:val="22"/>
        </w:rPr>
      </w:pPr>
      <w:r w:rsidRPr="000F787F">
        <w:rPr>
          <w:bCs/>
          <w:sz w:val="22"/>
          <w:szCs w:val="22"/>
        </w:rPr>
        <w:t>2</w:t>
      </w:r>
      <w:r w:rsidRPr="000F787F">
        <w:rPr>
          <w:bCs/>
          <w:sz w:val="22"/>
          <w:szCs w:val="22"/>
        </w:rPr>
        <w:tab/>
      </w:r>
      <w:r w:rsidRPr="000F787F">
        <w:rPr>
          <w:bCs/>
          <w:sz w:val="22"/>
          <w:szCs w:val="22"/>
          <w:u w:val="single"/>
        </w:rPr>
        <w:t>S</w:t>
      </w:r>
      <w:r w:rsidRPr="000F787F">
        <w:rPr>
          <w:sz w:val="22"/>
          <w:szCs w:val="22"/>
          <w:u w:val="single"/>
        </w:rPr>
        <w:t>ignaling for Tandem Switching – Interstate</w:t>
      </w:r>
      <w:r w:rsidRPr="000F787F">
        <w:rPr>
          <w:sz w:val="22"/>
          <w:szCs w:val="22"/>
        </w:rPr>
        <w:t xml:space="preserve"> – The interstate element for which a rate is assessed for signaling for tandem switching pursuant to section 69.129.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3-</w:t>
      </w:r>
      <w:r w:rsidRPr="000F787F">
        <w:rPr>
          <w:sz w:val="22"/>
          <w:szCs w:val="22"/>
        </w:rPr>
        <w:tab/>
      </w:r>
      <w:r w:rsidRPr="000F787F">
        <w:rPr>
          <w:bCs/>
          <w:sz w:val="22"/>
          <w:szCs w:val="22"/>
          <w:u w:val="single"/>
        </w:rPr>
        <w:t>S</w:t>
      </w:r>
      <w:r w:rsidRPr="000F787F">
        <w:rPr>
          <w:sz w:val="22"/>
          <w:szCs w:val="22"/>
          <w:u w:val="single"/>
        </w:rPr>
        <w:t>ignaling for Tandem Switching – Intrastate</w:t>
      </w:r>
      <w:r w:rsidRPr="000F787F">
        <w:rPr>
          <w:sz w:val="22"/>
          <w:szCs w:val="22"/>
        </w:rPr>
        <w:t xml:space="preserve"> – The intrastate functional equivalent </w:t>
      </w:r>
    </w:p>
    <w:p w:rsidR="00CD2FAA" w:rsidRPr="000F787F" w:rsidRDefault="00CD2FAA" w:rsidP="005423BE">
      <w:pPr>
        <w:ind w:left="720" w:hanging="720"/>
        <w:rPr>
          <w:sz w:val="22"/>
          <w:szCs w:val="22"/>
        </w:rPr>
      </w:pPr>
      <w:r w:rsidRPr="000F787F">
        <w:rPr>
          <w:sz w:val="22"/>
          <w:szCs w:val="22"/>
        </w:rPr>
        <w:t>55</w:t>
      </w:r>
      <w:r w:rsidRPr="000F787F">
        <w:rPr>
          <w:sz w:val="22"/>
          <w:szCs w:val="22"/>
        </w:rPr>
        <w:tab/>
        <w:t>of the interstate signaling for tandem switching element.  Each row is for a different state.</w:t>
      </w:r>
    </w:p>
    <w:p w:rsidR="00CD2FAA" w:rsidRPr="000F787F" w:rsidRDefault="00CD2FAA" w:rsidP="005423BE">
      <w:pPr>
        <w:ind w:left="720" w:hanging="720"/>
        <w:rPr>
          <w:sz w:val="22"/>
          <w:szCs w:val="22"/>
        </w:rPr>
      </w:pPr>
    </w:p>
    <w:p w:rsidR="00CD2FAA" w:rsidRPr="000F787F" w:rsidRDefault="00CD2FAA" w:rsidP="005423BE">
      <w:pPr>
        <w:ind w:left="720" w:hanging="720"/>
        <w:rPr>
          <w:bCs/>
          <w:sz w:val="22"/>
          <w:szCs w:val="22"/>
        </w:rPr>
      </w:pPr>
      <w:r w:rsidRPr="000F787F">
        <w:rPr>
          <w:bCs/>
          <w:sz w:val="22"/>
          <w:szCs w:val="22"/>
        </w:rPr>
        <w:t>56</w:t>
      </w:r>
      <w:r w:rsidRPr="000F787F">
        <w:rPr>
          <w:bCs/>
          <w:sz w:val="22"/>
          <w:szCs w:val="22"/>
        </w:rPr>
        <w:tab/>
      </w:r>
      <w:r w:rsidRPr="000F787F">
        <w:rPr>
          <w:bCs/>
          <w:sz w:val="22"/>
          <w:szCs w:val="22"/>
          <w:u w:val="single"/>
        </w:rPr>
        <w:t>Total Signaling for Tandem Switching – Intrastate</w:t>
      </w:r>
      <w:r w:rsidRPr="000F787F">
        <w:rPr>
          <w:bCs/>
          <w:sz w:val="22"/>
          <w:szCs w:val="22"/>
        </w:rPr>
        <w:t xml:space="preserve"> – The sum of rows 3 through 55. </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r w:rsidRPr="000F787F">
        <w:rPr>
          <w:bCs/>
          <w:sz w:val="22"/>
          <w:szCs w:val="22"/>
        </w:rPr>
        <w:t>57</w:t>
      </w:r>
      <w:r w:rsidRPr="000F787F">
        <w:rPr>
          <w:bCs/>
          <w:sz w:val="22"/>
          <w:szCs w:val="22"/>
        </w:rPr>
        <w:tab/>
      </w:r>
      <w:r w:rsidRPr="000F787F">
        <w:rPr>
          <w:bCs/>
          <w:sz w:val="22"/>
          <w:szCs w:val="22"/>
          <w:u w:val="single"/>
        </w:rPr>
        <w:t>Total Interstate and Intrastate Signaling for Tandem Switching</w:t>
      </w:r>
      <w:r w:rsidRPr="000F787F">
        <w:rPr>
          <w:bCs/>
          <w:sz w:val="22"/>
          <w:szCs w:val="22"/>
        </w:rPr>
        <w:t xml:space="preserve"> – The sum of rows 2 and 56.</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p>
    <w:p w:rsidR="00CD2FAA" w:rsidRPr="000F787F" w:rsidRDefault="00CD2FAA" w:rsidP="00141B2B">
      <w:pPr>
        <w:ind w:left="720" w:hanging="720"/>
        <w:outlineLvl w:val="0"/>
        <w:rPr>
          <w:b/>
          <w:bCs/>
          <w:sz w:val="22"/>
          <w:szCs w:val="22"/>
        </w:rPr>
      </w:pPr>
      <w:r w:rsidRPr="000F787F">
        <w:rPr>
          <w:bCs/>
          <w:sz w:val="22"/>
          <w:szCs w:val="22"/>
        </w:rPr>
        <w:t xml:space="preserve">TAB “DrctTrnkTrans”: </w:t>
      </w:r>
      <w:r w:rsidRPr="000F787F">
        <w:rPr>
          <w:b/>
          <w:bCs/>
          <w:sz w:val="22"/>
          <w:szCs w:val="22"/>
        </w:rPr>
        <w:t>Direct-Trunked Transport Rate Elements</w:t>
      </w:r>
    </w:p>
    <w:p w:rsidR="00CD2FAA" w:rsidRPr="000F787F" w:rsidRDefault="00CD2FAA" w:rsidP="00D55F30">
      <w:pPr>
        <w:ind w:left="720" w:hanging="720"/>
        <w:rPr>
          <w:b/>
          <w:bCs/>
          <w:sz w:val="22"/>
          <w:szCs w:val="22"/>
        </w:rPr>
      </w:pPr>
    </w:p>
    <w:p w:rsidR="00CD2FAA" w:rsidRPr="000F787F" w:rsidRDefault="00CD2FAA" w:rsidP="00207F02">
      <w:pPr>
        <w:ind w:left="720" w:hanging="720"/>
        <w:rPr>
          <w:sz w:val="22"/>
          <w:szCs w:val="22"/>
        </w:rPr>
      </w:pPr>
      <w:r w:rsidRPr="000F787F">
        <w:rPr>
          <w:bCs/>
          <w:sz w:val="22"/>
          <w:szCs w:val="22"/>
        </w:rPr>
        <w:t>2</w:t>
      </w:r>
      <w:r w:rsidRPr="000F787F">
        <w:rPr>
          <w:bCs/>
          <w:sz w:val="22"/>
          <w:szCs w:val="22"/>
        </w:rPr>
        <w:tab/>
      </w:r>
      <w:r w:rsidRPr="000F787F">
        <w:rPr>
          <w:bCs/>
          <w:sz w:val="22"/>
          <w:szCs w:val="22"/>
          <w:u w:val="single"/>
        </w:rPr>
        <w:t>Direct-Trunked Transport</w:t>
      </w:r>
      <w:r w:rsidRPr="000F787F">
        <w:rPr>
          <w:sz w:val="22"/>
          <w:szCs w:val="22"/>
          <w:u w:val="single"/>
        </w:rPr>
        <w:t xml:space="preserve"> – Interstate</w:t>
      </w:r>
      <w:r w:rsidRPr="000F787F">
        <w:rPr>
          <w:sz w:val="22"/>
          <w:szCs w:val="22"/>
        </w:rPr>
        <w:t xml:space="preserve"> – The interstate elements for which rates are assessed for direct-trunked transport pursuant to section 69.112. </w:t>
      </w:r>
    </w:p>
    <w:p w:rsidR="00CD2FAA" w:rsidRPr="000F787F" w:rsidRDefault="00CD2FAA" w:rsidP="00C66B84">
      <w:pPr>
        <w:ind w:left="720" w:hanging="720"/>
        <w:rPr>
          <w:sz w:val="22"/>
          <w:szCs w:val="22"/>
        </w:rPr>
      </w:pPr>
    </w:p>
    <w:p w:rsidR="00CD2FAA" w:rsidRPr="000F787F" w:rsidRDefault="00CD2FAA" w:rsidP="008F34EE">
      <w:pPr>
        <w:ind w:left="720" w:hanging="720"/>
        <w:rPr>
          <w:sz w:val="22"/>
          <w:szCs w:val="22"/>
        </w:rPr>
      </w:pPr>
      <w:r w:rsidRPr="000F787F">
        <w:rPr>
          <w:sz w:val="22"/>
          <w:szCs w:val="22"/>
        </w:rPr>
        <w:t>3-</w:t>
      </w:r>
      <w:r w:rsidRPr="000F787F">
        <w:rPr>
          <w:sz w:val="22"/>
          <w:szCs w:val="22"/>
        </w:rPr>
        <w:tab/>
      </w:r>
      <w:r w:rsidRPr="000F787F">
        <w:rPr>
          <w:bCs/>
          <w:sz w:val="22"/>
          <w:szCs w:val="22"/>
          <w:u w:val="single"/>
        </w:rPr>
        <w:t>Direct-Trunked Transport</w:t>
      </w:r>
      <w:r w:rsidRPr="000F787F">
        <w:rPr>
          <w:sz w:val="22"/>
          <w:szCs w:val="22"/>
          <w:u w:val="single"/>
        </w:rPr>
        <w:t xml:space="preserve"> – Intrastate</w:t>
      </w:r>
      <w:r w:rsidRPr="000F787F">
        <w:rPr>
          <w:sz w:val="22"/>
          <w:szCs w:val="22"/>
        </w:rPr>
        <w:t xml:space="preserve"> – The intrastate functional equivalent of the </w:t>
      </w:r>
    </w:p>
    <w:p w:rsidR="00CD2FAA" w:rsidRPr="000F787F" w:rsidRDefault="00CD2FAA" w:rsidP="008F34EE">
      <w:pPr>
        <w:ind w:left="720" w:hanging="720"/>
        <w:rPr>
          <w:sz w:val="22"/>
          <w:szCs w:val="22"/>
        </w:rPr>
      </w:pPr>
      <w:r w:rsidRPr="000F787F">
        <w:rPr>
          <w:sz w:val="22"/>
          <w:szCs w:val="22"/>
        </w:rPr>
        <w:t>55</w:t>
      </w:r>
      <w:r w:rsidRPr="000F787F">
        <w:rPr>
          <w:sz w:val="22"/>
          <w:szCs w:val="22"/>
        </w:rPr>
        <w:tab/>
        <w:t>interstate direct-trunked transport elements.  Each row is for a different state.</w:t>
      </w:r>
    </w:p>
    <w:p w:rsidR="00CD2FAA" w:rsidRPr="000F787F" w:rsidRDefault="00CD2FAA" w:rsidP="008F34EE">
      <w:pPr>
        <w:ind w:left="720" w:hanging="720"/>
        <w:rPr>
          <w:sz w:val="22"/>
          <w:szCs w:val="22"/>
        </w:rPr>
      </w:pPr>
    </w:p>
    <w:p w:rsidR="00CD2FAA" w:rsidRPr="000F787F" w:rsidRDefault="00CD2FAA" w:rsidP="008F34EE">
      <w:pPr>
        <w:ind w:left="720" w:hanging="720"/>
        <w:rPr>
          <w:bCs/>
          <w:sz w:val="22"/>
          <w:szCs w:val="22"/>
        </w:rPr>
      </w:pPr>
      <w:r w:rsidRPr="000F787F">
        <w:rPr>
          <w:bCs/>
          <w:sz w:val="22"/>
          <w:szCs w:val="22"/>
        </w:rPr>
        <w:t>56</w:t>
      </w:r>
      <w:r w:rsidRPr="000F787F">
        <w:rPr>
          <w:bCs/>
          <w:sz w:val="22"/>
          <w:szCs w:val="22"/>
        </w:rPr>
        <w:tab/>
      </w:r>
      <w:r w:rsidRPr="000F787F">
        <w:rPr>
          <w:bCs/>
          <w:sz w:val="22"/>
          <w:szCs w:val="22"/>
          <w:u w:val="single"/>
        </w:rPr>
        <w:t>Total Direct-Trunked Transport</w:t>
      </w:r>
      <w:r w:rsidRPr="000F787F">
        <w:rPr>
          <w:sz w:val="22"/>
          <w:szCs w:val="22"/>
          <w:u w:val="single"/>
        </w:rPr>
        <w:t xml:space="preserve"> - Intra</w:t>
      </w:r>
      <w:r w:rsidRPr="000F787F">
        <w:rPr>
          <w:bCs/>
          <w:sz w:val="22"/>
          <w:szCs w:val="22"/>
          <w:u w:val="single"/>
        </w:rPr>
        <w:t>state</w:t>
      </w:r>
      <w:r w:rsidRPr="000F787F">
        <w:rPr>
          <w:bCs/>
          <w:sz w:val="22"/>
          <w:szCs w:val="22"/>
        </w:rPr>
        <w:t xml:space="preserve"> – The sum of rows 3 through 55.</w:t>
      </w:r>
    </w:p>
    <w:p w:rsidR="00CD2FAA" w:rsidRPr="000F787F" w:rsidRDefault="00CD2FAA" w:rsidP="00293944">
      <w:pPr>
        <w:ind w:left="720" w:hanging="720"/>
        <w:rPr>
          <w:bCs/>
          <w:sz w:val="22"/>
          <w:szCs w:val="22"/>
        </w:rPr>
      </w:pPr>
    </w:p>
    <w:p w:rsidR="00CD2FAA" w:rsidRPr="000F787F" w:rsidRDefault="00CD2FAA" w:rsidP="00293944">
      <w:pPr>
        <w:ind w:left="720" w:hanging="720"/>
        <w:rPr>
          <w:bCs/>
          <w:sz w:val="22"/>
          <w:szCs w:val="22"/>
        </w:rPr>
      </w:pPr>
      <w:r w:rsidRPr="000F787F">
        <w:rPr>
          <w:bCs/>
          <w:sz w:val="22"/>
          <w:szCs w:val="22"/>
        </w:rPr>
        <w:t>57</w:t>
      </w:r>
      <w:r w:rsidRPr="000F787F">
        <w:rPr>
          <w:bCs/>
          <w:sz w:val="22"/>
          <w:szCs w:val="22"/>
        </w:rPr>
        <w:tab/>
      </w:r>
      <w:r w:rsidRPr="000F787F">
        <w:rPr>
          <w:bCs/>
          <w:sz w:val="22"/>
          <w:szCs w:val="22"/>
          <w:u w:val="single"/>
        </w:rPr>
        <w:t>Total Interstate and Intrastate Direct-Trunked Transport</w:t>
      </w:r>
      <w:r w:rsidRPr="000F787F">
        <w:rPr>
          <w:sz w:val="22"/>
          <w:szCs w:val="22"/>
          <w:u w:val="single"/>
        </w:rPr>
        <w:t xml:space="preserve"> </w:t>
      </w:r>
      <w:r w:rsidRPr="000F787F">
        <w:rPr>
          <w:bCs/>
          <w:sz w:val="22"/>
          <w:szCs w:val="22"/>
        </w:rPr>
        <w:t>– The sum of rows 2 and 56.</w:t>
      </w:r>
    </w:p>
    <w:p w:rsidR="00CD2FAA" w:rsidRPr="000F787F" w:rsidRDefault="00CD2FAA" w:rsidP="00384AB7">
      <w:pPr>
        <w:ind w:left="720" w:hanging="720"/>
        <w:rPr>
          <w:bCs/>
          <w:sz w:val="22"/>
          <w:szCs w:val="22"/>
        </w:rPr>
      </w:pPr>
    </w:p>
    <w:p w:rsidR="00CD2FAA" w:rsidRPr="000F787F" w:rsidRDefault="00CD2FAA" w:rsidP="005D2292">
      <w:pPr>
        <w:ind w:left="720" w:hanging="720"/>
        <w:rPr>
          <w:bCs/>
          <w:sz w:val="22"/>
          <w:szCs w:val="22"/>
        </w:rPr>
      </w:pPr>
    </w:p>
    <w:p w:rsidR="00CD2FAA" w:rsidRPr="000F787F" w:rsidRDefault="00CD2FAA" w:rsidP="00141B2B">
      <w:pPr>
        <w:ind w:left="720" w:hanging="720"/>
        <w:outlineLvl w:val="0"/>
        <w:rPr>
          <w:b/>
          <w:bCs/>
          <w:sz w:val="22"/>
          <w:szCs w:val="22"/>
        </w:rPr>
      </w:pPr>
      <w:r w:rsidRPr="000F787F">
        <w:rPr>
          <w:bCs/>
          <w:sz w:val="22"/>
          <w:szCs w:val="22"/>
        </w:rPr>
        <w:t xml:space="preserve">TAB “DedSigTrans”: </w:t>
      </w:r>
      <w:r w:rsidRPr="000F787F">
        <w:rPr>
          <w:b/>
          <w:bCs/>
          <w:sz w:val="22"/>
          <w:szCs w:val="22"/>
        </w:rPr>
        <w:t>Dedicated Signaling Transport Rate Elements</w:t>
      </w:r>
    </w:p>
    <w:p w:rsidR="00CD2FAA" w:rsidRPr="000F787F" w:rsidRDefault="00CD2FAA" w:rsidP="00D55F30">
      <w:pPr>
        <w:ind w:left="720" w:hanging="720"/>
        <w:rPr>
          <w:b/>
          <w:bCs/>
          <w:sz w:val="22"/>
          <w:szCs w:val="22"/>
        </w:rPr>
      </w:pPr>
    </w:p>
    <w:p w:rsidR="00CD2FAA" w:rsidRPr="000F787F" w:rsidRDefault="00CD2FAA" w:rsidP="00207F02">
      <w:pPr>
        <w:ind w:left="720" w:hanging="720"/>
        <w:rPr>
          <w:sz w:val="22"/>
          <w:szCs w:val="22"/>
        </w:rPr>
      </w:pPr>
      <w:r w:rsidRPr="000F787F">
        <w:rPr>
          <w:bCs/>
          <w:sz w:val="22"/>
          <w:szCs w:val="22"/>
        </w:rPr>
        <w:t>2</w:t>
      </w:r>
      <w:r w:rsidRPr="000F787F">
        <w:rPr>
          <w:bCs/>
          <w:sz w:val="22"/>
          <w:szCs w:val="22"/>
        </w:rPr>
        <w:tab/>
      </w:r>
      <w:r w:rsidRPr="000F787F">
        <w:rPr>
          <w:bCs/>
          <w:sz w:val="22"/>
          <w:szCs w:val="22"/>
          <w:u w:val="single"/>
        </w:rPr>
        <w:t>Dedicated Signaling Transport</w:t>
      </w:r>
      <w:r w:rsidRPr="000F787F">
        <w:rPr>
          <w:sz w:val="22"/>
          <w:szCs w:val="22"/>
          <w:u w:val="single"/>
        </w:rPr>
        <w:t xml:space="preserve"> – Interstate</w:t>
      </w:r>
      <w:r w:rsidRPr="000F787F">
        <w:rPr>
          <w:sz w:val="22"/>
          <w:szCs w:val="22"/>
        </w:rPr>
        <w:t xml:space="preserve"> – The interstate elements for which rates are assessed for dedicated signaling transport pursuant to section 69.125. </w:t>
      </w:r>
    </w:p>
    <w:p w:rsidR="00CD2FAA" w:rsidRPr="000F787F" w:rsidRDefault="00CD2FAA" w:rsidP="00C66B84">
      <w:pPr>
        <w:ind w:left="720" w:hanging="720"/>
        <w:rPr>
          <w:sz w:val="22"/>
          <w:szCs w:val="22"/>
        </w:rPr>
      </w:pPr>
    </w:p>
    <w:p w:rsidR="00CD2FAA" w:rsidRPr="000F787F" w:rsidRDefault="00CD2FAA" w:rsidP="008F34EE">
      <w:pPr>
        <w:ind w:left="720" w:hanging="720"/>
        <w:rPr>
          <w:sz w:val="22"/>
          <w:szCs w:val="22"/>
        </w:rPr>
      </w:pPr>
      <w:r w:rsidRPr="000F787F">
        <w:rPr>
          <w:sz w:val="22"/>
          <w:szCs w:val="22"/>
        </w:rPr>
        <w:t>3-</w:t>
      </w:r>
      <w:r w:rsidRPr="000F787F">
        <w:rPr>
          <w:sz w:val="22"/>
          <w:szCs w:val="22"/>
        </w:rPr>
        <w:tab/>
      </w:r>
      <w:r w:rsidRPr="000F787F">
        <w:rPr>
          <w:bCs/>
          <w:sz w:val="22"/>
          <w:szCs w:val="22"/>
          <w:u w:val="single"/>
        </w:rPr>
        <w:t>Dedicated Signaling Transport - Intrastate</w:t>
      </w:r>
      <w:r w:rsidRPr="000F787F">
        <w:rPr>
          <w:bCs/>
          <w:sz w:val="22"/>
          <w:szCs w:val="22"/>
        </w:rPr>
        <w:t xml:space="preserve"> – </w:t>
      </w:r>
      <w:r w:rsidRPr="000F787F">
        <w:rPr>
          <w:sz w:val="22"/>
          <w:szCs w:val="22"/>
        </w:rPr>
        <w:t xml:space="preserve">The intrastate functional equivalent </w:t>
      </w:r>
    </w:p>
    <w:p w:rsidR="00CD2FAA" w:rsidRPr="000F787F" w:rsidRDefault="00CD2FAA" w:rsidP="008F34EE">
      <w:pPr>
        <w:ind w:left="720" w:hanging="720"/>
        <w:rPr>
          <w:sz w:val="22"/>
          <w:szCs w:val="22"/>
        </w:rPr>
      </w:pPr>
      <w:r w:rsidRPr="000F787F">
        <w:rPr>
          <w:sz w:val="22"/>
          <w:szCs w:val="22"/>
        </w:rPr>
        <w:t>55</w:t>
      </w:r>
      <w:r w:rsidRPr="000F787F">
        <w:rPr>
          <w:sz w:val="22"/>
          <w:szCs w:val="22"/>
        </w:rPr>
        <w:tab/>
        <w:t>of the interstate dedicated signaling transport elements.  Each row is for a different state.</w:t>
      </w:r>
    </w:p>
    <w:p w:rsidR="00CD2FAA" w:rsidRPr="000F787F" w:rsidRDefault="00CD2FAA" w:rsidP="008F34EE">
      <w:pPr>
        <w:ind w:left="720" w:hanging="720"/>
        <w:rPr>
          <w:sz w:val="22"/>
          <w:szCs w:val="22"/>
        </w:rPr>
      </w:pPr>
    </w:p>
    <w:p w:rsidR="00CD2FAA" w:rsidRPr="000F787F" w:rsidRDefault="00CD2FAA" w:rsidP="008F34EE">
      <w:pPr>
        <w:ind w:left="720" w:hanging="720"/>
        <w:rPr>
          <w:bCs/>
          <w:sz w:val="22"/>
          <w:szCs w:val="22"/>
        </w:rPr>
      </w:pPr>
      <w:r w:rsidRPr="000F787F">
        <w:rPr>
          <w:bCs/>
          <w:sz w:val="22"/>
          <w:szCs w:val="22"/>
        </w:rPr>
        <w:t>56</w:t>
      </w:r>
      <w:r w:rsidRPr="000F787F">
        <w:rPr>
          <w:bCs/>
          <w:sz w:val="22"/>
          <w:szCs w:val="22"/>
        </w:rPr>
        <w:tab/>
      </w:r>
      <w:r w:rsidRPr="000F787F">
        <w:rPr>
          <w:bCs/>
          <w:sz w:val="22"/>
          <w:szCs w:val="22"/>
          <w:u w:val="single"/>
        </w:rPr>
        <w:t>Total Dedicated Signaling Transport</w:t>
      </w:r>
      <w:r w:rsidRPr="000F787F">
        <w:rPr>
          <w:sz w:val="22"/>
          <w:szCs w:val="22"/>
          <w:u w:val="single"/>
        </w:rPr>
        <w:t xml:space="preserve"> – Intra</w:t>
      </w:r>
      <w:r w:rsidRPr="000F787F">
        <w:rPr>
          <w:bCs/>
          <w:sz w:val="22"/>
          <w:szCs w:val="22"/>
          <w:u w:val="single"/>
        </w:rPr>
        <w:t>state</w:t>
      </w:r>
      <w:r w:rsidRPr="000F787F">
        <w:rPr>
          <w:bCs/>
          <w:sz w:val="22"/>
          <w:szCs w:val="22"/>
        </w:rPr>
        <w:t xml:space="preserve"> – The sum of rows 3 through 55.</w:t>
      </w:r>
    </w:p>
    <w:p w:rsidR="00CD2FAA" w:rsidRPr="000F787F" w:rsidRDefault="00CD2FAA" w:rsidP="00293944">
      <w:pPr>
        <w:ind w:left="720" w:hanging="720"/>
        <w:rPr>
          <w:bCs/>
          <w:sz w:val="22"/>
          <w:szCs w:val="22"/>
        </w:rPr>
      </w:pPr>
    </w:p>
    <w:p w:rsidR="00CD2FAA" w:rsidRPr="000F787F" w:rsidRDefault="00CD2FAA" w:rsidP="00717BDD">
      <w:pPr>
        <w:ind w:left="720" w:hanging="720"/>
        <w:rPr>
          <w:bCs/>
          <w:sz w:val="22"/>
          <w:szCs w:val="22"/>
        </w:rPr>
      </w:pPr>
      <w:r w:rsidRPr="000F787F">
        <w:rPr>
          <w:bCs/>
          <w:sz w:val="22"/>
          <w:szCs w:val="22"/>
        </w:rPr>
        <w:t>57</w:t>
      </w:r>
      <w:r w:rsidRPr="000F787F">
        <w:rPr>
          <w:bCs/>
          <w:sz w:val="22"/>
          <w:szCs w:val="22"/>
        </w:rPr>
        <w:tab/>
      </w:r>
      <w:r w:rsidRPr="000F787F">
        <w:rPr>
          <w:bCs/>
          <w:sz w:val="22"/>
          <w:szCs w:val="22"/>
          <w:u w:val="single"/>
        </w:rPr>
        <w:t>Total Interstate and Intrastate Dedicated Signaling Transport</w:t>
      </w:r>
      <w:r w:rsidRPr="000F787F">
        <w:rPr>
          <w:sz w:val="22"/>
          <w:szCs w:val="22"/>
          <w:u w:val="single"/>
        </w:rPr>
        <w:t xml:space="preserve"> </w:t>
      </w:r>
      <w:r w:rsidRPr="000F787F">
        <w:rPr>
          <w:bCs/>
          <w:sz w:val="22"/>
          <w:szCs w:val="22"/>
        </w:rPr>
        <w:t>– The sum of rows 2 and 56.</w:t>
      </w:r>
    </w:p>
    <w:p w:rsidR="00CD2FAA" w:rsidRPr="000F787F" w:rsidRDefault="00CD2FAA" w:rsidP="00384AB7">
      <w:pPr>
        <w:ind w:left="720" w:hanging="720"/>
        <w:rPr>
          <w:b/>
          <w:bCs/>
          <w:sz w:val="22"/>
          <w:szCs w:val="22"/>
        </w:rPr>
      </w:pPr>
    </w:p>
    <w:p w:rsidR="00CD2FAA" w:rsidRPr="000F787F" w:rsidRDefault="00CD2FAA" w:rsidP="00141B2B">
      <w:pPr>
        <w:ind w:left="720" w:hanging="720"/>
        <w:rPr>
          <w:bCs/>
          <w:sz w:val="22"/>
          <w:szCs w:val="22"/>
        </w:rPr>
      </w:pPr>
    </w:p>
    <w:p w:rsidR="00CD2FAA" w:rsidRPr="000F787F" w:rsidRDefault="00CD2FAA" w:rsidP="00141B2B">
      <w:pPr>
        <w:ind w:left="720" w:hanging="720"/>
        <w:rPr>
          <w:b/>
          <w:bCs/>
          <w:sz w:val="22"/>
          <w:szCs w:val="22"/>
        </w:rPr>
      </w:pPr>
      <w:r w:rsidRPr="000F787F">
        <w:rPr>
          <w:bCs/>
          <w:sz w:val="22"/>
          <w:szCs w:val="22"/>
        </w:rPr>
        <w:t xml:space="preserve">TAB “EntFac”: </w:t>
      </w:r>
      <w:r w:rsidRPr="000F787F">
        <w:rPr>
          <w:b/>
          <w:bCs/>
          <w:sz w:val="22"/>
          <w:szCs w:val="22"/>
        </w:rPr>
        <w:t>Entrance Facilities Rate Elements</w:t>
      </w:r>
    </w:p>
    <w:p w:rsidR="00CD2FAA" w:rsidRPr="000F787F" w:rsidRDefault="00CD2FAA" w:rsidP="00141B2B">
      <w:pPr>
        <w:ind w:left="720" w:hanging="720"/>
        <w:rPr>
          <w:b/>
          <w:bCs/>
          <w:sz w:val="22"/>
          <w:szCs w:val="22"/>
        </w:rPr>
      </w:pPr>
    </w:p>
    <w:p w:rsidR="00CD2FAA" w:rsidRPr="000F787F" w:rsidRDefault="00CD2FAA" w:rsidP="00D55F30">
      <w:pPr>
        <w:ind w:left="720" w:hanging="720"/>
        <w:rPr>
          <w:sz w:val="22"/>
          <w:szCs w:val="22"/>
        </w:rPr>
      </w:pPr>
      <w:r w:rsidRPr="000F787F">
        <w:rPr>
          <w:bCs/>
          <w:sz w:val="22"/>
          <w:szCs w:val="22"/>
        </w:rPr>
        <w:t>2</w:t>
      </w:r>
      <w:r w:rsidRPr="000F787F">
        <w:rPr>
          <w:bCs/>
          <w:sz w:val="22"/>
          <w:szCs w:val="22"/>
        </w:rPr>
        <w:tab/>
      </w:r>
      <w:r w:rsidRPr="000F787F">
        <w:rPr>
          <w:bCs/>
          <w:sz w:val="22"/>
          <w:szCs w:val="22"/>
          <w:u w:val="single"/>
        </w:rPr>
        <w:t>Entrance Facilities</w:t>
      </w:r>
      <w:r w:rsidRPr="000F787F">
        <w:rPr>
          <w:sz w:val="22"/>
          <w:szCs w:val="22"/>
          <w:u w:val="single"/>
        </w:rPr>
        <w:t xml:space="preserve"> – Interstate</w:t>
      </w:r>
      <w:r w:rsidRPr="000F787F">
        <w:rPr>
          <w:sz w:val="22"/>
          <w:szCs w:val="22"/>
        </w:rPr>
        <w:t xml:space="preserve"> – The interstate elements for which rates are assessed for entrance facilities pursuant to section 69.110. </w:t>
      </w:r>
    </w:p>
    <w:p w:rsidR="00CD2FAA" w:rsidRPr="000F787F" w:rsidRDefault="00CD2FAA" w:rsidP="00207F02">
      <w:pPr>
        <w:ind w:left="720" w:hanging="720"/>
        <w:rPr>
          <w:sz w:val="22"/>
          <w:szCs w:val="22"/>
        </w:rPr>
      </w:pPr>
    </w:p>
    <w:p w:rsidR="00CD2FAA" w:rsidRPr="000F787F" w:rsidRDefault="00CD2FAA" w:rsidP="00C66B84">
      <w:pPr>
        <w:ind w:left="720" w:hanging="720"/>
        <w:rPr>
          <w:sz w:val="22"/>
          <w:szCs w:val="22"/>
        </w:rPr>
      </w:pPr>
      <w:r w:rsidRPr="000F787F">
        <w:rPr>
          <w:sz w:val="22"/>
          <w:szCs w:val="22"/>
        </w:rPr>
        <w:t>3-</w:t>
      </w:r>
      <w:r w:rsidRPr="000F787F">
        <w:rPr>
          <w:sz w:val="22"/>
          <w:szCs w:val="22"/>
        </w:rPr>
        <w:tab/>
      </w:r>
      <w:r w:rsidRPr="000F787F">
        <w:rPr>
          <w:bCs/>
          <w:sz w:val="22"/>
          <w:szCs w:val="22"/>
          <w:u w:val="single"/>
        </w:rPr>
        <w:t>Entrance Facilities</w:t>
      </w:r>
      <w:r w:rsidRPr="000F787F">
        <w:rPr>
          <w:sz w:val="22"/>
          <w:szCs w:val="22"/>
          <w:u w:val="single"/>
        </w:rPr>
        <w:t xml:space="preserve"> – Intrastate</w:t>
      </w:r>
      <w:r w:rsidRPr="000F787F">
        <w:rPr>
          <w:sz w:val="22"/>
          <w:szCs w:val="22"/>
        </w:rPr>
        <w:t xml:space="preserve"> – The intrastate functional equivalent of the </w:t>
      </w:r>
    </w:p>
    <w:p w:rsidR="00CD2FAA" w:rsidRPr="000F787F" w:rsidRDefault="00CD2FAA" w:rsidP="008F34EE">
      <w:pPr>
        <w:ind w:left="720" w:hanging="720"/>
        <w:rPr>
          <w:sz w:val="22"/>
          <w:szCs w:val="22"/>
        </w:rPr>
      </w:pPr>
      <w:r w:rsidRPr="000F787F">
        <w:rPr>
          <w:sz w:val="22"/>
          <w:szCs w:val="22"/>
        </w:rPr>
        <w:t>55</w:t>
      </w:r>
      <w:r w:rsidRPr="000F787F">
        <w:rPr>
          <w:sz w:val="22"/>
          <w:szCs w:val="22"/>
        </w:rPr>
        <w:tab/>
        <w:t>interstate entrance facilities elements.  Each row is for a different state.</w:t>
      </w:r>
    </w:p>
    <w:p w:rsidR="00CD2FAA" w:rsidRPr="000F787F" w:rsidRDefault="00CD2FAA" w:rsidP="008F34EE">
      <w:pPr>
        <w:ind w:left="720" w:hanging="720"/>
        <w:rPr>
          <w:sz w:val="22"/>
          <w:szCs w:val="22"/>
        </w:rPr>
      </w:pPr>
    </w:p>
    <w:p w:rsidR="00CD2FAA" w:rsidRPr="000F787F" w:rsidRDefault="00CD2FAA" w:rsidP="008F34EE">
      <w:pPr>
        <w:ind w:left="720" w:hanging="720"/>
        <w:rPr>
          <w:bCs/>
          <w:sz w:val="22"/>
          <w:szCs w:val="22"/>
        </w:rPr>
      </w:pPr>
      <w:r w:rsidRPr="000F787F">
        <w:rPr>
          <w:bCs/>
          <w:sz w:val="22"/>
          <w:szCs w:val="22"/>
        </w:rPr>
        <w:t>56</w:t>
      </w:r>
      <w:r w:rsidRPr="000F787F">
        <w:rPr>
          <w:bCs/>
          <w:sz w:val="22"/>
          <w:szCs w:val="22"/>
        </w:rPr>
        <w:tab/>
      </w:r>
      <w:r w:rsidRPr="000F787F">
        <w:rPr>
          <w:bCs/>
          <w:sz w:val="22"/>
          <w:szCs w:val="22"/>
          <w:u w:val="single"/>
        </w:rPr>
        <w:t>Total Entrance Facilities</w:t>
      </w:r>
      <w:r w:rsidRPr="000F787F">
        <w:rPr>
          <w:sz w:val="22"/>
          <w:szCs w:val="22"/>
          <w:u w:val="single"/>
        </w:rPr>
        <w:t xml:space="preserve"> – Intra</w:t>
      </w:r>
      <w:r w:rsidRPr="000F787F">
        <w:rPr>
          <w:bCs/>
          <w:sz w:val="22"/>
          <w:szCs w:val="22"/>
          <w:u w:val="single"/>
        </w:rPr>
        <w:t>state</w:t>
      </w:r>
      <w:r w:rsidRPr="000F787F">
        <w:rPr>
          <w:bCs/>
          <w:sz w:val="22"/>
          <w:szCs w:val="22"/>
        </w:rPr>
        <w:t xml:space="preserve"> – The sum of rows 3 through 55. </w:t>
      </w:r>
    </w:p>
    <w:p w:rsidR="00CD2FAA" w:rsidRPr="000F787F" w:rsidRDefault="00CD2FAA" w:rsidP="008F34EE">
      <w:pPr>
        <w:ind w:left="720" w:hanging="720"/>
        <w:rPr>
          <w:bCs/>
          <w:sz w:val="22"/>
          <w:szCs w:val="22"/>
        </w:rPr>
      </w:pPr>
    </w:p>
    <w:p w:rsidR="00CD2FAA" w:rsidRPr="000F787F" w:rsidRDefault="00CD2FAA" w:rsidP="00293944">
      <w:pPr>
        <w:ind w:left="720" w:hanging="720"/>
        <w:rPr>
          <w:b/>
          <w:bCs/>
          <w:sz w:val="22"/>
          <w:szCs w:val="22"/>
        </w:rPr>
      </w:pPr>
      <w:r w:rsidRPr="000F787F">
        <w:rPr>
          <w:bCs/>
          <w:sz w:val="22"/>
          <w:szCs w:val="22"/>
        </w:rPr>
        <w:t>57</w:t>
      </w:r>
      <w:r w:rsidRPr="000F787F">
        <w:rPr>
          <w:bCs/>
          <w:sz w:val="22"/>
          <w:szCs w:val="22"/>
        </w:rPr>
        <w:tab/>
      </w:r>
      <w:r w:rsidRPr="000F787F">
        <w:rPr>
          <w:bCs/>
          <w:sz w:val="22"/>
          <w:szCs w:val="22"/>
          <w:u w:val="single"/>
        </w:rPr>
        <w:t>Total Interstate and Intrastate Entrance Facilities</w:t>
      </w:r>
      <w:r w:rsidRPr="000F787F">
        <w:rPr>
          <w:sz w:val="22"/>
          <w:szCs w:val="22"/>
          <w:u w:val="single"/>
        </w:rPr>
        <w:t xml:space="preserve"> </w:t>
      </w:r>
      <w:r w:rsidRPr="000F787F">
        <w:rPr>
          <w:bCs/>
          <w:sz w:val="22"/>
          <w:szCs w:val="22"/>
        </w:rPr>
        <w:t>– The sum of rows 2 and 56.</w:t>
      </w:r>
    </w:p>
    <w:p w:rsidR="00CD2FAA" w:rsidRPr="000F787F" w:rsidRDefault="00CD2FAA" w:rsidP="00384AB7">
      <w:pPr>
        <w:ind w:left="720" w:hanging="720"/>
        <w:rPr>
          <w:bCs/>
          <w:sz w:val="22"/>
          <w:szCs w:val="22"/>
        </w:rPr>
      </w:pPr>
    </w:p>
    <w:p w:rsidR="00CD2FAA" w:rsidRPr="000F787F" w:rsidRDefault="00CD2FAA" w:rsidP="005D2292">
      <w:pPr>
        <w:ind w:left="720" w:hanging="720"/>
        <w:rPr>
          <w:bCs/>
          <w:sz w:val="22"/>
          <w:szCs w:val="22"/>
        </w:rPr>
      </w:pPr>
    </w:p>
    <w:p w:rsidR="00CD2FAA" w:rsidRPr="000F787F" w:rsidRDefault="00CD2FAA" w:rsidP="00141B2B">
      <w:pPr>
        <w:outlineLvl w:val="0"/>
        <w:rPr>
          <w:b/>
          <w:bCs/>
          <w:sz w:val="22"/>
          <w:szCs w:val="22"/>
        </w:rPr>
      </w:pPr>
      <w:r w:rsidRPr="000F787F">
        <w:rPr>
          <w:bCs/>
          <w:sz w:val="22"/>
          <w:szCs w:val="22"/>
        </w:rPr>
        <w:t xml:space="preserve">TAB “ILECCMRSRecip”: </w:t>
      </w:r>
      <w:r w:rsidRPr="000F787F">
        <w:rPr>
          <w:b/>
          <w:bCs/>
          <w:sz w:val="22"/>
          <w:szCs w:val="22"/>
        </w:rPr>
        <w:t>Incumbent LEC-CMRS Reciprocal Compensation Rate Elements</w:t>
      </w:r>
    </w:p>
    <w:p w:rsidR="00CD2FAA" w:rsidRPr="000F787F" w:rsidRDefault="00CD2FAA" w:rsidP="00717BDD">
      <w:pPr>
        <w:rPr>
          <w:bCs/>
          <w:sz w:val="22"/>
          <w:szCs w:val="22"/>
        </w:rPr>
      </w:pPr>
    </w:p>
    <w:p w:rsidR="00CD2FAA" w:rsidRPr="000F787F" w:rsidRDefault="00CD2FAA" w:rsidP="006E6A47">
      <w:pPr>
        <w:ind w:left="720" w:hanging="720"/>
        <w:rPr>
          <w:bCs/>
          <w:sz w:val="22"/>
          <w:szCs w:val="22"/>
        </w:rPr>
      </w:pPr>
      <w:r w:rsidRPr="000F787F">
        <w:rPr>
          <w:bCs/>
          <w:sz w:val="22"/>
          <w:szCs w:val="22"/>
        </w:rPr>
        <w:t>2-</w:t>
      </w:r>
      <w:r w:rsidRPr="000F787F">
        <w:rPr>
          <w:bCs/>
          <w:sz w:val="22"/>
          <w:szCs w:val="22"/>
        </w:rPr>
        <w:tab/>
      </w:r>
      <w:r w:rsidRPr="000F787F">
        <w:rPr>
          <w:bCs/>
          <w:sz w:val="22"/>
          <w:szCs w:val="22"/>
          <w:u w:val="single"/>
        </w:rPr>
        <w:t>Incumbent LEC-CMRS Reciprocal Compensation</w:t>
      </w:r>
      <w:r w:rsidRPr="000F787F">
        <w:rPr>
          <w:bCs/>
          <w:sz w:val="22"/>
          <w:szCs w:val="22"/>
        </w:rPr>
        <w:t xml:space="preserve"> – The elements for which rates</w:t>
      </w:r>
    </w:p>
    <w:p w:rsidR="00CD2FAA" w:rsidRPr="000F787F" w:rsidRDefault="00CD2FAA" w:rsidP="006E6A47">
      <w:pPr>
        <w:ind w:left="720" w:hanging="720"/>
        <w:rPr>
          <w:bCs/>
          <w:sz w:val="22"/>
          <w:szCs w:val="22"/>
        </w:rPr>
      </w:pPr>
      <w:r w:rsidRPr="000F787F">
        <w:rPr>
          <w:bCs/>
          <w:sz w:val="22"/>
          <w:szCs w:val="22"/>
        </w:rPr>
        <w:t>54</w:t>
      </w:r>
      <w:r w:rsidRPr="000F787F">
        <w:rPr>
          <w:bCs/>
          <w:sz w:val="22"/>
          <w:szCs w:val="22"/>
        </w:rPr>
        <w:tab/>
        <w:t xml:space="preserve">are assessed for the transport and termination of telecommunications traffic between an Incumbent LEC and a Commercial Mobile Radio Service (CMRS) provider pursuant to section 51.701.  </w:t>
      </w:r>
      <w:r w:rsidRPr="000F787F">
        <w:rPr>
          <w:sz w:val="22"/>
          <w:szCs w:val="22"/>
        </w:rPr>
        <w:t>Each row is for a different state.</w:t>
      </w:r>
      <w:r w:rsidRPr="000F787F">
        <w:rPr>
          <w:bCs/>
          <w:sz w:val="22"/>
          <w:szCs w:val="22"/>
        </w:rPr>
        <w:t xml:space="preserve"> </w:t>
      </w:r>
    </w:p>
    <w:p w:rsidR="00CD2FAA" w:rsidRPr="000F787F" w:rsidRDefault="00CD2FAA" w:rsidP="00C66B84">
      <w:pPr>
        <w:ind w:left="720" w:hanging="720"/>
        <w:rPr>
          <w:bCs/>
          <w:sz w:val="22"/>
          <w:szCs w:val="22"/>
        </w:rPr>
      </w:pPr>
    </w:p>
    <w:p w:rsidR="00CD2FAA" w:rsidRPr="000F787F" w:rsidRDefault="00CD2FAA" w:rsidP="008F34EE">
      <w:pPr>
        <w:ind w:left="720" w:hanging="720"/>
        <w:rPr>
          <w:bCs/>
          <w:sz w:val="22"/>
          <w:szCs w:val="22"/>
        </w:rPr>
      </w:pPr>
      <w:r w:rsidRPr="000F787F">
        <w:rPr>
          <w:bCs/>
          <w:sz w:val="22"/>
          <w:szCs w:val="22"/>
        </w:rPr>
        <w:t>55</w:t>
      </w:r>
      <w:r w:rsidRPr="000F787F">
        <w:rPr>
          <w:bCs/>
          <w:sz w:val="22"/>
          <w:szCs w:val="22"/>
        </w:rPr>
        <w:tab/>
      </w:r>
      <w:r w:rsidRPr="000F787F">
        <w:rPr>
          <w:bCs/>
          <w:sz w:val="22"/>
          <w:szCs w:val="22"/>
          <w:u w:val="single"/>
        </w:rPr>
        <w:t>Total Incumbent LEC-CMRS Reciprocal Compensation</w:t>
      </w:r>
      <w:r w:rsidRPr="000F787F">
        <w:rPr>
          <w:bCs/>
          <w:sz w:val="22"/>
          <w:szCs w:val="22"/>
        </w:rPr>
        <w:t xml:space="preserve"> – The sum of rows 2-54.</w:t>
      </w:r>
    </w:p>
    <w:p w:rsidR="00CD2FAA" w:rsidRPr="000F787F" w:rsidRDefault="00CD2FAA" w:rsidP="008F34EE">
      <w:pPr>
        <w:ind w:left="720" w:hanging="720"/>
        <w:rPr>
          <w:bCs/>
          <w:sz w:val="22"/>
          <w:szCs w:val="22"/>
        </w:rPr>
      </w:pPr>
    </w:p>
    <w:p w:rsidR="00CD2FAA" w:rsidRPr="000F787F" w:rsidRDefault="00CD2FAA" w:rsidP="008F34EE">
      <w:pPr>
        <w:ind w:left="720" w:hanging="720"/>
        <w:rPr>
          <w:bCs/>
          <w:sz w:val="22"/>
          <w:szCs w:val="22"/>
        </w:rPr>
      </w:pPr>
    </w:p>
    <w:p w:rsidR="00CD2FAA" w:rsidRPr="000F787F" w:rsidRDefault="00CD2FAA" w:rsidP="00141B2B">
      <w:pPr>
        <w:rPr>
          <w:b/>
          <w:bCs/>
          <w:sz w:val="22"/>
          <w:szCs w:val="22"/>
        </w:rPr>
      </w:pPr>
      <w:r w:rsidRPr="000F787F">
        <w:rPr>
          <w:bCs/>
          <w:sz w:val="22"/>
          <w:szCs w:val="22"/>
        </w:rPr>
        <w:t xml:space="preserve">TAB “RecipCompOther”: </w:t>
      </w:r>
      <w:r w:rsidRPr="000F787F">
        <w:rPr>
          <w:b/>
          <w:bCs/>
          <w:sz w:val="22"/>
          <w:szCs w:val="22"/>
        </w:rPr>
        <w:t>Reciprocal Compensation Elements Other Than Incumbent LEC-CMRS Compensation Rate Elements</w:t>
      </w:r>
    </w:p>
    <w:p w:rsidR="00CD2FAA" w:rsidRPr="000F787F" w:rsidRDefault="00CD2FAA" w:rsidP="00141B2B">
      <w:pPr>
        <w:ind w:left="720" w:hanging="720"/>
        <w:rPr>
          <w:bCs/>
          <w:sz w:val="22"/>
          <w:szCs w:val="22"/>
        </w:rPr>
      </w:pPr>
    </w:p>
    <w:p w:rsidR="00CD2FAA" w:rsidRPr="000F787F" w:rsidRDefault="00CD2FAA" w:rsidP="00207F02">
      <w:pPr>
        <w:ind w:left="720" w:hanging="720"/>
        <w:rPr>
          <w:sz w:val="22"/>
          <w:szCs w:val="22"/>
        </w:rPr>
      </w:pPr>
      <w:r w:rsidRPr="000F787F">
        <w:rPr>
          <w:sz w:val="22"/>
          <w:szCs w:val="22"/>
        </w:rPr>
        <w:t>2-</w:t>
      </w:r>
      <w:r w:rsidRPr="000F787F">
        <w:rPr>
          <w:sz w:val="22"/>
          <w:szCs w:val="22"/>
        </w:rPr>
        <w:tab/>
      </w:r>
      <w:r w:rsidRPr="000F787F">
        <w:rPr>
          <w:sz w:val="22"/>
          <w:szCs w:val="22"/>
          <w:u w:val="single"/>
        </w:rPr>
        <w:t>Reciprocal Compensation Other Than Incumbent LEC-CMRS Compensation</w:t>
      </w:r>
      <w:r w:rsidRPr="000F787F">
        <w:rPr>
          <w:sz w:val="22"/>
          <w:szCs w:val="22"/>
        </w:rPr>
        <w:t xml:space="preserve"> -</w:t>
      </w:r>
    </w:p>
    <w:p w:rsidR="00CD2FAA" w:rsidRPr="000F787F" w:rsidRDefault="00CD2FAA" w:rsidP="00207F02">
      <w:pPr>
        <w:ind w:left="720" w:hanging="720"/>
        <w:rPr>
          <w:bCs/>
          <w:sz w:val="22"/>
          <w:szCs w:val="22"/>
        </w:rPr>
      </w:pPr>
      <w:r w:rsidRPr="000F787F">
        <w:rPr>
          <w:sz w:val="22"/>
          <w:szCs w:val="22"/>
        </w:rPr>
        <w:t>54</w:t>
      </w:r>
      <w:r w:rsidRPr="000F787F">
        <w:rPr>
          <w:sz w:val="22"/>
          <w:szCs w:val="22"/>
        </w:rPr>
        <w:tab/>
        <w:t>The elements for which rates are assessed for the transport and</w:t>
      </w:r>
      <w:r w:rsidRPr="000F787F">
        <w:rPr>
          <w:bCs/>
          <w:sz w:val="22"/>
          <w:szCs w:val="22"/>
        </w:rPr>
        <w:t xml:space="preserve"> termination of telecommunications traffic between an Incumbent LEC and a provider other than a CMRS provider, pursuant to section 51.701.  </w:t>
      </w:r>
      <w:r w:rsidRPr="000F787F">
        <w:rPr>
          <w:sz w:val="22"/>
          <w:szCs w:val="22"/>
        </w:rPr>
        <w:t>Each row is for a different state.</w:t>
      </w:r>
    </w:p>
    <w:p w:rsidR="00CD2FAA" w:rsidRPr="000F787F" w:rsidRDefault="00CD2FAA" w:rsidP="00C66B84">
      <w:pPr>
        <w:ind w:left="720" w:hanging="720"/>
        <w:rPr>
          <w:b/>
          <w:bCs/>
          <w:sz w:val="22"/>
          <w:szCs w:val="22"/>
        </w:rPr>
      </w:pPr>
    </w:p>
    <w:p w:rsidR="00CD2FAA" w:rsidRPr="000F787F" w:rsidRDefault="00CD2FAA" w:rsidP="008F34EE">
      <w:pPr>
        <w:ind w:left="720" w:hanging="720"/>
        <w:rPr>
          <w:bCs/>
          <w:sz w:val="22"/>
          <w:szCs w:val="22"/>
        </w:rPr>
      </w:pPr>
      <w:r w:rsidRPr="000F787F">
        <w:rPr>
          <w:bCs/>
          <w:sz w:val="22"/>
          <w:szCs w:val="22"/>
        </w:rPr>
        <w:t>55</w:t>
      </w:r>
      <w:r w:rsidRPr="000F787F">
        <w:rPr>
          <w:bCs/>
          <w:sz w:val="22"/>
          <w:szCs w:val="22"/>
        </w:rPr>
        <w:tab/>
      </w:r>
      <w:r w:rsidRPr="000F787F">
        <w:rPr>
          <w:bCs/>
          <w:sz w:val="22"/>
          <w:szCs w:val="22"/>
          <w:u w:val="single"/>
        </w:rPr>
        <w:t>Total Reciprocal Compensation Other Than Incumbent LEC-CMRS Compensation</w:t>
      </w:r>
      <w:r w:rsidRPr="000F787F">
        <w:rPr>
          <w:bCs/>
          <w:sz w:val="22"/>
          <w:szCs w:val="22"/>
        </w:rPr>
        <w:t xml:space="preserve"> – The sum of rows 2-54.</w:t>
      </w:r>
    </w:p>
    <w:p w:rsidR="00CD2FAA" w:rsidRPr="000F787F" w:rsidRDefault="00CD2FAA" w:rsidP="008F34EE">
      <w:pPr>
        <w:ind w:left="720" w:hanging="720"/>
        <w:rPr>
          <w:b/>
          <w:bCs/>
          <w:sz w:val="22"/>
          <w:szCs w:val="22"/>
        </w:rPr>
      </w:pPr>
    </w:p>
    <w:p w:rsidR="00CD2FAA" w:rsidRPr="000F787F" w:rsidRDefault="00CD2FAA" w:rsidP="008F34EE">
      <w:pPr>
        <w:ind w:left="720" w:hanging="720"/>
        <w:rPr>
          <w:b/>
          <w:bCs/>
          <w:sz w:val="22"/>
          <w:szCs w:val="22"/>
        </w:rPr>
      </w:pPr>
    </w:p>
    <w:p w:rsidR="00CD2FAA" w:rsidRPr="006A4637" w:rsidRDefault="00CD2FAA" w:rsidP="006A4637">
      <w:pPr>
        <w:jc w:val="center"/>
        <w:outlineLvl w:val="0"/>
        <w:rPr>
          <w:b/>
          <w:sz w:val="22"/>
          <w:szCs w:val="22"/>
        </w:rPr>
      </w:pPr>
      <w:r w:rsidRPr="006A4637">
        <w:rPr>
          <w:b/>
          <w:sz w:val="22"/>
          <w:szCs w:val="22"/>
        </w:rPr>
        <w:t>COLUMN INSTRUCTIONS</w:t>
      </w:r>
    </w:p>
    <w:p w:rsidR="00CD2FAA" w:rsidRPr="000F787F" w:rsidRDefault="00CD2FAA" w:rsidP="008B1C91">
      <w:pPr>
        <w:rPr>
          <w:sz w:val="22"/>
          <w:szCs w:val="22"/>
        </w:rPr>
      </w:pPr>
    </w:p>
    <w:p w:rsidR="00CD2FAA" w:rsidRPr="000F787F" w:rsidRDefault="00CD2FAA" w:rsidP="00D329F2">
      <w:pPr>
        <w:rPr>
          <w:sz w:val="22"/>
          <w:szCs w:val="22"/>
        </w:rPr>
      </w:pPr>
      <w:r w:rsidRPr="000F787F">
        <w:rPr>
          <w:sz w:val="22"/>
          <w:szCs w:val="22"/>
        </w:rPr>
        <w:t xml:space="preserve">Each tab within the data collection spreadsheets contains the same 29 columns (A through AC).  Each column on the spreadsheet specifies a demand, revenue, or expense category for which an amount is to be reported relative to each of the row categories, beginning with row 2, unless there is a “---” in a row and column cell, which indicates that nothing should be reported in that cell. </w:t>
      </w:r>
    </w:p>
    <w:p w:rsidR="00CD2FAA" w:rsidRPr="000F787F" w:rsidRDefault="00CD2FAA" w:rsidP="00D329F2">
      <w:pPr>
        <w:rPr>
          <w:sz w:val="22"/>
          <w:szCs w:val="22"/>
        </w:rPr>
      </w:pPr>
    </w:p>
    <w:p w:rsidR="00CD2FAA" w:rsidRPr="000F787F" w:rsidRDefault="00CD2FAA" w:rsidP="00D329F2">
      <w:pPr>
        <w:outlineLvl w:val="0"/>
        <w:rPr>
          <w:sz w:val="22"/>
          <w:szCs w:val="22"/>
        </w:rPr>
      </w:pPr>
      <w:r w:rsidRPr="000F787F">
        <w:rPr>
          <w:sz w:val="22"/>
          <w:szCs w:val="22"/>
        </w:rPr>
        <w:t>Column letter references are to the column letters on the Microsoft Excel worksheet.</w:t>
      </w:r>
    </w:p>
    <w:p w:rsidR="00CD2FAA" w:rsidRPr="000F787F" w:rsidRDefault="00CD2FAA" w:rsidP="00D55F30">
      <w:pPr>
        <w:rPr>
          <w:sz w:val="22"/>
          <w:szCs w:val="22"/>
        </w:rPr>
      </w:pPr>
    </w:p>
    <w:p w:rsidR="00CD2FAA" w:rsidRPr="000F787F" w:rsidRDefault="00CD2FAA" w:rsidP="00207F02">
      <w:pPr>
        <w:rPr>
          <w:sz w:val="22"/>
          <w:szCs w:val="22"/>
        </w:rPr>
      </w:pPr>
    </w:p>
    <w:p w:rsidR="00CD2FAA" w:rsidRPr="000F787F" w:rsidRDefault="00CD2FAA" w:rsidP="00C66B84">
      <w:pPr>
        <w:rPr>
          <w:sz w:val="22"/>
          <w:szCs w:val="22"/>
          <w:u w:val="single"/>
        </w:rPr>
      </w:pPr>
      <w:r w:rsidRPr="000F787F">
        <w:rPr>
          <w:sz w:val="22"/>
          <w:szCs w:val="22"/>
          <w:u w:val="single"/>
        </w:rPr>
        <w:t>Col.</w:t>
      </w:r>
      <w:r w:rsidRPr="000F787F">
        <w:rPr>
          <w:sz w:val="22"/>
          <w:szCs w:val="22"/>
        </w:rPr>
        <w:tab/>
      </w:r>
      <w:r w:rsidRPr="000F787F">
        <w:rPr>
          <w:sz w:val="22"/>
          <w:szCs w:val="22"/>
          <w:u w:val="single"/>
        </w:rPr>
        <w:t>Category Description</w:t>
      </w:r>
    </w:p>
    <w:p w:rsidR="00CD2FAA" w:rsidRPr="000F787F" w:rsidRDefault="00CD2FAA" w:rsidP="008F34EE">
      <w:pPr>
        <w:rPr>
          <w:sz w:val="22"/>
          <w:szCs w:val="22"/>
          <w:u w:val="single"/>
        </w:rPr>
      </w:pPr>
    </w:p>
    <w:p w:rsidR="00CD2FAA" w:rsidRPr="000F787F" w:rsidRDefault="00CD2FAA" w:rsidP="00EE3A0C">
      <w:pPr>
        <w:ind w:left="720" w:hanging="720"/>
        <w:rPr>
          <w:rFonts w:eastAsia="Calibri"/>
          <w:sz w:val="22"/>
          <w:szCs w:val="22"/>
        </w:rPr>
      </w:pPr>
      <w:r w:rsidRPr="000F787F">
        <w:rPr>
          <w:rFonts w:eastAsia="Calibri"/>
          <w:sz w:val="22"/>
          <w:szCs w:val="22"/>
        </w:rPr>
        <w:t>A</w:t>
      </w:r>
      <w:r w:rsidRPr="000F787F">
        <w:rPr>
          <w:rFonts w:eastAsia="Calibri"/>
          <w:sz w:val="22"/>
          <w:szCs w:val="22"/>
        </w:rPr>
        <w:tab/>
      </w:r>
      <w:r w:rsidRPr="000F787F">
        <w:rPr>
          <w:rFonts w:eastAsia="Calibri"/>
          <w:sz w:val="22"/>
          <w:szCs w:val="22"/>
          <w:u w:val="single"/>
        </w:rPr>
        <w:t>Switched Access or Reciprocal Compensation Category</w:t>
      </w:r>
      <w:r w:rsidRPr="000F787F">
        <w:rPr>
          <w:rFonts w:eastAsia="Calibri"/>
          <w:sz w:val="22"/>
          <w:szCs w:val="22"/>
        </w:rPr>
        <w:t xml:space="preserve"> – The switched access or reciprocal compensation (Recip. Comp.) category for which demand, revenue, or expense data are reported.</w:t>
      </w:r>
    </w:p>
    <w:p w:rsidR="00CD2FAA" w:rsidRPr="000F787F" w:rsidRDefault="00CD2FAA" w:rsidP="008F34EE">
      <w:pPr>
        <w:rPr>
          <w:rFonts w:eastAsia="Calibri"/>
          <w:sz w:val="22"/>
          <w:szCs w:val="22"/>
        </w:rPr>
      </w:pPr>
    </w:p>
    <w:p w:rsidR="00CD2FAA" w:rsidRPr="000F787F" w:rsidRDefault="00CD2FAA" w:rsidP="008F34EE">
      <w:pPr>
        <w:ind w:left="720" w:hanging="720"/>
        <w:rPr>
          <w:bCs/>
          <w:sz w:val="22"/>
          <w:szCs w:val="22"/>
        </w:rPr>
      </w:pPr>
      <w:r w:rsidRPr="000F787F">
        <w:rPr>
          <w:bCs/>
          <w:sz w:val="22"/>
          <w:szCs w:val="22"/>
        </w:rPr>
        <w:t>B</w:t>
      </w:r>
      <w:r w:rsidRPr="000F787F">
        <w:rPr>
          <w:bCs/>
          <w:sz w:val="22"/>
          <w:szCs w:val="22"/>
        </w:rPr>
        <w:tab/>
      </w:r>
      <w:r w:rsidRPr="000F787F">
        <w:rPr>
          <w:bCs/>
          <w:sz w:val="22"/>
          <w:szCs w:val="22"/>
          <w:u w:val="single"/>
        </w:rPr>
        <w:t>Type of Traffic (Interstate, Intrastate, or Recip. Comp.) or State</w:t>
      </w:r>
      <w:r w:rsidRPr="000F787F">
        <w:rPr>
          <w:bCs/>
          <w:sz w:val="22"/>
          <w:szCs w:val="22"/>
        </w:rPr>
        <w:t xml:space="preserve"> – The type of traffic for which</w:t>
      </w:r>
      <w:r w:rsidRPr="000F787F">
        <w:rPr>
          <w:rFonts w:eastAsia="Calibri"/>
          <w:sz w:val="22"/>
          <w:szCs w:val="22"/>
        </w:rPr>
        <w:t xml:space="preserve"> data are reported.  Three types of traffic are identified on the spreadsheet:  interstate, intrastate, and non-access reciprocal compensation as defined in 47 CFR § 51.701(e).  For intrastate traffic reporting other than intrastate totals, use the appropriate rows to indicate amounts for states in which a holding company has LEC operations.   </w:t>
      </w:r>
    </w:p>
    <w:p w:rsidR="00CD2FAA" w:rsidRPr="000F787F" w:rsidRDefault="00CD2FAA" w:rsidP="00293944">
      <w:pPr>
        <w:ind w:left="720" w:hanging="720"/>
        <w:rPr>
          <w:bCs/>
          <w:sz w:val="22"/>
          <w:szCs w:val="22"/>
        </w:rPr>
      </w:pPr>
    </w:p>
    <w:p w:rsidR="00CD2FAA" w:rsidRPr="000F787F" w:rsidRDefault="00CD2FAA" w:rsidP="00384AB7">
      <w:pPr>
        <w:ind w:left="720" w:hanging="720"/>
        <w:rPr>
          <w:bCs/>
          <w:sz w:val="22"/>
          <w:szCs w:val="22"/>
        </w:rPr>
      </w:pPr>
      <w:r w:rsidRPr="000F787F">
        <w:rPr>
          <w:bCs/>
          <w:sz w:val="22"/>
          <w:szCs w:val="22"/>
        </w:rPr>
        <w:t>C</w:t>
      </w:r>
      <w:r w:rsidRPr="000F787F">
        <w:rPr>
          <w:bCs/>
          <w:sz w:val="22"/>
          <w:szCs w:val="22"/>
        </w:rPr>
        <w:tab/>
      </w:r>
      <w:r w:rsidRPr="000F787F">
        <w:rPr>
          <w:bCs/>
          <w:sz w:val="22"/>
          <w:szCs w:val="22"/>
          <w:u w:val="single"/>
        </w:rPr>
        <w:t>Requested Unit of Demand</w:t>
      </w:r>
      <w:r w:rsidRPr="000F787F">
        <w:rPr>
          <w:bCs/>
          <w:sz w:val="22"/>
          <w:szCs w:val="22"/>
        </w:rPr>
        <w:t xml:space="preserve"> – Report demand volumes in the units specified on the spreadsheet.</w:t>
      </w:r>
    </w:p>
    <w:p w:rsidR="00CD2FAA" w:rsidRPr="000F787F" w:rsidRDefault="00CD2FAA" w:rsidP="005D2292">
      <w:pPr>
        <w:ind w:left="720" w:hanging="720"/>
        <w:rPr>
          <w:bCs/>
          <w:sz w:val="22"/>
          <w:szCs w:val="22"/>
        </w:rPr>
      </w:pPr>
    </w:p>
    <w:p w:rsidR="00CD2FAA" w:rsidRPr="000F787F" w:rsidRDefault="00CD2FAA" w:rsidP="005D2292">
      <w:pPr>
        <w:ind w:left="720" w:hanging="720"/>
        <w:rPr>
          <w:sz w:val="22"/>
          <w:szCs w:val="22"/>
        </w:rPr>
      </w:pPr>
      <w:r w:rsidRPr="000F787F">
        <w:rPr>
          <w:bCs/>
          <w:sz w:val="22"/>
          <w:szCs w:val="22"/>
        </w:rPr>
        <w:t>D</w:t>
      </w:r>
      <w:r w:rsidRPr="000F787F">
        <w:rPr>
          <w:bCs/>
          <w:sz w:val="22"/>
          <w:szCs w:val="22"/>
        </w:rPr>
        <w:tab/>
      </w:r>
      <w:r w:rsidRPr="000F787F">
        <w:rPr>
          <w:bCs/>
          <w:sz w:val="22"/>
          <w:szCs w:val="22"/>
          <w:u w:val="single"/>
        </w:rPr>
        <w:t>Eligible ARC Lines</w:t>
      </w:r>
      <w:r w:rsidRPr="000F787F">
        <w:rPr>
          <w:bCs/>
          <w:sz w:val="22"/>
          <w:szCs w:val="22"/>
        </w:rPr>
        <w:t xml:space="preserve"> – Report the maximum number of lines on which an ARC could be assessed pursuant to </w:t>
      </w:r>
      <w:r w:rsidRPr="000F787F">
        <w:rPr>
          <w:sz w:val="22"/>
          <w:szCs w:val="22"/>
        </w:rPr>
        <w:t xml:space="preserve">section 51.915(e) of the Commission’s rules for price cap carriers, or section 51.917(e) for rate-of-return carriers.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E</w:t>
      </w:r>
      <w:r w:rsidRPr="000F787F">
        <w:rPr>
          <w:sz w:val="22"/>
          <w:szCs w:val="22"/>
        </w:rPr>
        <w:tab/>
      </w:r>
      <w:r w:rsidRPr="000F787F">
        <w:rPr>
          <w:sz w:val="22"/>
          <w:szCs w:val="22"/>
          <w:u w:val="single"/>
        </w:rPr>
        <w:t>Total Units For Flat-Rated Elements</w:t>
      </w:r>
      <w:r w:rsidRPr="000F787F">
        <w:rPr>
          <w:sz w:val="22"/>
          <w:szCs w:val="22"/>
        </w:rPr>
        <w:t xml:space="preserve"> – Report for flat-rated elements the total number of units sold.  Report only units for which revenues have been collected.  Flat-rated elements are sold per unit of capacity (</w:t>
      </w:r>
      <w:r w:rsidRPr="000F787F">
        <w:rPr>
          <w:i/>
          <w:sz w:val="22"/>
          <w:szCs w:val="22"/>
        </w:rPr>
        <w:t>e.g</w:t>
      </w:r>
      <w:r w:rsidRPr="000F787F">
        <w:rPr>
          <w:sz w:val="22"/>
          <w:szCs w:val="22"/>
        </w:rPr>
        <w:t>., per line, or per port); the total bill for these elements does not vary with usage (</w:t>
      </w:r>
      <w:r w:rsidRPr="000F787F">
        <w:rPr>
          <w:i/>
          <w:sz w:val="22"/>
          <w:szCs w:val="22"/>
        </w:rPr>
        <w:t>e.g</w:t>
      </w:r>
      <w:r w:rsidRPr="000F787F">
        <w:rPr>
          <w:sz w:val="22"/>
          <w:szCs w:val="22"/>
        </w:rPr>
        <w:t>., with MOU or the number of messages).  Report as part of the total for this category the number of VoIP units and the number of 8YY units sold on a flat-rate basis.  For interstate PRI ISDN service, report as the number of EUCLs the number of charges assessed pursuant to section 69.104(p)(1) for rate-of-return carriers, or 69.152(l)(2) for price cap carriers, and as the number of PICC lines the number of charges assessed pursuant to 69.153(d).  For interstate business Centrex service, report as the number of PICC lines the number of charges assessed pursuant to section 69.153(e).  For intrastate PRI ISDN and business Centrex services, report as the number of EUCLs and PICC or equivalent lines the number of charges assessed pursuant to state rules.</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F</w:t>
      </w:r>
      <w:r w:rsidRPr="000F787F">
        <w:rPr>
          <w:sz w:val="22"/>
          <w:szCs w:val="22"/>
        </w:rPr>
        <w:tab/>
      </w:r>
      <w:r w:rsidRPr="000F787F">
        <w:rPr>
          <w:bCs/>
          <w:sz w:val="22"/>
          <w:szCs w:val="22"/>
          <w:u w:val="single"/>
        </w:rPr>
        <w:t>Total Originating Units for Usage-Based Elements</w:t>
      </w:r>
      <w:r w:rsidRPr="000F787F">
        <w:rPr>
          <w:bCs/>
          <w:sz w:val="22"/>
          <w:szCs w:val="22"/>
        </w:rPr>
        <w:t xml:space="preserve"> – </w:t>
      </w:r>
      <w:r w:rsidRPr="000F787F">
        <w:rPr>
          <w:sz w:val="22"/>
          <w:szCs w:val="22"/>
        </w:rPr>
        <w:t>Report for usage-based elements the total number of originating units sold.  Report only units for which revenues have been collected.  Usage-based elements are sold per amount of use, (</w:t>
      </w:r>
      <w:r w:rsidRPr="000F787F">
        <w:rPr>
          <w:i/>
          <w:sz w:val="22"/>
          <w:szCs w:val="22"/>
        </w:rPr>
        <w:t>e.g</w:t>
      </w:r>
      <w:r w:rsidRPr="000F787F">
        <w:rPr>
          <w:sz w:val="22"/>
          <w:szCs w:val="22"/>
        </w:rPr>
        <w:t>., per MOU or per message); the total bill for these elements varies with the amount of use (</w:t>
      </w:r>
      <w:r w:rsidRPr="000F787F">
        <w:rPr>
          <w:i/>
          <w:sz w:val="22"/>
          <w:szCs w:val="22"/>
        </w:rPr>
        <w:t>e.g</w:t>
      </w:r>
      <w:r w:rsidRPr="000F787F">
        <w:rPr>
          <w:sz w:val="22"/>
          <w:szCs w:val="22"/>
        </w:rPr>
        <w:t xml:space="preserve">., with MOU or the number of messages).  Report as part of this category the number of originating VoIP units and the number of originating 8YY units sold on a usage-rate basis.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G</w:t>
      </w:r>
      <w:r w:rsidRPr="000F787F">
        <w:rPr>
          <w:sz w:val="22"/>
          <w:szCs w:val="22"/>
        </w:rPr>
        <w:tab/>
      </w:r>
      <w:r w:rsidRPr="000F787F">
        <w:rPr>
          <w:bCs/>
          <w:sz w:val="22"/>
          <w:szCs w:val="22"/>
          <w:u w:val="single"/>
        </w:rPr>
        <w:t>Total Terminating Units for Usage-Based Elements</w:t>
      </w:r>
      <w:r w:rsidRPr="000F787F">
        <w:rPr>
          <w:bCs/>
          <w:sz w:val="22"/>
          <w:szCs w:val="22"/>
        </w:rPr>
        <w:t xml:space="preserve"> – </w:t>
      </w:r>
      <w:r w:rsidRPr="000F787F">
        <w:rPr>
          <w:sz w:val="22"/>
          <w:szCs w:val="22"/>
        </w:rPr>
        <w:t xml:space="preserve">Report for usage-based elements the total number of terminating units sold.  Report only units for which revenues have been collected.  Report as part of this category the number of terminating VoIP units sold on a usage-rate basis.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H</w:t>
      </w:r>
      <w:r w:rsidRPr="000F787F">
        <w:rPr>
          <w:sz w:val="22"/>
          <w:szCs w:val="22"/>
        </w:rPr>
        <w:tab/>
      </w:r>
      <w:r w:rsidRPr="000F787F">
        <w:rPr>
          <w:bCs/>
          <w:sz w:val="22"/>
          <w:szCs w:val="22"/>
          <w:u w:val="single"/>
        </w:rPr>
        <w:t>VoIP Units for Flat-Rated Elements</w:t>
      </w:r>
      <w:r w:rsidRPr="000F787F">
        <w:rPr>
          <w:bCs/>
          <w:sz w:val="22"/>
          <w:szCs w:val="22"/>
        </w:rPr>
        <w:t xml:space="preserve"> – Report</w:t>
      </w:r>
      <w:r w:rsidRPr="000F787F">
        <w:rPr>
          <w:sz w:val="22"/>
          <w:szCs w:val="22"/>
        </w:rPr>
        <w:t xml:space="preserve"> for flat-rated elements the total number of VOIP units sold.  Report only units for which revenues have been collected.</w:t>
      </w:r>
    </w:p>
    <w:p w:rsidR="00CD2FAA" w:rsidRPr="000F787F" w:rsidRDefault="00CD2FAA" w:rsidP="005423BE">
      <w:pPr>
        <w:ind w:left="720" w:hanging="720"/>
        <w:rPr>
          <w:sz w:val="22"/>
          <w:szCs w:val="22"/>
        </w:rPr>
      </w:pPr>
      <w:r w:rsidRPr="000F787F">
        <w:rPr>
          <w:sz w:val="22"/>
          <w:szCs w:val="22"/>
        </w:rPr>
        <w:t xml:space="preserve">  </w:t>
      </w:r>
    </w:p>
    <w:p w:rsidR="00CD2FAA" w:rsidRPr="000F787F" w:rsidRDefault="00CD2FAA" w:rsidP="005423BE">
      <w:pPr>
        <w:ind w:left="720" w:hanging="720"/>
        <w:rPr>
          <w:sz w:val="22"/>
          <w:szCs w:val="22"/>
        </w:rPr>
      </w:pPr>
      <w:r w:rsidRPr="000F787F">
        <w:rPr>
          <w:bCs/>
          <w:sz w:val="22"/>
          <w:szCs w:val="22"/>
        </w:rPr>
        <w:t>I</w:t>
      </w:r>
      <w:r w:rsidRPr="000F787F">
        <w:rPr>
          <w:bCs/>
          <w:sz w:val="22"/>
          <w:szCs w:val="22"/>
        </w:rPr>
        <w:tab/>
      </w:r>
      <w:r w:rsidRPr="000F787F">
        <w:rPr>
          <w:bCs/>
          <w:sz w:val="22"/>
          <w:szCs w:val="22"/>
          <w:u w:val="single"/>
        </w:rPr>
        <w:t>VoIP Originating Units for Usage-Based Elements</w:t>
      </w:r>
      <w:r w:rsidRPr="000F787F">
        <w:rPr>
          <w:bCs/>
          <w:sz w:val="22"/>
          <w:szCs w:val="22"/>
        </w:rPr>
        <w:t xml:space="preserve"> – </w:t>
      </w:r>
      <w:r w:rsidRPr="000F787F">
        <w:rPr>
          <w:sz w:val="22"/>
          <w:szCs w:val="22"/>
        </w:rPr>
        <w:t xml:space="preserve">Report for usage-based elements the total number of VoIP originating units sold.  Report only units for which revenues have been collected.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bCs/>
          <w:sz w:val="22"/>
          <w:szCs w:val="22"/>
        </w:rPr>
        <w:t>J</w:t>
      </w:r>
      <w:r w:rsidRPr="000F787F">
        <w:rPr>
          <w:bCs/>
          <w:sz w:val="22"/>
          <w:szCs w:val="22"/>
        </w:rPr>
        <w:tab/>
      </w:r>
      <w:r w:rsidRPr="000F787F">
        <w:rPr>
          <w:bCs/>
          <w:sz w:val="22"/>
          <w:szCs w:val="22"/>
          <w:u w:val="single"/>
        </w:rPr>
        <w:t>VoIP Terminating Units for Usage-Based Elements</w:t>
      </w:r>
      <w:r w:rsidRPr="000F787F">
        <w:rPr>
          <w:bCs/>
          <w:sz w:val="22"/>
          <w:szCs w:val="22"/>
        </w:rPr>
        <w:t xml:space="preserve"> – </w:t>
      </w:r>
      <w:r w:rsidRPr="000F787F">
        <w:rPr>
          <w:sz w:val="22"/>
          <w:szCs w:val="22"/>
        </w:rPr>
        <w:t xml:space="preserve">Report for usage-based elements the total number of VoIP terminating units sold.  Report only units for which revenues have been collected.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K</w:t>
      </w:r>
      <w:r w:rsidRPr="000F787F">
        <w:rPr>
          <w:sz w:val="22"/>
          <w:szCs w:val="22"/>
        </w:rPr>
        <w:tab/>
      </w:r>
      <w:r w:rsidRPr="000F787F">
        <w:rPr>
          <w:sz w:val="22"/>
          <w:szCs w:val="22"/>
          <w:u w:val="single"/>
        </w:rPr>
        <w:t>8YY</w:t>
      </w:r>
      <w:r w:rsidRPr="000F787F">
        <w:rPr>
          <w:bCs/>
          <w:sz w:val="22"/>
          <w:szCs w:val="22"/>
          <w:u w:val="single"/>
        </w:rPr>
        <w:t xml:space="preserve"> Units for Flat-Rated Elements</w:t>
      </w:r>
      <w:r w:rsidRPr="000F787F">
        <w:rPr>
          <w:bCs/>
          <w:sz w:val="22"/>
          <w:szCs w:val="22"/>
        </w:rPr>
        <w:t xml:space="preserve"> – Report</w:t>
      </w:r>
      <w:r w:rsidRPr="000F787F">
        <w:rPr>
          <w:sz w:val="22"/>
          <w:szCs w:val="22"/>
        </w:rPr>
        <w:t xml:space="preserve"> for flat-rated elements the total number of 8YY units sold.  Report only units for which revenues have been collected.</w:t>
      </w:r>
    </w:p>
    <w:p w:rsidR="00CD2FAA" w:rsidRPr="000F787F" w:rsidRDefault="00CD2FAA" w:rsidP="005423BE">
      <w:pPr>
        <w:ind w:left="720" w:hanging="720"/>
        <w:rPr>
          <w:sz w:val="22"/>
          <w:szCs w:val="22"/>
        </w:rPr>
      </w:pPr>
      <w:r w:rsidRPr="000F787F">
        <w:rPr>
          <w:sz w:val="22"/>
          <w:szCs w:val="22"/>
        </w:rPr>
        <w:t xml:space="preserve">  </w:t>
      </w:r>
    </w:p>
    <w:p w:rsidR="00CD2FAA" w:rsidRPr="000F787F" w:rsidRDefault="00CD2FAA" w:rsidP="005423BE">
      <w:pPr>
        <w:ind w:left="720" w:hanging="720"/>
        <w:rPr>
          <w:sz w:val="22"/>
          <w:szCs w:val="22"/>
        </w:rPr>
      </w:pPr>
      <w:r w:rsidRPr="000F787F">
        <w:rPr>
          <w:bCs/>
          <w:sz w:val="22"/>
          <w:szCs w:val="22"/>
        </w:rPr>
        <w:t>L</w:t>
      </w:r>
      <w:r w:rsidRPr="000F787F">
        <w:rPr>
          <w:bCs/>
          <w:sz w:val="22"/>
          <w:szCs w:val="22"/>
        </w:rPr>
        <w:tab/>
      </w:r>
      <w:r w:rsidRPr="000F787F">
        <w:rPr>
          <w:bCs/>
          <w:sz w:val="22"/>
          <w:szCs w:val="22"/>
          <w:u w:val="single"/>
        </w:rPr>
        <w:t>8YY Originating Units for Usage-Based Elements</w:t>
      </w:r>
      <w:r w:rsidRPr="000F787F">
        <w:rPr>
          <w:bCs/>
          <w:sz w:val="22"/>
          <w:szCs w:val="22"/>
        </w:rPr>
        <w:t xml:space="preserve"> – </w:t>
      </w:r>
      <w:r w:rsidRPr="000F787F">
        <w:rPr>
          <w:sz w:val="22"/>
          <w:szCs w:val="22"/>
        </w:rPr>
        <w:t>Report for usage-based elements the total number of 8YY originating units sold.  Report only units for which revenues have been collected.</w:t>
      </w:r>
    </w:p>
    <w:p w:rsidR="00CD2FAA" w:rsidRPr="000F787F" w:rsidRDefault="00CD2FAA" w:rsidP="005423BE">
      <w:pPr>
        <w:ind w:left="720" w:hanging="720"/>
        <w:rPr>
          <w:sz w:val="22"/>
          <w:szCs w:val="22"/>
        </w:rPr>
      </w:pPr>
      <w:r w:rsidRPr="000F787F">
        <w:rPr>
          <w:sz w:val="22"/>
          <w:szCs w:val="22"/>
        </w:rPr>
        <w:t xml:space="preserve">  </w:t>
      </w:r>
    </w:p>
    <w:p w:rsidR="00CD2FAA" w:rsidRPr="000F787F" w:rsidRDefault="00CD2FAA" w:rsidP="005423BE">
      <w:pPr>
        <w:ind w:left="720" w:hanging="720"/>
        <w:rPr>
          <w:sz w:val="22"/>
          <w:szCs w:val="22"/>
        </w:rPr>
      </w:pPr>
      <w:r w:rsidRPr="000F787F">
        <w:rPr>
          <w:sz w:val="22"/>
          <w:szCs w:val="22"/>
        </w:rPr>
        <w:t>M</w:t>
      </w:r>
      <w:r w:rsidRPr="000F787F">
        <w:rPr>
          <w:sz w:val="22"/>
          <w:szCs w:val="22"/>
        </w:rPr>
        <w:tab/>
      </w:r>
      <w:r w:rsidRPr="000F787F">
        <w:rPr>
          <w:sz w:val="22"/>
          <w:szCs w:val="22"/>
          <w:u w:val="single"/>
        </w:rPr>
        <w:t>Total Revenue From</w:t>
      </w:r>
      <w:r w:rsidR="006A4637">
        <w:rPr>
          <w:sz w:val="22"/>
          <w:szCs w:val="22"/>
          <w:u w:val="single"/>
        </w:rPr>
        <w:t xml:space="preserve"> Flat</w:t>
      </w:r>
      <w:r w:rsidRPr="000F787F">
        <w:rPr>
          <w:sz w:val="22"/>
          <w:szCs w:val="22"/>
          <w:u w:val="single"/>
        </w:rPr>
        <w:t xml:space="preserve"> Rates</w:t>
      </w:r>
      <w:r w:rsidRPr="000F787F">
        <w:rPr>
          <w:sz w:val="22"/>
          <w:szCs w:val="22"/>
        </w:rPr>
        <w:t xml:space="preserve"> – Report for flat-rated elements the total amount of revenue collected.  Report as part of the total amount for this category revenue derived from VoIP units and 8YY units sold on a flat-rate basis.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N</w:t>
      </w:r>
      <w:r w:rsidRPr="000F787F">
        <w:rPr>
          <w:sz w:val="22"/>
          <w:szCs w:val="22"/>
        </w:rPr>
        <w:tab/>
      </w:r>
      <w:r w:rsidRPr="000F787F">
        <w:rPr>
          <w:bCs/>
          <w:sz w:val="22"/>
          <w:szCs w:val="22"/>
          <w:u w:val="single"/>
        </w:rPr>
        <w:t>Total Revenue From Flat Rates Excluding Revenue From Affiliates</w:t>
      </w:r>
      <w:r w:rsidRPr="000F787F">
        <w:rPr>
          <w:bCs/>
          <w:sz w:val="22"/>
          <w:szCs w:val="22"/>
        </w:rPr>
        <w:t xml:space="preserve"> –</w:t>
      </w:r>
      <w:r w:rsidRPr="000F787F">
        <w:rPr>
          <w:sz w:val="22"/>
          <w:szCs w:val="22"/>
        </w:rPr>
        <w:t xml:space="preserve"> Report for flat-rated elements the total amount of revenue collected, excluding revenue from companies affiliated with the reporting Incumbent LEC.  Report as part of the total amount for this category revenue derived from VoIP units and 8YY units sold on a flat-rate basis, excluding revenue from companies affiliated with the reporting Incumbent LEC.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O</w:t>
      </w:r>
      <w:r w:rsidRPr="000F787F">
        <w:rPr>
          <w:sz w:val="22"/>
          <w:szCs w:val="22"/>
        </w:rPr>
        <w:tab/>
      </w:r>
      <w:r w:rsidRPr="000F787F">
        <w:rPr>
          <w:sz w:val="22"/>
          <w:szCs w:val="22"/>
          <w:u w:val="single"/>
        </w:rPr>
        <w:t>Total Originating Revenue From Usage-Based Rates</w:t>
      </w:r>
      <w:r w:rsidRPr="000F787F">
        <w:rPr>
          <w:sz w:val="22"/>
          <w:szCs w:val="22"/>
        </w:rPr>
        <w:t xml:space="preserve"> – Report for usage-based elements the total amount of revenue collected from the sale of originating units.  Report as part of the total amount for this category revenue derived from originating VoIP units and originating 8YY units sold on a usage-rate basis.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P</w:t>
      </w:r>
      <w:r w:rsidRPr="000F787F">
        <w:rPr>
          <w:sz w:val="22"/>
          <w:szCs w:val="22"/>
        </w:rPr>
        <w:tab/>
      </w:r>
      <w:r w:rsidRPr="000F787F">
        <w:rPr>
          <w:bCs/>
          <w:sz w:val="22"/>
          <w:szCs w:val="22"/>
          <w:u w:val="single"/>
        </w:rPr>
        <w:t>Total Terminating Revenue From</w:t>
      </w:r>
      <w:r w:rsidRPr="000F787F">
        <w:rPr>
          <w:sz w:val="22"/>
          <w:szCs w:val="22"/>
          <w:u w:val="single"/>
        </w:rPr>
        <w:t xml:space="preserve"> Usage-Based Rates</w:t>
      </w:r>
      <w:r w:rsidRPr="000F787F">
        <w:rPr>
          <w:bCs/>
          <w:sz w:val="22"/>
          <w:szCs w:val="22"/>
          <w:u w:val="single"/>
        </w:rPr>
        <w:t xml:space="preserve"> Excluding Revenue From Affiliates</w:t>
      </w:r>
      <w:r w:rsidRPr="000F787F">
        <w:rPr>
          <w:bCs/>
          <w:sz w:val="22"/>
          <w:szCs w:val="22"/>
        </w:rPr>
        <w:t xml:space="preserve"> –</w:t>
      </w:r>
      <w:r w:rsidRPr="000F787F">
        <w:rPr>
          <w:sz w:val="22"/>
          <w:szCs w:val="22"/>
        </w:rPr>
        <w:t xml:space="preserve"> Report for usage-based elements the total amount of revenue collected from the sale of terminating units, excluding revenue from companies affiliated with the reporting Incumbent LEC.  Report as part of the total amount for this category revenue derived from terminating VoIP units sold on a flat-rate basis, excluding revenue from companies affiliated with the reporting Incumbent LEC.</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Q</w:t>
      </w:r>
      <w:r w:rsidRPr="000F787F">
        <w:rPr>
          <w:sz w:val="22"/>
          <w:szCs w:val="22"/>
        </w:rPr>
        <w:tab/>
      </w:r>
      <w:r w:rsidRPr="000F787F">
        <w:rPr>
          <w:sz w:val="22"/>
          <w:szCs w:val="22"/>
          <w:u w:val="single"/>
        </w:rPr>
        <w:t>Total Terminating Revenue From Usage-Based Rates</w:t>
      </w:r>
      <w:r w:rsidRPr="000F787F">
        <w:rPr>
          <w:sz w:val="22"/>
          <w:szCs w:val="22"/>
        </w:rPr>
        <w:t xml:space="preserve"> – Report for usage-based elements the total amount of revenue collected from the sale of terminating units.  Report as part of the total for this category revenue derived from terminating VoIP units sold on a usage-rate basis.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R</w:t>
      </w:r>
      <w:r w:rsidRPr="000F787F">
        <w:rPr>
          <w:sz w:val="22"/>
          <w:szCs w:val="22"/>
        </w:rPr>
        <w:tab/>
      </w:r>
      <w:r w:rsidRPr="000F787F">
        <w:rPr>
          <w:bCs/>
          <w:sz w:val="22"/>
          <w:szCs w:val="22"/>
          <w:u w:val="single"/>
        </w:rPr>
        <w:t>Total Terminating Revenue From</w:t>
      </w:r>
      <w:r w:rsidRPr="000F787F">
        <w:rPr>
          <w:sz w:val="22"/>
          <w:szCs w:val="22"/>
          <w:u w:val="single"/>
        </w:rPr>
        <w:t xml:space="preserve"> Usage-Based Rates</w:t>
      </w:r>
      <w:r w:rsidRPr="000F787F">
        <w:rPr>
          <w:bCs/>
          <w:sz w:val="22"/>
          <w:szCs w:val="22"/>
          <w:u w:val="single"/>
        </w:rPr>
        <w:t xml:space="preserve"> Excluding Revenue From Affiliates</w:t>
      </w:r>
      <w:r w:rsidRPr="000F787F">
        <w:rPr>
          <w:bCs/>
          <w:sz w:val="22"/>
          <w:szCs w:val="22"/>
        </w:rPr>
        <w:t xml:space="preserve"> –</w:t>
      </w:r>
      <w:r w:rsidRPr="000F787F">
        <w:rPr>
          <w:sz w:val="22"/>
          <w:szCs w:val="22"/>
        </w:rPr>
        <w:t xml:space="preserve"> Report for usage-based elements the total amount of revenue collected from the sale of terminating units, excluding revenue from companies affiliated with the reporting Incumbent LEC.  Report as part of the total amount for this category revenue derived from terminating VoIP units sold on a flat-rate basis, excluding revenue from companies affiliated with the reporting Incumbent LEC.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S</w:t>
      </w:r>
      <w:r w:rsidRPr="000F787F">
        <w:rPr>
          <w:sz w:val="22"/>
          <w:szCs w:val="22"/>
        </w:rPr>
        <w:tab/>
      </w:r>
      <w:r w:rsidRPr="000F787F">
        <w:rPr>
          <w:sz w:val="22"/>
          <w:szCs w:val="22"/>
          <w:u w:val="single"/>
        </w:rPr>
        <w:t>VoIP Revenue From Flat Rates</w:t>
      </w:r>
      <w:r w:rsidRPr="000F787F">
        <w:rPr>
          <w:sz w:val="22"/>
          <w:szCs w:val="22"/>
        </w:rPr>
        <w:t xml:space="preserve"> – Report for flat-rated elements the amount of VoIP revenue collected.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T</w:t>
      </w:r>
      <w:r w:rsidRPr="000F787F">
        <w:rPr>
          <w:sz w:val="22"/>
          <w:szCs w:val="22"/>
        </w:rPr>
        <w:tab/>
      </w:r>
      <w:r w:rsidRPr="000F787F">
        <w:rPr>
          <w:sz w:val="22"/>
          <w:szCs w:val="22"/>
          <w:u w:val="single"/>
        </w:rPr>
        <w:t>VoIP Originating Revenue From Usage-Based Rates</w:t>
      </w:r>
      <w:r w:rsidRPr="000F787F">
        <w:rPr>
          <w:sz w:val="22"/>
          <w:szCs w:val="22"/>
        </w:rPr>
        <w:t xml:space="preserve"> – Report for usage-based elements the amount of VoIP revenue collected from the sale of originating units.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U</w:t>
      </w:r>
      <w:r w:rsidRPr="000F787F">
        <w:rPr>
          <w:sz w:val="22"/>
          <w:szCs w:val="22"/>
        </w:rPr>
        <w:tab/>
      </w:r>
      <w:r w:rsidRPr="000F787F">
        <w:rPr>
          <w:sz w:val="22"/>
          <w:szCs w:val="22"/>
          <w:u w:val="single"/>
        </w:rPr>
        <w:t>VoIP Terminating Revenue From Usage-Based Rates</w:t>
      </w:r>
      <w:r w:rsidRPr="000F787F">
        <w:rPr>
          <w:sz w:val="22"/>
          <w:szCs w:val="22"/>
        </w:rPr>
        <w:t xml:space="preserve"> – Report for usage-based elements the amount of VoIP revenue collected from the sale of terminating units.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V</w:t>
      </w:r>
      <w:r w:rsidRPr="000F787F">
        <w:rPr>
          <w:sz w:val="22"/>
          <w:szCs w:val="22"/>
        </w:rPr>
        <w:tab/>
      </w:r>
      <w:r w:rsidRPr="000F787F">
        <w:rPr>
          <w:sz w:val="22"/>
          <w:szCs w:val="22"/>
          <w:u w:val="single"/>
        </w:rPr>
        <w:t>8YY Revenue From Flat Rates</w:t>
      </w:r>
      <w:r w:rsidRPr="000F787F">
        <w:rPr>
          <w:sz w:val="22"/>
          <w:szCs w:val="22"/>
        </w:rPr>
        <w:t xml:space="preserve"> – Report for flat-rated elements the amount of 8YY revenue collected.  </w:t>
      </w:r>
    </w:p>
    <w:p w:rsidR="00CD2FAA" w:rsidRPr="000F787F" w:rsidRDefault="00CD2FAA" w:rsidP="005423BE">
      <w:pPr>
        <w:ind w:left="720" w:hanging="720"/>
        <w:rPr>
          <w:sz w:val="22"/>
          <w:szCs w:val="22"/>
        </w:rPr>
      </w:pPr>
    </w:p>
    <w:p w:rsidR="00CD2FAA" w:rsidRPr="000F787F" w:rsidRDefault="00CD2FAA" w:rsidP="005423BE">
      <w:pPr>
        <w:ind w:left="720" w:hanging="720"/>
        <w:rPr>
          <w:sz w:val="22"/>
          <w:szCs w:val="22"/>
        </w:rPr>
      </w:pPr>
      <w:r w:rsidRPr="000F787F">
        <w:rPr>
          <w:sz w:val="22"/>
          <w:szCs w:val="22"/>
        </w:rPr>
        <w:t>W</w:t>
      </w:r>
      <w:r w:rsidRPr="000F787F">
        <w:rPr>
          <w:sz w:val="22"/>
          <w:szCs w:val="22"/>
        </w:rPr>
        <w:tab/>
      </w:r>
      <w:r w:rsidRPr="000F787F">
        <w:rPr>
          <w:sz w:val="22"/>
          <w:szCs w:val="22"/>
          <w:u w:val="single"/>
        </w:rPr>
        <w:t>8YY Originating Revenue From Usage-Based Rates</w:t>
      </w:r>
      <w:r w:rsidRPr="000F787F">
        <w:rPr>
          <w:sz w:val="22"/>
          <w:szCs w:val="22"/>
        </w:rPr>
        <w:t xml:space="preserve"> – Report for usage-based elements the amount of 8YY revenue collected from the sale of originating units.</w:t>
      </w:r>
    </w:p>
    <w:p w:rsidR="00CD2FAA" w:rsidRPr="000F787F" w:rsidRDefault="00CD2FAA" w:rsidP="005423BE">
      <w:pPr>
        <w:ind w:left="720" w:hanging="720"/>
        <w:rPr>
          <w:sz w:val="22"/>
          <w:szCs w:val="22"/>
        </w:rPr>
      </w:pPr>
    </w:p>
    <w:p w:rsidR="00CD2FAA" w:rsidRPr="000F787F" w:rsidRDefault="00CD2FAA" w:rsidP="005423BE">
      <w:pPr>
        <w:ind w:left="720" w:hanging="720"/>
        <w:rPr>
          <w:bCs/>
          <w:sz w:val="22"/>
          <w:szCs w:val="22"/>
        </w:rPr>
      </w:pPr>
      <w:r w:rsidRPr="000F787F">
        <w:rPr>
          <w:bCs/>
          <w:sz w:val="22"/>
          <w:szCs w:val="22"/>
        </w:rPr>
        <w:t>X</w:t>
      </w:r>
      <w:r w:rsidRPr="000F787F">
        <w:rPr>
          <w:bCs/>
          <w:sz w:val="22"/>
          <w:szCs w:val="22"/>
        </w:rPr>
        <w:tab/>
      </w:r>
      <w:r w:rsidRPr="000F787F">
        <w:rPr>
          <w:bCs/>
          <w:sz w:val="22"/>
          <w:szCs w:val="22"/>
          <w:u w:val="single"/>
        </w:rPr>
        <w:t>Recip. Comp. Revenue-Related MOU</w:t>
      </w:r>
      <w:r w:rsidRPr="000F787F">
        <w:rPr>
          <w:bCs/>
          <w:sz w:val="22"/>
          <w:szCs w:val="22"/>
        </w:rPr>
        <w:t xml:space="preserve"> – Report the MOU for which revenue has been collected.</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r w:rsidRPr="000F787F">
        <w:rPr>
          <w:bCs/>
          <w:sz w:val="22"/>
          <w:szCs w:val="22"/>
        </w:rPr>
        <w:t>Y</w:t>
      </w:r>
      <w:r w:rsidRPr="000F787F">
        <w:rPr>
          <w:bCs/>
          <w:sz w:val="22"/>
          <w:szCs w:val="22"/>
        </w:rPr>
        <w:tab/>
      </w:r>
      <w:r w:rsidRPr="000F787F">
        <w:rPr>
          <w:bCs/>
          <w:sz w:val="22"/>
          <w:szCs w:val="22"/>
          <w:u w:val="single"/>
        </w:rPr>
        <w:t>Recip. Comp. Revenue</w:t>
      </w:r>
      <w:r w:rsidRPr="000F787F">
        <w:rPr>
          <w:bCs/>
          <w:sz w:val="22"/>
          <w:szCs w:val="22"/>
        </w:rPr>
        <w:t xml:space="preserve"> – Report the amount of revenue collected.</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r w:rsidRPr="000F787F">
        <w:rPr>
          <w:bCs/>
          <w:sz w:val="22"/>
          <w:szCs w:val="22"/>
        </w:rPr>
        <w:t>Z</w:t>
      </w:r>
      <w:r w:rsidRPr="000F787F">
        <w:rPr>
          <w:bCs/>
          <w:sz w:val="22"/>
          <w:szCs w:val="22"/>
        </w:rPr>
        <w:tab/>
      </w:r>
      <w:r w:rsidRPr="000F787F">
        <w:rPr>
          <w:bCs/>
          <w:sz w:val="22"/>
          <w:szCs w:val="22"/>
          <w:u w:val="single"/>
        </w:rPr>
        <w:t>Recip. Comp. Revenue Excluding Revenue From Affiliates</w:t>
      </w:r>
      <w:r w:rsidRPr="000F787F">
        <w:rPr>
          <w:bCs/>
          <w:sz w:val="22"/>
          <w:szCs w:val="22"/>
        </w:rPr>
        <w:t xml:space="preserve"> – Report the amount of revenue collected excluding revenue</w:t>
      </w:r>
      <w:r w:rsidRPr="000F787F">
        <w:rPr>
          <w:sz w:val="22"/>
          <w:szCs w:val="22"/>
        </w:rPr>
        <w:t xml:space="preserve"> from companies affiliated with the reporting Incumbent LEC</w:t>
      </w:r>
      <w:r w:rsidRPr="000F787F">
        <w:rPr>
          <w:bCs/>
          <w:sz w:val="22"/>
          <w:szCs w:val="22"/>
        </w:rPr>
        <w:t>.</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r w:rsidRPr="000F787F">
        <w:rPr>
          <w:bCs/>
          <w:sz w:val="22"/>
          <w:szCs w:val="22"/>
        </w:rPr>
        <w:t>AA</w:t>
      </w:r>
      <w:r w:rsidRPr="000F787F">
        <w:rPr>
          <w:bCs/>
          <w:sz w:val="22"/>
          <w:szCs w:val="22"/>
        </w:rPr>
        <w:tab/>
      </w:r>
      <w:r w:rsidRPr="000F787F">
        <w:rPr>
          <w:bCs/>
          <w:sz w:val="22"/>
          <w:szCs w:val="22"/>
          <w:u w:val="single"/>
        </w:rPr>
        <w:t>Recip. Comp. Expense-Related MOU</w:t>
      </w:r>
      <w:r w:rsidRPr="000F787F">
        <w:rPr>
          <w:bCs/>
          <w:sz w:val="22"/>
          <w:szCs w:val="22"/>
        </w:rPr>
        <w:t xml:space="preserve"> – Report the MOU for which payment has been made.</w:t>
      </w:r>
    </w:p>
    <w:p w:rsidR="00CD2FAA" w:rsidRPr="000F787F" w:rsidRDefault="00CD2FAA" w:rsidP="005423BE">
      <w:pPr>
        <w:ind w:left="720" w:hanging="720"/>
        <w:rPr>
          <w:bCs/>
          <w:sz w:val="22"/>
          <w:szCs w:val="22"/>
        </w:rPr>
      </w:pPr>
    </w:p>
    <w:p w:rsidR="00CD2FAA" w:rsidRPr="000F787F" w:rsidRDefault="00CD2FAA" w:rsidP="005423BE">
      <w:pPr>
        <w:ind w:left="720" w:hanging="720"/>
        <w:rPr>
          <w:bCs/>
          <w:sz w:val="22"/>
          <w:szCs w:val="22"/>
        </w:rPr>
      </w:pPr>
      <w:r w:rsidRPr="000F787F">
        <w:rPr>
          <w:bCs/>
          <w:sz w:val="22"/>
          <w:szCs w:val="22"/>
        </w:rPr>
        <w:t>AB</w:t>
      </w:r>
      <w:r w:rsidRPr="000F787F">
        <w:rPr>
          <w:bCs/>
          <w:sz w:val="22"/>
          <w:szCs w:val="22"/>
        </w:rPr>
        <w:tab/>
      </w:r>
      <w:r w:rsidRPr="000F787F">
        <w:rPr>
          <w:bCs/>
          <w:sz w:val="22"/>
          <w:szCs w:val="22"/>
          <w:u w:val="single"/>
        </w:rPr>
        <w:t>Recip. Comp. Expense</w:t>
      </w:r>
      <w:r w:rsidRPr="000F787F">
        <w:rPr>
          <w:bCs/>
          <w:sz w:val="22"/>
          <w:szCs w:val="22"/>
        </w:rPr>
        <w:t xml:space="preserve"> – Report the amount of expense paid.</w:t>
      </w:r>
    </w:p>
    <w:p w:rsidR="00CD2FAA" w:rsidRPr="000F787F" w:rsidRDefault="00CD2FAA" w:rsidP="005423BE">
      <w:pPr>
        <w:ind w:left="720" w:hanging="720"/>
        <w:rPr>
          <w:bCs/>
          <w:sz w:val="22"/>
          <w:szCs w:val="22"/>
        </w:rPr>
      </w:pPr>
    </w:p>
    <w:p w:rsidR="00CD2FAA" w:rsidRPr="000F787F" w:rsidRDefault="00CD2FAA" w:rsidP="00D329F2">
      <w:pPr>
        <w:ind w:left="720" w:hanging="720"/>
        <w:rPr>
          <w:sz w:val="22"/>
          <w:szCs w:val="22"/>
        </w:rPr>
      </w:pPr>
      <w:r w:rsidRPr="000F787F">
        <w:rPr>
          <w:bCs/>
          <w:sz w:val="22"/>
          <w:szCs w:val="22"/>
        </w:rPr>
        <w:t>AC</w:t>
      </w:r>
      <w:r w:rsidRPr="000F787F">
        <w:rPr>
          <w:bCs/>
          <w:sz w:val="22"/>
          <w:szCs w:val="22"/>
        </w:rPr>
        <w:tab/>
      </w:r>
      <w:r w:rsidRPr="000F787F">
        <w:rPr>
          <w:bCs/>
          <w:sz w:val="22"/>
          <w:szCs w:val="22"/>
          <w:u w:val="single"/>
        </w:rPr>
        <w:t>Recip. Comp. Expense Excluding Expense Relating to Payments to Affiliates</w:t>
      </w:r>
      <w:r w:rsidRPr="000F787F">
        <w:rPr>
          <w:bCs/>
          <w:sz w:val="22"/>
          <w:szCs w:val="22"/>
        </w:rPr>
        <w:t xml:space="preserve"> –</w:t>
      </w:r>
      <w:r w:rsidR="006A4637">
        <w:rPr>
          <w:bCs/>
          <w:sz w:val="22"/>
          <w:szCs w:val="22"/>
        </w:rPr>
        <w:t xml:space="preserve"> </w:t>
      </w:r>
      <w:r w:rsidRPr="000F787F">
        <w:rPr>
          <w:bCs/>
          <w:sz w:val="22"/>
          <w:szCs w:val="22"/>
        </w:rPr>
        <w:t xml:space="preserve">Report the amount of expense paid excluding expense relating to payments to </w:t>
      </w:r>
      <w:r w:rsidRPr="000F787F">
        <w:rPr>
          <w:sz w:val="22"/>
          <w:szCs w:val="22"/>
        </w:rPr>
        <w:t>companies affiliated with the reporting Incumbent LEC</w:t>
      </w:r>
      <w:r w:rsidRPr="000F787F">
        <w:rPr>
          <w:bCs/>
          <w:sz w:val="22"/>
          <w:szCs w:val="22"/>
        </w:rPr>
        <w:t>.</w:t>
      </w:r>
    </w:p>
    <w:p w:rsidR="000718A8" w:rsidRDefault="000718A8" w:rsidP="00295E2A">
      <w:pPr>
        <w:pStyle w:val="Style12ptBefore6ptAfter12pt"/>
        <w:spacing w:before="0" w:afterLines="200" w:after="480"/>
        <w:jc w:val="center"/>
        <w:rPr>
          <w:b/>
          <w:sz w:val="22"/>
          <w:szCs w:val="22"/>
        </w:rPr>
      </w:pPr>
    </w:p>
    <w:sectPr w:rsidR="000718A8" w:rsidSect="00CD2FA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72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52" w:rsidRDefault="00D35852">
      <w:r>
        <w:separator/>
      </w:r>
    </w:p>
  </w:endnote>
  <w:endnote w:type="continuationSeparator" w:id="0">
    <w:p w:rsidR="00D35852" w:rsidRDefault="00D35852">
      <w:r>
        <w:continuationSeparator/>
      </w:r>
    </w:p>
  </w:endnote>
  <w:endnote w:type="continuationNotice" w:id="1">
    <w:p w:rsidR="00D35852" w:rsidRDefault="00D3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6" w:rsidRDefault="000E4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6" w:rsidRDefault="000E4836">
    <w:pPr>
      <w:pStyle w:val="Footer"/>
      <w:framePr w:wrap="around" w:vAnchor="text" w:hAnchor="margin" w:xAlign="center" w:y="1"/>
      <w:rPr>
        <w:rStyle w:val="PageNumber"/>
      </w:rPr>
    </w:pPr>
  </w:p>
  <w:p w:rsidR="000E4836" w:rsidRDefault="000E4836" w:rsidP="00B07562">
    <w:pPr>
      <w:pStyle w:val="Footer"/>
      <w:rPr>
        <w:b/>
        <w:i/>
      </w:rPr>
    </w:pPr>
    <w:r>
      <w:tab/>
    </w:r>
    <w:r w:rsidR="00DD634A">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5" w:rsidRDefault="006048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E" w:rsidRDefault="000C44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E" w:rsidRDefault="000C442C" w:rsidP="001F03BF">
    <w:pPr>
      <w:pStyle w:val="Footer"/>
      <w:framePr w:wrap="around" w:vAnchor="text" w:hAnchor="margin" w:xAlign="center" w:y="1"/>
      <w:rPr>
        <w:rStyle w:val="PageNumber"/>
      </w:rPr>
    </w:pPr>
  </w:p>
  <w:p w:rsidR="008F0ECE" w:rsidRDefault="000C44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AA" w:rsidRDefault="00CD2FAA" w:rsidP="00CD2FAA">
    <w:pPr>
      <w:pStyle w:val="Footer"/>
      <w:framePr w:wrap="around" w:vAnchor="text" w:hAnchor="margin" w:xAlign="center" w:y="1"/>
      <w:rPr>
        <w:rStyle w:val="PageNumber"/>
      </w:rPr>
    </w:pPr>
  </w:p>
  <w:p w:rsidR="002B3DDD" w:rsidRDefault="000C4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52" w:rsidRDefault="00D35852">
      <w:r>
        <w:separator/>
      </w:r>
    </w:p>
  </w:footnote>
  <w:footnote w:type="continuationSeparator" w:id="0">
    <w:p w:rsidR="00D35852" w:rsidRDefault="00D35852">
      <w:r>
        <w:separator/>
      </w:r>
    </w:p>
  </w:footnote>
  <w:footnote w:type="continuationNotice" w:id="1">
    <w:p w:rsidR="00D35852" w:rsidRDefault="00D35852"/>
  </w:footnote>
  <w:footnote w:id="2">
    <w:p w:rsidR="000E4836" w:rsidRDefault="000E4836" w:rsidP="003E7B46">
      <w:pPr>
        <w:pStyle w:val="FootnoteText"/>
      </w:pPr>
      <w:r>
        <w:rPr>
          <w:rStyle w:val="FootnoteReference"/>
        </w:rPr>
        <w:footnoteRef/>
      </w:r>
      <w:r>
        <w:t xml:space="preserve"> </w:t>
      </w:r>
      <w:r w:rsidRPr="008062ED">
        <w:rPr>
          <w:bCs/>
          <w:i/>
        </w:rPr>
        <w:t>See Connect America Fund et al</w:t>
      </w:r>
      <w:r w:rsidRPr="008062ED">
        <w:rPr>
          <w:bCs/>
        </w:rPr>
        <w:t>., WC Docket No. 10-90 et al., Report and Order and Further Notice of Proposed Rulemaking, 26 FCC Rcd 17663</w:t>
      </w:r>
      <w:r>
        <w:rPr>
          <w:bCs/>
        </w:rPr>
        <w:t xml:space="preserve"> (2011), </w:t>
      </w:r>
      <w:r w:rsidRPr="008062ED">
        <w:rPr>
          <w:bCs/>
          <w:i/>
        </w:rPr>
        <w:t>pets. for review pending, Direct Commc'ns Cedar Valley, LLC v. FCC</w:t>
      </w:r>
      <w:r w:rsidRPr="008062ED">
        <w:rPr>
          <w:bCs/>
        </w:rPr>
        <w:t>, No. 11-9581 (10th Cir. filed Dec. 18, 2011) (and consolidated cases) (</w:t>
      </w:r>
      <w:r w:rsidRPr="008062ED">
        <w:rPr>
          <w:bCs/>
          <w:i/>
        </w:rPr>
        <w:t>USF/ICC Transformation Order</w:t>
      </w:r>
      <w:r w:rsidRPr="008062ED">
        <w:rPr>
          <w:bCs/>
        </w:rPr>
        <w:t>).</w:t>
      </w:r>
    </w:p>
  </w:footnote>
  <w:footnote w:id="3">
    <w:p w:rsidR="000E4836" w:rsidRDefault="000E4836">
      <w:pPr>
        <w:pStyle w:val="FootnoteText"/>
      </w:pPr>
      <w:r>
        <w:rPr>
          <w:rStyle w:val="FootnoteReference"/>
        </w:rPr>
        <w:footnoteRef/>
      </w:r>
      <w:r>
        <w:t xml:space="preserve"> </w:t>
      </w:r>
      <w:r w:rsidRPr="003E7B46">
        <w:rPr>
          <w:i/>
        </w:rPr>
        <w:t>USF/ICC Transformation Order</w:t>
      </w:r>
      <w:r>
        <w:t>, 26 FCC Rcd at 17956-18002, paras. 847-932.</w:t>
      </w:r>
    </w:p>
  </w:footnote>
  <w:footnote w:id="4">
    <w:p w:rsidR="000E4836" w:rsidRDefault="000E4836" w:rsidP="003E7B46">
      <w:pPr>
        <w:pStyle w:val="FootnoteText"/>
      </w:pPr>
      <w:r>
        <w:rPr>
          <w:rStyle w:val="FootnoteReference"/>
        </w:rPr>
        <w:footnoteRef/>
      </w:r>
      <w:r>
        <w:t xml:space="preserve"> </w:t>
      </w:r>
      <w:r>
        <w:rPr>
          <w:i/>
        </w:rPr>
        <w:t>Id.</w:t>
      </w:r>
      <w:r>
        <w:t xml:space="preserve"> at 17996, paras. 921-23.</w:t>
      </w:r>
    </w:p>
  </w:footnote>
  <w:footnote w:id="5">
    <w:p w:rsidR="000E4836" w:rsidRDefault="000E4836">
      <w:pPr>
        <w:pStyle w:val="FootnoteText"/>
      </w:pPr>
      <w:r>
        <w:rPr>
          <w:rStyle w:val="FootnoteReference"/>
        </w:rPr>
        <w:footnoteRef/>
      </w:r>
      <w:r>
        <w:t xml:space="preserve"> </w:t>
      </w:r>
      <w:r w:rsidRPr="007313EA">
        <w:rPr>
          <w:i/>
        </w:rPr>
        <w:t>Id</w:t>
      </w:r>
      <w:r>
        <w:t>. at 17996, para. 922.</w:t>
      </w:r>
    </w:p>
  </w:footnote>
  <w:footnote w:id="6">
    <w:p w:rsidR="000E4836" w:rsidRDefault="000E4836">
      <w:pPr>
        <w:pStyle w:val="FootnoteText"/>
      </w:pPr>
      <w:r>
        <w:rPr>
          <w:rStyle w:val="FootnoteReference"/>
        </w:rPr>
        <w:footnoteRef/>
      </w:r>
      <w:r>
        <w:t xml:space="preserve"> </w:t>
      </w:r>
      <w:r w:rsidRPr="00221356">
        <w:rPr>
          <w:i/>
        </w:rPr>
        <w:t>Id</w:t>
      </w:r>
      <w:r>
        <w:t>. at 17996, para. 923.</w:t>
      </w:r>
    </w:p>
  </w:footnote>
  <w:footnote w:id="7">
    <w:p w:rsidR="000E4836" w:rsidRPr="009604E8" w:rsidRDefault="000E4836">
      <w:pPr>
        <w:pStyle w:val="FootnoteText"/>
      </w:pPr>
      <w:r>
        <w:rPr>
          <w:rStyle w:val="FootnoteReference"/>
        </w:rPr>
        <w:footnoteRef/>
      </w:r>
      <w:r>
        <w:t xml:space="preserve"> </w:t>
      </w:r>
      <w:r w:rsidRPr="007313EA">
        <w:rPr>
          <w:i/>
        </w:rPr>
        <w:t>Id</w:t>
      </w:r>
      <w:r>
        <w:t xml:space="preserve">. at 17996, para. 923.  </w:t>
      </w:r>
    </w:p>
  </w:footnote>
  <w:footnote w:id="8">
    <w:p w:rsidR="000E4836" w:rsidRDefault="000E4836">
      <w:pPr>
        <w:pStyle w:val="FootnoteText"/>
      </w:pPr>
      <w:r>
        <w:rPr>
          <w:rStyle w:val="FootnoteReference"/>
        </w:rPr>
        <w:footnoteRef/>
      </w:r>
      <w:r>
        <w:t xml:space="preserve"> </w:t>
      </w:r>
      <w:r w:rsidRPr="009604E8">
        <w:t xml:space="preserve">We emphasize, however, that the information required for the </w:t>
      </w:r>
      <w:r w:rsidR="005B62E1">
        <w:t>ICC</w:t>
      </w:r>
      <w:r w:rsidR="00242785">
        <w:t xml:space="preserve"> Reform</w:t>
      </w:r>
      <w:r w:rsidR="005B62E1">
        <w:t xml:space="preserve"> </w:t>
      </w:r>
      <w:r w:rsidR="00242785">
        <w:t>C</w:t>
      </w:r>
      <w:r w:rsidRPr="009604E8">
        <w:t xml:space="preserve">ompliance and </w:t>
      </w:r>
      <w:r w:rsidR="00242785">
        <w:t>M</w:t>
      </w:r>
      <w:r w:rsidRPr="009604E8">
        <w:t xml:space="preserve">onitoring </w:t>
      </w:r>
      <w:r w:rsidR="00242785">
        <w:t>F</w:t>
      </w:r>
      <w:r w:rsidR="005B62E1">
        <w:t>orm</w:t>
      </w:r>
      <w:r w:rsidRPr="009604E8">
        <w:t xml:space="preserve"> is separate and apart from the materials required to support any proposed tariff revisions.  Thus, carriers filing tariff revisions as part of </w:t>
      </w:r>
      <w:r>
        <w:t xml:space="preserve">any </w:t>
      </w:r>
      <w:r w:rsidRPr="009604E8">
        <w:t>annual access charge tariff filing</w:t>
      </w:r>
      <w:r>
        <w:t xml:space="preserve"> </w:t>
      </w:r>
      <w:r w:rsidRPr="009604E8">
        <w:t xml:space="preserve">must still provide all information necessary to support proposed tariff revisions.  </w:t>
      </w:r>
      <w:r w:rsidRPr="009604E8">
        <w:rPr>
          <w:i/>
        </w:rPr>
        <w:t>See Material to be Filed in Support of 2012 Annual Access Tariff Filings</w:t>
      </w:r>
      <w:r w:rsidRPr="009604E8">
        <w:t>, WCB/Pricing Fi</w:t>
      </w:r>
      <w:r>
        <w:t xml:space="preserve">le No. 12-08, Order, 27 FCC Rcd 3960 (Wireline Comp. Bur. </w:t>
      </w:r>
      <w:r w:rsidRPr="009604E8">
        <w:t>2012).</w:t>
      </w:r>
    </w:p>
  </w:footnote>
  <w:footnote w:id="9">
    <w:p w:rsidR="000E4836" w:rsidRDefault="000E4836">
      <w:pPr>
        <w:pStyle w:val="FootnoteText"/>
      </w:pPr>
      <w:r>
        <w:rPr>
          <w:rStyle w:val="FootnoteReference"/>
        </w:rPr>
        <w:footnoteRef/>
      </w:r>
      <w:r>
        <w:t xml:space="preserve"> </w:t>
      </w:r>
      <w:r w:rsidRPr="003E7B46">
        <w:rPr>
          <w:i/>
        </w:rPr>
        <w:t>USF/ICC Transformation Order</w:t>
      </w:r>
      <w:r>
        <w:t>, 26 FCC Rcd at 17996, para. 923.</w:t>
      </w:r>
    </w:p>
  </w:footnote>
  <w:footnote w:id="10">
    <w:p w:rsidR="000E4836" w:rsidRDefault="000E4836">
      <w:pPr>
        <w:pStyle w:val="FootnoteText"/>
      </w:pPr>
      <w:r>
        <w:rPr>
          <w:rStyle w:val="FootnoteReference"/>
        </w:rPr>
        <w:footnoteRef/>
      </w:r>
      <w:r>
        <w:t xml:space="preserve"> </w:t>
      </w:r>
      <w:r>
        <w:rPr>
          <w:i/>
        </w:rPr>
        <w:t>Id.</w:t>
      </w:r>
      <w:r>
        <w:t xml:space="preserve"> at 17996, para. 922.</w:t>
      </w:r>
    </w:p>
  </w:footnote>
  <w:footnote w:id="11">
    <w:p w:rsidR="00871B7C" w:rsidRDefault="00871B7C">
      <w:pPr>
        <w:pStyle w:val="FootnoteText"/>
      </w:pPr>
      <w:r>
        <w:rPr>
          <w:rStyle w:val="FootnoteReference"/>
        </w:rPr>
        <w:footnoteRef/>
      </w:r>
      <w:r>
        <w:t xml:space="preserve"> </w:t>
      </w:r>
      <w:r w:rsidR="009A5EA4" w:rsidRPr="000F787F">
        <w:rPr>
          <w:i/>
        </w:rPr>
        <w:t>See</w:t>
      </w:r>
      <w:r w:rsidR="009A5EA4">
        <w:t xml:space="preserve"> </w:t>
      </w:r>
      <w:r w:rsidR="007E0FE5">
        <w:rPr>
          <w:i/>
        </w:rPr>
        <w:t>i</w:t>
      </w:r>
      <w:r w:rsidR="009A5EA4">
        <w:rPr>
          <w:i/>
        </w:rPr>
        <w:t xml:space="preserve">d. </w:t>
      </w:r>
      <w:r w:rsidR="009A5EA4">
        <w:t xml:space="preserve">at </w:t>
      </w:r>
      <w:r>
        <w:t>17996, para. 923</w:t>
      </w:r>
      <w:r w:rsidR="009A5EA4">
        <w:t xml:space="preserve">;  </w:t>
      </w:r>
      <w:r w:rsidR="009A5EA4" w:rsidRPr="008062ED">
        <w:rPr>
          <w:bCs/>
          <w:i/>
        </w:rPr>
        <w:t>Connect America Fund et al</w:t>
      </w:r>
      <w:r w:rsidR="009A5EA4" w:rsidRPr="008062ED">
        <w:rPr>
          <w:bCs/>
        </w:rPr>
        <w:t xml:space="preserve">., WC Docket No. 10-90 et al., </w:t>
      </w:r>
      <w:r w:rsidR="009A5EA4">
        <w:rPr>
          <w:bCs/>
        </w:rPr>
        <w:t>Order</w:t>
      </w:r>
      <w:r w:rsidR="009A5EA4" w:rsidRPr="008062ED">
        <w:rPr>
          <w:bCs/>
        </w:rPr>
        <w:t>, 2</w:t>
      </w:r>
      <w:r w:rsidR="009A5EA4">
        <w:rPr>
          <w:bCs/>
        </w:rPr>
        <w:t>7</w:t>
      </w:r>
      <w:r w:rsidR="009A5EA4" w:rsidRPr="008062ED">
        <w:rPr>
          <w:bCs/>
        </w:rPr>
        <w:t xml:space="preserve"> FCC Rcd </w:t>
      </w:r>
      <w:r w:rsidR="009A5EA4">
        <w:rPr>
          <w:bCs/>
        </w:rPr>
        <w:t>605,</w:t>
      </w:r>
      <w:r w:rsidR="00F934CD">
        <w:rPr>
          <w:bCs/>
        </w:rPr>
        <w:t xml:space="preserve"> 611</w:t>
      </w:r>
      <w:r w:rsidR="00580735">
        <w:rPr>
          <w:bCs/>
        </w:rPr>
        <w:t>,</w:t>
      </w:r>
      <w:r w:rsidR="009A5EA4">
        <w:rPr>
          <w:bCs/>
        </w:rPr>
        <w:t xml:space="preserve"> para. 21 (2012)</w:t>
      </w:r>
      <w:r w:rsidR="00242785">
        <w:rPr>
          <w:bCs/>
        </w:rPr>
        <w:t>.</w:t>
      </w:r>
    </w:p>
  </w:footnote>
  <w:footnote w:id="12">
    <w:p w:rsidR="000E4836" w:rsidRDefault="000E4836">
      <w:pPr>
        <w:pStyle w:val="FootnoteText"/>
      </w:pPr>
      <w:r>
        <w:rPr>
          <w:rStyle w:val="FootnoteReference"/>
        </w:rPr>
        <w:footnoteRef/>
      </w:r>
      <w:r>
        <w:t xml:space="preserve"> </w:t>
      </w:r>
      <w:r w:rsidR="009A5EA4" w:rsidRPr="003E7B46">
        <w:rPr>
          <w:i/>
        </w:rPr>
        <w:t>USF/ICC Transformation Order</w:t>
      </w:r>
      <w:r w:rsidR="009A5EA4">
        <w:t xml:space="preserve">, 26 FCC Rcd at 17996, </w:t>
      </w:r>
      <w:r>
        <w:t>para. 921 (“All such information may be filed under protective order and will be treated as confidential.”).</w:t>
      </w:r>
    </w:p>
  </w:footnote>
  <w:footnote w:id="13">
    <w:p w:rsidR="000E4836" w:rsidRPr="003B1A46" w:rsidRDefault="000E4836" w:rsidP="003B1A46">
      <w:pPr>
        <w:pStyle w:val="FootnoteText"/>
        <w:rPr>
          <w:i/>
        </w:rPr>
      </w:pPr>
      <w:r>
        <w:rPr>
          <w:rStyle w:val="FootnoteReference"/>
        </w:rPr>
        <w:footnoteRef/>
      </w:r>
      <w:r>
        <w:t xml:space="preserve"> The Wireline Competition Bureau adopted a protective order to address the treatment of confidential filings in this rulemaking.  </w:t>
      </w:r>
      <w:r w:rsidRPr="00602A3A">
        <w:rPr>
          <w:i/>
        </w:rPr>
        <w:t>Connect America Fund</w:t>
      </w:r>
      <w:r>
        <w:rPr>
          <w:i/>
        </w:rPr>
        <w:t xml:space="preserve"> et al</w:t>
      </w:r>
      <w:r w:rsidRPr="006B4B8D">
        <w:t>., WC Docket Nos. 10-90, 07-135, 05-337, 03-109; GN Docket No. 09-51; CC Docket Nos. 01-92, 96-45; WT Docket No. 10-208, Protective Order,</w:t>
      </w:r>
      <w:r w:rsidRPr="00602A3A">
        <w:t xml:space="preserve"> </w:t>
      </w:r>
      <w:r>
        <w:t>26 FCC Rcd 10276,  (Wireline Comp. Bur. rel. August 30, 2012) (</w:t>
      </w:r>
      <w:r w:rsidRPr="0072501C">
        <w:rPr>
          <w:i/>
        </w:rPr>
        <w:t>Third Protective Order</w:t>
      </w:r>
      <w:r>
        <w:t>).</w:t>
      </w:r>
    </w:p>
  </w:footnote>
  <w:footnote w:id="14">
    <w:p w:rsidR="000E4836" w:rsidRDefault="000E4836">
      <w:pPr>
        <w:pStyle w:val="FootnoteText"/>
      </w:pPr>
      <w:r>
        <w:rPr>
          <w:rStyle w:val="FootnoteReference"/>
        </w:rPr>
        <w:footnoteRef/>
      </w:r>
      <w:r>
        <w:t xml:space="preserve"> </w:t>
      </w:r>
      <w:r w:rsidRPr="003E7B46">
        <w:rPr>
          <w:i/>
        </w:rPr>
        <w:t>USF/ICC Transformation Order</w:t>
      </w:r>
      <w:r>
        <w:t>, 26 FCC Rcd at 17996, para. 923.</w:t>
      </w:r>
    </w:p>
  </w:footnote>
  <w:footnote w:id="15">
    <w:p w:rsidR="000E4836" w:rsidRDefault="000E4836">
      <w:pPr>
        <w:pStyle w:val="FootnoteText"/>
      </w:pPr>
      <w:r>
        <w:rPr>
          <w:rStyle w:val="FootnoteReference"/>
        </w:rPr>
        <w:footnoteRef/>
      </w:r>
      <w:r>
        <w:t xml:space="preserve"> </w:t>
      </w:r>
      <w:r w:rsidRPr="00A937B9">
        <w:rPr>
          <w:i/>
        </w:rPr>
        <w:t>See Electronic Filing of Documents in Rulemaking Proceedings</w:t>
      </w:r>
      <w:r w:rsidRPr="00A937B9">
        <w:t>, 63 FR 24121 (1998).</w:t>
      </w:r>
    </w:p>
  </w:footnote>
  <w:footnote w:id="16">
    <w:p w:rsidR="000E4836" w:rsidRDefault="000E4836">
      <w:pPr>
        <w:pStyle w:val="FootnoteText"/>
      </w:pPr>
      <w:r>
        <w:rPr>
          <w:rStyle w:val="FootnoteReference"/>
        </w:rPr>
        <w:footnoteRef/>
      </w:r>
      <w:r>
        <w:t xml:space="preserve"> </w:t>
      </w:r>
      <w:r w:rsidRPr="002165E4">
        <w:t xml:space="preserve">47 C.F.R. §§ 1.1200 </w:t>
      </w:r>
      <w:r w:rsidRPr="00311E15">
        <w:rPr>
          <w:i/>
        </w:rPr>
        <w:t>et seq</w:t>
      </w:r>
      <w:r w:rsidRPr="002165E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5" w:rsidRDefault="00604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7F" w:rsidRPr="000F787F" w:rsidRDefault="000F787F" w:rsidP="000F787F">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6" w:rsidRDefault="000C442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pt;margin-top:8.5pt;width:41.75pt;height:41.75pt;z-index:251658752" o:allowincell="f">
          <v:imagedata r:id="rId1" o:title=""/>
          <w10:wrap type="topAndBottom"/>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704" o:allowincell="f" stroked="f">
          <v:textbox style="mso-next-textbox:#_x0000_s2050">
            <w:txbxContent>
              <w:p w:rsidR="000E4836" w:rsidRDefault="000E4836">
                <w:pPr>
                  <w:rPr>
                    <w:rFonts w:ascii="Arial" w:hAnsi="Arial"/>
                    <w:b/>
                  </w:rPr>
                </w:pPr>
                <w:r>
                  <w:rPr>
                    <w:rFonts w:ascii="Arial" w:hAnsi="Arial"/>
                    <w:b/>
                  </w:rPr>
                  <w:t>Federal Communications Commission</w:t>
                </w:r>
              </w:p>
              <w:p w:rsidR="000E4836" w:rsidRDefault="000E483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E4836" w:rsidRDefault="000E483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sidR="000E4836">
      <w:rPr>
        <w:rFonts w:ascii="News Gothic MT" w:hAnsi="News Gothic MT"/>
        <w:b/>
        <w:kern w:val="28"/>
        <w:sz w:val="96"/>
      </w:rPr>
      <w:t>PUBLIC NOTICE</w:t>
    </w:r>
  </w:p>
  <w:p w:rsidR="000E4836" w:rsidRDefault="000C442C">
    <w:pPr>
      <w:pStyle w:val="Header"/>
      <w:pBdr>
        <w:bottom w:val="single" w:sz="4" w:space="1" w:color="auto"/>
      </w:pBdr>
      <w:tabs>
        <w:tab w:val="clear" w:pos="4320"/>
        <w:tab w:val="clear" w:pos="8640"/>
        <w:tab w:val="left" w:pos="0"/>
      </w:tabs>
      <w:spacing w:line="1120" w:lineRule="exact"/>
      <w:rPr>
        <w:rFonts w:ascii="Arial" w:hAnsi="Arial"/>
        <w:b/>
        <w:sz w:val="28"/>
      </w:rPr>
    </w:pPr>
    <w:r>
      <w:rPr>
        <w:noProof/>
      </w:rPr>
      <w:pict>
        <v:shape id="_x0000_s2051" type="#_x0000_t202" style="position:absolute;margin-left:256.05pt;margin-top:6pt;width:207.95pt;height:43.2pt;z-index:251657728" stroked="f">
          <v:textbox style="mso-next-textbox:#_x0000_s2051" inset=",0,,0">
            <w:txbxContent>
              <w:p w:rsidR="000E4836" w:rsidRDefault="000E4836">
                <w:pPr>
                  <w:spacing w:before="40"/>
                  <w:jc w:val="right"/>
                  <w:rPr>
                    <w:rFonts w:ascii="Arial" w:hAnsi="Arial"/>
                    <w:b/>
                    <w:sz w:val="16"/>
                  </w:rPr>
                </w:pPr>
                <w:r>
                  <w:rPr>
                    <w:rFonts w:ascii="Arial" w:hAnsi="Arial"/>
                    <w:b/>
                    <w:sz w:val="16"/>
                  </w:rPr>
                  <w:t>News Media Information 202 / 418-0500</w:t>
                </w:r>
              </w:p>
              <w:p w:rsidR="000E4836" w:rsidRDefault="000E483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E4836" w:rsidRDefault="000E4836">
                <w:pPr>
                  <w:jc w:val="right"/>
                  <w:rPr>
                    <w:rFonts w:ascii="Arial" w:hAnsi="Arial"/>
                    <w:b/>
                    <w:sz w:val="16"/>
                  </w:rPr>
                </w:pPr>
                <w:r>
                  <w:rPr>
                    <w:rFonts w:ascii="Arial" w:hAnsi="Arial"/>
                    <w:b/>
                    <w:sz w:val="16"/>
                  </w:rPr>
                  <w:t>TTY: 1-888-835-5322</w:t>
                </w:r>
              </w:p>
              <w:p w:rsidR="000E4836" w:rsidRDefault="000E4836">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DD" w:rsidRDefault="000C44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E" w:rsidRDefault="000C442C" w:rsidP="000F787F">
    <w:pPr>
      <w:pStyle w:val="Header"/>
      <w:tabs>
        <w:tab w:val="clear" w:pos="4320"/>
        <w:tab w:val="clear" w:pos="8640"/>
        <w:tab w:val="left" w:pos="5964"/>
      </w:tabs>
      <w:jc w:val="right"/>
    </w:pPr>
  </w:p>
  <w:p w:rsidR="008F0ECE" w:rsidRDefault="000C44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7F" w:rsidRPr="000F787F" w:rsidRDefault="000F787F" w:rsidP="000F787F">
    <w:pPr>
      <w:pStyle w:val="Header"/>
      <w:jc w:val="right"/>
      <w:rPr>
        <w:b/>
      </w:rPr>
    </w:pPr>
    <w:r>
      <w:tab/>
    </w:r>
  </w:p>
  <w:p w:rsidR="002B3DDD" w:rsidRDefault="000C442C" w:rsidP="000F787F">
    <w:pPr>
      <w:pStyle w:val="Header"/>
      <w:tabs>
        <w:tab w:val="clear" w:pos="4320"/>
        <w:tab w:val="clear" w:pos="8640"/>
        <w:tab w:val="left" w:pos="6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8E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8FBC9FFA"/>
    <w:lvl w:ilvl="0">
      <w:start w:val="1"/>
      <w:numFmt w:val="lowerLetter"/>
      <w:lvlText w:val="%1."/>
      <w:lvlJc w:val="left"/>
      <w:pPr>
        <w:tabs>
          <w:tab w:val="num" w:pos="1440"/>
        </w:tabs>
        <w:ind w:left="1440" w:hanging="360"/>
      </w:pPr>
      <w:rPr>
        <w:rFonts w:cs="Times New Roman" w:hint="default"/>
      </w:rPr>
    </w:lvl>
  </w:abstractNum>
  <w:abstractNum w:abstractNumId="2">
    <w:nsid w:val="FFFFFF80"/>
    <w:multiLevelType w:val="singleLevel"/>
    <w:tmpl w:val="37701CF0"/>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1E3427A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6FBAC20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D1100F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7D0EDF2A"/>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7BF60674"/>
    <w:lvl w:ilvl="0">
      <w:start w:val="1"/>
      <w:numFmt w:val="bullet"/>
      <w:lvlText w:val=""/>
      <w:lvlJc w:val="left"/>
      <w:pPr>
        <w:tabs>
          <w:tab w:val="num" w:pos="360"/>
        </w:tabs>
        <w:ind w:left="360" w:hanging="360"/>
      </w:pPr>
      <w:rPr>
        <w:rFonts w:ascii="Symbol" w:hAnsi="Symbol" w:hint="default"/>
      </w:rPr>
    </w:lvl>
  </w:abstractNum>
  <w:abstractNum w:abstractNumId="8">
    <w:nsid w:val="0B562155"/>
    <w:multiLevelType w:val="multilevel"/>
    <w:tmpl w:val="41C0EA04"/>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720"/>
        </w:tabs>
        <w:ind w:left="720"/>
      </w:pPr>
      <w:rPr>
        <w:rFonts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1EB5F24"/>
    <w:multiLevelType w:val="multilevel"/>
    <w:tmpl w:val="869CB424"/>
    <w:lvl w:ilvl="0">
      <w:start w:val="1"/>
      <w:numFmt w:val="upperLetter"/>
      <w:lvlText w:val="%1."/>
      <w:lvlJc w:val="left"/>
      <w:pPr>
        <w:tabs>
          <w:tab w:val="num" w:pos="648"/>
        </w:tabs>
        <w:ind w:left="648" w:hanging="648"/>
      </w:pPr>
      <w:rPr>
        <w:rFonts w:cs="Times New Roman" w:hint="default"/>
        <w:b w:val="0"/>
        <w:i w:val="0"/>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right"/>
      <w:pPr>
        <w:tabs>
          <w:tab w:val="num" w:pos="1584"/>
        </w:tabs>
        <w:ind w:left="1584"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Roman"/>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A644837"/>
    <w:multiLevelType w:val="hybridMultilevel"/>
    <w:tmpl w:val="A9F6C656"/>
    <w:lvl w:ilvl="0" w:tplc="8C9838D4">
      <w:start w:val="1"/>
      <w:numFmt w:val="decimal"/>
      <w:pStyle w:val="ListNumber"/>
      <w:lvlText w:val="%1."/>
      <w:lvlJc w:val="left"/>
      <w:pPr>
        <w:tabs>
          <w:tab w:val="num" w:pos="720"/>
        </w:tabs>
        <w:ind w:left="720" w:hanging="360"/>
      </w:pPr>
      <w:rPr>
        <w:rFonts w:cs="Times New Roman" w:hint="default"/>
        <w:b w:val="0"/>
        <w:color w:val="auto"/>
      </w:rPr>
    </w:lvl>
    <w:lvl w:ilvl="1" w:tplc="3450712C">
      <w:start w:val="2"/>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2">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6">
    <w:nsid w:val="5FBF5BDC"/>
    <w:multiLevelType w:val="hybridMultilevel"/>
    <w:tmpl w:val="A766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C7DE1"/>
    <w:multiLevelType w:val="hybridMultilevel"/>
    <w:tmpl w:val="5C7C736A"/>
    <w:lvl w:ilvl="0" w:tplc="517092A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F767DC"/>
    <w:multiLevelType w:val="multilevel"/>
    <w:tmpl w:val="869CB424"/>
    <w:lvl w:ilvl="0">
      <w:start w:val="1"/>
      <w:numFmt w:val="upperLetter"/>
      <w:lvlText w:val="%1."/>
      <w:lvlJc w:val="left"/>
      <w:pPr>
        <w:tabs>
          <w:tab w:val="num" w:pos="648"/>
        </w:tabs>
        <w:ind w:left="648" w:hanging="648"/>
      </w:pPr>
      <w:rPr>
        <w:rFonts w:cs="Times New Roman" w:hint="default"/>
        <w:b w:val="0"/>
        <w:i w:val="0"/>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right"/>
      <w:pPr>
        <w:tabs>
          <w:tab w:val="num" w:pos="1584"/>
        </w:tabs>
        <w:ind w:left="1584"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Roman"/>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7F036329"/>
    <w:multiLevelType w:val="hybridMultilevel"/>
    <w:tmpl w:val="1FF67C64"/>
    <w:lvl w:ilvl="0" w:tplc="4E2A1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14"/>
  </w:num>
  <w:num w:numId="12">
    <w:abstractNumId w:val="13"/>
  </w:num>
  <w:num w:numId="13">
    <w:abstractNumId w:val="15"/>
  </w:num>
  <w:num w:numId="14">
    <w:abstractNumId w:val="12"/>
  </w:num>
  <w:num w:numId="15">
    <w:abstractNumId w:val="11"/>
  </w:num>
  <w:num w:numId="16">
    <w:abstractNumId w:val="10"/>
  </w:num>
  <w:num w:numId="17">
    <w:abstractNumId w:val="1"/>
  </w:num>
  <w:num w:numId="18">
    <w:abstractNumId w:val="8"/>
  </w:num>
  <w:num w:numId="19">
    <w:abstractNumId w:val="9"/>
  </w:num>
  <w:num w:numId="20">
    <w:abstractNumId w:val="17"/>
  </w:num>
  <w:num w:numId="21">
    <w:abstractNumId w:val="18"/>
  </w:num>
  <w:num w:numId="22">
    <w:abstractNumId w:val="7"/>
  </w:num>
  <w:num w:numId="23">
    <w:abstractNumId w:val="5"/>
  </w:num>
  <w:num w:numId="24">
    <w:abstractNumId w:val="4"/>
  </w:num>
  <w:num w:numId="25">
    <w:abstractNumId w:val="3"/>
  </w:num>
  <w:num w:numId="26">
    <w:abstractNumId w:val="2"/>
  </w:num>
  <w:num w:numId="27">
    <w:abstractNumId w:val="19"/>
  </w:num>
  <w:num w:numId="28">
    <w:abstractNumId w:val="0"/>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705"/>
    <w:rsid w:val="00002A41"/>
    <w:rsid w:val="00013E35"/>
    <w:rsid w:val="00017360"/>
    <w:rsid w:val="0004500E"/>
    <w:rsid w:val="00057F96"/>
    <w:rsid w:val="000651BA"/>
    <w:rsid w:val="00065AAE"/>
    <w:rsid w:val="00071842"/>
    <w:rsid w:val="000718A8"/>
    <w:rsid w:val="00073F11"/>
    <w:rsid w:val="00087BEF"/>
    <w:rsid w:val="00092A51"/>
    <w:rsid w:val="00096617"/>
    <w:rsid w:val="000A4D60"/>
    <w:rsid w:val="000A5956"/>
    <w:rsid w:val="000B42AE"/>
    <w:rsid w:val="000C442C"/>
    <w:rsid w:val="000C47A9"/>
    <w:rsid w:val="000D16BF"/>
    <w:rsid w:val="000D2769"/>
    <w:rsid w:val="000D618A"/>
    <w:rsid w:val="000D6D03"/>
    <w:rsid w:val="000E4836"/>
    <w:rsid w:val="000E583B"/>
    <w:rsid w:val="000F787F"/>
    <w:rsid w:val="00103095"/>
    <w:rsid w:val="0011053B"/>
    <w:rsid w:val="0011521F"/>
    <w:rsid w:val="00117785"/>
    <w:rsid w:val="001238C4"/>
    <w:rsid w:val="00145299"/>
    <w:rsid w:val="00153114"/>
    <w:rsid w:val="001576F2"/>
    <w:rsid w:val="00164CD5"/>
    <w:rsid w:val="00181C96"/>
    <w:rsid w:val="00190D6E"/>
    <w:rsid w:val="00191A82"/>
    <w:rsid w:val="001A68E8"/>
    <w:rsid w:val="001A72A4"/>
    <w:rsid w:val="001A72E9"/>
    <w:rsid w:val="001B2B11"/>
    <w:rsid w:val="001B47A6"/>
    <w:rsid w:val="001B5ED3"/>
    <w:rsid w:val="001B6DD1"/>
    <w:rsid w:val="001E3C21"/>
    <w:rsid w:val="001E6B2D"/>
    <w:rsid w:val="001F3D5D"/>
    <w:rsid w:val="001F4F39"/>
    <w:rsid w:val="001F5500"/>
    <w:rsid w:val="001F627F"/>
    <w:rsid w:val="0020588A"/>
    <w:rsid w:val="00210340"/>
    <w:rsid w:val="00210742"/>
    <w:rsid w:val="002165E4"/>
    <w:rsid w:val="00221356"/>
    <w:rsid w:val="002255CD"/>
    <w:rsid w:val="00225EBC"/>
    <w:rsid w:val="00242785"/>
    <w:rsid w:val="00243D7A"/>
    <w:rsid w:val="002445BC"/>
    <w:rsid w:val="002513A3"/>
    <w:rsid w:val="0026134F"/>
    <w:rsid w:val="00295E0E"/>
    <w:rsid w:val="00295E2A"/>
    <w:rsid w:val="002B250E"/>
    <w:rsid w:val="002B5980"/>
    <w:rsid w:val="002B7285"/>
    <w:rsid w:val="002C58B1"/>
    <w:rsid w:val="002C5978"/>
    <w:rsid w:val="002C5B09"/>
    <w:rsid w:val="002D47A4"/>
    <w:rsid w:val="002D648A"/>
    <w:rsid w:val="002D7993"/>
    <w:rsid w:val="002E1343"/>
    <w:rsid w:val="002E3A06"/>
    <w:rsid w:val="002F3050"/>
    <w:rsid w:val="002F375B"/>
    <w:rsid w:val="002F6DB4"/>
    <w:rsid w:val="003023D6"/>
    <w:rsid w:val="00311E15"/>
    <w:rsid w:val="003236C1"/>
    <w:rsid w:val="00332927"/>
    <w:rsid w:val="00333D98"/>
    <w:rsid w:val="00336F9B"/>
    <w:rsid w:val="0035025A"/>
    <w:rsid w:val="00350D83"/>
    <w:rsid w:val="00371902"/>
    <w:rsid w:val="00381A21"/>
    <w:rsid w:val="003844EA"/>
    <w:rsid w:val="003A09E9"/>
    <w:rsid w:val="003B1A46"/>
    <w:rsid w:val="003E1705"/>
    <w:rsid w:val="003E3A13"/>
    <w:rsid w:val="003E7B46"/>
    <w:rsid w:val="0040558C"/>
    <w:rsid w:val="00414460"/>
    <w:rsid w:val="004168B9"/>
    <w:rsid w:val="00421B6D"/>
    <w:rsid w:val="004278F3"/>
    <w:rsid w:val="00440131"/>
    <w:rsid w:val="004424D5"/>
    <w:rsid w:val="00451AFD"/>
    <w:rsid w:val="00460852"/>
    <w:rsid w:val="00461471"/>
    <w:rsid w:val="004620F5"/>
    <w:rsid w:val="00493228"/>
    <w:rsid w:val="004A1D75"/>
    <w:rsid w:val="004A7D19"/>
    <w:rsid w:val="004C3CF4"/>
    <w:rsid w:val="004D12A4"/>
    <w:rsid w:val="004D568B"/>
    <w:rsid w:val="004E5D5E"/>
    <w:rsid w:val="004F2A8A"/>
    <w:rsid w:val="004F2D30"/>
    <w:rsid w:val="00502F5C"/>
    <w:rsid w:val="005047FC"/>
    <w:rsid w:val="005059ED"/>
    <w:rsid w:val="00524328"/>
    <w:rsid w:val="00525E90"/>
    <w:rsid w:val="005310FC"/>
    <w:rsid w:val="00533F65"/>
    <w:rsid w:val="00536679"/>
    <w:rsid w:val="00541ED5"/>
    <w:rsid w:val="0055120A"/>
    <w:rsid w:val="00551C92"/>
    <w:rsid w:val="005520D2"/>
    <w:rsid w:val="0055219E"/>
    <w:rsid w:val="00553F20"/>
    <w:rsid w:val="00557A1C"/>
    <w:rsid w:val="00575EA4"/>
    <w:rsid w:val="00580735"/>
    <w:rsid w:val="00581883"/>
    <w:rsid w:val="005B0A5F"/>
    <w:rsid w:val="005B62E1"/>
    <w:rsid w:val="005C398E"/>
    <w:rsid w:val="005D3E91"/>
    <w:rsid w:val="005E045C"/>
    <w:rsid w:val="005E0617"/>
    <w:rsid w:val="006048D5"/>
    <w:rsid w:val="00642E7F"/>
    <w:rsid w:val="00651139"/>
    <w:rsid w:val="00655331"/>
    <w:rsid w:val="00661BBF"/>
    <w:rsid w:val="006623BE"/>
    <w:rsid w:val="00672266"/>
    <w:rsid w:val="006855E2"/>
    <w:rsid w:val="00686470"/>
    <w:rsid w:val="0069302B"/>
    <w:rsid w:val="006A4637"/>
    <w:rsid w:val="006B14EE"/>
    <w:rsid w:val="006B7813"/>
    <w:rsid w:val="006C41EB"/>
    <w:rsid w:val="006C6894"/>
    <w:rsid w:val="006E136B"/>
    <w:rsid w:val="006E7EC5"/>
    <w:rsid w:val="006F18DA"/>
    <w:rsid w:val="00700B84"/>
    <w:rsid w:val="007010D5"/>
    <w:rsid w:val="00706F15"/>
    <w:rsid w:val="00716656"/>
    <w:rsid w:val="007232B2"/>
    <w:rsid w:val="0072445E"/>
    <w:rsid w:val="0072501C"/>
    <w:rsid w:val="00725F36"/>
    <w:rsid w:val="00727385"/>
    <w:rsid w:val="007313EA"/>
    <w:rsid w:val="00734440"/>
    <w:rsid w:val="0073553E"/>
    <w:rsid w:val="00735F7B"/>
    <w:rsid w:val="00740EB4"/>
    <w:rsid w:val="00741AC4"/>
    <w:rsid w:val="007462C8"/>
    <w:rsid w:val="007471B3"/>
    <w:rsid w:val="007479E2"/>
    <w:rsid w:val="00765D77"/>
    <w:rsid w:val="00772CC3"/>
    <w:rsid w:val="00787A2F"/>
    <w:rsid w:val="007927DF"/>
    <w:rsid w:val="00797175"/>
    <w:rsid w:val="007A3BFD"/>
    <w:rsid w:val="007C3BF3"/>
    <w:rsid w:val="007D07E3"/>
    <w:rsid w:val="007D61E1"/>
    <w:rsid w:val="007E0FE5"/>
    <w:rsid w:val="007E59A8"/>
    <w:rsid w:val="007E60C7"/>
    <w:rsid w:val="00804C3B"/>
    <w:rsid w:val="008062ED"/>
    <w:rsid w:val="00810816"/>
    <w:rsid w:val="00826AF2"/>
    <w:rsid w:val="008325F3"/>
    <w:rsid w:val="008376BF"/>
    <w:rsid w:val="008405E6"/>
    <w:rsid w:val="00841F66"/>
    <w:rsid w:val="00852E95"/>
    <w:rsid w:val="00863615"/>
    <w:rsid w:val="00864213"/>
    <w:rsid w:val="00871B7C"/>
    <w:rsid w:val="008A218A"/>
    <w:rsid w:val="008B3BA1"/>
    <w:rsid w:val="008E2EA3"/>
    <w:rsid w:val="008E302D"/>
    <w:rsid w:val="008E4EF0"/>
    <w:rsid w:val="008E5B7E"/>
    <w:rsid w:val="008F27BD"/>
    <w:rsid w:val="008F29FF"/>
    <w:rsid w:val="00900791"/>
    <w:rsid w:val="00923ABB"/>
    <w:rsid w:val="00935460"/>
    <w:rsid w:val="00936F9A"/>
    <w:rsid w:val="00945122"/>
    <w:rsid w:val="00945B60"/>
    <w:rsid w:val="009517C4"/>
    <w:rsid w:val="009604E8"/>
    <w:rsid w:val="00962344"/>
    <w:rsid w:val="00971C26"/>
    <w:rsid w:val="00971E67"/>
    <w:rsid w:val="00991059"/>
    <w:rsid w:val="00996C77"/>
    <w:rsid w:val="009A0945"/>
    <w:rsid w:val="009A22AC"/>
    <w:rsid w:val="009A453F"/>
    <w:rsid w:val="009A5EA4"/>
    <w:rsid w:val="009B343A"/>
    <w:rsid w:val="009B57FA"/>
    <w:rsid w:val="009C165B"/>
    <w:rsid w:val="009C5E4A"/>
    <w:rsid w:val="009C6873"/>
    <w:rsid w:val="009D18AE"/>
    <w:rsid w:val="009D6215"/>
    <w:rsid w:val="009D6A9B"/>
    <w:rsid w:val="009F1EC6"/>
    <w:rsid w:val="009F546C"/>
    <w:rsid w:val="00A10AAE"/>
    <w:rsid w:val="00A2475F"/>
    <w:rsid w:val="00A24935"/>
    <w:rsid w:val="00A3084B"/>
    <w:rsid w:val="00A32DF2"/>
    <w:rsid w:val="00A37586"/>
    <w:rsid w:val="00A4681E"/>
    <w:rsid w:val="00A6578E"/>
    <w:rsid w:val="00A71739"/>
    <w:rsid w:val="00A76DF0"/>
    <w:rsid w:val="00A83A2B"/>
    <w:rsid w:val="00A84B02"/>
    <w:rsid w:val="00A91791"/>
    <w:rsid w:val="00A937B9"/>
    <w:rsid w:val="00A96597"/>
    <w:rsid w:val="00AB12DE"/>
    <w:rsid w:val="00AB2B2A"/>
    <w:rsid w:val="00AB39A4"/>
    <w:rsid w:val="00AC167F"/>
    <w:rsid w:val="00AC23DF"/>
    <w:rsid w:val="00AC66B7"/>
    <w:rsid w:val="00AD0ADC"/>
    <w:rsid w:val="00AE0C47"/>
    <w:rsid w:val="00AE1BEE"/>
    <w:rsid w:val="00AF212A"/>
    <w:rsid w:val="00AF3FD9"/>
    <w:rsid w:val="00B038FD"/>
    <w:rsid w:val="00B04BE4"/>
    <w:rsid w:val="00B07562"/>
    <w:rsid w:val="00B10ACC"/>
    <w:rsid w:val="00B2707C"/>
    <w:rsid w:val="00B30BE4"/>
    <w:rsid w:val="00B33A13"/>
    <w:rsid w:val="00B55129"/>
    <w:rsid w:val="00B56076"/>
    <w:rsid w:val="00B62564"/>
    <w:rsid w:val="00B72535"/>
    <w:rsid w:val="00B74DEE"/>
    <w:rsid w:val="00B757A9"/>
    <w:rsid w:val="00B804AD"/>
    <w:rsid w:val="00B908AF"/>
    <w:rsid w:val="00B9183A"/>
    <w:rsid w:val="00B9573D"/>
    <w:rsid w:val="00B96D28"/>
    <w:rsid w:val="00B97BA2"/>
    <w:rsid w:val="00BD0779"/>
    <w:rsid w:val="00BD15B4"/>
    <w:rsid w:val="00BE58C9"/>
    <w:rsid w:val="00BF3C0A"/>
    <w:rsid w:val="00BF7058"/>
    <w:rsid w:val="00C05C02"/>
    <w:rsid w:val="00C12539"/>
    <w:rsid w:val="00C15556"/>
    <w:rsid w:val="00C1763D"/>
    <w:rsid w:val="00C26514"/>
    <w:rsid w:val="00C345FD"/>
    <w:rsid w:val="00C468B5"/>
    <w:rsid w:val="00C55B35"/>
    <w:rsid w:val="00C7573B"/>
    <w:rsid w:val="00C76208"/>
    <w:rsid w:val="00C762F1"/>
    <w:rsid w:val="00C823ED"/>
    <w:rsid w:val="00C84B8E"/>
    <w:rsid w:val="00CA1A88"/>
    <w:rsid w:val="00CC48D7"/>
    <w:rsid w:val="00CD2FAA"/>
    <w:rsid w:val="00CE4236"/>
    <w:rsid w:val="00CF3FF1"/>
    <w:rsid w:val="00CF50CC"/>
    <w:rsid w:val="00CF6A43"/>
    <w:rsid w:val="00D23D50"/>
    <w:rsid w:val="00D24FAE"/>
    <w:rsid w:val="00D27AA6"/>
    <w:rsid w:val="00D34AB5"/>
    <w:rsid w:val="00D34CFB"/>
    <w:rsid w:val="00D35852"/>
    <w:rsid w:val="00D37863"/>
    <w:rsid w:val="00D4118C"/>
    <w:rsid w:val="00D46FEE"/>
    <w:rsid w:val="00D52411"/>
    <w:rsid w:val="00D671D4"/>
    <w:rsid w:val="00D77CD9"/>
    <w:rsid w:val="00D81883"/>
    <w:rsid w:val="00D86BDF"/>
    <w:rsid w:val="00D87B8B"/>
    <w:rsid w:val="00D90A1E"/>
    <w:rsid w:val="00D930B5"/>
    <w:rsid w:val="00DA7E46"/>
    <w:rsid w:val="00DB0B30"/>
    <w:rsid w:val="00DC478E"/>
    <w:rsid w:val="00DC50C7"/>
    <w:rsid w:val="00DC5A31"/>
    <w:rsid w:val="00DD45EA"/>
    <w:rsid w:val="00DD634A"/>
    <w:rsid w:val="00DF543B"/>
    <w:rsid w:val="00E011FB"/>
    <w:rsid w:val="00E12788"/>
    <w:rsid w:val="00E16081"/>
    <w:rsid w:val="00E2749D"/>
    <w:rsid w:val="00E30F1D"/>
    <w:rsid w:val="00E36BE0"/>
    <w:rsid w:val="00E437FB"/>
    <w:rsid w:val="00E64F44"/>
    <w:rsid w:val="00E80F3D"/>
    <w:rsid w:val="00E81B74"/>
    <w:rsid w:val="00E847C4"/>
    <w:rsid w:val="00E91F5A"/>
    <w:rsid w:val="00E96671"/>
    <w:rsid w:val="00EA5A28"/>
    <w:rsid w:val="00EB427A"/>
    <w:rsid w:val="00EC05F1"/>
    <w:rsid w:val="00ED538B"/>
    <w:rsid w:val="00ED7CBB"/>
    <w:rsid w:val="00EE3A0C"/>
    <w:rsid w:val="00EE45A1"/>
    <w:rsid w:val="00EE49AC"/>
    <w:rsid w:val="00EE7ED8"/>
    <w:rsid w:val="00EF3375"/>
    <w:rsid w:val="00EF5A17"/>
    <w:rsid w:val="00F05E02"/>
    <w:rsid w:val="00F2572E"/>
    <w:rsid w:val="00F31237"/>
    <w:rsid w:val="00F32822"/>
    <w:rsid w:val="00F33C5E"/>
    <w:rsid w:val="00F5189F"/>
    <w:rsid w:val="00F52E1A"/>
    <w:rsid w:val="00F6101C"/>
    <w:rsid w:val="00F61287"/>
    <w:rsid w:val="00F63CD6"/>
    <w:rsid w:val="00F713A9"/>
    <w:rsid w:val="00F91E99"/>
    <w:rsid w:val="00F934CD"/>
    <w:rsid w:val="00F9427A"/>
    <w:rsid w:val="00FB7B6A"/>
    <w:rsid w:val="00FE1824"/>
    <w:rsid w:val="00FE3292"/>
    <w:rsid w:val="00FF29FB"/>
    <w:rsid w:val="00FF2D8A"/>
    <w:rsid w:val="00FF6421"/>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F546C"/>
  </w:style>
  <w:style w:type="paragraph" w:styleId="Heading1">
    <w:name w:val="heading 1"/>
    <w:basedOn w:val="Normal"/>
    <w:next w:val="Normal"/>
    <w:link w:val="Heading1Char"/>
    <w:qFormat/>
    <w:rsid w:val="00B10ACC"/>
    <w:pPr>
      <w:keepNext/>
      <w:widowControl w:val="0"/>
      <w:numPr>
        <w:numId w:val="12"/>
      </w:numPr>
      <w:suppressAutoHyphens/>
      <w:spacing w:after="220"/>
      <w:jc w:val="both"/>
      <w:outlineLvl w:val="0"/>
    </w:pPr>
    <w:rPr>
      <w:b/>
      <w:caps/>
      <w:sz w:val="22"/>
    </w:rPr>
  </w:style>
  <w:style w:type="paragraph" w:styleId="Heading2">
    <w:name w:val="heading 2"/>
    <w:basedOn w:val="Normal"/>
    <w:next w:val="Normal"/>
    <w:link w:val="Heading2Char"/>
    <w:qFormat/>
    <w:rsid w:val="00B10ACC"/>
    <w:pPr>
      <w:keepNext/>
      <w:widowControl w:val="0"/>
      <w:numPr>
        <w:ilvl w:val="1"/>
        <w:numId w:val="12"/>
      </w:numPr>
      <w:spacing w:after="220"/>
      <w:jc w:val="both"/>
      <w:outlineLvl w:val="1"/>
    </w:pPr>
    <w:rPr>
      <w:b/>
      <w:sz w:val="22"/>
    </w:rPr>
  </w:style>
  <w:style w:type="paragraph" w:styleId="Heading3">
    <w:name w:val="heading 3"/>
    <w:basedOn w:val="Normal"/>
    <w:next w:val="Normal"/>
    <w:link w:val="Heading3Char"/>
    <w:qFormat/>
    <w:rsid w:val="00B10ACC"/>
    <w:pPr>
      <w:keepNext/>
      <w:widowControl w:val="0"/>
      <w:numPr>
        <w:ilvl w:val="2"/>
        <w:numId w:val="12"/>
      </w:numPr>
      <w:spacing w:after="220"/>
      <w:jc w:val="both"/>
      <w:outlineLvl w:val="2"/>
    </w:pPr>
    <w:rPr>
      <w:b/>
      <w:sz w:val="22"/>
    </w:rPr>
  </w:style>
  <w:style w:type="paragraph" w:styleId="Heading4">
    <w:name w:val="heading 4"/>
    <w:basedOn w:val="Normal"/>
    <w:next w:val="Normal"/>
    <w:link w:val="Heading4Char"/>
    <w:qFormat/>
    <w:rsid w:val="00B10ACC"/>
    <w:pPr>
      <w:keepNext/>
      <w:widowControl w:val="0"/>
      <w:numPr>
        <w:ilvl w:val="3"/>
        <w:numId w:val="12"/>
      </w:numPr>
      <w:spacing w:after="220"/>
      <w:jc w:val="both"/>
      <w:outlineLvl w:val="3"/>
    </w:pPr>
    <w:rPr>
      <w:b/>
      <w:sz w:val="22"/>
    </w:rPr>
  </w:style>
  <w:style w:type="paragraph" w:styleId="Heading5">
    <w:name w:val="heading 5"/>
    <w:basedOn w:val="Normal"/>
    <w:next w:val="Normal"/>
    <w:link w:val="Heading5Char"/>
    <w:qFormat/>
    <w:rsid w:val="00B10ACC"/>
    <w:pPr>
      <w:keepNext/>
      <w:widowControl w:val="0"/>
      <w:numPr>
        <w:ilvl w:val="4"/>
        <w:numId w:val="12"/>
      </w:numPr>
      <w:suppressAutoHyphens/>
      <w:spacing w:after="220"/>
      <w:jc w:val="both"/>
      <w:outlineLvl w:val="4"/>
    </w:pPr>
    <w:rPr>
      <w:b/>
      <w:sz w:val="22"/>
    </w:rPr>
  </w:style>
  <w:style w:type="paragraph" w:styleId="Heading6">
    <w:name w:val="heading 6"/>
    <w:basedOn w:val="Normal"/>
    <w:next w:val="Normal"/>
    <w:link w:val="Heading6Char"/>
    <w:qFormat/>
    <w:rsid w:val="00B10ACC"/>
    <w:pPr>
      <w:widowControl w:val="0"/>
      <w:numPr>
        <w:ilvl w:val="5"/>
        <w:numId w:val="12"/>
      </w:numPr>
      <w:spacing w:after="220"/>
      <w:jc w:val="both"/>
      <w:outlineLvl w:val="5"/>
    </w:pPr>
    <w:rPr>
      <w:b/>
      <w:sz w:val="22"/>
    </w:rPr>
  </w:style>
  <w:style w:type="paragraph" w:styleId="Heading7">
    <w:name w:val="heading 7"/>
    <w:basedOn w:val="Normal"/>
    <w:next w:val="Normal"/>
    <w:link w:val="Heading7Char"/>
    <w:qFormat/>
    <w:rsid w:val="00B10ACC"/>
    <w:pPr>
      <w:widowControl w:val="0"/>
      <w:numPr>
        <w:ilvl w:val="7"/>
        <w:numId w:val="12"/>
      </w:numPr>
      <w:spacing w:after="220"/>
      <w:jc w:val="both"/>
      <w:outlineLvl w:val="6"/>
    </w:pPr>
    <w:rPr>
      <w:b/>
      <w:sz w:val="22"/>
    </w:rPr>
  </w:style>
  <w:style w:type="paragraph" w:styleId="Heading8">
    <w:name w:val="heading 8"/>
    <w:basedOn w:val="Normal"/>
    <w:next w:val="Normal"/>
    <w:link w:val="Heading8Char"/>
    <w:qFormat/>
    <w:rsid w:val="00B10ACC"/>
    <w:pPr>
      <w:widowControl w:val="0"/>
      <w:numPr>
        <w:ilvl w:val="7"/>
        <w:numId w:val="13"/>
      </w:numPr>
      <w:tabs>
        <w:tab w:val="clear" w:pos="5400"/>
      </w:tabs>
      <w:spacing w:after="220"/>
      <w:ind w:left="5760" w:hanging="720"/>
      <w:jc w:val="both"/>
      <w:outlineLvl w:val="7"/>
    </w:pPr>
    <w:rPr>
      <w:b/>
      <w:sz w:val="22"/>
    </w:rPr>
  </w:style>
  <w:style w:type="paragraph" w:styleId="Heading9">
    <w:name w:val="heading 9"/>
    <w:basedOn w:val="Normal"/>
    <w:next w:val="Normal"/>
    <w:link w:val="Heading9Char"/>
    <w:qFormat/>
    <w:rsid w:val="00B10ACC"/>
    <w:pPr>
      <w:widowControl w:val="0"/>
      <w:numPr>
        <w:ilvl w:val="8"/>
        <w:numId w:val="1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A5956"/>
    <w:rPr>
      <w:b/>
      <w:caps/>
      <w:sz w:val="22"/>
      <w:lang w:val="en-US" w:eastAsia="en-US" w:bidi="ar-SA"/>
    </w:rPr>
  </w:style>
  <w:style w:type="character" w:customStyle="1" w:styleId="Heading2Char">
    <w:name w:val="Heading 2 Char"/>
    <w:link w:val="Heading2"/>
    <w:locked/>
    <w:rsid w:val="000A5956"/>
    <w:rPr>
      <w:b/>
      <w:sz w:val="22"/>
      <w:lang w:val="en-US" w:eastAsia="en-US" w:bidi="ar-SA"/>
    </w:rPr>
  </w:style>
  <w:style w:type="character" w:customStyle="1" w:styleId="Heading3Char">
    <w:name w:val="Heading 3 Char"/>
    <w:link w:val="Heading3"/>
    <w:locked/>
    <w:rsid w:val="000A5956"/>
    <w:rPr>
      <w:b/>
      <w:sz w:val="22"/>
      <w:lang w:val="en-US" w:eastAsia="en-US" w:bidi="ar-SA"/>
    </w:rPr>
  </w:style>
  <w:style w:type="character" w:customStyle="1" w:styleId="Heading4Char">
    <w:name w:val="Heading 4 Char"/>
    <w:link w:val="Heading4"/>
    <w:locked/>
    <w:rsid w:val="000A5956"/>
    <w:rPr>
      <w:b/>
      <w:sz w:val="22"/>
      <w:lang w:val="en-US" w:eastAsia="en-US" w:bidi="ar-SA"/>
    </w:rPr>
  </w:style>
  <w:style w:type="character" w:customStyle="1" w:styleId="Heading5Char">
    <w:name w:val="Heading 5 Char"/>
    <w:link w:val="Heading5"/>
    <w:locked/>
    <w:rsid w:val="000A5956"/>
    <w:rPr>
      <w:b/>
      <w:sz w:val="22"/>
      <w:lang w:val="en-US" w:eastAsia="en-US" w:bidi="ar-SA"/>
    </w:rPr>
  </w:style>
  <w:style w:type="character" w:customStyle="1" w:styleId="Heading6Char">
    <w:name w:val="Heading 6 Char"/>
    <w:link w:val="Heading6"/>
    <w:locked/>
    <w:rsid w:val="000A5956"/>
    <w:rPr>
      <w:b/>
      <w:sz w:val="22"/>
      <w:lang w:val="en-US" w:eastAsia="en-US" w:bidi="ar-SA"/>
    </w:rPr>
  </w:style>
  <w:style w:type="character" w:customStyle="1" w:styleId="Heading7Char">
    <w:name w:val="Heading 7 Char"/>
    <w:link w:val="Heading7"/>
    <w:locked/>
    <w:rsid w:val="000A5956"/>
    <w:rPr>
      <w:b/>
      <w:sz w:val="22"/>
      <w:lang w:val="en-US" w:eastAsia="en-US" w:bidi="ar-SA"/>
    </w:rPr>
  </w:style>
  <w:style w:type="character" w:customStyle="1" w:styleId="Heading8Char">
    <w:name w:val="Heading 8 Char"/>
    <w:link w:val="Heading8"/>
    <w:locked/>
    <w:rsid w:val="000A5956"/>
    <w:rPr>
      <w:b/>
      <w:sz w:val="22"/>
      <w:lang w:val="en-US" w:eastAsia="en-US" w:bidi="ar-SA"/>
    </w:rPr>
  </w:style>
  <w:style w:type="character" w:customStyle="1" w:styleId="Heading9Char">
    <w:name w:val="Heading 9 Char"/>
    <w:link w:val="Heading9"/>
    <w:locked/>
    <w:rsid w:val="000A5956"/>
    <w:rPr>
      <w:b/>
      <w:sz w:val="22"/>
      <w:lang w:val="en-US" w:eastAsia="en-US" w:bidi="ar-SA"/>
    </w:rPr>
  </w:style>
  <w:style w:type="paragraph" w:styleId="BalloonText">
    <w:name w:val="Balloon Text"/>
    <w:basedOn w:val="Normal"/>
    <w:link w:val="BalloonTextChar"/>
    <w:semiHidden/>
    <w:rsid w:val="00B10ACC"/>
    <w:rPr>
      <w:rFonts w:ascii="Tahoma" w:hAnsi="Tahoma" w:cs="Tahoma"/>
      <w:sz w:val="16"/>
      <w:szCs w:val="16"/>
    </w:rPr>
  </w:style>
  <w:style w:type="character" w:customStyle="1" w:styleId="BalloonTextChar">
    <w:name w:val="Balloon Text Char"/>
    <w:link w:val="BalloonText"/>
    <w:semiHidden/>
    <w:locked/>
    <w:rsid w:val="000A5956"/>
    <w:rPr>
      <w:rFonts w:cs="Times New Roman"/>
      <w:sz w:val="2"/>
    </w:rPr>
  </w:style>
  <w:style w:type="paragraph" w:styleId="Header">
    <w:name w:val="header"/>
    <w:basedOn w:val="Normal"/>
    <w:link w:val="HeaderChar"/>
    <w:rsid w:val="00B10ACC"/>
    <w:pPr>
      <w:tabs>
        <w:tab w:val="center" w:pos="4320"/>
        <w:tab w:val="right" w:pos="8640"/>
      </w:tabs>
    </w:pPr>
    <w:rPr>
      <w:sz w:val="22"/>
    </w:rPr>
  </w:style>
  <w:style w:type="character" w:customStyle="1" w:styleId="HeaderChar">
    <w:name w:val="Header Char"/>
    <w:link w:val="Header"/>
    <w:locked/>
    <w:rsid w:val="000A5956"/>
    <w:rPr>
      <w:rFonts w:cs="Times New Roman"/>
      <w:sz w:val="20"/>
      <w:szCs w:val="20"/>
    </w:rPr>
  </w:style>
  <w:style w:type="paragraph" w:styleId="Footer">
    <w:name w:val="footer"/>
    <w:basedOn w:val="Normal"/>
    <w:link w:val="FooterChar"/>
    <w:rsid w:val="00B10ACC"/>
    <w:pPr>
      <w:tabs>
        <w:tab w:val="center" w:pos="4320"/>
        <w:tab w:val="right" w:pos="8640"/>
      </w:tabs>
    </w:pPr>
    <w:rPr>
      <w:sz w:val="22"/>
    </w:rPr>
  </w:style>
  <w:style w:type="character" w:customStyle="1" w:styleId="FooterChar">
    <w:name w:val="Footer Char"/>
    <w:link w:val="Footer"/>
    <w:locked/>
    <w:rsid w:val="000A5956"/>
    <w:rPr>
      <w:rFonts w:cs="Times New Roman"/>
      <w:sz w:val="20"/>
      <w:szCs w:val="20"/>
    </w:rPr>
  </w:style>
  <w:style w:type="character" w:styleId="Hyperlink">
    <w:name w:val="Hyperlink"/>
    <w:rsid w:val="00B10ACC"/>
    <w:rPr>
      <w:rFonts w:cs="Times New Roman"/>
      <w:color w:val="0000FF"/>
      <w:u w:val="single"/>
    </w:rPr>
  </w:style>
  <w:style w:type="paragraph" w:styleId="BlockText">
    <w:name w:val="Block Text"/>
    <w:basedOn w:val="Normal"/>
    <w:rsid w:val="00B10ACC"/>
    <w:pPr>
      <w:widowControl w:val="0"/>
      <w:spacing w:after="220"/>
      <w:ind w:left="1440" w:right="1440"/>
      <w:jc w:val="both"/>
    </w:pPr>
    <w:rPr>
      <w:sz w:val="22"/>
    </w:rPr>
  </w:style>
  <w:style w:type="paragraph" w:customStyle="1" w:styleId="Bullet">
    <w:name w:val="Bullet"/>
    <w:basedOn w:val="Normal"/>
    <w:rsid w:val="00B10ACC"/>
    <w:pPr>
      <w:widowControl w:val="0"/>
      <w:numPr>
        <w:numId w:val="11"/>
      </w:numPr>
      <w:tabs>
        <w:tab w:val="clear" w:pos="2520"/>
      </w:tabs>
      <w:spacing w:after="220"/>
      <w:ind w:left="2160" w:hanging="720"/>
      <w:jc w:val="both"/>
    </w:pPr>
    <w:rPr>
      <w:sz w:val="22"/>
    </w:rPr>
  </w:style>
  <w:style w:type="paragraph" w:styleId="Caption">
    <w:name w:val="caption"/>
    <w:basedOn w:val="Normal"/>
    <w:next w:val="Normal"/>
    <w:qFormat/>
    <w:rsid w:val="00B10ACC"/>
    <w:pPr>
      <w:spacing w:before="120" w:after="120"/>
    </w:pPr>
    <w:rPr>
      <w:b/>
      <w:sz w:val="22"/>
    </w:rPr>
  </w:style>
  <w:style w:type="character" w:styleId="FootnoteReference">
    <w:name w:val="footnote reference"/>
    <w:aliases w:val="Style 12,(NECG) Footnote Reference,Style 13,Appel note de bas de p,Style 124,fr,o,Style 3,FR,Style 17,Footnote Reference/,Style 6"/>
    <w:rsid w:val="00B10ACC"/>
    <w:rPr>
      <w:rFonts w:cs="Times New Roman"/>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rsid w:val="00B10ACC"/>
    <w:pPr>
      <w:tabs>
        <w:tab w:val="left" w:pos="720"/>
      </w:tabs>
      <w:spacing w:after="200"/>
    </w:p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locked/>
    <w:rsid w:val="00B10ACC"/>
    <w:rPr>
      <w:rFonts w:cs="Times New Roman"/>
      <w:lang w:val="en-US" w:eastAsia="en-US" w:bidi="ar-SA"/>
    </w:rPr>
  </w:style>
  <w:style w:type="paragraph" w:customStyle="1" w:styleId="NumberedList">
    <w:name w:val="Numbered List"/>
    <w:basedOn w:val="Normal"/>
    <w:rsid w:val="00B10ACC"/>
    <w:pPr>
      <w:numPr>
        <w:numId w:val="14"/>
      </w:numPr>
      <w:tabs>
        <w:tab w:val="clear" w:pos="1080"/>
      </w:tabs>
      <w:spacing w:after="220"/>
      <w:ind w:firstLine="0"/>
    </w:pPr>
  </w:style>
  <w:style w:type="paragraph" w:customStyle="1" w:styleId="Paranum">
    <w:name w:val="Paranum"/>
    <w:basedOn w:val="Normal"/>
    <w:rsid w:val="00B10ACC"/>
    <w:pPr>
      <w:widowControl w:val="0"/>
      <w:numPr>
        <w:numId w:val="15"/>
      </w:numPr>
      <w:tabs>
        <w:tab w:val="clear" w:pos="1080"/>
      </w:tabs>
      <w:spacing w:after="220"/>
      <w:jc w:val="both"/>
    </w:pPr>
  </w:style>
  <w:style w:type="paragraph" w:customStyle="1" w:styleId="TableFormat">
    <w:name w:val="Table Format"/>
    <w:basedOn w:val="Normal"/>
    <w:rsid w:val="00B10ACC"/>
    <w:pPr>
      <w:widowControl w:val="0"/>
      <w:tabs>
        <w:tab w:val="left" w:pos="5040"/>
      </w:tabs>
      <w:spacing w:after="220"/>
      <w:ind w:left="5040" w:hanging="3600"/>
      <w:jc w:val="both"/>
    </w:pPr>
  </w:style>
  <w:style w:type="paragraph" w:styleId="TOC1">
    <w:name w:val="toc 1"/>
    <w:basedOn w:val="Normal"/>
    <w:next w:val="Normal"/>
    <w:autoRedefine/>
    <w:semiHidden/>
    <w:rsid w:val="00B10ACC"/>
    <w:rPr>
      <w:caps/>
    </w:rPr>
  </w:style>
  <w:style w:type="character" w:styleId="FollowedHyperlink">
    <w:name w:val="FollowedHyperlink"/>
    <w:rsid w:val="00B10ACC"/>
    <w:rPr>
      <w:rFonts w:cs="Times New Roman"/>
      <w:color w:val="800080"/>
      <w:u w:val="single"/>
    </w:rPr>
  </w:style>
  <w:style w:type="character" w:customStyle="1" w:styleId="documentbody1">
    <w:name w:val="documentbody1"/>
    <w:rsid w:val="00B10ACC"/>
    <w:rPr>
      <w:rFonts w:ascii="Verdana" w:hAnsi="Verdana" w:cs="Times New Roman"/>
      <w:sz w:val="19"/>
      <w:szCs w:val="19"/>
    </w:rPr>
  </w:style>
  <w:style w:type="paragraph" w:customStyle="1" w:styleId="Style12ptBefore6ptAfter12pt">
    <w:name w:val="Style 12 pt Before:  6 pt After:  12 pt"/>
    <w:basedOn w:val="Normal"/>
    <w:rsid w:val="00B10ACC"/>
    <w:pPr>
      <w:spacing w:before="120" w:after="240"/>
    </w:pPr>
  </w:style>
  <w:style w:type="character" w:styleId="PageNumber">
    <w:name w:val="page number"/>
    <w:rsid w:val="00B10ACC"/>
    <w:rPr>
      <w:rFonts w:cs="Times New Roman"/>
    </w:rPr>
  </w:style>
  <w:style w:type="paragraph" w:customStyle="1" w:styleId="ParaNum0">
    <w:name w:val="ParaNum"/>
    <w:basedOn w:val="Normal"/>
    <w:rsid w:val="00B10ACC"/>
    <w:pPr>
      <w:widowControl w:val="0"/>
      <w:tabs>
        <w:tab w:val="num" w:pos="1080"/>
      </w:tabs>
      <w:spacing w:after="200"/>
      <w:ind w:firstLine="720"/>
    </w:pPr>
    <w:rPr>
      <w:sz w:val="22"/>
      <w:szCs w:val="22"/>
    </w:rPr>
  </w:style>
  <w:style w:type="paragraph" w:styleId="HTMLPreformatted">
    <w:name w:val="HTML Preformatted"/>
    <w:basedOn w:val="Normal"/>
    <w:link w:val="HTMLPreformattedChar"/>
    <w:rsid w:val="00B1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0A5956"/>
    <w:rPr>
      <w:rFonts w:ascii="Courier New" w:hAnsi="Courier New" w:cs="Courier New"/>
      <w:sz w:val="20"/>
      <w:szCs w:val="20"/>
    </w:rPr>
  </w:style>
  <w:style w:type="character" w:customStyle="1" w:styleId="documentbody5">
    <w:name w:val="documentbody5"/>
    <w:rsid w:val="00B10ACC"/>
    <w:rPr>
      <w:rFonts w:ascii="Verdana" w:hAnsi="Verdana" w:cs="Times New Roman"/>
      <w:sz w:val="19"/>
      <w:szCs w:val="19"/>
    </w:rPr>
  </w:style>
  <w:style w:type="character" w:customStyle="1" w:styleId="EmailStyle491">
    <w:name w:val="EmailStyle491"/>
    <w:semiHidden/>
    <w:rsid w:val="00B10ACC"/>
    <w:rPr>
      <w:rFonts w:ascii="Arial" w:hAnsi="Arial" w:cs="Arial"/>
      <w:color w:val="auto"/>
      <w:sz w:val="20"/>
      <w:szCs w:val="20"/>
    </w:rPr>
  </w:style>
  <w:style w:type="paragraph" w:styleId="ListParagraph">
    <w:name w:val="List Paragraph"/>
    <w:basedOn w:val="Normal"/>
    <w:qFormat/>
    <w:rsid w:val="00B10ACC"/>
    <w:pPr>
      <w:ind w:left="720"/>
    </w:pPr>
  </w:style>
  <w:style w:type="character" w:customStyle="1" w:styleId="searchterm3">
    <w:name w:val="searchterm3"/>
    <w:rsid w:val="00B10ACC"/>
    <w:rPr>
      <w:rFonts w:cs="Times New Roman"/>
      <w:b/>
      <w:bCs/>
      <w:shd w:val="clear" w:color="auto" w:fill="FFFF00"/>
    </w:rPr>
  </w:style>
  <w:style w:type="character" w:customStyle="1" w:styleId="searchterm2">
    <w:name w:val="searchterm2"/>
    <w:rsid w:val="00B10ACC"/>
    <w:rPr>
      <w:rFonts w:cs="Times New Roman"/>
      <w:b/>
      <w:bCs/>
      <w:shd w:val="clear" w:color="auto" w:fill="FFFF00"/>
    </w:rPr>
  </w:style>
  <w:style w:type="paragraph" w:styleId="PlainText">
    <w:name w:val="Plain Text"/>
    <w:basedOn w:val="Normal"/>
    <w:link w:val="PlainTextChar"/>
    <w:rsid w:val="00B10ACC"/>
    <w:rPr>
      <w:rFonts w:ascii="Courier New" w:hAnsi="Courier New" w:cs="Courier New"/>
    </w:rPr>
  </w:style>
  <w:style w:type="character" w:customStyle="1" w:styleId="PlainTextChar">
    <w:name w:val="Plain Text Char"/>
    <w:link w:val="PlainText"/>
    <w:semiHidden/>
    <w:locked/>
    <w:rsid w:val="000A5956"/>
    <w:rPr>
      <w:rFonts w:ascii="Courier New" w:hAnsi="Courier New" w:cs="Courier New"/>
      <w:sz w:val="20"/>
      <w:szCs w:val="20"/>
    </w:rPr>
  </w:style>
  <w:style w:type="paragraph" w:styleId="ListNumber">
    <w:name w:val="List Number"/>
    <w:aliases w:val="List Number Char,List Number Char1 Char,List Number Char Char Char"/>
    <w:basedOn w:val="Normal"/>
    <w:link w:val="ListNumberChar1"/>
    <w:autoRedefine/>
    <w:rsid w:val="00B10ACC"/>
    <w:pPr>
      <w:numPr>
        <w:numId w:val="16"/>
      </w:numPr>
      <w:tabs>
        <w:tab w:val="clear" w:pos="720"/>
        <w:tab w:val="num" w:pos="900"/>
      </w:tabs>
      <w:spacing w:after="120"/>
      <w:ind w:left="900"/>
    </w:pPr>
    <w:rPr>
      <w:sz w:val="22"/>
      <w:szCs w:val="22"/>
    </w:rPr>
  </w:style>
  <w:style w:type="paragraph" w:styleId="ListNumber2">
    <w:name w:val="List Number 2"/>
    <w:basedOn w:val="Normal"/>
    <w:autoRedefine/>
    <w:rsid w:val="00B10ACC"/>
    <w:pPr>
      <w:numPr>
        <w:numId w:val="9"/>
      </w:numPr>
      <w:tabs>
        <w:tab w:val="clear" w:pos="360"/>
        <w:tab w:val="num" w:pos="1440"/>
      </w:tabs>
      <w:spacing w:after="120"/>
      <w:ind w:left="1440"/>
    </w:pPr>
    <w:rPr>
      <w:sz w:val="24"/>
    </w:rPr>
  </w:style>
  <w:style w:type="character" w:customStyle="1" w:styleId="ListNumberChar1">
    <w:name w:val="List Number Char1"/>
    <w:aliases w:val="List Number Char Char,List Number Char1 Char Char,List Number Char Char Char Char"/>
    <w:link w:val="ListNumber"/>
    <w:locked/>
    <w:rsid w:val="00B10ACC"/>
    <w:rPr>
      <w:sz w:val="22"/>
      <w:szCs w:val="22"/>
      <w:lang w:val="en-US" w:eastAsia="en-US" w:bidi="ar-SA"/>
    </w:rPr>
  </w:style>
  <w:style w:type="paragraph" w:customStyle="1" w:styleId="specnumber">
    <w:name w:val="spec number"/>
    <w:basedOn w:val="Normal"/>
    <w:rsid w:val="00B10ACC"/>
    <w:pPr>
      <w:numPr>
        <w:numId w:val="18"/>
      </w:numPr>
    </w:pPr>
  </w:style>
  <w:style w:type="character" w:styleId="CommentReference">
    <w:name w:val="annotation reference"/>
    <w:rsid w:val="00B10ACC"/>
    <w:rPr>
      <w:rFonts w:cs="Times New Roman"/>
      <w:sz w:val="16"/>
      <w:szCs w:val="16"/>
    </w:rPr>
  </w:style>
  <w:style w:type="paragraph" w:styleId="CommentText">
    <w:name w:val="annotation text"/>
    <w:basedOn w:val="Normal"/>
    <w:link w:val="CommentTextChar"/>
    <w:rsid w:val="00B10ACC"/>
  </w:style>
  <w:style w:type="character" w:customStyle="1" w:styleId="CommentTextChar">
    <w:name w:val="Comment Text Char"/>
    <w:link w:val="CommentText"/>
    <w:locked/>
    <w:rsid w:val="00B10ACC"/>
    <w:rPr>
      <w:rFonts w:cs="Times New Roman"/>
    </w:rPr>
  </w:style>
  <w:style w:type="paragraph" w:styleId="CommentSubject">
    <w:name w:val="annotation subject"/>
    <w:basedOn w:val="CommentText"/>
    <w:next w:val="CommentText"/>
    <w:link w:val="CommentSubjectChar"/>
    <w:rsid w:val="00B10ACC"/>
    <w:rPr>
      <w:b/>
      <w:bCs/>
    </w:rPr>
  </w:style>
  <w:style w:type="character" w:customStyle="1" w:styleId="CommentSubjectChar">
    <w:name w:val="Comment Subject Char"/>
    <w:link w:val="CommentSubject"/>
    <w:locked/>
    <w:rsid w:val="00B10ACC"/>
    <w:rPr>
      <w:rFonts w:cs="Times New Roman"/>
      <w:b/>
      <w:bCs/>
    </w:rPr>
  </w:style>
  <w:style w:type="paragraph" w:styleId="Revision">
    <w:name w:val="Revision"/>
    <w:hidden/>
    <w:uiPriority w:val="99"/>
    <w:semiHidden/>
    <w:rsid w:val="000E583B"/>
  </w:style>
  <w:style w:type="character" w:styleId="Emphasis">
    <w:name w:val="Emphasis"/>
    <w:qFormat/>
    <w:locked/>
    <w:rsid w:val="00CD2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F546C"/>
  </w:style>
  <w:style w:type="paragraph" w:styleId="Heading1">
    <w:name w:val="heading 1"/>
    <w:basedOn w:val="Normal"/>
    <w:next w:val="Normal"/>
    <w:link w:val="Heading1Char"/>
    <w:qFormat/>
    <w:rsid w:val="00B10ACC"/>
    <w:pPr>
      <w:keepNext/>
      <w:widowControl w:val="0"/>
      <w:numPr>
        <w:numId w:val="12"/>
      </w:numPr>
      <w:suppressAutoHyphens/>
      <w:spacing w:after="220"/>
      <w:jc w:val="both"/>
      <w:outlineLvl w:val="0"/>
    </w:pPr>
    <w:rPr>
      <w:b/>
      <w:caps/>
      <w:sz w:val="22"/>
    </w:rPr>
  </w:style>
  <w:style w:type="paragraph" w:styleId="Heading2">
    <w:name w:val="heading 2"/>
    <w:basedOn w:val="Normal"/>
    <w:next w:val="Normal"/>
    <w:link w:val="Heading2Char"/>
    <w:qFormat/>
    <w:rsid w:val="00B10ACC"/>
    <w:pPr>
      <w:keepNext/>
      <w:widowControl w:val="0"/>
      <w:numPr>
        <w:ilvl w:val="1"/>
        <w:numId w:val="12"/>
      </w:numPr>
      <w:spacing w:after="220"/>
      <w:jc w:val="both"/>
      <w:outlineLvl w:val="1"/>
    </w:pPr>
    <w:rPr>
      <w:b/>
      <w:sz w:val="22"/>
    </w:rPr>
  </w:style>
  <w:style w:type="paragraph" w:styleId="Heading3">
    <w:name w:val="heading 3"/>
    <w:basedOn w:val="Normal"/>
    <w:next w:val="Normal"/>
    <w:link w:val="Heading3Char"/>
    <w:qFormat/>
    <w:rsid w:val="00B10ACC"/>
    <w:pPr>
      <w:keepNext/>
      <w:widowControl w:val="0"/>
      <w:numPr>
        <w:ilvl w:val="2"/>
        <w:numId w:val="12"/>
      </w:numPr>
      <w:spacing w:after="220"/>
      <w:jc w:val="both"/>
      <w:outlineLvl w:val="2"/>
    </w:pPr>
    <w:rPr>
      <w:b/>
      <w:sz w:val="22"/>
    </w:rPr>
  </w:style>
  <w:style w:type="paragraph" w:styleId="Heading4">
    <w:name w:val="heading 4"/>
    <w:basedOn w:val="Normal"/>
    <w:next w:val="Normal"/>
    <w:link w:val="Heading4Char"/>
    <w:qFormat/>
    <w:rsid w:val="00B10ACC"/>
    <w:pPr>
      <w:keepNext/>
      <w:widowControl w:val="0"/>
      <w:numPr>
        <w:ilvl w:val="3"/>
        <w:numId w:val="12"/>
      </w:numPr>
      <w:spacing w:after="220"/>
      <w:jc w:val="both"/>
      <w:outlineLvl w:val="3"/>
    </w:pPr>
    <w:rPr>
      <w:b/>
      <w:sz w:val="22"/>
    </w:rPr>
  </w:style>
  <w:style w:type="paragraph" w:styleId="Heading5">
    <w:name w:val="heading 5"/>
    <w:basedOn w:val="Normal"/>
    <w:next w:val="Normal"/>
    <w:link w:val="Heading5Char"/>
    <w:qFormat/>
    <w:rsid w:val="00B10ACC"/>
    <w:pPr>
      <w:keepNext/>
      <w:widowControl w:val="0"/>
      <w:numPr>
        <w:ilvl w:val="4"/>
        <w:numId w:val="12"/>
      </w:numPr>
      <w:suppressAutoHyphens/>
      <w:spacing w:after="220"/>
      <w:jc w:val="both"/>
      <w:outlineLvl w:val="4"/>
    </w:pPr>
    <w:rPr>
      <w:b/>
      <w:sz w:val="22"/>
    </w:rPr>
  </w:style>
  <w:style w:type="paragraph" w:styleId="Heading6">
    <w:name w:val="heading 6"/>
    <w:basedOn w:val="Normal"/>
    <w:next w:val="Normal"/>
    <w:link w:val="Heading6Char"/>
    <w:qFormat/>
    <w:rsid w:val="00B10ACC"/>
    <w:pPr>
      <w:widowControl w:val="0"/>
      <w:numPr>
        <w:ilvl w:val="5"/>
        <w:numId w:val="12"/>
      </w:numPr>
      <w:spacing w:after="220"/>
      <w:jc w:val="both"/>
      <w:outlineLvl w:val="5"/>
    </w:pPr>
    <w:rPr>
      <w:b/>
      <w:sz w:val="22"/>
    </w:rPr>
  </w:style>
  <w:style w:type="paragraph" w:styleId="Heading7">
    <w:name w:val="heading 7"/>
    <w:basedOn w:val="Normal"/>
    <w:next w:val="Normal"/>
    <w:link w:val="Heading7Char"/>
    <w:qFormat/>
    <w:rsid w:val="00B10ACC"/>
    <w:pPr>
      <w:widowControl w:val="0"/>
      <w:numPr>
        <w:ilvl w:val="7"/>
        <w:numId w:val="12"/>
      </w:numPr>
      <w:spacing w:after="220"/>
      <w:jc w:val="both"/>
      <w:outlineLvl w:val="6"/>
    </w:pPr>
    <w:rPr>
      <w:b/>
      <w:sz w:val="22"/>
    </w:rPr>
  </w:style>
  <w:style w:type="paragraph" w:styleId="Heading8">
    <w:name w:val="heading 8"/>
    <w:basedOn w:val="Normal"/>
    <w:next w:val="Normal"/>
    <w:link w:val="Heading8Char"/>
    <w:qFormat/>
    <w:rsid w:val="00B10ACC"/>
    <w:pPr>
      <w:widowControl w:val="0"/>
      <w:numPr>
        <w:ilvl w:val="7"/>
        <w:numId w:val="13"/>
      </w:numPr>
      <w:tabs>
        <w:tab w:val="clear" w:pos="5400"/>
      </w:tabs>
      <w:spacing w:after="220"/>
      <w:ind w:left="5760" w:hanging="720"/>
      <w:jc w:val="both"/>
      <w:outlineLvl w:val="7"/>
    </w:pPr>
    <w:rPr>
      <w:b/>
      <w:sz w:val="22"/>
    </w:rPr>
  </w:style>
  <w:style w:type="paragraph" w:styleId="Heading9">
    <w:name w:val="heading 9"/>
    <w:basedOn w:val="Normal"/>
    <w:next w:val="Normal"/>
    <w:link w:val="Heading9Char"/>
    <w:qFormat/>
    <w:rsid w:val="00B10ACC"/>
    <w:pPr>
      <w:widowControl w:val="0"/>
      <w:numPr>
        <w:ilvl w:val="8"/>
        <w:numId w:val="1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A5956"/>
    <w:rPr>
      <w:b/>
      <w:caps/>
      <w:sz w:val="22"/>
      <w:lang w:val="en-US" w:eastAsia="en-US" w:bidi="ar-SA"/>
    </w:rPr>
  </w:style>
  <w:style w:type="character" w:customStyle="1" w:styleId="Heading2Char">
    <w:name w:val="Heading 2 Char"/>
    <w:link w:val="Heading2"/>
    <w:locked/>
    <w:rsid w:val="000A5956"/>
    <w:rPr>
      <w:b/>
      <w:sz w:val="22"/>
      <w:lang w:val="en-US" w:eastAsia="en-US" w:bidi="ar-SA"/>
    </w:rPr>
  </w:style>
  <w:style w:type="character" w:customStyle="1" w:styleId="Heading3Char">
    <w:name w:val="Heading 3 Char"/>
    <w:link w:val="Heading3"/>
    <w:locked/>
    <w:rsid w:val="000A5956"/>
    <w:rPr>
      <w:b/>
      <w:sz w:val="22"/>
      <w:lang w:val="en-US" w:eastAsia="en-US" w:bidi="ar-SA"/>
    </w:rPr>
  </w:style>
  <w:style w:type="character" w:customStyle="1" w:styleId="Heading4Char">
    <w:name w:val="Heading 4 Char"/>
    <w:link w:val="Heading4"/>
    <w:locked/>
    <w:rsid w:val="000A5956"/>
    <w:rPr>
      <w:b/>
      <w:sz w:val="22"/>
      <w:lang w:val="en-US" w:eastAsia="en-US" w:bidi="ar-SA"/>
    </w:rPr>
  </w:style>
  <w:style w:type="character" w:customStyle="1" w:styleId="Heading5Char">
    <w:name w:val="Heading 5 Char"/>
    <w:link w:val="Heading5"/>
    <w:locked/>
    <w:rsid w:val="000A5956"/>
    <w:rPr>
      <w:b/>
      <w:sz w:val="22"/>
      <w:lang w:val="en-US" w:eastAsia="en-US" w:bidi="ar-SA"/>
    </w:rPr>
  </w:style>
  <w:style w:type="character" w:customStyle="1" w:styleId="Heading6Char">
    <w:name w:val="Heading 6 Char"/>
    <w:link w:val="Heading6"/>
    <w:locked/>
    <w:rsid w:val="000A5956"/>
    <w:rPr>
      <w:b/>
      <w:sz w:val="22"/>
      <w:lang w:val="en-US" w:eastAsia="en-US" w:bidi="ar-SA"/>
    </w:rPr>
  </w:style>
  <w:style w:type="character" w:customStyle="1" w:styleId="Heading7Char">
    <w:name w:val="Heading 7 Char"/>
    <w:link w:val="Heading7"/>
    <w:locked/>
    <w:rsid w:val="000A5956"/>
    <w:rPr>
      <w:b/>
      <w:sz w:val="22"/>
      <w:lang w:val="en-US" w:eastAsia="en-US" w:bidi="ar-SA"/>
    </w:rPr>
  </w:style>
  <w:style w:type="character" w:customStyle="1" w:styleId="Heading8Char">
    <w:name w:val="Heading 8 Char"/>
    <w:link w:val="Heading8"/>
    <w:locked/>
    <w:rsid w:val="000A5956"/>
    <w:rPr>
      <w:b/>
      <w:sz w:val="22"/>
      <w:lang w:val="en-US" w:eastAsia="en-US" w:bidi="ar-SA"/>
    </w:rPr>
  </w:style>
  <w:style w:type="character" w:customStyle="1" w:styleId="Heading9Char">
    <w:name w:val="Heading 9 Char"/>
    <w:link w:val="Heading9"/>
    <w:locked/>
    <w:rsid w:val="000A5956"/>
    <w:rPr>
      <w:b/>
      <w:sz w:val="22"/>
      <w:lang w:val="en-US" w:eastAsia="en-US" w:bidi="ar-SA"/>
    </w:rPr>
  </w:style>
  <w:style w:type="paragraph" w:styleId="BalloonText">
    <w:name w:val="Balloon Text"/>
    <w:basedOn w:val="Normal"/>
    <w:link w:val="BalloonTextChar"/>
    <w:semiHidden/>
    <w:rsid w:val="00B10ACC"/>
    <w:rPr>
      <w:rFonts w:ascii="Tahoma" w:hAnsi="Tahoma" w:cs="Tahoma"/>
      <w:sz w:val="16"/>
      <w:szCs w:val="16"/>
    </w:rPr>
  </w:style>
  <w:style w:type="character" w:customStyle="1" w:styleId="BalloonTextChar">
    <w:name w:val="Balloon Text Char"/>
    <w:link w:val="BalloonText"/>
    <w:semiHidden/>
    <w:locked/>
    <w:rsid w:val="000A5956"/>
    <w:rPr>
      <w:rFonts w:cs="Times New Roman"/>
      <w:sz w:val="2"/>
    </w:rPr>
  </w:style>
  <w:style w:type="paragraph" w:styleId="Header">
    <w:name w:val="header"/>
    <w:basedOn w:val="Normal"/>
    <w:link w:val="HeaderChar"/>
    <w:rsid w:val="00B10ACC"/>
    <w:pPr>
      <w:tabs>
        <w:tab w:val="center" w:pos="4320"/>
        <w:tab w:val="right" w:pos="8640"/>
      </w:tabs>
    </w:pPr>
    <w:rPr>
      <w:sz w:val="22"/>
    </w:rPr>
  </w:style>
  <w:style w:type="character" w:customStyle="1" w:styleId="HeaderChar">
    <w:name w:val="Header Char"/>
    <w:link w:val="Header"/>
    <w:locked/>
    <w:rsid w:val="000A5956"/>
    <w:rPr>
      <w:rFonts w:cs="Times New Roman"/>
      <w:sz w:val="20"/>
      <w:szCs w:val="20"/>
    </w:rPr>
  </w:style>
  <w:style w:type="paragraph" w:styleId="Footer">
    <w:name w:val="footer"/>
    <w:basedOn w:val="Normal"/>
    <w:link w:val="FooterChar"/>
    <w:rsid w:val="00B10ACC"/>
    <w:pPr>
      <w:tabs>
        <w:tab w:val="center" w:pos="4320"/>
        <w:tab w:val="right" w:pos="8640"/>
      </w:tabs>
    </w:pPr>
    <w:rPr>
      <w:sz w:val="22"/>
    </w:rPr>
  </w:style>
  <w:style w:type="character" w:customStyle="1" w:styleId="FooterChar">
    <w:name w:val="Footer Char"/>
    <w:link w:val="Footer"/>
    <w:locked/>
    <w:rsid w:val="000A5956"/>
    <w:rPr>
      <w:rFonts w:cs="Times New Roman"/>
      <w:sz w:val="20"/>
      <w:szCs w:val="20"/>
    </w:rPr>
  </w:style>
  <w:style w:type="character" w:styleId="Hyperlink">
    <w:name w:val="Hyperlink"/>
    <w:rsid w:val="00B10ACC"/>
    <w:rPr>
      <w:rFonts w:cs="Times New Roman"/>
      <w:color w:val="0000FF"/>
      <w:u w:val="single"/>
    </w:rPr>
  </w:style>
  <w:style w:type="paragraph" w:styleId="BlockText">
    <w:name w:val="Block Text"/>
    <w:basedOn w:val="Normal"/>
    <w:rsid w:val="00B10ACC"/>
    <w:pPr>
      <w:widowControl w:val="0"/>
      <w:spacing w:after="220"/>
      <w:ind w:left="1440" w:right="1440"/>
      <w:jc w:val="both"/>
    </w:pPr>
    <w:rPr>
      <w:sz w:val="22"/>
    </w:rPr>
  </w:style>
  <w:style w:type="paragraph" w:customStyle="1" w:styleId="Bullet">
    <w:name w:val="Bullet"/>
    <w:basedOn w:val="Normal"/>
    <w:rsid w:val="00B10ACC"/>
    <w:pPr>
      <w:widowControl w:val="0"/>
      <w:numPr>
        <w:numId w:val="11"/>
      </w:numPr>
      <w:tabs>
        <w:tab w:val="clear" w:pos="2520"/>
      </w:tabs>
      <w:spacing w:after="220"/>
      <w:ind w:left="2160" w:hanging="720"/>
      <w:jc w:val="both"/>
    </w:pPr>
    <w:rPr>
      <w:sz w:val="22"/>
    </w:rPr>
  </w:style>
  <w:style w:type="paragraph" w:styleId="Caption">
    <w:name w:val="caption"/>
    <w:basedOn w:val="Normal"/>
    <w:next w:val="Normal"/>
    <w:qFormat/>
    <w:rsid w:val="00B10ACC"/>
    <w:pPr>
      <w:spacing w:before="120" w:after="120"/>
    </w:pPr>
    <w:rPr>
      <w:b/>
      <w:sz w:val="22"/>
    </w:rPr>
  </w:style>
  <w:style w:type="character" w:styleId="FootnoteReference">
    <w:name w:val="footnote reference"/>
    <w:aliases w:val="Style 12,(NECG) Footnote Reference,Style 13,Appel note de bas de p,Style 124,fr,o,Style 3,FR,Style 17,Footnote Reference/,Style 6"/>
    <w:rsid w:val="00B10ACC"/>
    <w:rPr>
      <w:rFonts w:cs="Times New Roman"/>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rsid w:val="00B10ACC"/>
    <w:pPr>
      <w:tabs>
        <w:tab w:val="left" w:pos="720"/>
      </w:tabs>
      <w:spacing w:after="200"/>
    </w:p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locked/>
    <w:rsid w:val="00B10ACC"/>
    <w:rPr>
      <w:rFonts w:cs="Times New Roman"/>
      <w:lang w:val="en-US" w:eastAsia="en-US" w:bidi="ar-SA"/>
    </w:rPr>
  </w:style>
  <w:style w:type="paragraph" w:customStyle="1" w:styleId="NumberedList">
    <w:name w:val="Numbered List"/>
    <w:basedOn w:val="Normal"/>
    <w:rsid w:val="00B10ACC"/>
    <w:pPr>
      <w:numPr>
        <w:numId w:val="14"/>
      </w:numPr>
      <w:tabs>
        <w:tab w:val="clear" w:pos="1080"/>
      </w:tabs>
      <w:spacing w:after="220"/>
      <w:ind w:firstLine="0"/>
    </w:pPr>
  </w:style>
  <w:style w:type="paragraph" w:customStyle="1" w:styleId="Paranum">
    <w:name w:val="Paranum"/>
    <w:basedOn w:val="Normal"/>
    <w:rsid w:val="00B10ACC"/>
    <w:pPr>
      <w:widowControl w:val="0"/>
      <w:numPr>
        <w:numId w:val="15"/>
      </w:numPr>
      <w:tabs>
        <w:tab w:val="clear" w:pos="1080"/>
      </w:tabs>
      <w:spacing w:after="220"/>
      <w:jc w:val="both"/>
    </w:pPr>
  </w:style>
  <w:style w:type="paragraph" w:customStyle="1" w:styleId="TableFormat">
    <w:name w:val="Table Format"/>
    <w:basedOn w:val="Normal"/>
    <w:rsid w:val="00B10ACC"/>
    <w:pPr>
      <w:widowControl w:val="0"/>
      <w:tabs>
        <w:tab w:val="left" w:pos="5040"/>
      </w:tabs>
      <w:spacing w:after="220"/>
      <w:ind w:left="5040" w:hanging="3600"/>
      <w:jc w:val="both"/>
    </w:pPr>
  </w:style>
  <w:style w:type="paragraph" w:styleId="TOC1">
    <w:name w:val="toc 1"/>
    <w:basedOn w:val="Normal"/>
    <w:next w:val="Normal"/>
    <w:autoRedefine/>
    <w:semiHidden/>
    <w:rsid w:val="00B10ACC"/>
    <w:rPr>
      <w:caps/>
    </w:rPr>
  </w:style>
  <w:style w:type="character" w:styleId="FollowedHyperlink">
    <w:name w:val="FollowedHyperlink"/>
    <w:rsid w:val="00B10ACC"/>
    <w:rPr>
      <w:rFonts w:cs="Times New Roman"/>
      <w:color w:val="800080"/>
      <w:u w:val="single"/>
    </w:rPr>
  </w:style>
  <w:style w:type="character" w:customStyle="1" w:styleId="documentbody1">
    <w:name w:val="documentbody1"/>
    <w:rsid w:val="00B10ACC"/>
    <w:rPr>
      <w:rFonts w:ascii="Verdana" w:hAnsi="Verdana" w:cs="Times New Roman"/>
      <w:sz w:val="19"/>
      <w:szCs w:val="19"/>
    </w:rPr>
  </w:style>
  <w:style w:type="paragraph" w:customStyle="1" w:styleId="Style12ptBefore6ptAfter12pt">
    <w:name w:val="Style 12 pt Before:  6 pt After:  12 pt"/>
    <w:basedOn w:val="Normal"/>
    <w:rsid w:val="00B10ACC"/>
    <w:pPr>
      <w:spacing w:before="120" w:after="240"/>
    </w:pPr>
  </w:style>
  <w:style w:type="character" w:styleId="PageNumber">
    <w:name w:val="page number"/>
    <w:rsid w:val="00B10ACC"/>
    <w:rPr>
      <w:rFonts w:cs="Times New Roman"/>
    </w:rPr>
  </w:style>
  <w:style w:type="paragraph" w:customStyle="1" w:styleId="ParaNum0">
    <w:name w:val="ParaNum"/>
    <w:basedOn w:val="Normal"/>
    <w:rsid w:val="00B10ACC"/>
    <w:pPr>
      <w:widowControl w:val="0"/>
      <w:tabs>
        <w:tab w:val="num" w:pos="1080"/>
      </w:tabs>
      <w:spacing w:after="200"/>
      <w:ind w:firstLine="720"/>
    </w:pPr>
    <w:rPr>
      <w:sz w:val="22"/>
      <w:szCs w:val="22"/>
    </w:rPr>
  </w:style>
  <w:style w:type="paragraph" w:styleId="HTMLPreformatted">
    <w:name w:val="HTML Preformatted"/>
    <w:basedOn w:val="Normal"/>
    <w:link w:val="HTMLPreformattedChar"/>
    <w:rsid w:val="00B1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0A5956"/>
    <w:rPr>
      <w:rFonts w:ascii="Courier New" w:hAnsi="Courier New" w:cs="Courier New"/>
      <w:sz w:val="20"/>
      <w:szCs w:val="20"/>
    </w:rPr>
  </w:style>
  <w:style w:type="character" w:customStyle="1" w:styleId="documentbody5">
    <w:name w:val="documentbody5"/>
    <w:rsid w:val="00B10ACC"/>
    <w:rPr>
      <w:rFonts w:ascii="Verdana" w:hAnsi="Verdana" w:cs="Times New Roman"/>
      <w:sz w:val="19"/>
      <w:szCs w:val="19"/>
    </w:rPr>
  </w:style>
  <w:style w:type="character" w:customStyle="1" w:styleId="EmailStyle491">
    <w:name w:val="EmailStyle491"/>
    <w:semiHidden/>
    <w:rsid w:val="00B10ACC"/>
    <w:rPr>
      <w:rFonts w:ascii="Arial" w:hAnsi="Arial" w:cs="Arial"/>
      <w:color w:val="auto"/>
      <w:sz w:val="20"/>
      <w:szCs w:val="20"/>
    </w:rPr>
  </w:style>
  <w:style w:type="paragraph" w:styleId="ListParagraph">
    <w:name w:val="List Paragraph"/>
    <w:basedOn w:val="Normal"/>
    <w:qFormat/>
    <w:rsid w:val="00B10ACC"/>
    <w:pPr>
      <w:ind w:left="720"/>
    </w:pPr>
  </w:style>
  <w:style w:type="character" w:customStyle="1" w:styleId="searchterm3">
    <w:name w:val="searchterm3"/>
    <w:rsid w:val="00B10ACC"/>
    <w:rPr>
      <w:rFonts w:cs="Times New Roman"/>
      <w:b/>
      <w:bCs/>
      <w:shd w:val="clear" w:color="auto" w:fill="FFFF00"/>
    </w:rPr>
  </w:style>
  <w:style w:type="character" w:customStyle="1" w:styleId="searchterm2">
    <w:name w:val="searchterm2"/>
    <w:rsid w:val="00B10ACC"/>
    <w:rPr>
      <w:rFonts w:cs="Times New Roman"/>
      <w:b/>
      <w:bCs/>
      <w:shd w:val="clear" w:color="auto" w:fill="FFFF00"/>
    </w:rPr>
  </w:style>
  <w:style w:type="paragraph" w:styleId="PlainText">
    <w:name w:val="Plain Text"/>
    <w:basedOn w:val="Normal"/>
    <w:link w:val="PlainTextChar"/>
    <w:rsid w:val="00B10ACC"/>
    <w:rPr>
      <w:rFonts w:ascii="Courier New" w:hAnsi="Courier New" w:cs="Courier New"/>
    </w:rPr>
  </w:style>
  <w:style w:type="character" w:customStyle="1" w:styleId="PlainTextChar">
    <w:name w:val="Plain Text Char"/>
    <w:link w:val="PlainText"/>
    <w:semiHidden/>
    <w:locked/>
    <w:rsid w:val="000A5956"/>
    <w:rPr>
      <w:rFonts w:ascii="Courier New" w:hAnsi="Courier New" w:cs="Courier New"/>
      <w:sz w:val="20"/>
      <w:szCs w:val="20"/>
    </w:rPr>
  </w:style>
  <w:style w:type="paragraph" w:styleId="ListNumber">
    <w:name w:val="List Number"/>
    <w:aliases w:val="List Number Char,List Number Char1 Char,List Number Char Char Char"/>
    <w:basedOn w:val="Normal"/>
    <w:link w:val="ListNumberChar1"/>
    <w:autoRedefine/>
    <w:rsid w:val="00B10ACC"/>
    <w:pPr>
      <w:numPr>
        <w:numId w:val="16"/>
      </w:numPr>
      <w:tabs>
        <w:tab w:val="clear" w:pos="720"/>
        <w:tab w:val="num" w:pos="900"/>
      </w:tabs>
      <w:spacing w:after="120"/>
      <w:ind w:left="900"/>
    </w:pPr>
    <w:rPr>
      <w:sz w:val="22"/>
      <w:szCs w:val="22"/>
    </w:rPr>
  </w:style>
  <w:style w:type="paragraph" w:styleId="ListNumber2">
    <w:name w:val="List Number 2"/>
    <w:basedOn w:val="Normal"/>
    <w:autoRedefine/>
    <w:rsid w:val="00B10ACC"/>
    <w:pPr>
      <w:numPr>
        <w:numId w:val="9"/>
      </w:numPr>
      <w:tabs>
        <w:tab w:val="clear" w:pos="360"/>
        <w:tab w:val="num" w:pos="1440"/>
      </w:tabs>
      <w:spacing w:after="120"/>
      <w:ind w:left="1440"/>
    </w:pPr>
    <w:rPr>
      <w:sz w:val="24"/>
    </w:rPr>
  </w:style>
  <w:style w:type="character" w:customStyle="1" w:styleId="ListNumberChar1">
    <w:name w:val="List Number Char1"/>
    <w:aliases w:val="List Number Char Char,List Number Char1 Char Char,List Number Char Char Char Char"/>
    <w:link w:val="ListNumber"/>
    <w:locked/>
    <w:rsid w:val="00B10ACC"/>
    <w:rPr>
      <w:sz w:val="22"/>
      <w:szCs w:val="22"/>
      <w:lang w:val="en-US" w:eastAsia="en-US" w:bidi="ar-SA"/>
    </w:rPr>
  </w:style>
  <w:style w:type="paragraph" w:customStyle="1" w:styleId="specnumber">
    <w:name w:val="spec number"/>
    <w:basedOn w:val="Normal"/>
    <w:rsid w:val="00B10ACC"/>
    <w:pPr>
      <w:numPr>
        <w:numId w:val="18"/>
      </w:numPr>
    </w:pPr>
  </w:style>
  <w:style w:type="character" w:styleId="CommentReference">
    <w:name w:val="annotation reference"/>
    <w:rsid w:val="00B10ACC"/>
    <w:rPr>
      <w:rFonts w:cs="Times New Roman"/>
      <w:sz w:val="16"/>
      <w:szCs w:val="16"/>
    </w:rPr>
  </w:style>
  <w:style w:type="paragraph" w:styleId="CommentText">
    <w:name w:val="annotation text"/>
    <w:basedOn w:val="Normal"/>
    <w:link w:val="CommentTextChar"/>
    <w:rsid w:val="00B10ACC"/>
  </w:style>
  <w:style w:type="character" w:customStyle="1" w:styleId="CommentTextChar">
    <w:name w:val="Comment Text Char"/>
    <w:link w:val="CommentText"/>
    <w:locked/>
    <w:rsid w:val="00B10ACC"/>
    <w:rPr>
      <w:rFonts w:cs="Times New Roman"/>
    </w:rPr>
  </w:style>
  <w:style w:type="paragraph" w:styleId="CommentSubject">
    <w:name w:val="annotation subject"/>
    <w:basedOn w:val="CommentText"/>
    <w:next w:val="CommentText"/>
    <w:link w:val="CommentSubjectChar"/>
    <w:rsid w:val="00B10ACC"/>
    <w:rPr>
      <w:b/>
      <w:bCs/>
    </w:rPr>
  </w:style>
  <w:style w:type="character" w:customStyle="1" w:styleId="CommentSubjectChar">
    <w:name w:val="Comment Subject Char"/>
    <w:link w:val="CommentSubject"/>
    <w:locked/>
    <w:rsid w:val="00B10ACC"/>
    <w:rPr>
      <w:rFonts w:cs="Times New Roman"/>
      <w:b/>
      <w:bCs/>
    </w:rPr>
  </w:style>
  <w:style w:type="paragraph" w:styleId="Revision">
    <w:name w:val="Revision"/>
    <w:hidden/>
    <w:uiPriority w:val="99"/>
    <w:semiHidden/>
    <w:rsid w:val="000E583B"/>
  </w:style>
  <w:style w:type="character" w:styleId="Emphasis">
    <w:name w:val="Emphasis"/>
    <w:qFormat/>
    <w:locked/>
    <w:rsid w:val="00CD2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wcb/ppd/ICC-Data/ICC_DATA_FORM_FOR_COMMENT_DA13-11.xls"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Gregory.Haledjian@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4510</Words>
  <Characters>25312</Characters>
  <Application>Microsoft Office Word</Application>
  <DocSecurity>0</DocSecurity>
  <Lines>510</Lines>
  <Paragraphs>155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29924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2012-09-07T20:49:00Z</cp:lastPrinted>
  <dcterms:created xsi:type="dcterms:W3CDTF">2013-01-04T20:18:00Z</dcterms:created>
  <dcterms:modified xsi:type="dcterms:W3CDTF">2013-01-04T20:18:00Z</dcterms:modified>
  <cp:category> </cp:category>
  <cp:contentStatus> </cp:contentStatus>
</cp:coreProperties>
</file>