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9B" w:rsidRDefault="00335D9B">
      <w:pPr>
        <w:sectPr w:rsidR="00335D9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335D9B" w:rsidRPr="005374C2" w:rsidRDefault="00335D9B">
      <w:pPr>
        <w:suppressAutoHyphens/>
        <w:jc w:val="right"/>
        <w:rPr>
          <w:b/>
        </w:rPr>
      </w:pPr>
      <w:r w:rsidRPr="005374C2">
        <w:rPr>
          <w:b/>
        </w:rPr>
        <w:lastRenderedPageBreak/>
        <w:t xml:space="preserve">DA </w:t>
      </w:r>
      <w:r w:rsidR="00870332" w:rsidRPr="005374C2">
        <w:rPr>
          <w:b/>
        </w:rPr>
        <w:t>1</w:t>
      </w:r>
      <w:r w:rsidR="00E55105">
        <w:rPr>
          <w:b/>
        </w:rPr>
        <w:t>3</w:t>
      </w:r>
      <w:r w:rsidR="00870332" w:rsidRPr="005374C2">
        <w:rPr>
          <w:b/>
        </w:rPr>
        <w:t>-</w:t>
      </w:r>
      <w:r w:rsidR="00E55105">
        <w:rPr>
          <w:b/>
        </w:rPr>
        <w:t>1221</w:t>
      </w:r>
    </w:p>
    <w:p w:rsidR="00335D9B" w:rsidRDefault="00335D9B">
      <w:pPr>
        <w:suppressAutoHyphens/>
        <w:spacing w:after="240"/>
        <w:jc w:val="right"/>
        <w:rPr>
          <w:b/>
        </w:rPr>
      </w:pPr>
      <w:r w:rsidRPr="005374C2">
        <w:rPr>
          <w:b/>
        </w:rPr>
        <w:t xml:space="preserve">Released: </w:t>
      </w:r>
      <w:r w:rsidR="00D97274">
        <w:rPr>
          <w:b/>
        </w:rPr>
        <w:t xml:space="preserve"> </w:t>
      </w:r>
      <w:r w:rsidR="00E55105">
        <w:rPr>
          <w:b/>
        </w:rPr>
        <w:t>May 29</w:t>
      </w:r>
      <w:r w:rsidR="00C33ABE" w:rsidRPr="005374C2">
        <w:rPr>
          <w:b/>
        </w:rPr>
        <w:t>,</w:t>
      </w:r>
      <w:r w:rsidR="00870332" w:rsidRPr="005374C2">
        <w:rPr>
          <w:b/>
        </w:rPr>
        <w:t xml:space="preserve"> 201</w:t>
      </w:r>
      <w:r w:rsidR="00211061">
        <w:rPr>
          <w:b/>
        </w:rPr>
        <w:t>3</w:t>
      </w:r>
    </w:p>
    <w:p w:rsidR="00335D9B" w:rsidRDefault="00D65D48">
      <w:pPr>
        <w:suppressAutoHyphens/>
        <w:jc w:val="center"/>
        <w:rPr>
          <w:b/>
        </w:rPr>
      </w:pPr>
      <w:r>
        <w:rPr>
          <w:b/>
        </w:rPr>
        <w:t xml:space="preserve">The </w:t>
      </w:r>
      <w:r w:rsidR="00335D9B">
        <w:rPr>
          <w:b/>
        </w:rPr>
        <w:t xml:space="preserve">Office of Engineering and Technology </w:t>
      </w:r>
      <w:r>
        <w:rPr>
          <w:b/>
        </w:rPr>
        <w:t xml:space="preserve">and the Media Bureau </w:t>
      </w:r>
      <w:r w:rsidR="00D9154C">
        <w:rPr>
          <w:b/>
        </w:rPr>
        <w:t>Announce</w:t>
      </w:r>
      <w:r>
        <w:rPr>
          <w:b/>
        </w:rPr>
        <w:t xml:space="preserve"> the</w:t>
      </w:r>
      <w:r w:rsidR="00D9154C">
        <w:rPr>
          <w:b/>
        </w:rPr>
        <w:t xml:space="preserve"> Availability of </w:t>
      </w:r>
      <w:r>
        <w:rPr>
          <w:b/>
        </w:rPr>
        <w:t xml:space="preserve">a </w:t>
      </w:r>
      <w:r w:rsidR="00144A82">
        <w:rPr>
          <w:b/>
        </w:rPr>
        <w:t xml:space="preserve">Special </w:t>
      </w:r>
      <w:r w:rsidR="00D9154C">
        <w:rPr>
          <w:b/>
        </w:rPr>
        <w:t>Webpage Facility for Updat</w:t>
      </w:r>
      <w:r w:rsidR="00144A82">
        <w:rPr>
          <w:b/>
        </w:rPr>
        <w:t xml:space="preserve">e of </w:t>
      </w:r>
      <w:r w:rsidR="00D9154C">
        <w:rPr>
          <w:b/>
        </w:rPr>
        <w:t xml:space="preserve">TV Translator, Low Power TV and Class A Station </w:t>
      </w:r>
      <w:r w:rsidR="00CE0F3F">
        <w:rPr>
          <w:b/>
        </w:rPr>
        <w:t xml:space="preserve">Input </w:t>
      </w:r>
      <w:r w:rsidR="00D9154C">
        <w:rPr>
          <w:b/>
        </w:rPr>
        <w:t>Channels in the CDBS</w:t>
      </w:r>
    </w:p>
    <w:p w:rsidR="00335D9B" w:rsidRDefault="00335D9B">
      <w:pPr>
        <w:suppressAutoHyphens/>
        <w:jc w:val="center"/>
        <w:rPr>
          <w:b/>
        </w:rPr>
      </w:pPr>
    </w:p>
    <w:p w:rsidR="00335D9B" w:rsidRDefault="00335D9B">
      <w:pPr>
        <w:suppressAutoHyphens/>
        <w:jc w:val="center"/>
        <w:rPr>
          <w:b/>
        </w:rPr>
      </w:pPr>
    </w:p>
    <w:p w:rsidR="00335D9B" w:rsidRDefault="00144A82" w:rsidP="00DA258B">
      <w:pPr>
        <w:suppressAutoHyphens/>
        <w:ind w:firstLine="720"/>
      </w:pPr>
      <w:r>
        <w:t xml:space="preserve">As part of </w:t>
      </w:r>
      <w:r w:rsidR="00D65D48">
        <w:t xml:space="preserve">their </w:t>
      </w:r>
      <w:r>
        <w:t xml:space="preserve">efforts </w:t>
      </w:r>
      <w:r w:rsidR="00D65D48">
        <w:t xml:space="preserve">towards </w:t>
      </w:r>
      <w:r>
        <w:t>implementing the rules for operation of unlicensed devices on unused spectrum in the broadcast television frequency bands (TV white spaces), t</w:t>
      </w:r>
      <w:r w:rsidR="00D9154C">
        <w:t xml:space="preserve">he Commission’s Office of Engineering </w:t>
      </w:r>
      <w:r>
        <w:t xml:space="preserve">and Technology </w:t>
      </w:r>
      <w:r w:rsidR="00D65D48">
        <w:t xml:space="preserve">(OET) and Media Bureau (MB) </w:t>
      </w:r>
      <w:r>
        <w:t>ha</w:t>
      </w:r>
      <w:r w:rsidR="00D65D48">
        <w:t xml:space="preserve">ve </w:t>
      </w:r>
      <w:r>
        <w:t xml:space="preserve">developed a special webpage facility </w:t>
      </w:r>
      <w:r w:rsidR="005033CF">
        <w:t xml:space="preserve">(webapp) </w:t>
      </w:r>
      <w:r w:rsidR="00DD35A1">
        <w:t xml:space="preserve">where </w:t>
      </w:r>
      <w:r>
        <w:t xml:space="preserve">TV translator, low power TV and Class A TV stations (low power stations) </w:t>
      </w:r>
      <w:r w:rsidR="00DD35A1">
        <w:t xml:space="preserve">can quickly and easily </w:t>
      </w:r>
      <w:r>
        <w:t xml:space="preserve">update their input channel data in the Media Bureau’s Consolidated </w:t>
      </w:r>
      <w:r w:rsidR="00933C2D">
        <w:t xml:space="preserve">Database </w:t>
      </w:r>
      <w:r>
        <w:t xml:space="preserve">System (CDBS).  </w:t>
      </w:r>
      <w:r w:rsidR="00803161">
        <w:t xml:space="preserve">This facility is especially important for low power stations that are located outside of the service contours of the station(s) that they re-transmit.  </w:t>
      </w:r>
      <w:r>
        <w:t>Th</w:t>
      </w:r>
      <w:r w:rsidR="00803161">
        <w:t xml:space="preserve">e new input channel </w:t>
      </w:r>
      <w:r>
        <w:t xml:space="preserve">update facility is available at </w:t>
      </w:r>
      <w:hyperlink r:id="rId14" w:history="1">
        <w:r w:rsidR="00153C4C">
          <w:rPr>
            <w:rStyle w:val="Hyperlink"/>
          </w:rPr>
          <w:t>https://apps.fcc.gov/oet/translator/</w:t>
        </w:r>
      </w:hyperlink>
      <w:r w:rsidR="00153C4C">
        <w:t xml:space="preserve">. </w:t>
      </w:r>
    </w:p>
    <w:p w:rsidR="00A83173" w:rsidRDefault="00A83173" w:rsidP="00DA258B">
      <w:pPr>
        <w:suppressAutoHyphens/>
        <w:ind w:firstLine="720"/>
      </w:pPr>
    </w:p>
    <w:p w:rsidR="00A83173" w:rsidRDefault="00A83173" w:rsidP="00DA258B">
      <w:pPr>
        <w:suppressAutoHyphens/>
        <w:ind w:firstLine="720"/>
      </w:pPr>
      <w:r>
        <w:t>TV translators and many low power TV and Class A TV stations provide simultaneous re</w:t>
      </w:r>
      <w:r>
        <w:noBreakHyphen/>
        <w:t xml:space="preserve">transmission of the program service of full power TV stations.  These stations typically receive this programming service over-the-air from the originating station’s broadcast signal (or in some cases the signal of another low power station) and then re-transmit that programming on their own channel. </w:t>
      </w:r>
    </w:p>
    <w:p w:rsidR="00A83173" w:rsidRDefault="00A83173" w:rsidP="00DA258B">
      <w:pPr>
        <w:suppressAutoHyphens/>
        <w:ind w:firstLine="720"/>
      </w:pPr>
    </w:p>
    <w:p w:rsidR="00933C2D" w:rsidRDefault="00A83173" w:rsidP="00DA258B">
      <w:pPr>
        <w:suppressAutoHyphens/>
        <w:ind w:firstLine="720"/>
      </w:pPr>
      <w:r>
        <w:t xml:space="preserve">The Commission’s rules generally provide for protection of TV signals </w:t>
      </w:r>
      <w:r w:rsidRPr="00144A82">
        <w:t xml:space="preserve">received over-the-air </w:t>
      </w:r>
      <w:r>
        <w:t xml:space="preserve">by a low power station </w:t>
      </w:r>
      <w:r w:rsidRPr="00144A82">
        <w:t xml:space="preserve">and used as part of </w:t>
      </w:r>
      <w:r>
        <w:t xml:space="preserve">that </w:t>
      </w:r>
      <w:r w:rsidRPr="00144A82">
        <w:t>station's service</w:t>
      </w:r>
      <w:r>
        <w:t xml:space="preserve"> (input channels) from interference caused by unlicensed </w:t>
      </w:r>
      <w:r w:rsidR="00803161">
        <w:t>TV white space (</w:t>
      </w:r>
      <w:r>
        <w:t>TVWS</w:t>
      </w:r>
      <w:r w:rsidR="00803161">
        <w:t>)</w:t>
      </w:r>
      <w:r>
        <w:t xml:space="preserve"> devices</w:t>
      </w:r>
      <w:r w:rsidRPr="00144A82">
        <w:t>.</w:t>
      </w:r>
      <w:r>
        <w:t xml:space="preserve">  This protection is provided through TVWS database systems, which are accessed by TVWS devices to obtain lists of channels that are available for operation. The TVWS database systems provide protection based on records drawn from the CDBS.  </w:t>
      </w:r>
    </w:p>
    <w:p w:rsidR="00933C2D" w:rsidRDefault="00933C2D" w:rsidP="00DA258B">
      <w:pPr>
        <w:tabs>
          <w:tab w:val="left" w:pos="1080"/>
        </w:tabs>
        <w:ind w:left="1080" w:hanging="360"/>
      </w:pPr>
    </w:p>
    <w:p w:rsidR="009B1BEF" w:rsidRDefault="00303C28" w:rsidP="00DA258B">
      <w:pPr>
        <w:suppressAutoHyphens/>
        <w:ind w:firstLine="720"/>
      </w:pPr>
      <w:r>
        <w:t>L</w:t>
      </w:r>
      <w:r w:rsidR="00933C2D">
        <w:t xml:space="preserve">ow power stations that are located outside of </w:t>
      </w:r>
      <w:r w:rsidR="009B1BEF">
        <w:t xml:space="preserve">the </w:t>
      </w:r>
      <w:r>
        <w:t xml:space="preserve">originating station’s </w:t>
      </w:r>
      <w:r w:rsidR="009B1BEF">
        <w:t>service contour</w:t>
      </w:r>
      <w:r>
        <w:t xml:space="preserve"> </w:t>
      </w:r>
      <w:r w:rsidR="00DA258B">
        <w:t xml:space="preserve">but </w:t>
      </w:r>
      <w:r w:rsidR="00933C2D">
        <w:t xml:space="preserve">within 80 </w:t>
      </w:r>
      <w:r w:rsidR="00DA258B">
        <w:t xml:space="preserve">kilometers </w:t>
      </w:r>
      <w:r w:rsidR="00933C2D">
        <w:t>of th</w:t>
      </w:r>
      <w:r w:rsidR="009B1BEF">
        <w:t>ose station</w:t>
      </w:r>
      <w:r>
        <w:t>’</w:t>
      </w:r>
      <w:r w:rsidR="009B1BEF">
        <w:t xml:space="preserve">s </w:t>
      </w:r>
      <w:r w:rsidR="00933C2D">
        <w:t>contour</w:t>
      </w:r>
      <w:r w:rsidR="009B1BEF">
        <w:t>s</w:t>
      </w:r>
      <w:r w:rsidR="00933C2D">
        <w:t xml:space="preserve"> are protected by preventing TVWS devices from operating on the</w:t>
      </w:r>
      <w:r>
        <w:t>ir</w:t>
      </w:r>
      <w:r w:rsidR="00933C2D">
        <w:t xml:space="preserve"> input channels in the vicinity of the receive site.  </w:t>
      </w:r>
      <w:r>
        <w:t>This protection is provided for</w:t>
      </w:r>
      <w:r w:rsidR="00803161">
        <w:t xml:space="preserve"> t</w:t>
      </w:r>
      <w:r w:rsidR="00933C2D">
        <w:t xml:space="preserve">he input channels </w:t>
      </w:r>
      <w:r>
        <w:t>recorded i</w:t>
      </w:r>
      <w:r w:rsidR="00933C2D">
        <w:t>n the CDBS records of the low power station.</w:t>
      </w:r>
      <w:r w:rsidR="00803161">
        <w:t xml:space="preserve">  If the low power TV station is located within the service contour of the full power station</w:t>
      </w:r>
      <w:r w:rsidR="00DA258B">
        <w:t xml:space="preserve"> (or other originating station)</w:t>
      </w:r>
      <w:r w:rsidR="00803161">
        <w:t xml:space="preserve">, its input channels are protected by the rules </w:t>
      </w:r>
      <w:r w:rsidR="00DA258B">
        <w:t>prohibiting operation of TVWS devices within the service contours</w:t>
      </w:r>
      <w:r w:rsidR="00803161">
        <w:t xml:space="preserve"> of the full</w:t>
      </w:r>
      <w:r w:rsidR="00DA258B">
        <w:t>- and low-</w:t>
      </w:r>
      <w:r w:rsidR="00803161">
        <w:t xml:space="preserve">power </w:t>
      </w:r>
      <w:r w:rsidR="00DA258B">
        <w:t xml:space="preserve">TV </w:t>
      </w:r>
      <w:r w:rsidR="00803161">
        <w:t>station</w:t>
      </w:r>
      <w:r w:rsidR="00DA258B">
        <w:t>s</w:t>
      </w:r>
      <w:r w:rsidR="00803161">
        <w:t>.  The input channels of low power stations located more than 80 km from the service contour</w:t>
      </w:r>
      <w:r w:rsidR="009B1BEF">
        <w:t>s</w:t>
      </w:r>
      <w:r w:rsidR="00803161">
        <w:t xml:space="preserve"> of the full service</w:t>
      </w:r>
      <w:r w:rsidR="009B1BEF">
        <w:t xml:space="preserve"> </w:t>
      </w:r>
      <w:r w:rsidR="009B1BEF" w:rsidRPr="009B1BEF">
        <w:t>stations transmitting those channels are not protected unless the Commission has granted a waiver</w:t>
      </w:r>
      <w:r w:rsidR="009B1BEF">
        <w:t>.</w:t>
      </w:r>
    </w:p>
    <w:p w:rsidR="009B1BEF" w:rsidRDefault="009B1BEF" w:rsidP="00DA258B">
      <w:pPr>
        <w:suppressAutoHyphens/>
        <w:ind w:firstLine="720"/>
      </w:pPr>
    </w:p>
    <w:p w:rsidR="00925217" w:rsidRDefault="00925217" w:rsidP="00DA258B">
      <w:pPr>
        <w:ind w:firstLine="720"/>
      </w:pPr>
      <w:r w:rsidRPr="00925217">
        <w:t xml:space="preserve">During the digital television transition that ended on June 12, 2009, many full power stations changed their operating channels.  Low power stations re-transmitting such stations have had to make corresponding changes to their equipment.  A significant number of those low power stations have not updated their input channels in the CDBS.  The input channels of low power stations falling into this </w:t>
      </w:r>
      <w:r w:rsidRPr="00925217">
        <w:lastRenderedPageBreak/>
        <w:t>category can only be protected if they are properly recorded in the CDBS.  It is therefore essential that these stations review their CDBS records regarding input channels and provide corrections and updates as necessary.</w:t>
      </w:r>
    </w:p>
    <w:p w:rsidR="00925217" w:rsidRPr="00925217" w:rsidRDefault="00925217" w:rsidP="005033CF"/>
    <w:p w:rsidR="00335D9B" w:rsidRDefault="00144A82" w:rsidP="00DA258B">
      <w:pPr>
        <w:ind w:firstLine="720"/>
      </w:pPr>
      <w:r>
        <w:t xml:space="preserve">The new webpage facility that OET </w:t>
      </w:r>
      <w:r w:rsidR="00D65D48">
        <w:t>and MB are</w:t>
      </w:r>
      <w:r>
        <w:t xml:space="preserve"> announcing herein</w:t>
      </w:r>
      <w:r w:rsidR="00FA2DE9">
        <w:t xml:space="preserve"> will </w:t>
      </w:r>
      <w:r>
        <w:t xml:space="preserve">provide </w:t>
      </w:r>
      <w:r w:rsidR="00DA258B">
        <w:t xml:space="preserve">licensees of </w:t>
      </w:r>
      <w:r>
        <w:t xml:space="preserve">low power stations with a simple and efficient </w:t>
      </w:r>
      <w:r w:rsidR="00FA2DE9">
        <w:t xml:space="preserve">utility for </w:t>
      </w:r>
      <w:r>
        <w:t>updat</w:t>
      </w:r>
      <w:r w:rsidR="00FA2DE9">
        <w:t>ing</w:t>
      </w:r>
      <w:r>
        <w:t xml:space="preserve"> their input channel information in the CDBS.</w:t>
      </w:r>
      <w:r w:rsidR="00D905C5">
        <w:t xml:space="preserve">  </w:t>
      </w:r>
      <w:r w:rsidR="00083BC2">
        <w:t>There is no fee for l</w:t>
      </w:r>
      <w:r w:rsidR="00D905C5">
        <w:t>ow power stations to updat</w:t>
      </w:r>
      <w:r w:rsidR="00083BC2">
        <w:t>e</w:t>
      </w:r>
      <w:r w:rsidR="00D905C5">
        <w:t xml:space="preserve"> their input channels.</w:t>
      </w:r>
    </w:p>
    <w:p w:rsidR="00A96F0D" w:rsidRDefault="00A96F0D" w:rsidP="00DA258B">
      <w:pPr>
        <w:ind w:firstLine="720"/>
      </w:pPr>
    </w:p>
    <w:p w:rsidR="00335D9B" w:rsidRDefault="00335D9B" w:rsidP="00DA258B">
      <w:pPr>
        <w:suppressAutoHyphens/>
        <w:ind w:firstLine="720"/>
      </w:pPr>
      <w:r>
        <w:t>Questions regarding this Public Notice may be directed to Alan Stillwell at (202) 418-2470</w:t>
      </w:r>
      <w:r w:rsidR="00144A82">
        <w:t xml:space="preserve">, </w:t>
      </w:r>
      <w:r>
        <w:t>Hugh L. Van Tuyl at (202) 418-7506</w:t>
      </w:r>
      <w:r w:rsidR="00144A82">
        <w:t xml:space="preserve"> or Hossein Hashemzadeh at (202) 418-1658</w:t>
      </w:r>
      <w:r>
        <w:t>.</w:t>
      </w:r>
    </w:p>
    <w:p w:rsidR="00335D9B" w:rsidRDefault="00335D9B">
      <w:pPr>
        <w:suppressAutoHyphens/>
        <w:ind w:firstLine="720"/>
      </w:pPr>
    </w:p>
    <w:p w:rsidR="00335D9B" w:rsidRDefault="00335D9B">
      <w:pPr>
        <w:suppressAutoHyphens/>
        <w:ind w:firstLine="720"/>
        <w:jc w:val="left"/>
      </w:pPr>
      <w:r>
        <w:t>By the Chief, Office of Engineering and Technology</w:t>
      </w:r>
      <w:r w:rsidR="00D65D48">
        <w:t xml:space="preserve"> and Chief, Media Bureau</w:t>
      </w:r>
      <w:r>
        <w:t>.</w:t>
      </w:r>
    </w:p>
    <w:p w:rsidR="00FB596C" w:rsidRDefault="00FB596C">
      <w:pPr>
        <w:suppressAutoHyphens/>
        <w:ind w:firstLine="720"/>
      </w:pPr>
    </w:p>
    <w:p w:rsidR="00FB596C" w:rsidRDefault="00FB596C">
      <w:pPr>
        <w:suppressAutoHyphens/>
        <w:ind w:firstLine="720"/>
      </w:pPr>
    </w:p>
    <w:p w:rsidR="00335D9B" w:rsidRDefault="00335D9B">
      <w:pPr>
        <w:suppressAutoHyphens/>
        <w:ind w:firstLine="720"/>
        <w:jc w:val="center"/>
      </w:pPr>
      <w:r>
        <w:t>-FCC-</w:t>
      </w:r>
    </w:p>
    <w:sectPr w:rsidR="00335D9B">
      <w:endnotePr>
        <w:numFmt w:val="decimal"/>
      </w:endnotePr>
      <w:type w:val="continuous"/>
      <w:pgSz w:w="12240" w:h="15840"/>
      <w:pgMar w:top="1440" w:right="1440" w:bottom="72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74" w:rsidRDefault="00247774">
      <w:pPr>
        <w:spacing w:line="20" w:lineRule="exact"/>
      </w:pPr>
    </w:p>
  </w:endnote>
  <w:endnote w:type="continuationSeparator" w:id="0">
    <w:p w:rsidR="00247774" w:rsidRDefault="00247774">
      <w:r>
        <w:t xml:space="preserve"> </w:t>
      </w:r>
    </w:p>
  </w:endnote>
  <w:endnote w:type="continuationNotice" w:id="1">
    <w:p w:rsidR="00247774" w:rsidRDefault="002477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E7" w:rsidRDefault="00D00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02E7" w:rsidRDefault="00D00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E7" w:rsidRDefault="00D00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00A">
      <w:rPr>
        <w:rStyle w:val="PageNumber"/>
        <w:noProof/>
      </w:rPr>
      <w:t>2</w:t>
    </w:r>
    <w:r>
      <w:rPr>
        <w:rStyle w:val="PageNumber"/>
      </w:rPr>
      <w:fldChar w:fldCharType="end"/>
    </w:r>
  </w:p>
  <w:p w:rsidR="00D002E7" w:rsidRDefault="00D00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74" w:rsidRDefault="00247774">
      <w:r>
        <w:separator/>
      </w:r>
    </w:p>
  </w:footnote>
  <w:footnote w:type="continuationSeparator" w:id="0">
    <w:p w:rsidR="00247774" w:rsidRDefault="0024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B" w:rsidRDefault="00363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E7" w:rsidRDefault="002601E8">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D002E7" w:rsidRDefault="00D002E7">
    <w:pPr>
      <w:suppressAutoHyphens/>
      <w:ind w:firstLine="1080"/>
      <w:rPr>
        <w:rFonts w:ascii="Arial Narrow" w:hAnsi="Arial Narrow"/>
      </w:rPr>
    </w:pPr>
    <w:r>
      <w:rPr>
        <w:rFonts w:ascii="News Gothic MT" w:hAnsi="News Gothic MT"/>
        <w:b/>
        <w:sz w:val="96"/>
      </w:rPr>
      <w:t>PUBLIC NOTICE</w:t>
    </w:r>
  </w:p>
  <w:p w:rsidR="00D002E7" w:rsidRDefault="00D002E7">
    <w:pPr>
      <w:suppressAutoHyphens/>
      <w:rPr>
        <w:rFonts w:ascii="Arial Narrow" w:hAnsi="Arial Narrow"/>
      </w:rPr>
    </w:pPr>
  </w:p>
  <w:p w:rsidR="00D002E7" w:rsidRDefault="002601E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216"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D002E7" w:rsidRDefault="00D00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kftg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USLqMwIfEMTCXY5pdhHLnW+TQ9vO6VNu+Y7JDd&#10;ZFhB5x063d9pAzzA9eBigwlZ8LZ13W/F2QU4TjcQG55am83CNfNHEiTrxXpBPBLN1h4J8ty7KVbE&#10;mxXhPM4v89UqD3/auCFJG15VTNgwB2GF5M8a9yTxSRJHaWnZ8srC2ZS02m5WrUJ7CsIu3Ge7Bcmf&#10;uPnnaTgzcHlBKYxIcBslXjFbzD1SkNhL5sHCC8LkNpkFJCF5cU7pjgv275TQkOEkjuJJTL/lFrjv&#10;NTeadtzA6Gh5l+HF0YmmVoJrUbnWGsrbaX9SCpv+cymgYodGO8FajU5qNeNmBBSr4o2sHkG6SoKy&#10;QIQw72DTSPUdowFmR4b1tx1VDKP2vQD5JyEhdti4A4nnIFakTi2bUwsVJUBl2GA0bVdmGlC7XvFt&#10;A5GmH07IG/hlau7U/JwVULEHmA+O1NMsswPo9Oy8nifu8hcAAAD//wMAUEsDBBQABgAIAAAAIQCp&#10;yPPl3gAAAAoBAAAPAAAAZHJzL2Rvd25yZXYueG1sTI/BTsMwEETvSP0Haytxo3Yg0DbEqRCIK1UL&#10;rcTNjbdJRLyOYrcJf9/tCW47eqPZmXw1ulacsQ+NJw3JTIFAKr1tqNLw9fl+twARoiFrWk+o4RcD&#10;rIrJTW4y6wfa4HkbK8EhFDKjoY6xy6QMZY3OhJnvkJgdfe9MZNlX0vZm4HDXynulnqQzDfGH2nT4&#10;WmP5sz05DbuP4/c+VevqzT12gx+VJLeUWt9Ox5dnEBHH+GeGa32uDgV3OvgT2SBaDfOHNGUrgyWI&#10;K1cLxeMOfCXzBGSRy/8TigsAAAD//wMAUEsBAi0AFAAGAAgAAAAhALaDOJL+AAAA4QEAABMAAAAA&#10;AAAAAAAAAAAAAAAAAFtDb250ZW50X1R5cGVzXS54bWxQSwECLQAUAAYACAAAACEAOP0h/9YAAACU&#10;AQAACwAAAAAAAAAAAAAAAAAvAQAAX3JlbHMvLnJlbHNQSwECLQAUAAYACAAAACEATOUZH7YCAAC5&#10;BQAADgAAAAAAAAAAAAAAAAAuAgAAZHJzL2Uyb0RvYy54bWxQSwECLQAUAAYACAAAACEAqcjz5d4A&#10;AAAKAQAADwAAAAAAAAAAAAAAAAAQBQAAZHJzL2Rvd25yZXYueG1sUEsFBgAAAAAEAAQA8wAAABsG&#10;AAAAAA==&#10;" o:allowincell="f" filled="f" stroked="f">
              <v:textbox>
                <w:txbxContent>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002E7" w:rsidRDefault="00D002E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D002E7" w:rsidRDefault="00D002E7"/>
                </w:txbxContent>
              </v:textbox>
            </v:shape>
          </w:pict>
        </mc:Fallback>
      </mc:AlternateContent>
    </w:r>
    <w:r w:rsidR="00D002E7">
      <w:rPr>
        <w:rFonts w:ascii="Arial Narrow" w:hAnsi="Arial Narrow"/>
        <w:b/>
      </w:rPr>
      <w:tab/>
    </w:r>
    <w:r w:rsidR="00D002E7">
      <w:rPr>
        <w:rFonts w:ascii="Arial Narrow" w:hAnsi="Arial Narrow"/>
        <w:b/>
      </w:rPr>
      <w:tab/>
      <w:t>Federal Communications Commission</w:t>
    </w:r>
  </w:p>
  <w:p w:rsidR="00D002E7" w:rsidRDefault="00D002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D002E7" w:rsidRDefault="00D002E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D002E7" w:rsidRDefault="002601E8">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170815</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54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chofAdoAAAAHAQAADwAAAGRycy9kb3ducmV2LnhtbEyPwU7DMBBE70j8g7VIXCpqE6Sq&#10;hDgVAnLjQgviuo2XJCJep7HbBr6erTjAcWZWM2+L1eR7daAxdoEtXM8NKOI6uI4bC6+b6moJKiZk&#10;h31gsvBFEVbl+VmBuQtHfqHDOjVKSjjmaKFNaci1jnVLHuM8DMSSfYTRYxI5NtqNeJRy3+vMmIX2&#10;2LEstDjQQ0v153rvLcTqjXbV96yemfebJlC2e3x+QmsvL6b7O1CJpvR3DCd8QYdSmLZhzy6q3oI8&#10;kixki1tQp9QsjTjbX0eXhf7PX/4AAAD//wMAUEsBAi0AFAAGAAgAAAAhALaDOJL+AAAA4QEAABMA&#10;AAAAAAAAAAAAAAAAAAAAAFtDb250ZW50X1R5cGVzXS54bWxQSwECLQAUAAYACAAAACEAOP0h/9YA&#10;AACUAQAACwAAAAAAAAAAAAAAAAAvAQAAX3JlbHMvLnJlbHNQSwECLQAUAAYACAAAACEAjb8KjRIC&#10;AAAoBAAADgAAAAAAAAAAAAAAAAAuAgAAZHJzL2Uyb0RvYy54bWxQSwECLQAUAAYACAAAACEAchof&#10;AdoAAAAHAQAADwAAAAAAAAAAAAAAAABsBAAAZHJzL2Rvd25yZXYueG1sUEsFBgAAAAAEAAQA8wAA&#10;AHM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C20D28"/>
    <w:multiLevelType w:val="singleLevel"/>
    <w:tmpl w:val="C5BA192A"/>
    <w:lvl w:ilvl="0">
      <w:start w:val="1"/>
      <w:numFmt w:val="decimal"/>
      <w:lvlText w:val="(%1)"/>
      <w:lvlJc w:val="left"/>
      <w:pPr>
        <w:tabs>
          <w:tab w:val="num" w:pos="1095"/>
        </w:tabs>
        <w:ind w:left="1095" w:hanging="375"/>
      </w:pPr>
      <w:rPr>
        <w:rFonts w:hint="default"/>
      </w:rPr>
    </w:lvl>
  </w:abstractNum>
  <w:abstractNum w:abstractNumId="2">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64903074"/>
    <w:multiLevelType w:val="hybridMultilevel"/>
    <w:tmpl w:val="1902C142"/>
    <w:lvl w:ilvl="0" w:tplc="7228F56E">
      <w:start w:val="1"/>
      <w:numFmt w:val="decimal"/>
      <w:lvlText w:val="%1."/>
      <w:lvlJc w:val="left"/>
      <w:pPr>
        <w:tabs>
          <w:tab w:val="num" w:pos="724"/>
        </w:tabs>
        <w:ind w:left="724" w:hanging="360"/>
      </w:pPr>
      <w:rPr>
        <w:rFonts w:hint="default"/>
      </w:rPr>
    </w:lvl>
    <w:lvl w:ilvl="1" w:tplc="0876D73A" w:tentative="1">
      <w:start w:val="1"/>
      <w:numFmt w:val="lowerLetter"/>
      <w:lvlText w:val="%2."/>
      <w:lvlJc w:val="left"/>
      <w:pPr>
        <w:tabs>
          <w:tab w:val="num" w:pos="2164"/>
        </w:tabs>
        <w:ind w:left="2164" w:hanging="360"/>
      </w:pPr>
    </w:lvl>
    <w:lvl w:ilvl="2" w:tplc="6DBE91DA" w:tentative="1">
      <w:start w:val="1"/>
      <w:numFmt w:val="lowerRoman"/>
      <w:lvlText w:val="%3."/>
      <w:lvlJc w:val="right"/>
      <w:pPr>
        <w:tabs>
          <w:tab w:val="num" w:pos="2884"/>
        </w:tabs>
        <w:ind w:left="2884" w:hanging="180"/>
      </w:pPr>
    </w:lvl>
    <w:lvl w:ilvl="3" w:tplc="F5E28D3E" w:tentative="1">
      <w:start w:val="1"/>
      <w:numFmt w:val="decimal"/>
      <w:lvlText w:val="%4."/>
      <w:lvlJc w:val="left"/>
      <w:pPr>
        <w:tabs>
          <w:tab w:val="num" w:pos="3604"/>
        </w:tabs>
        <w:ind w:left="3604" w:hanging="360"/>
      </w:pPr>
    </w:lvl>
    <w:lvl w:ilvl="4" w:tplc="0B60A01C" w:tentative="1">
      <w:start w:val="1"/>
      <w:numFmt w:val="lowerLetter"/>
      <w:lvlText w:val="%5."/>
      <w:lvlJc w:val="left"/>
      <w:pPr>
        <w:tabs>
          <w:tab w:val="num" w:pos="4324"/>
        </w:tabs>
        <w:ind w:left="4324" w:hanging="360"/>
      </w:pPr>
    </w:lvl>
    <w:lvl w:ilvl="5" w:tplc="F0F81FC4" w:tentative="1">
      <w:start w:val="1"/>
      <w:numFmt w:val="lowerRoman"/>
      <w:lvlText w:val="%6."/>
      <w:lvlJc w:val="right"/>
      <w:pPr>
        <w:tabs>
          <w:tab w:val="num" w:pos="5044"/>
        </w:tabs>
        <w:ind w:left="5044" w:hanging="180"/>
      </w:pPr>
    </w:lvl>
    <w:lvl w:ilvl="6" w:tplc="17349244" w:tentative="1">
      <w:start w:val="1"/>
      <w:numFmt w:val="decimal"/>
      <w:lvlText w:val="%7."/>
      <w:lvlJc w:val="left"/>
      <w:pPr>
        <w:tabs>
          <w:tab w:val="num" w:pos="5764"/>
        </w:tabs>
        <w:ind w:left="5764" w:hanging="360"/>
      </w:pPr>
    </w:lvl>
    <w:lvl w:ilvl="7" w:tplc="DC7AD028" w:tentative="1">
      <w:start w:val="1"/>
      <w:numFmt w:val="lowerLetter"/>
      <w:lvlText w:val="%8."/>
      <w:lvlJc w:val="left"/>
      <w:pPr>
        <w:tabs>
          <w:tab w:val="num" w:pos="6484"/>
        </w:tabs>
        <w:ind w:left="6484" w:hanging="360"/>
      </w:pPr>
    </w:lvl>
    <w:lvl w:ilvl="8" w:tplc="308E1F7A" w:tentative="1">
      <w:start w:val="1"/>
      <w:numFmt w:val="lowerRoman"/>
      <w:lvlText w:val="%9."/>
      <w:lvlJc w:val="right"/>
      <w:pPr>
        <w:tabs>
          <w:tab w:val="num" w:pos="7204"/>
        </w:tabs>
        <w:ind w:left="7204" w:hanging="180"/>
      </w:pPr>
    </w:lvl>
  </w:abstractNum>
  <w:abstractNum w:abstractNumId="8">
    <w:nsid w:val="69D02E89"/>
    <w:multiLevelType w:val="hybridMultilevel"/>
    <w:tmpl w:val="66263CD0"/>
    <w:lvl w:ilvl="0" w:tplc="FFFFFFFF">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1"/>
  </w:num>
  <w:num w:numId="31">
    <w:abstractNumId w:val="7"/>
  </w:num>
  <w:num w:numId="32">
    <w:abstractNumId w:val="6"/>
  </w:num>
  <w:num w:numId="33">
    <w:abstractNumId w:val="2"/>
  </w:num>
  <w:num w:numId="34">
    <w:abstractNumId w:val="9"/>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C2"/>
    <w:rsid w:val="000115B7"/>
    <w:rsid w:val="000474C6"/>
    <w:rsid w:val="00054FBB"/>
    <w:rsid w:val="00083BC2"/>
    <w:rsid w:val="000D7AD0"/>
    <w:rsid w:val="000F73D8"/>
    <w:rsid w:val="00144A82"/>
    <w:rsid w:val="0014700A"/>
    <w:rsid w:val="00153C4C"/>
    <w:rsid w:val="00211061"/>
    <w:rsid w:val="00247774"/>
    <w:rsid w:val="00255EFE"/>
    <w:rsid w:val="002601E8"/>
    <w:rsid w:val="00303C28"/>
    <w:rsid w:val="00325C65"/>
    <w:rsid w:val="00335D9B"/>
    <w:rsid w:val="00336112"/>
    <w:rsid w:val="00363B8B"/>
    <w:rsid w:val="00407672"/>
    <w:rsid w:val="00411813"/>
    <w:rsid w:val="004252CB"/>
    <w:rsid w:val="004436E6"/>
    <w:rsid w:val="00484B48"/>
    <w:rsid w:val="00484D81"/>
    <w:rsid w:val="004B4E31"/>
    <w:rsid w:val="004B656D"/>
    <w:rsid w:val="005033CF"/>
    <w:rsid w:val="0051545F"/>
    <w:rsid w:val="005374C2"/>
    <w:rsid w:val="00560454"/>
    <w:rsid w:val="005639CA"/>
    <w:rsid w:val="005975A5"/>
    <w:rsid w:val="005A137F"/>
    <w:rsid w:val="005F6590"/>
    <w:rsid w:val="00606387"/>
    <w:rsid w:val="00612800"/>
    <w:rsid w:val="00636C49"/>
    <w:rsid w:val="00691D5B"/>
    <w:rsid w:val="006B05CF"/>
    <w:rsid w:val="00753F1E"/>
    <w:rsid w:val="00767FAE"/>
    <w:rsid w:val="00773AB7"/>
    <w:rsid w:val="00794032"/>
    <w:rsid w:val="007B7445"/>
    <w:rsid w:val="007E01A7"/>
    <w:rsid w:val="00803161"/>
    <w:rsid w:val="008077EC"/>
    <w:rsid w:val="00870332"/>
    <w:rsid w:val="00892674"/>
    <w:rsid w:val="008D0D1F"/>
    <w:rsid w:val="008F7333"/>
    <w:rsid w:val="0090315F"/>
    <w:rsid w:val="00925217"/>
    <w:rsid w:val="00933C2D"/>
    <w:rsid w:val="0097572A"/>
    <w:rsid w:val="009B1BEF"/>
    <w:rsid w:val="009F494D"/>
    <w:rsid w:val="00A421C2"/>
    <w:rsid w:val="00A83173"/>
    <w:rsid w:val="00A96F0D"/>
    <w:rsid w:val="00AA55EA"/>
    <w:rsid w:val="00AB5976"/>
    <w:rsid w:val="00AF1945"/>
    <w:rsid w:val="00B170E9"/>
    <w:rsid w:val="00B37197"/>
    <w:rsid w:val="00B55D15"/>
    <w:rsid w:val="00BD3EE3"/>
    <w:rsid w:val="00BD60C3"/>
    <w:rsid w:val="00BF4CD2"/>
    <w:rsid w:val="00C065C4"/>
    <w:rsid w:val="00C33ABE"/>
    <w:rsid w:val="00C54930"/>
    <w:rsid w:val="00C96CFB"/>
    <w:rsid w:val="00CA0F48"/>
    <w:rsid w:val="00CE0F3F"/>
    <w:rsid w:val="00D002E7"/>
    <w:rsid w:val="00D40641"/>
    <w:rsid w:val="00D46AF8"/>
    <w:rsid w:val="00D47A87"/>
    <w:rsid w:val="00D61BD0"/>
    <w:rsid w:val="00D639A2"/>
    <w:rsid w:val="00D65D48"/>
    <w:rsid w:val="00D905C5"/>
    <w:rsid w:val="00D9154C"/>
    <w:rsid w:val="00D94EDD"/>
    <w:rsid w:val="00D97274"/>
    <w:rsid w:val="00DA258B"/>
    <w:rsid w:val="00DC0BCA"/>
    <w:rsid w:val="00DC428F"/>
    <w:rsid w:val="00DC5310"/>
    <w:rsid w:val="00DD19EC"/>
    <w:rsid w:val="00DD35A1"/>
    <w:rsid w:val="00E00B2E"/>
    <w:rsid w:val="00E17D1D"/>
    <w:rsid w:val="00E55105"/>
    <w:rsid w:val="00E914C5"/>
    <w:rsid w:val="00E950C5"/>
    <w:rsid w:val="00EE0FE4"/>
    <w:rsid w:val="00F03920"/>
    <w:rsid w:val="00F04013"/>
    <w:rsid w:val="00F26A68"/>
    <w:rsid w:val="00F335E2"/>
    <w:rsid w:val="00F4766C"/>
    <w:rsid w:val="00F669EA"/>
    <w:rsid w:val="00F672C7"/>
    <w:rsid w:val="00FA2DE9"/>
    <w:rsid w:val="00FA54D7"/>
    <w:rsid w:val="00FB596C"/>
    <w:rsid w:val="00FB6CF7"/>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Pr>
      <w:lang w:val="en-US" w:eastAsia="en-US" w:bidi="ar-SA"/>
    </w:rPr>
  </w:style>
  <w:style w:type="character" w:customStyle="1" w:styleId="ParaNumChar">
    <w:name w:val="ParaNum Char"/>
    <w:link w:val="ParaNum"/>
    <w:rsid w:val="00FB6CF7"/>
    <w:rPr>
      <w:snapToGrid w:val="0"/>
      <w:kern w:val="28"/>
      <w:sz w:val="22"/>
      <w:lang w:val="en-US" w:eastAsia="en-US" w:bidi="ar-SA"/>
    </w:rPr>
  </w:style>
  <w:style w:type="character" w:styleId="FollowedHyperlink">
    <w:name w:val="FollowedHyperlink"/>
    <w:rsid w:val="00153C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Pr>
      <w:lang w:val="en-US" w:eastAsia="en-US" w:bidi="ar-SA"/>
    </w:rPr>
  </w:style>
  <w:style w:type="character" w:customStyle="1" w:styleId="ParaNumChar">
    <w:name w:val="ParaNum Char"/>
    <w:link w:val="ParaNum"/>
    <w:rsid w:val="00FB6CF7"/>
    <w:rPr>
      <w:snapToGrid w:val="0"/>
      <w:kern w:val="28"/>
      <w:sz w:val="22"/>
      <w:lang w:val="en-US" w:eastAsia="en-US" w:bidi="ar-SA"/>
    </w:rPr>
  </w:style>
  <w:style w:type="character" w:styleId="FollowedHyperlink">
    <w:name w:val="FollowedHyperlink"/>
    <w:rsid w:val="00153C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oet/translato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3246</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3850</CharactersWithSpaces>
  <SharedDoc>false</SharedDoc>
  <HyperlinkBase> </HyperlinkBase>
  <HLinks>
    <vt:vector size="6" baseType="variant">
      <vt:variant>
        <vt:i4>5898318</vt:i4>
      </vt:variant>
      <vt:variant>
        <vt:i4>0</vt:i4>
      </vt:variant>
      <vt:variant>
        <vt:i4>0</vt:i4>
      </vt:variant>
      <vt:variant>
        <vt:i4>5</vt:i4>
      </vt:variant>
      <vt:variant>
        <vt:lpwstr>https://apps.fcc.gov/oet/translator/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2012-02-08T11:44:00Z</cp:lastPrinted>
  <dcterms:created xsi:type="dcterms:W3CDTF">2013-05-28T20:34:00Z</dcterms:created>
  <dcterms:modified xsi:type="dcterms:W3CDTF">2013-05-28T20:34:00Z</dcterms:modified>
  <cp:category> </cp:category>
  <cp:contentStatus> </cp:contentStatus>
</cp:coreProperties>
</file>