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52" w:rsidRDefault="00742152">
      <w:pPr>
        <w:jc w:val="center"/>
        <w:rPr>
          <w:b/>
          <w:szCs w:val="22"/>
        </w:rPr>
      </w:pPr>
      <w:bookmarkStart w:id="0" w:name="_GoBack"/>
      <w:bookmarkEnd w:id="0"/>
      <w:r>
        <w:rPr>
          <w:b/>
          <w:szCs w:val="22"/>
        </w:rPr>
        <w:t>Before the</w:t>
      </w:r>
    </w:p>
    <w:p w:rsidR="00742152" w:rsidRDefault="00742152">
      <w:pPr>
        <w:jc w:val="center"/>
        <w:rPr>
          <w:b/>
          <w:szCs w:val="22"/>
        </w:rPr>
      </w:pPr>
      <w:r>
        <w:rPr>
          <w:b/>
          <w:szCs w:val="22"/>
        </w:rPr>
        <w:t>Federal Communications Commission</w:t>
      </w:r>
    </w:p>
    <w:p w:rsidR="00742152" w:rsidRDefault="00742152">
      <w:pPr>
        <w:jc w:val="center"/>
        <w:rPr>
          <w:b/>
          <w:szCs w:val="22"/>
        </w:rPr>
      </w:pPr>
      <w:r>
        <w:rPr>
          <w:b/>
          <w:szCs w:val="22"/>
        </w:rPr>
        <w:t>Washington, D.C. 20554</w:t>
      </w:r>
    </w:p>
    <w:p w:rsidR="00742152" w:rsidRDefault="00742152">
      <w:pPr>
        <w:rPr>
          <w:szCs w:val="22"/>
        </w:rPr>
      </w:pPr>
    </w:p>
    <w:p w:rsidR="00742152" w:rsidRDefault="00742152">
      <w:pPr>
        <w:rPr>
          <w:szCs w:val="22"/>
        </w:rPr>
      </w:pPr>
    </w:p>
    <w:tbl>
      <w:tblPr>
        <w:tblW w:w="9648" w:type="dxa"/>
        <w:tblLook w:val="0000" w:firstRow="0" w:lastRow="0" w:firstColumn="0" w:lastColumn="0" w:noHBand="0" w:noVBand="0"/>
      </w:tblPr>
      <w:tblGrid>
        <w:gridCol w:w="4698"/>
        <w:gridCol w:w="720"/>
        <w:gridCol w:w="4230"/>
      </w:tblGrid>
      <w:tr w:rsidR="00742152">
        <w:tc>
          <w:tcPr>
            <w:tcW w:w="4698" w:type="dxa"/>
          </w:tcPr>
          <w:p w:rsidR="00742152" w:rsidRDefault="00742152">
            <w:pPr>
              <w:tabs>
                <w:tab w:val="center" w:pos="4680"/>
              </w:tabs>
              <w:suppressAutoHyphens/>
              <w:rPr>
                <w:spacing w:val="-2"/>
              </w:rPr>
            </w:pPr>
            <w:r>
              <w:rPr>
                <w:spacing w:val="-2"/>
              </w:rPr>
              <w:t>In the Matter of</w:t>
            </w:r>
          </w:p>
          <w:p w:rsidR="00742152" w:rsidRDefault="00742152">
            <w:pPr>
              <w:tabs>
                <w:tab w:val="center" w:pos="4680"/>
              </w:tabs>
              <w:suppressAutoHyphens/>
              <w:rPr>
                <w:spacing w:val="-2"/>
              </w:rPr>
            </w:pPr>
          </w:p>
          <w:p w:rsidR="00742152" w:rsidRDefault="00742152" w:rsidP="009C2144">
            <w:pPr>
              <w:rPr>
                <w:szCs w:val="22"/>
              </w:rPr>
            </w:pPr>
            <w:r>
              <w:t>W</w:t>
            </w:r>
            <w:r w:rsidR="009C2144">
              <w:t xml:space="preserve">aiver of Section 11.45 of the Commission’s Rules to Allow Broadcast of </w:t>
            </w:r>
            <w:r w:rsidR="009C2144" w:rsidRPr="00E64F01">
              <w:t>Public Service Announcements</w:t>
            </w:r>
            <w:r w:rsidR="009C2144">
              <w:t xml:space="preserve"> Produced by the </w:t>
            </w:r>
            <w:r w:rsidR="009C2144" w:rsidRPr="00E64F01">
              <w:t xml:space="preserve">Federal Emergency Management Agency </w:t>
            </w:r>
            <w:r w:rsidR="009C2144">
              <w:t xml:space="preserve">to Educate the Public on the </w:t>
            </w:r>
            <w:r w:rsidR="009C2144" w:rsidRPr="00E64F01">
              <w:t xml:space="preserve">Wireless Emergency Alert </w:t>
            </w:r>
            <w:r w:rsidR="009C2144">
              <w:t>S</w:t>
            </w:r>
            <w:r w:rsidR="009C2144" w:rsidRPr="00E64F01">
              <w:t>ystem</w:t>
            </w:r>
          </w:p>
        </w:tc>
        <w:tc>
          <w:tcPr>
            <w:tcW w:w="720" w:type="dxa"/>
          </w:tcPr>
          <w:p w:rsidR="00742152" w:rsidRDefault="00742152">
            <w:pPr>
              <w:rPr>
                <w:szCs w:val="22"/>
              </w:rPr>
            </w:pPr>
            <w:r>
              <w:rPr>
                <w:szCs w:val="22"/>
              </w:rPr>
              <w:t>)</w:t>
            </w:r>
          </w:p>
          <w:p w:rsidR="00742152" w:rsidRDefault="00742152">
            <w:pPr>
              <w:rPr>
                <w:szCs w:val="22"/>
              </w:rPr>
            </w:pPr>
            <w:r>
              <w:rPr>
                <w:szCs w:val="22"/>
              </w:rPr>
              <w:t>)</w:t>
            </w:r>
          </w:p>
          <w:p w:rsidR="00742152" w:rsidRDefault="00742152">
            <w:pPr>
              <w:rPr>
                <w:szCs w:val="22"/>
              </w:rPr>
            </w:pPr>
            <w:r>
              <w:rPr>
                <w:szCs w:val="22"/>
              </w:rPr>
              <w:t>)</w:t>
            </w:r>
          </w:p>
          <w:p w:rsidR="00742152" w:rsidRDefault="00742152">
            <w:pPr>
              <w:rPr>
                <w:szCs w:val="22"/>
              </w:rPr>
            </w:pPr>
            <w:r>
              <w:rPr>
                <w:szCs w:val="22"/>
              </w:rPr>
              <w:t>)</w:t>
            </w:r>
          </w:p>
          <w:p w:rsidR="00742152" w:rsidRDefault="00742152">
            <w:pPr>
              <w:rPr>
                <w:szCs w:val="22"/>
              </w:rPr>
            </w:pPr>
            <w:r>
              <w:rPr>
                <w:szCs w:val="22"/>
              </w:rPr>
              <w:t>)</w:t>
            </w:r>
          </w:p>
          <w:p w:rsidR="00742152" w:rsidRDefault="00742152">
            <w:pPr>
              <w:rPr>
                <w:szCs w:val="22"/>
              </w:rPr>
            </w:pPr>
            <w:r>
              <w:rPr>
                <w:szCs w:val="22"/>
              </w:rPr>
              <w:t>)</w:t>
            </w:r>
          </w:p>
          <w:p w:rsidR="00742152" w:rsidRDefault="00742152" w:rsidP="009C2144">
            <w:pPr>
              <w:rPr>
                <w:szCs w:val="22"/>
              </w:rPr>
            </w:pPr>
            <w:r>
              <w:rPr>
                <w:szCs w:val="22"/>
              </w:rPr>
              <w:t>)</w:t>
            </w:r>
          </w:p>
        </w:tc>
        <w:tc>
          <w:tcPr>
            <w:tcW w:w="4230" w:type="dxa"/>
          </w:tcPr>
          <w:p w:rsidR="00742152" w:rsidRDefault="00742152">
            <w:pPr>
              <w:rPr>
                <w:szCs w:val="22"/>
              </w:rPr>
            </w:pPr>
          </w:p>
          <w:p w:rsidR="00742152" w:rsidRPr="00114DEA" w:rsidRDefault="00742152">
            <w:pPr>
              <w:rPr>
                <w:szCs w:val="22"/>
              </w:rPr>
            </w:pPr>
          </w:p>
          <w:p w:rsidR="00742152" w:rsidRDefault="00114DEA" w:rsidP="00114DEA">
            <w:pPr>
              <w:tabs>
                <w:tab w:val="left" w:pos="5760"/>
              </w:tabs>
              <w:rPr>
                <w:szCs w:val="22"/>
              </w:rPr>
            </w:pPr>
            <w:r w:rsidRPr="00114DEA">
              <w:rPr>
                <w:szCs w:val="22"/>
              </w:rPr>
              <w:t>PS Docket No. 07-287</w:t>
            </w:r>
            <w:r w:rsidRPr="00114DEA">
              <w:rPr>
                <w:b/>
                <w:szCs w:val="22"/>
              </w:rPr>
              <w:t xml:space="preserve"> </w:t>
            </w:r>
          </w:p>
        </w:tc>
      </w:tr>
    </w:tbl>
    <w:p w:rsidR="00742152" w:rsidRDefault="00742152">
      <w:pPr>
        <w:rPr>
          <w:szCs w:val="22"/>
        </w:rPr>
      </w:pPr>
    </w:p>
    <w:p w:rsidR="00742152" w:rsidRDefault="00796C65" w:rsidP="00796C65">
      <w:pPr>
        <w:tabs>
          <w:tab w:val="center" w:pos="4680"/>
          <w:tab w:val="left" w:pos="6670"/>
        </w:tabs>
        <w:spacing w:before="120"/>
        <w:rPr>
          <w:b/>
          <w:szCs w:val="22"/>
        </w:rPr>
      </w:pPr>
      <w:r>
        <w:rPr>
          <w:b/>
          <w:spacing w:val="-2"/>
          <w:szCs w:val="22"/>
        </w:rPr>
        <w:tab/>
      </w:r>
      <w:r w:rsidR="00742152">
        <w:rPr>
          <w:b/>
          <w:spacing w:val="-2"/>
          <w:szCs w:val="22"/>
        </w:rPr>
        <w:t>ORDER</w:t>
      </w:r>
      <w:r>
        <w:rPr>
          <w:b/>
          <w:spacing w:val="-2"/>
          <w:szCs w:val="22"/>
        </w:rPr>
        <w:tab/>
      </w:r>
    </w:p>
    <w:p w:rsidR="00742152" w:rsidRDefault="00742152">
      <w:pPr>
        <w:rPr>
          <w:szCs w:val="22"/>
        </w:rPr>
      </w:pPr>
    </w:p>
    <w:p w:rsidR="00742152" w:rsidRDefault="00CA7DC9">
      <w:pPr>
        <w:tabs>
          <w:tab w:val="left" w:pos="5760"/>
          <w:tab w:val="right" w:pos="9360"/>
        </w:tabs>
        <w:rPr>
          <w:b/>
          <w:szCs w:val="22"/>
        </w:rPr>
      </w:pPr>
      <w:r>
        <w:rPr>
          <w:b/>
          <w:szCs w:val="22"/>
        </w:rPr>
        <w:t xml:space="preserve">Adopted:  </w:t>
      </w:r>
      <w:r w:rsidR="003234E5">
        <w:rPr>
          <w:b/>
          <w:szCs w:val="22"/>
        </w:rPr>
        <w:t>May 31</w:t>
      </w:r>
      <w:r>
        <w:rPr>
          <w:b/>
          <w:szCs w:val="22"/>
        </w:rPr>
        <w:t xml:space="preserve">, 2013 </w:t>
      </w:r>
      <w:r w:rsidR="005B5B91">
        <w:rPr>
          <w:b/>
          <w:szCs w:val="22"/>
        </w:rPr>
        <w:t xml:space="preserve"> </w:t>
      </w:r>
      <w:r w:rsidR="00742152">
        <w:rPr>
          <w:b/>
          <w:szCs w:val="22"/>
        </w:rPr>
        <w:tab/>
      </w:r>
      <w:r w:rsidR="00742152">
        <w:rPr>
          <w:b/>
          <w:szCs w:val="22"/>
        </w:rPr>
        <w:tab/>
        <w:t xml:space="preserve">Released:  </w:t>
      </w:r>
      <w:r w:rsidR="003234E5">
        <w:rPr>
          <w:b/>
          <w:szCs w:val="22"/>
        </w:rPr>
        <w:t>May 31</w:t>
      </w:r>
      <w:r w:rsidR="00742152">
        <w:rPr>
          <w:b/>
          <w:szCs w:val="22"/>
        </w:rPr>
        <w:t>, 201</w:t>
      </w:r>
      <w:r>
        <w:rPr>
          <w:b/>
          <w:szCs w:val="22"/>
        </w:rPr>
        <w:t>3</w:t>
      </w:r>
    </w:p>
    <w:p w:rsidR="00742152" w:rsidRDefault="00742152">
      <w:pPr>
        <w:tabs>
          <w:tab w:val="left" w:pos="5760"/>
          <w:tab w:val="right" w:pos="9360"/>
        </w:tabs>
        <w:rPr>
          <w:b/>
          <w:szCs w:val="22"/>
        </w:rPr>
      </w:pPr>
    </w:p>
    <w:p w:rsidR="00742152" w:rsidRDefault="00742152">
      <w:pPr>
        <w:rPr>
          <w:spacing w:val="-2"/>
        </w:rPr>
      </w:pPr>
      <w:r>
        <w:t>By the</w:t>
      </w:r>
      <w:r>
        <w:rPr>
          <w:spacing w:val="-2"/>
        </w:rPr>
        <w:t xml:space="preserve"> </w:t>
      </w:r>
      <w:r>
        <w:t xml:space="preserve">Chief, Public Safety and Homeland Security </w:t>
      </w:r>
      <w:r>
        <w:rPr>
          <w:spacing w:val="-2"/>
        </w:rPr>
        <w:t>Bureau:</w:t>
      </w:r>
    </w:p>
    <w:p w:rsidR="00742152" w:rsidRDefault="00742152">
      <w:pPr>
        <w:tabs>
          <w:tab w:val="left" w:pos="5760"/>
        </w:tabs>
        <w:rPr>
          <w:b/>
          <w:szCs w:val="22"/>
        </w:rPr>
      </w:pPr>
    </w:p>
    <w:p w:rsidR="00742152" w:rsidRDefault="00742152">
      <w:pPr>
        <w:pStyle w:val="StyleHeading1LeftAfter6pt"/>
        <w:rPr>
          <w:color w:val="000000"/>
        </w:rPr>
      </w:pPr>
      <w:r>
        <w:t>Introduction</w:t>
      </w:r>
    </w:p>
    <w:p w:rsidR="00891B9B" w:rsidRPr="00415FC8" w:rsidRDefault="00891B9B" w:rsidP="00415FC8">
      <w:pPr>
        <w:pStyle w:val="ParaNum"/>
        <w:numPr>
          <w:ilvl w:val="0"/>
          <w:numId w:val="4"/>
        </w:numPr>
        <w:tabs>
          <w:tab w:val="clear" w:pos="360"/>
        </w:tabs>
        <w:ind w:left="0" w:firstLine="720"/>
        <w:rPr>
          <w:szCs w:val="22"/>
        </w:rPr>
      </w:pPr>
      <w:r w:rsidRPr="00E64F01">
        <w:t xml:space="preserve">In this Order, </w:t>
      </w:r>
      <w:r w:rsidR="00430091">
        <w:t xml:space="preserve">the Public Safety and Homeland Security </w:t>
      </w:r>
      <w:r w:rsidR="00430091">
        <w:rPr>
          <w:spacing w:val="-2"/>
        </w:rPr>
        <w:t>Bureau</w:t>
      </w:r>
      <w:r w:rsidR="00430091">
        <w:t xml:space="preserve"> </w:t>
      </w:r>
      <w:r w:rsidR="00A41D31">
        <w:t xml:space="preserve">(Bureau) </w:t>
      </w:r>
      <w:r w:rsidR="00430091">
        <w:t>g</w:t>
      </w:r>
      <w:r w:rsidRPr="00E64F01">
        <w:t>rant</w:t>
      </w:r>
      <w:r w:rsidR="00430091">
        <w:t>s</w:t>
      </w:r>
      <w:r w:rsidR="00DF1660">
        <w:t>, to the extent necessary,</w:t>
      </w:r>
      <w:r w:rsidR="00635FEF">
        <w:t xml:space="preserve"> </w:t>
      </w:r>
      <w:r w:rsidRPr="00E64F01">
        <w:t>a limited waiver of Section 11.45 of the Commission’s rules</w:t>
      </w:r>
      <w:r w:rsidR="00DA3007">
        <w:rPr>
          <w:rStyle w:val="FootnoteReference"/>
        </w:rPr>
        <w:footnoteReference w:id="1"/>
      </w:r>
      <w:r w:rsidRPr="00E64F01">
        <w:t xml:space="preserve"> to </w:t>
      </w:r>
      <w:r w:rsidRPr="006C4DA3">
        <w:t xml:space="preserve">allow </w:t>
      </w:r>
      <w:r w:rsidR="00DA3007" w:rsidRPr="006C4DA3">
        <w:t xml:space="preserve">the </w:t>
      </w:r>
      <w:r w:rsidR="00294274">
        <w:t xml:space="preserve">broadcast or </w:t>
      </w:r>
      <w:r w:rsidR="00FD22D3" w:rsidRPr="006C4DA3">
        <w:t xml:space="preserve">transmission </w:t>
      </w:r>
      <w:r w:rsidR="009C2144">
        <w:t xml:space="preserve">of </w:t>
      </w:r>
      <w:r w:rsidR="0068426B">
        <w:t xml:space="preserve">a </w:t>
      </w:r>
      <w:r w:rsidR="00FD22D3">
        <w:t>simulated</w:t>
      </w:r>
      <w:r w:rsidR="0068426B">
        <w:t xml:space="preserve"> Wireless Emergency Alert (WEA) </w:t>
      </w:r>
      <w:r w:rsidR="00414DA9">
        <w:t>A</w:t>
      </w:r>
      <w:r w:rsidR="0068426B">
        <w:t xml:space="preserve">ttention </w:t>
      </w:r>
      <w:r w:rsidR="00414DA9">
        <w:t>S</w:t>
      </w:r>
      <w:r w:rsidR="0068426B">
        <w:t>ignal</w:t>
      </w:r>
      <w:r w:rsidR="0068426B">
        <w:rPr>
          <w:rStyle w:val="FootnoteReference"/>
        </w:rPr>
        <w:footnoteReference w:id="2"/>
      </w:r>
      <w:r w:rsidR="0068426B">
        <w:t xml:space="preserve"> in </w:t>
      </w:r>
      <w:r w:rsidR="00B414A0">
        <w:t>p</w:t>
      </w:r>
      <w:r w:rsidRPr="00E64F01">
        <w:t xml:space="preserve">ublic </w:t>
      </w:r>
      <w:r w:rsidR="00B414A0">
        <w:t>s</w:t>
      </w:r>
      <w:r w:rsidRPr="00E64F01">
        <w:t xml:space="preserve">ervice </w:t>
      </w:r>
      <w:r w:rsidR="0066234C">
        <w:t>a</w:t>
      </w:r>
      <w:r w:rsidRPr="00E64F01">
        <w:t xml:space="preserve">nnouncements (PSAs) developed by the Federal Emergency Management Agency (FEMA) as part of a campaign </w:t>
      </w:r>
      <w:r w:rsidR="00E33556">
        <w:t xml:space="preserve">designed to </w:t>
      </w:r>
      <w:r w:rsidR="00322950">
        <w:t>educate the public</w:t>
      </w:r>
      <w:r w:rsidR="00E33556">
        <w:t xml:space="preserve"> about </w:t>
      </w:r>
      <w:r w:rsidRPr="00E64F01">
        <w:t>the W</w:t>
      </w:r>
      <w:r w:rsidR="0068426B">
        <w:t>EA</w:t>
      </w:r>
      <w:r w:rsidRPr="00E64F01">
        <w:t xml:space="preserve"> system</w:t>
      </w:r>
      <w:r w:rsidR="00E33556">
        <w:t>.</w:t>
      </w:r>
      <w:r w:rsidR="001F1AC9">
        <w:rPr>
          <w:rStyle w:val="FootnoteReference"/>
        </w:rPr>
        <w:footnoteReference w:id="3"/>
      </w:r>
      <w:r w:rsidRPr="00E64F01">
        <w:t xml:space="preserve">  </w:t>
      </w:r>
      <w:r w:rsidR="005D721B">
        <w:t xml:space="preserve">This limited waiver is granted for a period of one year from the release date of this Order.  Moreover, this waiver is conditioned, as discussed below, on the </w:t>
      </w:r>
      <w:r w:rsidR="00D27651">
        <w:t xml:space="preserve">PSAs presenting the WEA </w:t>
      </w:r>
      <w:r w:rsidR="00414DA9">
        <w:t>Attention Signal</w:t>
      </w:r>
      <w:r w:rsidR="00D27651">
        <w:t xml:space="preserve"> in a non-misleading manner—that is, in a manner that does not mislead the listening or viewing public into erroneously concluding that an actual emergency message is being transmitted.</w:t>
      </w:r>
      <w:r w:rsidR="005D721B">
        <w:t xml:space="preserve">  </w:t>
      </w:r>
      <w:r w:rsidR="00251038">
        <w:t>This action is taken in response to a letter from FEMA requesting the Bureau’s “support in allaying the concerns of EAS participants about playing a PSA that includes the WEA audio attention signal….”</w:t>
      </w:r>
      <w:r w:rsidR="00251038">
        <w:rPr>
          <w:rStyle w:val="FootnoteReference"/>
        </w:rPr>
        <w:footnoteReference w:id="4"/>
      </w:r>
      <w:r w:rsidR="00251038">
        <w:t xml:space="preserve">  We interpret this request as seeking a waiver of applicable Federal Communications Commission (“Commission” or “FCC”) rules.  Accordingly, w</w:t>
      </w:r>
      <w:r w:rsidRPr="00E64F01">
        <w:t xml:space="preserve">e </w:t>
      </w:r>
      <w:r w:rsidR="00721D45">
        <w:t xml:space="preserve">grant this limited waiver </w:t>
      </w:r>
      <w:r w:rsidRPr="00E64F01">
        <w:t>pursuant to Section 1.3 of the Commission’s rules</w:t>
      </w:r>
      <w:r w:rsidR="00721D45">
        <w:t>,</w:t>
      </w:r>
      <w:r w:rsidR="00D7256A">
        <w:rPr>
          <w:rStyle w:val="FootnoteReference"/>
        </w:rPr>
        <w:footnoteReference w:id="5"/>
      </w:r>
      <w:r w:rsidR="00721D45">
        <w:t xml:space="preserve"> and the </w:t>
      </w:r>
      <w:r w:rsidR="00415FC8">
        <w:t xml:space="preserve">authority delegated to the </w:t>
      </w:r>
      <w:r w:rsidR="00415FC8">
        <w:rPr>
          <w:spacing w:val="-2"/>
        </w:rPr>
        <w:t xml:space="preserve">Bureau under Sections </w:t>
      </w:r>
      <w:r w:rsidR="00415FC8">
        <w:rPr>
          <w:szCs w:val="22"/>
        </w:rPr>
        <w:t>0.191 and 0.392 of the Commission’s rules.</w:t>
      </w:r>
      <w:r w:rsidR="00415FC8">
        <w:rPr>
          <w:rStyle w:val="FootnoteReference"/>
          <w:szCs w:val="22"/>
        </w:rPr>
        <w:footnoteReference w:id="6"/>
      </w:r>
    </w:p>
    <w:p w:rsidR="00742152" w:rsidRDefault="00742152">
      <w:pPr>
        <w:pStyle w:val="StyleHeading1LeftAfter6pt"/>
      </w:pPr>
      <w:r>
        <w:t>BACKGROUND</w:t>
      </w:r>
    </w:p>
    <w:p w:rsidR="00C700DB" w:rsidRPr="00B05A60" w:rsidRDefault="00891B9B" w:rsidP="00FC31F2">
      <w:pPr>
        <w:pStyle w:val="ParaNum"/>
        <w:numPr>
          <w:ilvl w:val="0"/>
          <w:numId w:val="4"/>
        </w:numPr>
        <w:tabs>
          <w:tab w:val="clear" w:pos="360"/>
        </w:tabs>
        <w:ind w:left="0" w:firstLine="720"/>
      </w:pPr>
      <w:r w:rsidRPr="00E64F01">
        <w:t>In 2008, the Federal Communications Commission (FCC), pursuant to the Warning, Alert and Response Network (WARN) Act,</w:t>
      </w:r>
      <w:r w:rsidRPr="00E64F01">
        <w:rPr>
          <w:rStyle w:val="FootnoteReference"/>
        </w:rPr>
        <w:footnoteReference w:id="7"/>
      </w:r>
      <w:r w:rsidRPr="00E64F01">
        <w:t xml:space="preserve"> adopted Part 10 of its rules</w:t>
      </w:r>
      <w:r w:rsidRPr="00E64F01">
        <w:rPr>
          <w:rStyle w:val="FootnoteReference"/>
        </w:rPr>
        <w:footnoteReference w:id="8"/>
      </w:r>
      <w:r w:rsidRPr="00E64F01">
        <w:t xml:space="preserve"> to establish WEA, a system that </w:t>
      </w:r>
      <w:r w:rsidRPr="00E64F01">
        <w:lastRenderedPageBreak/>
        <w:t>allows authorized Federal, tribal, state, local and territorial government agencies to send geographically targeted emergency alerts to commercial wireless subscribers who have WEA-capable mobile devices and whose commercial wireless service provider has elected to offer the service.</w:t>
      </w:r>
      <w:r w:rsidR="00DF4FBA">
        <w:rPr>
          <w:rStyle w:val="FootnoteReference"/>
        </w:rPr>
        <w:footnoteReference w:id="9"/>
      </w:r>
      <w:r w:rsidRPr="00E64F01">
        <w:t xml:space="preserve">  The system is a joint public-private partnership between the FCC, FEMA and the wireless industry.  Since the system was deployed in April 2012, authorized government agencies</w:t>
      </w:r>
      <w:r w:rsidR="004761B8">
        <w:t xml:space="preserve">, mainly the </w:t>
      </w:r>
      <w:r w:rsidR="004761B8" w:rsidRPr="00E64F01">
        <w:t>National Weather Service</w:t>
      </w:r>
      <w:r w:rsidR="004761B8">
        <w:t>,</w:t>
      </w:r>
      <w:r w:rsidRPr="00E64F01">
        <w:t xml:space="preserve"> have sent </w:t>
      </w:r>
      <w:r w:rsidR="00322950">
        <w:t>over</w:t>
      </w:r>
      <w:r w:rsidR="004761B8">
        <w:t xml:space="preserve"> 3,000 WEA </w:t>
      </w:r>
      <w:r w:rsidRPr="00E64F01">
        <w:t>alerts to consumers</w:t>
      </w:r>
      <w:r w:rsidR="001325C6">
        <w:t>.</w:t>
      </w:r>
      <w:r w:rsidR="004761B8">
        <w:rPr>
          <w:rStyle w:val="FootnoteReference"/>
        </w:rPr>
        <w:footnoteReference w:id="10"/>
      </w:r>
      <w:r w:rsidRPr="00E64F01">
        <w:t xml:space="preserve">  Local jurisdictions</w:t>
      </w:r>
      <w:r w:rsidR="00322950">
        <w:t xml:space="preserve"> </w:t>
      </w:r>
      <w:r w:rsidR="00E115D6">
        <w:t xml:space="preserve">also </w:t>
      </w:r>
      <w:r w:rsidR="00322950">
        <w:t xml:space="preserve">have </w:t>
      </w:r>
      <w:r w:rsidR="00E115D6">
        <w:t>ma</w:t>
      </w:r>
      <w:r w:rsidR="00322950">
        <w:t>d</w:t>
      </w:r>
      <w:r w:rsidR="00E115D6">
        <w:t xml:space="preserve">e use of the system.  </w:t>
      </w:r>
      <w:r w:rsidRPr="00E64F01">
        <w:t>Boston</w:t>
      </w:r>
      <w:r w:rsidR="00E115D6">
        <w:t>, for example,</w:t>
      </w:r>
      <w:r w:rsidRPr="00E64F01">
        <w:t xml:space="preserve"> issued WEA alerts instructing subscribers to evacuate and/or shelter in place during </w:t>
      </w:r>
      <w:r w:rsidR="00AE1957">
        <w:t xml:space="preserve">the </w:t>
      </w:r>
      <w:r w:rsidRPr="00E64F01">
        <w:t>Boston bombings</w:t>
      </w:r>
      <w:r w:rsidR="00FC31F2">
        <w:t>.</w:t>
      </w:r>
      <w:r w:rsidRPr="00E64F01">
        <w:rPr>
          <w:rStyle w:val="FootnoteReference"/>
        </w:rPr>
        <w:footnoteReference w:id="11"/>
      </w:r>
      <w:r w:rsidR="00B05A60">
        <w:t xml:space="preserve"> </w:t>
      </w:r>
      <w:r w:rsidR="00FC31F2">
        <w:t xml:space="preserve"> T</w:t>
      </w:r>
      <w:r w:rsidR="00B05A60">
        <w:t xml:space="preserve">he WEA </w:t>
      </w:r>
      <w:r w:rsidR="00FC31F2">
        <w:t xml:space="preserve">also </w:t>
      </w:r>
      <w:r w:rsidR="00B05A60">
        <w:t xml:space="preserve">was used to </w:t>
      </w:r>
      <w:r w:rsidR="00B05A60" w:rsidRPr="006C4DA3">
        <w:t>send flash flood warnings</w:t>
      </w:r>
      <w:r w:rsidR="00B05A60" w:rsidRPr="00B05A60">
        <w:t xml:space="preserve">, shelter-in-place </w:t>
      </w:r>
      <w:r w:rsidR="00B05A60">
        <w:t xml:space="preserve">and other alert messages to </w:t>
      </w:r>
      <w:r w:rsidR="00FE6965">
        <w:t>subscribers</w:t>
      </w:r>
      <w:r w:rsidR="00B05A60">
        <w:t xml:space="preserve"> in </w:t>
      </w:r>
      <w:r w:rsidR="00FC31F2">
        <w:t>Virginia, Maryland, New York, and other</w:t>
      </w:r>
      <w:r w:rsidR="00B05A60">
        <w:t xml:space="preserve"> states affected by Superstorm Sandy.</w:t>
      </w:r>
      <w:r w:rsidR="00FC31F2">
        <w:rPr>
          <w:rStyle w:val="FootnoteReference"/>
        </w:rPr>
        <w:footnoteReference w:id="12"/>
      </w:r>
      <w:r w:rsidRPr="00E64F01">
        <w:t xml:space="preserve"> </w:t>
      </w:r>
      <w:r w:rsidR="00C700DB">
        <w:t xml:space="preserve"> WEA also represents a promising platform for distributing</w:t>
      </w:r>
      <w:r w:rsidR="00C5693C">
        <w:t xml:space="preserve"> America’s Missing: Broadcasting Emergency Response</w:t>
      </w:r>
      <w:r w:rsidR="00C700DB">
        <w:t xml:space="preserve"> </w:t>
      </w:r>
      <w:r w:rsidR="00C5693C">
        <w:t>(</w:t>
      </w:r>
      <w:r w:rsidR="00C700DB">
        <w:t>AMBER</w:t>
      </w:r>
      <w:r w:rsidR="00C5693C">
        <w:t>)</w:t>
      </w:r>
      <w:r w:rsidR="00C700DB">
        <w:t xml:space="preserve"> Alerts.  An AMBER alert </w:t>
      </w:r>
      <w:r w:rsidR="00C700DB" w:rsidRPr="00C700DB">
        <w:t xml:space="preserve">sent to Minnesota cell phones via </w:t>
      </w:r>
      <w:r w:rsidR="00C700DB">
        <w:t xml:space="preserve">the WEA in February 2013, for example, </w:t>
      </w:r>
      <w:r w:rsidR="006D0BB2">
        <w:t>l</w:t>
      </w:r>
      <w:r w:rsidR="00C700DB" w:rsidRPr="00C700DB">
        <w:t>ed to the successful recovery of a</w:t>
      </w:r>
      <w:r w:rsidR="00C700DB">
        <w:t xml:space="preserve">n abducted </w:t>
      </w:r>
      <w:r w:rsidR="00C700DB" w:rsidRPr="00C700DB">
        <w:t>child.</w:t>
      </w:r>
      <w:r w:rsidR="00C700DB">
        <w:rPr>
          <w:rStyle w:val="FootnoteReference"/>
        </w:rPr>
        <w:footnoteReference w:id="13"/>
      </w:r>
      <w:r w:rsidR="00DF4FBA">
        <w:t xml:space="preserve">  </w:t>
      </w:r>
    </w:p>
    <w:p w:rsidR="00CD3652" w:rsidRDefault="00891B9B" w:rsidP="00CD64E5">
      <w:pPr>
        <w:pStyle w:val="ParaNum"/>
        <w:numPr>
          <w:ilvl w:val="0"/>
          <w:numId w:val="4"/>
        </w:numPr>
        <w:tabs>
          <w:tab w:val="clear" w:pos="360"/>
        </w:tabs>
        <w:ind w:left="0" w:firstLine="720"/>
      </w:pPr>
      <w:r w:rsidRPr="00E64F01">
        <w:t>As th</w:t>
      </w:r>
      <w:r w:rsidR="00E115D6">
        <w:t>e</w:t>
      </w:r>
      <w:r w:rsidRPr="00E64F01">
        <w:t xml:space="preserve"> number of alerts indicates, in the short time that WEA has been in operation, it has proven</w:t>
      </w:r>
      <w:r w:rsidR="0029392F">
        <w:t xml:space="preserve"> to be </w:t>
      </w:r>
      <w:r w:rsidRPr="00E64F01">
        <w:t xml:space="preserve">a valuable tool for government agencies to send out accurate and timely emergency alerts to </w:t>
      </w:r>
      <w:r w:rsidR="00E115D6">
        <w:t xml:space="preserve">the </w:t>
      </w:r>
      <w:r w:rsidRPr="00E64F01">
        <w:t>public</w:t>
      </w:r>
      <w:r w:rsidR="00E115D6">
        <w:t>, and</w:t>
      </w:r>
      <w:r w:rsidRPr="00E64F01">
        <w:t xml:space="preserve"> many government agencies and consumers express support for the system.  At the same time, however, </w:t>
      </w:r>
      <w:r w:rsidR="00635FEF">
        <w:t xml:space="preserve">FEMA has received feedback from </w:t>
      </w:r>
      <w:r w:rsidR="007A59F4">
        <w:t>p</w:t>
      </w:r>
      <w:r w:rsidR="00635FEF">
        <w:t xml:space="preserve">ublic safety officials, wireless carriers and the public that </w:t>
      </w:r>
      <w:r w:rsidR="00BA4920">
        <w:t>“</w:t>
      </w:r>
      <w:r w:rsidR="0000797D">
        <w:t>many people</w:t>
      </w:r>
      <w:r w:rsidR="00BA4920">
        <w:t xml:space="preserve"> are startled or annoyed when hearing the WEA attention signal for the first time”</w:t>
      </w:r>
      <w:r w:rsidR="00BA4920">
        <w:rPr>
          <w:rStyle w:val="FootnoteReference"/>
        </w:rPr>
        <w:footnoteReference w:id="14"/>
      </w:r>
      <w:r w:rsidR="00BA4920">
        <w:t xml:space="preserve"> and that “[m]any</w:t>
      </w:r>
      <w:r w:rsidR="0000797D">
        <w:t xml:space="preserve"> have </w:t>
      </w:r>
      <w:r w:rsidR="00081BB0">
        <w:t xml:space="preserve">inquired about opting-out of additional </w:t>
      </w:r>
      <w:r w:rsidR="00BA4920">
        <w:t>[</w:t>
      </w:r>
      <w:r w:rsidR="00081BB0">
        <w:t>WEA</w:t>
      </w:r>
      <w:r w:rsidR="00BA4920">
        <w:t>]</w:t>
      </w:r>
      <w:r w:rsidR="00081BB0">
        <w:t xml:space="preserve"> alerts</w:t>
      </w:r>
      <w:r w:rsidR="0000797D" w:rsidRPr="00E64F01">
        <w:t>.</w:t>
      </w:r>
      <w:r w:rsidR="00BA4920">
        <w:t>”</w:t>
      </w:r>
      <w:r w:rsidR="0000797D">
        <w:rPr>
          <w:rStyle w:val="FootnoteReference"/>
        </w:rPr>
        <w:footnoteReference w:id="15"/>
      </w:r>
      <w:r w:rsidR="0000797D" w:rsidRPr="00E64F01">
        <w:t xml:space="preserve">  </w:t>
      </w:r>
      <w:r w:rsidR="00322950">
        <w:t>FEMA,</w:t>
      </w:r>
      <w:r w:rsidRPr="00E64F01">
        <w:t xml:space="preserve"> </w:t>
      </w:r>
      <w:r w:rsidR="007A59F4">
        <w:t xml:space="preserve">in response, has initiated a </w:t>
      </w:r>
      <w:r w:rsidRPr="00E64F01">
        <w:t>public education campaign for WEA</w:t>
      </w:r>
      <w:r w:rsidR="00F56A36">
        <w:t xml:space="preserve"> that will </w:t>
      </w:r>
      <w:r w:rsidRPr="00E64F01">
        <w:t>includ</w:t>
      </w:r>
      <w:r w:rsidR="00F56A36">
        <w:t>e</w:t>
      </w:r>
      <w:r w:rsidRPr="00E64F01">
        <w:t xml:space="preserve"> </w:t>
      </w:r>
      <w:r w:rsidR="00F56A36">
        <w:t>PSA</w:t>
      </w:r>
      <w:r w:rsidR="00B414A0">
        <w:t>s</w:t>
      </w:r>
      <w:r w:rsidR="00F56A36">
        <w:t xml:space="preserve"> that will contain </w:t>
      </w:r>
      <w:r w:rsidRPr="00E64F01">
        <w:t>information on how WEA works</w:t>
      </w:r>
      <w:r w:rsidR="00F56A36">
        <w:t xml:space="preserve"> and </w:t>
      </w:r>
      <w:r w:rsidRPr="00E64F01">
        <w:t>how WEA-capable mobile device</w:t>
      </w:r>
      <w:r w:rsidR="00FE6965">
        <w:t>s</w:t>
      </w:r>
      <w:r w:rsidRPr="00E64F01">
        <w:t xml:space="preserve"> behave when they receive a WEA alert</w:t>
      </w:r>
      <w:r w:rsidR="00F56A36">
        <w:t>.</w:t>
      </w:r>
      <w:r w:rsidR="00602140">
        <w:rPr>
          <w:rStyle w:val="FootnoteReference"/>
        </w:rPr>
        <w:footnoteReference w:id="16"/>
      </w:r>
      <w:r w:rsidR="00F56A36">
        <w:t xml:space="preserve">  </w:t>
      </w:r>
      <w:r w:rsidR="00882F56">
        <w:t>As part of these PSAs, t</w:t>
      </w:r>
      <w:r w:rsidR="00B0766F">
        <w:t>o familiarize the public with the sounds that they may hear from their mobile devices that signify a WEA alert, t</w:t>
      </w:r>
      <w:r w:rsidR="00F56A36">
        <w:t xml:space="preserve">he PSAs </w:t>
      </w:r>
      <w:r w:rsidR="007A59F4">
        <w:t>will play the WEA tones</w:t>
      </w:r>
      <w:r w:rsidR="00B0766F">
        <w:t xml:space="preserve">.  This will acquaint </w:t>
      </w:r>
      <w:r w:rsidR="00F56A36">
        <w:t>the public with the sound and purpose</w:t>
      </w:r>
      <w:r w:rsidR="00B0766F">
        <w:t xml:space="preserve"> of the WEA tones</w:t>
      </w:r>
      <w:r w:rsidR="00F56A36">
        <w:t>.</w:t>
      </w:r>
      <w:r w:rsidR="00FF4B6A">
        <w:rPr>
          <w:rStyle w:val="FootnoteReference"/>
        </w:rPr>
        <w:footnoteReference w:id="17"/>
      </w:r>
      <w:r w:rsidR="00CD3652">
        <w:t xml:space="preserve">  </w:t>
      </w:r>
      <w:r w:rsidR="00081BB0">
        <w:t>FEMA states that “[i]ncluding the WEA attentions signal and vibration cadence in PSAs is essential to ensure the American people are familiar with WEAs as another alert and warning method.”</w:t>
      </w:r>
      <w:r w:rsidR="00081BB0">
        <w:rPr>
          <w:rStyle w:val="FootnoteReference"/>
        </w:rPr>
        <w:footnoteReference w:id="18"/>
      </w:r>
    </w:p>
    <w:p w:rsidR="00742152" w:rsidRDefault="00DF1660" w:rsidP="00E033BF">
      <w:pPr>
        <w:pStyle w:val="ParaNum"/>
        <w:numPr>
          <w:ilvl w:val="0"/>
          <w:numId w:val="4"/>
        </w:numPr>
        <w:tabs>
          <w:tab w:val="clear" w:pos="360"/>
        </w:tabs>
        <w:ind w:left="0" w:firstLine="720"/>
      </w:pPr>
      <w:r>
        <w:t xml:space="preserve">Specific technical parameters required for creating the </w:t>
      </w:r>
      <w:r w:rsidR="00A35DC2">
        <w:t>particular sound of the WEA tones</w:t>
      </w:r>
      <w:r>
        <w:t xml:space="preserve">, including requirements that WEA-capable mobile devices use a unique attention signal and vibration cadence to alert the subscriber of an incoming WEA message, are </w:t>
      </w:r>
      <w:r w:rsidR="00A35DC2">
        <w:t>codified u</w:t>
      </w:r>
      <w:r w:rsidR="00891B9B" w:rsidRPr="00E64F01">
        <w:t>nder Section</w:t>
      </w:r>
      <w:r w:rsidR="00DC7DC1">
        <w:t>s</w:t>
      </w:r>
      <w:r w:rsidR="00891B9B" w:rsidRPr="00E64F01">
        <w:t xml:space="preserve"> 10.5</w:t>
      </w:r>
      <w:r w:rsidR="00DC7DC1">
        <w:t>2</w:t>
      </w:r>
      <w:r w:rsidR="00891B9B" w:rsidRPr="00E64F01">
        <w:t xml:space="preserve">0 </w:t>
      </w:r>
      <w:r w:rsidR="00DC7DC1">
        <w:t xml:space="preserve">and 10.530 </w:t>
      </w:r>
      <w:r w:rsidR="00891B9B" w:rsidRPr="00E64F01">
        <w:t>of the Commission’s rules.</w:t>
      </w:r>
      <w:r w:rsidR="00891B9B" w:rsidRPr="00E64F01">
        <w:rPr>
          <w:rStyle w:val="FootnoteReference"/>
        </w:rPr>
        <w:footnoteReference w:id="19"/>
      </w:r>
      <w:r w:rsidR="00891B9B" w:rsidRPr="00E64F01">
        <w:t xml:space="preserve">  The WEA </w:t>
      </w:r>
      <w:r w:rsidR="00414DA9">
        <w:t>Attention Signal</w:t>
      </w:r>
      <w:r w:rsidR="00891B9B" w:rsidRPr="00E64F01">
        <w:t xml:space="preserve"> is a loud attention-grabbing </w:t>
      </w:r>
      <w:r w:rsidR="00DC7DC1">
        <w:t>two-</w:t>
      </w:r>
      <w:r w:rsidR="00891B9B" w:rsidRPr="00E64F01">
        <w:t xml:space="preserve">tone </w:t>
      </w:r>
      <w:r w:rsidR="00DC7DC1">
        <w:t xml:space="preserve">audio signal that </w:t>
      </w:r>
      <w:r w:rsidR="00257296">
        <w:t xml:space="preserve">uses the same frequencies as </w:t>
      </w:r>
      <w:r w:rsidR="00891B9B" w:rsidRPr="00E64F01">
        <w:t xml:space="preserve">the distinctive and familiar </w:t>
      </w:r>
      <w:r w:rsidR="00DC7DC1">
        <w:t>a</w:t>
      </w:r>
      <w:r w:rsidR="00891B9B" w:rsidRPr="00E64F01">
        <w:t>ttention</w:t>
      </w:r>
      <w:r w:rsidR="00DC7DC1">
        <w:t xml:space="preserve"> signal </w:t>
      </w:r>
      <w:r w:rsidR="00891B9B" w:rsidRPr="00E64F01">
        <w:t>use</w:t>
      </w:r>
      <w:r w:rsidR="00DC7DC1">
        <w:t>d</w:t>
      </w:r>
      <w:r w:rsidR="00891B9B" w:rsidRPr="00E64F01">
        <w:t xml:space="preserve"> by the Emergency Alert System (EAS).</w:t>
      </w:r>
      <w:r w:rsidR="00891B9B" w:rsidRPr="00E64F01">
        <w:rPr>
          <w:rStyle w:val="FootnoteReference"/>
        </w:rPr>
        <w:footnoteReference w:id="20"/>
      </w:r>
      <w:r w:rsidR="00891B9B" w:rsidRPr="00E64F01">
        <w:t xml:space="preserve">  The Commission adopted th</w:t>
      </w:r>
      <w:r w:rsidR="00897E06">
        <w:t xml:space="preserve">e WEA attention signal </w:t>
      </w:r>
      <w:r w:rsidR="00891B9B" w:rsidRPr="00E64F01">
        <w:t>requirement</w:t>
      </w:r>
      <w:r w:rsidR="00897E06">
        <w:t>s</w:t>
      </w:r>
      <w:r w:rsidR="00891B9B" w:rsidRPr="00E64F01">
        <w:t xml:space="preserve"> to ensur</w:t>
      </w:r>
      <w:r w:rsidR="00897E06">
        <w:t>e</w:t>
      </w:r>
      <w:r w:rsidR="00891B9B" w:rsidRPr="00E64F01">
        <w:t xml:space="preserve"> that subscribers, particularly those with hearing and vision disabilities, </w:t>
      </w:r>
      <w:r w:rsidR="00897E06">
        <w:t xml:space="preserve">would notice </w:t>
      </w:r>
      <w:r w:rsidR="00891B9B" w:rsidRPr="00E64F01">
        <w:t>when their</w:t>
      </w:r>
      <w:r w:rsidR="00CD64E5">
        <w:t xml:space="preserve"> </w:t>
      </w:r>
      <w:r w:rsidR="00891B9B" w:rsidRPr="00E64F01">
        <w:t>mobile device receive</w:t>
      </w:r>
      <w:r w:rsidR="00897E06">
        <w:t>s</w:t>
      </w:r>
      <w:r w:rsidR="00891B9B" w:rsidRPr="00E64F01">
        <w:t xml:space="preserve"> a WEA alert.</w:t>
      </w:r>
      <w:r w:rsidR="00891B9B" w:rsidRPr="00E64F01">
        <w:rPr>
          <w:rStyle w:val="FootnoteReference"/>
        </w:rPr>
        <w:footnoteReference w:id="21"/>
      </w:r>
      <w:r w:rsidR="00742152">
        <w:t xml:space="preserve"> </w:t>
      </w:r>
    </w:p>
    <w:p w:rsidR="00742152" w:rsidRDefault="00742152">
      <w:pPr>
        <w:pStyle w:val="StyleHeading1LeftAfter6pt"/>
      </w:pPr>
      <w:bookmarkStart w:id="1" w:name="SR;349"/>
      <w:bookmarkEnd w:id="1"/>
      <w:r>
        <w:t>discussion</w:t>
      </w:r>
    </w:p>
    <w:p w:rsidR="00742152" w:rsidRDefault="00891B9B" w:rsidP="00BD585B">
      <w:pPr>
        <w:pStyle w:val="ParaNum"/>
        <w:numPr>
          <w:ilvl w:val="0"/>
          <w:numId w:val="4"/>
        </w:numPr>
        <w:tabs>
          <w:tab w:val="clear" w:pos="360"/>
        </w:tabs>
        <w:ind w:left="0" w:firstLine="720"/>
      </w:pPr>
      <w:r w:rsidRPr="00E64F01">
        <w:t>Section 11.45 of the Commission’s EAS rules provides in pertinent part that “[n]o person may transmit or cause to transmit the EAS codes or Attention Signal, or a recording or simulation thereof, in any circumstance other than in an actual National, State or Local Area emergency or authorized test of the EAS.”</w:t>
      </w:r>
      <w:r w:rsidRPr="00E64F01">
        <w:rPr>
          <w:rStyle w:val="FootnoteReference"/>
        </w:rPr>
        <w:footnoteReference w:id="22"/>
      </w:r>
      <w:r w:rsidRPr="00E64F01">
        <w:t xml:space="preserve">  Part 10 of the Commission’s rules</w:t>
      </w:r>
      <w:r w:rsidR="00720B5A">
        <w:t>, which</w:t>
      </w:r>
      <w:r w:rsidRPr="00E64F01">
        <w:t xml:space="preserve"> governs </w:t>
      </w:r>
      <w:r w:rsidR="00FA7AAD">
        <w:t xml:space="preserve">the </w:t>
      </w:r>
      <w:r w:rsidRPr="00E64F01">
        <w:t xml:space="preserve">WEA, </w:t>
      </w:r>
      <w:r w:rsidR="00720B5A">
        <w:t xml:space="preserve">does not </w:t>
      </w:r>
      <w:r w:rsidR="00863B0B" w:rsidRPr="00267C94">
        <w:t>expressly</w:t>
      </w:r>
      <w:r w:rsidR="00863B0B">
        <w:t xml:space="preserve"> include</w:t>
      </w:r>
      <w:r w:rsidR="008F2FC1">
        <w:t xml:space="preserve"> a </w:t>
      </w:r>
      <w:r w:rsidR="00835C27">
        <w:t xml:space="preserve">comparably broad </w:t>
      </w:r>
      <w:r w:rsidR="00720B5A">
        <w:t>bar against the use of the WEA Attention Signal</w:t>
      </w:r>
      <w:r w:rsidR="008F2FC1">
        <w:t>.</w:t>
      </w:r>
      <w:r w:rsidR="008F2FC1">
        <w:rPr>
          <w:rStyle w:val="FootnoteReference"/>
        </w:rPr>
        <w:footnoteReference w:id="23"/>
      </w:r>
      <w:r w:rsidR="00720B5A">
        <w:t xml:space="preserve"> </w:t>
      </w:r>
      <w:r w:rsidR="005C4D40">
        <w:t xml:space="preserve"> </w:t>
      </w:r>
      <w:r w:rsidR="008F2FC1">
        <w:t xml:space="preserve">Nevertheless, </w:t>
      </w:r>
      <w:r w:rsidR="00C55FED">
        <w:t xml:space="preserve">given the </w:t>
      </w:r>
      <w:r w:rsidR="00A35DC2">
        <w:t xml:space="preserve">fact that </w:t>
      </w:r>
      <w:r w:rsidR="00C55FED">
        <w:t>the WEA and EAS Attention Signals</w:t>
      </w:r>
      <w:r w:rsidR="00A35DC2">
        <w:t xml:space="preserve"> use identical frequencies</w:t>
      </w:r>
      <w:r w:rsidR="00C55FED">
        <w:t xml:space="preserve">, it is possible that </w:t>
      </w:r>
      <w:r w:rsidR="00720B5A">
        <w:t xml:space="preserve">the </w:t>
      </w:r>
      <w:r w:rsidR="00720B5A" w:rsidRPr="00E64F01">
        <w:t>broadcast</w:t>
      </w:r>
      <w:r w:rsidR="00294274">
        <w:t xml:space="preserve"> or transmission</w:t>
      </w:r>
      <w:r w:rsidR="00720B5A" w:rsidRPr="00E64F01">
        <w:t xml:space="preserve"> of the WEA </w:t>
      </w:r>
      <w:r w:rsidR="00720B5A">
        <w:t>A</w:t>
      </w:r>
      <w:r w:rsidR="00720B5A" w:rsidRPr="00E64F01">
        <w:t xml:space="preserve">ttention </w:t>
      </w:r>
      <w:r w:rsidR="00720B5A">
        <w:t>S</w:t>
      </w:r>
      <w:r w:rsidR="00720B5A" w:rsidRPr="00E64F01">
        <w:t>ignal</w:t>
      </w:r>
      <w:r w:rsidR="00720B5A">
        <w:t xml:space="preserve"> in the FEMA PSAs </w:t>
      </w:r>
      <w:r w:rsidR="00BC5451">
        <w:t xml:space="preserve">may violate </w:t>
      </w:r>
      <w:r w:rsidR="00D565CE">
        <w:t>S</w:t>
      </w:r>
      <w:r w:rsidR="00A330F6">
        <w:t>ection</w:t>
      </w:r>
      <w:r w:rsidR="00720B5A">
        <w:t xml:space="preserve"> 11.45</w:t>
      </w:r>
      <w:r w:rsidR="008F2FC1">
        <w:t xml:space="preserve"> </w:t>
      </w:r>
      <w:r w:rsidR="00A330F6">
        <w:t>of the Commission’s rules</w:t>
      </w:r>
      <w:r w:rsidR="00BC5451">
        <w:t xml:space="preserve">, </w:t>
      </w:r>
      <w:r w:rsidR="008246BE">
        <w:t>particularly</w:t>
      </w:r>
      <w:r w:rsidR="00BC5451">
        <w:t xml:space="preserve"> insofar as the respective signals </w:t>
      </w:r>
      <w:r w:rsidR="00A35DC2">
        <w:t xml:space="preserve">may be </w:t>
      </w:r>
      <w:r w:rsidRPr="00E64F01">
        <w:t xml:space="preserve">indistinguishable </w:t>
      </w:r>
      <w:r w:rsidR="00A35DC2">
        <w:t>to the listener</w:t>
      </w:r>
      <w:r w:rsidR="00BC5451">
        <w:t xml:space="preserve">.  </w:t>
      </w:r>
      <w:r w:rsidRPr="00E64F01">
        <w:t xml:space="preserve">For example, a casual listener may mistake hearing a broadcast of the WEA </w:t>
      </w:r>
      <w:r w:rsidR="00414DA9">
        <w:t>Attention Signal</w:t>
      </w:r>
      <w:r w:rsidRPr="00E64F01">
        <w:t xml:space="preserve"> </w:t>
      </w:r>
      <w:r w:rsidR="00FA7AAD">
        <w:t xml:space="preserve">in the FEMA PSA </w:t>
      </w:r>
      <w:r w:rsidRPr="00E64F01">
        <w:t xml:space="preserve">as an </w:t>
      </w:r>
      <w:r w:rsidR="00FA7AAD">
        <w:t xml:space="preserve">actual </w:t>
      </w:r>
      <w:r w:rsidRPr="00E64F01">
        <w:t xml:space="preserve">EAS </w:t>
      </w:r>
      <w:r w:rsidR="00FA7AAD">
        <w:t>a</w:t>
      </w:r>
      <w:r w:rsidRPr="00E64F01">
        <w:t>lert</w:t>
      </w:r>
      <w:r w:rsidR="00B61C64">
        <w:t>, or a</w:t>
      </w:r>
      <w:r w:rsidRPr="00E64F01">
        <w:t>dvertiser</w:t>
      </w:r>
      <w:r w:rsidR="00FA7AAD">
        <w:t>s</w:t>
      </w:r>
      <w:r w:rsidRPr="00E64F01">
        <w:t xml:space="preserve"> </w:t>
      </w:r>
      <w:r w:rsidR="00FA7AAD">
        <w:t xml:space="preserve">might think that </w:t>
      </w:r>
      <w:r w:rsidR="00B61C64">
        <w:t xml:space="preserve">they could </w:t>
      </w:r>
      <w:r w:rsidRPr="00E64F01">
        <w:t xml:space="preserve">avoid the </w:t>
      </w:r>
      <w:r w:rsidR="00FA7AAD">
        <w:t>prohibition</w:t>
      </w:r>
      <w:r w:rsidRPr="00E64F01">
        <w:t xml:space="preserve"> </w:t>
      </w:r>
      <w:r w:rsidR="00FA7AAD">
        <w:t xml:space="preserve">against </w:t>
      </w:r>
      <w:r w:rsidRPr="00E64F01">
        <w:t xml:space="preserve">using the EAS </w:t>
      </w:r>
      <w:r w:rsidR="00414DA9">
        <w:t>Attention Signal</w:t>
      </w:r>
      <w:r w:rsidR="00FA7AAD">
        <w:t xml:space="preserve"> </w:t>
      </w:r>
      <w:r w:rsidRPr="00E64F01">
        <w:t xml:space="preserve">by </w:t>
      </w:r>
      <w:r w:rsidR="00FA7AAD">
        <w:t xml:space="preserve">claiming </w:t>
      </w:r>
      <w:r w:rsidRPr="00E64F01">
        <w:t xml:space="preserve">that they </w:t>
      </w:r>
      <w:r w:rsidR="00FA7AAD">
        <w:t>a</w:t>
      </w:r>
      <w:r w:rsidRPr="00E64F01">
        <w:t xml:space="preserve">re </w:t>
      </w:r>
      <w:r w:rsidR="00FA7AAD">
        <w:t xml:space="preserve">using </w:t>
      </w:r>
      <w:r w:rsidRPr="00E64F01">
        <w:t>the WEA</w:t>
      </w:r>
      <w:r w:rsidR="00FA7AAD">
        <w:t xml:space="preserve"> </w:t>
      </w:r>
      <w:r w:rsidR="00414DA9">
        <w:t>Attention Signal</w:t>
      </w:r>
      <w:r w:rsidR="00FA7AAD">
        <w:t xml:space="preserve"> instead</w:t>
      </w:r>
      <w:r w:rsidRPr="00E64F01">
        <w:t xml:space="preserve">.  </w:t>
      </w:r>
      <w:r w:rsidR="0021531B">
        <w:t>One could argue that t</w:t>
      </w:r>
      <w:r w:rsidRPr="00E64F01">
        <w:t xml:space="preserve">he potential for public confusion and dissipation of the attention grabbing value of the alert is thus the same, whether it is the WEA or the EAS </w:t>
      </w:r>
      <w:r w:rsidR="00414DA9">
        <w:t>Attention Signal</w:t>
      </w:r>
      <w:r w:rsidRPr="00E64F01">
        <w:t xml:space="preserve"> being broadcast</w:t>
      </w:r>
      <w:r w:rsidR="001325C6">
        <w:t xml:space="preserve"> or transmitted</w:t>
      </w:r>
      <w:r w:rsidRPr="00E64F01">
        <w:t>.</w:t>
      </w:r>
      <w:r w:rsidR="00742152">
        <w:t xml:space="preserve">  </w:t>
      </w:r>
      <w:r w:rsidR="0021531B">
        <w:t xml:space="preserve">Thus, to the extent the broadcast of the WEA Attention Signal </w:t>
      </w:r>
      <w:r w:rsidR="005C6AB4">
        <w:t>during the PSA</w:t>
      </w:r>
      <w:r w:rsidR="00B414A0">
        <w:t>s</w:t>
      </w:r>
      <w:r w:rsidR="003C128A">
        <w:t xml:space="preserve"> </w:t>
      </w:r>
      <w:r w:rsidR="0021531B">
        <w:t xml:space="preserve">could be construed as being subject to </w:t>
      </w:r>
      <w:r w:rsidR="003C128A">
        <w:t xml:space="preserve">the </w:t>
      </w:r>
      <w:r w:rsidR="00D565CE">
        <w:t>S</w:t>
      </w:r>
      <w:r w:rsidR="0021531B">
        <w:t xml:space="preserve">ection 11.45 </w:t>
      </w:r>
      <w:r w:rsidR="005A18F6">
        <w:t xml:space="preserve">general </w:t>
      </w:r>
      <w:r w:rsidR="0021531B">
        <w:t>prohibit</w:t>
      </w:r>
      <w:r w:rsidR="003C128A">
        <w:t>ion on</w:t>
      </w:r>
      <w:r w:rsidR="0021531B">
        <w:t xml:space="preserve"> the </w:t>
      </w:r>
      <w:r w:rsidR="005A18F6">
        <w:t xml:space="preserve">transmission of </w:t>
      </w:r>
      <w:r w:rsidR="00414DA9">
        <w:t xml:space="preserve">the </w:t>
      </w:r>
      <w:r w:rsidR="00BD585B">
        <w:t>EAS Attention Signal</w:t>
      </w:r>
      <w:r w:rsidR="005A18F6">
        <w:t xml:space="preserve"> other than during specified emergencies or lawfully authorized tests, </w:t>
      </w:r>
      <w:r w:rsidR="003C128A">
        <w:t xml:space="preserve">or to the extent </w:t>
      </w:r>
      <w:r w:rsidR="00D565CE">
        <w:t>S</w:t>
      </w:r>
      <w:r w:rsidR="003C128A">
        <w:t xml:space="preserve">ection 10.520 can be read as including a similar prohibition regarding WEA Attention Signals, </w:t>
      </w:r>
      <w:r w:rsidR="005A18F6">
        <w:t xml:space="preserve">we hereby waive those rules, subject to the conditions and limitations discussed herein. </w:t>
      </w:r>
      <w:r w:rsidR="0021531B">
        <w:t xml:space="preserve"> </w:t>
      </w:r>
      <w:r w:rsidR="00B61C64">
        <w:t xml:space="preserve"> </w:t>
      </w:r>
    </w:p>
    <w:p w:rsidR="00E64921" w:rsidRDefault="00E64921" w:rsidP="00891B9B">
      <w:pPr>
        <w:pStyle w:val="ParaNum"/>
        <w:numPr>
          <w:ilvl w:val="0"/>
          <w:numId w:val="4"/>
        </w:numPr>
        <w:tabs>
          <w:tab w:val="clear" w:pos="360"/>
        </w:tabs>
        <w:ind w:left="0" w:firstLine="720"/>
      </w:pPr>
      <w:bookmarkStart w:id="2" w:name="_Ref235348554"/>
      <w:r>
        <w:t>Section 1.3 of the Commission’s rules provides that “[a]</w:t>
      </w:r>
      <w:r w:rsidRPr="00E64921">
        <w:t>ny provision of the rules may be waived by the Commission on its own motion or on petition if good cause therefor is shown</w:t>
      </w:r>
      <w:r>
        <w:t>.”</w:t>
      </w:r>
      <w:r>
        <w:rPr>
          <w:rStyle w:val="FootnoteReference"/>
        </w:rPr>
        <w:footnoteReference w:id="24"/>
      </w:r>
      <w:r w:rsidR="007F7FCB">
        <w:t xml:space="preserve">  </w:t>
      </w:r>
      <w:r w:rsidR="007F7FCB" w:rsidRPr="007F7FCB">
        <w:t xml:space="preserve">The Commission </w:t>
      </w:r>
      <w:r w:rsidR="007F7FCB">
        <w:t xml:space="preserve">may </w:t>
      </w:r>
      <w:r w:rsidR="007F7FCB" w:rsidRPr="007F7FCB">
        <w:t>find good cause to waive a rule “if special circumstances warrant a deviation from the general rule and such deviation will serve the public interest.”</w:t>
      </w:r>
      <w:r w:rsidR="007F7FCB" w:rsidRPr="00E64F01">
        <w:rPr>
          <w:rStyle w:val="FootnoteReference"/>
          <w:snapToGrid w:val="0"/>
          <w:color w:val="000000"/>
        </w:rPr>
        <w:footnoteReference w:id="25"/>
      </w:r>
      <w:r w:rsidR="007F7FCB">
        <w:t xml:space="preserve">  We find that good cause exists to </w:t>
      </w:r>
      <w:r w:rsidR="005C6AB4">
        <w:t xml:space="preserve">grant </w:t>
      </w:r>
      <w:r w:rsidR="00332C9B">
        <w:t xml:space="preserve">a limited </w:t>
      </w:r>
      <w:r w:rsidR="007F7FCB">
        <w:t>waive</w:t>
      </w:r>
      <w:r w:rsidR="005C6AB4">
        <w:t>r</w:t>
      </w:r>
      <w:r w:rsidR="007F7FCB">
        <w:t xml:space="preserve"> of Section</w:t>
      </w:r>
      <w:r w:rsidR="001F5208">
        <w:t>s</w:t>
      </w:r>
      <w:r w:rsidR="007F7FCB">
        <w:t xml:space="preserve"> 11.45</w:t>
      </w:r>
      <w:r w:rsidR="001F5208">
        <w:t xml:space="preserve"> and 10.520</w:t>
      </w:r>
      <w:r w:rsidR="007F7FCB">
        <w:t xml:space="preserve"> of the Commission’s rules</w:t>
      </w:r>
      <w:r w:rsidR="0080328F">
        <w:t xml:space="preserve">, to the extent </w:t>
      </w:r>
      <w:r w:rsidR="001F5208">
        <w:t xml:space="preserve">they </w:t>
      </w:r>
      <w:r w:rsidR="00BC5451">
        <w:t xml:space="preserve">may </w:t>
      </w:r>
      <w:r w:rsidR="001F5208">
        <w:t>apply</w:t>
      </w:r>
      <w:r w:rsidR="007F7FCB">
        <w:t xml:space="preserve"> to the broadcast </w:t>
      </w:r>
      <w:r w:rsidR="00294274">
        <w:t xml:space="preserve">or transmission </w:t>
      </w:r>
      <w:r w:rsidR="007F7FCB">
        <w:t xml:space="preserve">of </w:t>
      </w:r>
      <w:r w:rsidR="005C4D40">
        <w:t xml:space="preserve">the WEA </w:t>
      </w:r>
      <w:r w:rsidR="00414DA9">
        <w:t>Attention Signal</w:t>
      </w:r>
      <w:r w:rsidR="005C4D40">
        <w:t xml:space="preserve"> in </w:t>
      </w:r>
      <w:r w:rsidR="007F7FCB">
        <w:t xml:space="preserve">PSAs </w:t>
      </w:r>
      <w:r w:rsidR="005C4D40">
        <w:t>about</w:t>
      </w:r>
      <w:r w:rsidR="007F7FCB">
        <w:t xml:space="preserve"> the WEA produced by FEMA</w:t>
      </w:r>
      <w:r w:rsidR="005C4D40">
        <w:t xml:space="preserve"> as part of its WEA education campaign</w:t>
      </w:r>
      <w:r w:rsidR="00332C9B">
        <w:t>, and as otherwise conditioned herein</w:t>
      </w:r>
      <w:r w:rsidR="007F7FCB">
        <w:t>.</w:t>
      </w:r>
      <w:r w:rsidR="008829E3" w:rsidRPr="00267C94">
        <w:rPr>
          <w:rStyle w:val="FootnoteReference"/>
        </w:rPr>
        <w:footnoteReference w:id="26"/>
      </w:r>
      <w:r w:rsidR="007F7FCB">
        <w:t xml:space="preserve">   </w:t>
      </w:r>
    </w:p>
    <w:p w:rsidR="00B062C4" w:rsidRDefault="007F7FCB" w:rsidP="00B062C4">
      <w:pPr>
        <w:pStyle w:val="ParaNum"/>
        <w:numPr>
          <w:ilvl w:val="0"/>
          <w:numId w:val="4"/>
        </w:numPr>
        <w:tabs>
          <w:tab w:val="clear" w:pos="360"/>
        </w:tabs>
        <w:ind w:left="0" w:firstLine="720"/>
      </w:pPr>
      <w:r>
        <w:t xml:space="preserve">Specifically, we </w:t>
      </w:r>
      <w:r w:rsidR="00A35DC2">
        <w:t>a</w:t>
      </w:r>
      <w:r w:rsidR="00B0766F">
        <w:t>cknowledge</w:t>
      </w:r>
      <w:r w:rsidR="00A35DC2">
        <w:t xml:space="preserve"> FEMA’s </w:t>
      </w:r>
      <w:r w:rsidR="00B0766F">
        <w:t>con</w:t>
      </w:r>
      <w:r w:rsidR="00BA4920">
        <w:t>c</w:t>
      </w:r>
      <w:r w:rsidR="00B0766F">
        <w:t>ern</w:t>
      </w:r>
      <w:r>
        <w:t xml:space="preserve"> that </w:t>
      </w:r>
      <w:r w:rsidRPr="00B062C4">
        <w:rPr>
          <w:snapToGrid w:val="0"/>
          <w:color w:val="000000"/>
        </w:rPr>
        <w:t xml:space="preserve">the unanticipated negative public reaction </w:t>
      </w:r>
      <w:r w:rsidR="005C4D40" w:rsidRPr="00BA4920">
        <w:rPr>
          <w:snapToGrid w:val="0"/>
          <w:color w:val="000000"/>
        </w:rPr>
        <w:t xml:space="preserve">to </w:t>
      </w:r>
      <w:r w:rsidRPr="00BA4920">
        <w:rPr>
          <w:snapToGrid w:val="0"/>
          <w:color w:val="000000"/>
        </w:rPr>
        <w:t xml:space="preserve">the WEA </w:t>
      </w:r>
      <w:r w:rsidR="00414DA9" w:rsidRPr="00BA4920">
        <w:rPr>
          <w:snapToGrid w:val="0"/>
          <w:color w:val="000000"/>
        </w:rPr>
        <w:t>Attention Signal</w:t>
      </w:r>
      <w:r w:rsidRPr="00BA4920">
        <w:rPr>
          <w:snapToGrid w:val="0"/>
          <w:color w:val="000000"/>
        </w:rPr>
        <w:t xml:space="preserve"> is largely the result of public confusion surrounding how the WEA functions.  </w:t>
      </w:r>
      <w:r w:rsidR="00A35DC2" w:rsidRPr="00BA4920">
        <w:rPr>
          <w:snapToGrid w:val="0"/>
          <w:color w:val="000000"/>
        </w:rPr>
        <w:t xml:space="preserve">We agree with FEMA that </w:t>
      </w:r>
      <w:r w:rsidR="00B0766F" w:rsidRPr="00BA4920">
        <w:rPr>
          <w:snapToGrid w:val="0"/>
          <w:color w:val="000000"/>
        </w:rPr>
        <w:t xml:space="preserve">this public confusion could </w:t>
      </w:r>
      <w:r w:rsidR="00081BB0" w:rsidRPr="00BA4920">
        <w:rPr>
          <w:snapToGrid w:val="0"/>
          <w:color w:val="000000"/>
        </w:rPr>
        <w:t xml:space="preserve">potentially </w:t>
      </w:r>
      <w:r w:rsidR="00B0766F" w:rsidRPr="00BA4920">
        <w:rPr>
          <w:snapToGrid w:val="0"/>
          <w:color w:val="000000"/>
        </w:rPr>
        <w:t xml:space="preserve">lead </w:t>
      </w:r>
      <w:r w:rsidR="00A35DC2">
        <w:t xml:space="preserve">some </w:t>
      </w:r>
      <w:r w:rsidR="00041D19" w:rsidRPr="00E64F01">
        <w:t>consumers to opt</w:t>
      </w:r>
      <w:r w:rsidR="00190A14">
        <w:t xml:space="preserve"> </w:t>
      </w:r>
      <w:r w:rsidR="00041D19" w:rsidRPr="00E64F01">
        <w:t xml:space="preserve">out of receiving most WEA </w:t>
      </w:r>
      <w:r w:rsidR="00294274">
        <w:t>messages</w:t>
      </w:r>
      <w:r w:rsidR="00B0766F">
        <w:t xml:space="preserve"> and that such a result </w:t>
      </w:r>
      <w:r w:rsidR="002E38A9">
        <w:t>would undermine</w:t>
      </w:r>
      <w:r w:rsidR="00041D19" w:rsidRPr="00E64F01">
        <w:t xml:space="preserve"> the goal of WEA to serve as a viable and effective means to alert the public of emergencies.  </w:t>
      </w:r>
      <w:r w:rsidR="00891B9B" w:rsidRPr="00E64F01">
        <w:t>FEMA’s public education campaign</w:t>
      </w:r>
      <w:r w:rsidR="00041D19">
        <w:t xml:space="preserve"> is designed to enhance the public’s understanding of how the WEA functions and increase the public’s </w:t>
      </w:r>
      <w:r w:rsidR="00B062C4">
        <w:t>benefits from</w:t>
      </w:r>
      <w:r w:rsidR="00041D19">
        <w:t xml:space="preserve"> the WEA and thereby enhance public safety generally.  </w:t>
      </w:r>
      <w:r w:rsidR="00294274">
        <w:t>The b</w:t>
      </w:r>
      <w:r w:rsidR="005C4D40">
        <w:t xml:space="preserve">roadcast </w:t>
      </w:r>
      <w:r w:rsidR="00294274">
        <w:t xml:space="preserve">or transmission </w:t>
      </w:r>
      <w:r w:rsidR="005C4D40">
        <w:t xml:space="preserve">of </w:t>
      </w:r>
      <w:r w:rsidR="002C1289">
        <w:t>a simulated</w:t>
      </w:r>
      <w:r w:rsidR="005C4D40">
        <w:t xml:space="preserve"> WEA </w:t>
      </w:r>
      <w:r w:rsidR="00414DA9">
        <w:t>Attention Signal</w:t>
      </w:r>
      <w:r w:rsidR="002C1289">
        <w:t xml:space="preserve"> </w:t>
      </w:r>
      <w:r w:rsidR="00882F56">
        <w:t xml:space="preserve">as used </w:t>
      </w:r>
      <w:r w:rsidR="002C1289">
        <w:t>in the</w:t>
      </w:r>
      <w:r w:rsidR="00B062C4">
        <w:t xml:space="preserve"> FEMA-sponsored</w:t>
      </w:r>
      <w:r w:rsidR="002C1289">
        <w:t xml:space="preserve"> PSAs is an integral part of that campaign.  </w:t>
      </w:r>
    </w:p>
    <w:p w:rsidR="00891B9B" w:rsidRDefault="00041D19" w:rsidP="00B062C4">
      <w:pPr>
        <w:pStyle w:val="ParaNum"/>
        <w:numPr>
          <w:ilvl w:val="0"/>
          <w:numId w:val="4"/>
        </w:numPr>
        <w:tabs>
          <w:tab w:val="clear" w:pos="360"/>
        </w:tabs>
        <w:ind w:left="0" w:firstLine="720"/>
      </w:pPr>
      <w:r>
        <w:t xml:space="preserve">We find that </w:t>
      </w:r>
      <w:r w:rsidR="00882F56">
        <w:t xml:space="preserve">improving the public’s understanding of WEA and its Attention Signal, particularly in light of the public’s concerns as reported by FEMA, </w:t>
      </w:r>
      <w:r>
        <w:t xml:space="preserve">constitute special circumstances that </w:t>
      </w:r>
      <w:r w:rsidRPr="00A337AA">
        <w:t xml:space="preserve">warrant </w:t>
      </w:r>
      <w:r w:rsidR="005F3040" w:rsidRPr="00A337AA">
        <w:t>this</w:t>
      </w:r>
      <w:r w:rsidRPr="00A337AA">
        <w:t xml:space="preserve"> waiver</w:t>
      </w:r>
      <w:r>
        <w:t xml:space="preserve">.  We further find that such waiver will serve the public interest by </w:t>
      </w:r>
      <w:r w:rsidR="00792D83">
        <w:t>enhancing the effectiveness of alerting the public to emergencies that threaten public health, safety and property, as well as child abduction emergencies</w:t>
      </w:r>
      <w:r w:rsidR="007F2511">
        <w:t>.</w:t>
      </w:r>
      <w:r w:rsidR="00FB0814">
        <w:rPr>
          <w:rStyle w:val="FootnoteReference"/>
        </w:rPr>
        <w:footnoteReference w:id="27"/>
      </w:r>
      <w:r w:rsidR="00FB0814">
        <w:t xml:space="preserve">  However, we find that granting this waiver would not be in the public interest if the PSAs </w:t>
      </w:r>
      <w:r w:rsidR="005B1657">
        <w:t>were presented in a manner that could predictably lead</w:t>
      </w:r>
      <w:r w:rsidR="00190A14">
        <w:t xml:space="preserve"> </w:t>
      </w:r>
      <w:r w:rsidR="00FB0814">
        <w:t xml:space="preserve">the public into concluding that an actual alert </w:t>
      </w:r>
      <w:r w:rsidR="00190A14">
        <w:t>is</w:t>
      </w:r>
      <w:r w:rsidR="00FB0814">
        <w:t xml:space="preserve"> being transmitted.</w:t>
      </w:r>
      <w:r w:rsidR="005B1657">
        <w:rPr>
          <w:rStyle w:val="FootnoteReference"/>
        </w:rPr>
        <w:footnoteReference w:id="28"/>
      </w:r>
      <w:r w:rsidR="00FB0814">
        <w:t xml:space="preserve">  </w:t>
      </w:r>
      <w:r w:rsidR="00915156">
        <w:t xml:space="preserve">We thus condition and limit this waiver on the </w:t>
      </w:r>
      <w:r w:rsidR="00C0252D">
        <w:t>FEM</w:t>
      </w:r>
      <w:r w:rsidR="00D25FBE">
        <w:t xml:space="preserve">A </w:t>
      </w:r>
      <w:r w:rsidR="00915156">
        <w:t xml:space="preserve">PSAs making it clear that the WEA Attention Signals are being used in the context of the PSA and for the purpose of educating the viewing or listening public about the </w:t>
      </w:r>
      <w:r w:rsidR="00D067E3">
        <w:t>functions of their WEA-capable mobile devices and the WEA program.</w:t>
      </w:r>
      <w:r w:rsidR="00AD7ECE">
        <w:t xml:space="preserve">  </w:t>
      </w:r>
    </w:p>
    <w:p w:rsidR="00891B9B" w:rsidRPr="00891B9B" w:rsidRDefault="00891B9B" w:rsidP="00891B9B">
      <w:pPr>
        <w:pStyle w:val="ParaNum"/>
        <w:numPr>
          <w:ilvl w:val="0"/>
          <w:numId w:val="4"/>
        </w:numPr>
        <w:tabs>
          <w:tab w:val="clear" w:pos="360"/>
        </w:tabs>
        <w:ind w:left="0" w:firstLine="720"/>
      </w:pPr>
      <w:r w:rsidRPr="00E64F01">
        <w:t xml:space="preserve">Accordingly, </w:t>
      </w:r>
      <w:r w:rsidR="004A1ED9">
        <w:t xml:space="preserve">to the extent necessary, </w:t>
      </w:r>
      <w:r w:rsidR="002C7D1B">
        <w:t>we grant a limited waiver</w:t>
      </w:r>
      <w:r w:rsidRPr="00E64F01">
        <w:t xml:space="preserve"> </w:t>
      </w:r>
      <w:r w:rsidR="00792D83">
        <w:t>of Section</w:t>
      </w:r>
      <w:r w:rsidR="004A1ED9">
        <w:t>s</w:t>
      </w:r>
      <w:r w:rsidR="00792D83">
        <w:t xml:space="preserve"> 11.45 </w:t>
      </w:r>
      <w:r w:rsidR="004A1ED9">
        <w:t xml:space="preserve">and 10.520 </w:t>
      </w:r>
      <w:r w:rsidR="00792D83">
        <w:t>of the Commission’s rules</w:t>
      </w:r>
      <w:r w:rsidR="002C7D1B">
        <w:t>, for a period of one year from the release date of this Order,</w:t>
      </w:r>
      <w:r w:rsidR="00792D83">
        <w:t xml:space="preserve"> </w:t>
      </w:r>
      <w:r w:rsidRPr="00E64F01">
        <w:t xml:space="preserve">to allow </w:t>
      </w:r>
      <w:r w:rsidR="00792D83">
        <w:t>the</w:t>
      </w:r>
      <w:r w:rsidR="00294274">
        <w:t xml:space="preserve"> broadcast or</w:t>
      </w:r>
      <w:r w:rsidR="00792D83">
        <w:t xml:space="preserve"> </w:t>
      </w:r>
      <w:r w:rsidR="006C4DA3">
        <w:t>transmission</w:t>
      </w:r>
      <w:r w:rsidRPr="00E64F01">
        <w:t xml:space="preserve"> </w:t>
      </w:r>
      <w:r w:rsidR="00792D83">
        <w:t xml:space="preserve">of </w:t>
      </w:r>
      <w:r w:rsidR="002C1289">
        <w:t xml:space="preserve">the WEA </w:t>
      </w:r>
      <w:r w:rsidR="00414DA9">
        <w:t>Attention Signal</w:t>
      </w:r>
      <w:r w:rsidR="002C1289">
        <w:t xml:space="preserve"> in </w:t>
      </w:r>
      <w:r w:rsidRPr="00E64F01">
        <w:t>PSAs produced as part of FEMA’s WEA public education campaign</w:t>
      </w:r>
      <w:r w:rsidR="002C1289">
        <w:t>.</w:t>
      </w:r>
      <w:r w:rsidRPr="00E64F01">
        <w:t xml:space="preserve">  In doing so, we recommend that FEMA take steps to ensure that such PSAs clearly state that they are part of FEMA’s public education campaign.</w:t>
      </w:r>
    </w:p>
    <w:bookmarkEnd w:id="2"/>
    <w:p w:rsidR="00742152" w:rsidRDefault="00742152">
      <w:pPr>
        <w:pStyle w:val="StyleHeading1LeftAfter6pt"/>
      </w:pPr>
      <w:r>
        <w:t>Ordering clauseS</w:t>
      </w:r>
    </w:p>
    <w:p w:rsidR="003234E5" w:rsidRDefault="00742152" w:rsidP="003234E5">
      <w:pPr>
        <w:pStyle w:val="ParaNum"/>
        <w:numPr>
          <w:ilvl w:val="0"/>
          <w:numId w:val="4"/>
        </w:numPr>
        <w:tabs>
          <w:tab w:val="clear" w:pos="360"/>
        </w:tabs>
        <w:ind w:left="0" w:firstLine="720"/>
      </w:pPr>
      <w:r>
        <w:t xml:space="preserve">Accordingly, </w:t>
      </w:r>
      <w:r w:rsidRPr="00FD22D3">
        <w:rPr>
          <w:b/>
        </w:rPr>
        <w:t>IT IS ORDERED</w:t>
      </w:r>
      <w:r>
        <w:t xml:space="preserve"> </w:t>
      </w:r>
      <w:r w:rsidR="00AE1957">
        <w:t xml:space="preserve">that, </w:t>
      </w:r>
      <w:r>
        <w:t>pursuant to Section 4(i) of the Communications Act of 1934, as amended, 47 U.S.C. § 154(i), and Section 1.</w:t>
      </w:r>
      <w:r w:rsidR="00891B9B">
        <w:t>3</w:t>
      </w:r>
      <w:r>
        <w:t xml:space="preserve"> of the Commission’s rules, 47 C.F.R. § 1.</w:t>
      </w:r>
      <w:r w:rsidR="00891B9B">
        <w:t>3</w:t>
      </w:r>
      <w:r>
        <w:t xml:space="preserve">, </w:t>
      </w:r>
      <w:r w:rsidR="00792D83">
        <w:t>application of Section</w:t>
      </w:r>
      <w:r w:rsidR="004A1ED9">
        <w:t>s</w:t>
      </w:r>
      <w:r w:rsidR="00792D83">
        <w:t xml:space="preserve"> 11.45 </w:t>
      </w:r>
      <w:r w:rsidR="004A1ED9">
        <w:t xml:space="preserve">and 10.520 </w:t>
      </w:r>
      <w:r w:rsidR="00792D83">
        <w:t xml:space="preserve">of the Commission’s rules, 47 C.F.R. </w:t>
      </w:r>
      <w:r w:rsidR="004A1ED9">
        <w:t>§</w:t>
      </w:r>
      <w:r w:rsidR="00792D83">
        <w:t>§ 11.45,</w:t>
      </w:r>
      <w:r w:rsidR="004A1ED9">
        <w:t xml:space="preserve"> 10.520,</w:t>
      </w:r>
      <w:r w:rsidR="00792D83">
        <w:t xml:space="preserve"> with respect to the </w:t>
      </w:r>
      <w:r w:rsidR="00792D83" w:rsidRPr="00E64F01">
        <w:t xml:space="preserve">broadcast </w:t>
      </w:r>
      <w:r w:rsidR="00792D83">
        <w:t xml:space="preserve">of the WEA </w:t>
      </w:r>
      <w:r w:rsidR="00414DA9">
        <w:t>Attention Signal</w:t>
      </w:r>
      <w:r w:rsidR="00792D83">
        <w:t xml:space="preserve"> contained within </w:t>
      </w:r>
      <w:r w:rsidR="00792D83" w:rsidRPr="00E64F01">
        <w:t>PSAs produced as part of FEMA’s WEA public education campaign</w:t>
      </w:r>
      <w:r w:rsidR="00792D83">
        <w:t xml:space="preserve"> </w:t>
      </w:r>
      <w:r w:rsidR="00792D83" w:rsidRPr="00FD22D3">
        <w:rPr>
          <w:b/>
        </w:rPr>
        <w:t>IS WAIVED</w:t>
      </w:r>
      <w:r w:rsidR="00792D83">
        <w:t xml:space="preserve"> to </w:t>
      </w:r>
      <w:r>
        <w:t>the extent</w:t>
      </w:r>
      <w:r w:rsidR="001F4A9B">
        <w:t xml:space="preserve"> and for the duration</w:t>
      </w:r>
      <w:r>
        <w:t xml:space="preserve"> indicated herein.</w:t>
      </w:r>
    </w:p>
    <w:p w:rsidR="003234E5" w:rsidRDefault="003234E5" w:rsidP="003234E5">
      <w:pPr>
        <w:pStyle w:val="ParaNum"/>
        <w:ind w:left="720" w:firstLine="0"/>
      </w:pPr>
    </w:p>
    <w:p w:rsidR="003234E5" w:rsidRDefault="003234E5" w:rsidP="003234E5">
      <w:pPr>
        <w:pStyle w:val="ParaNum"/>
        <w:ind w:left="720" w:firstLine="0"/>
      </w:pPr>
    </w:p>
    <w:p w:rsidR="003234E5" w:rsidRDefault="003234E5" w:rsidP="003234E5">
      <w:pPr>
        <w:pStyle w:val="ParaNum"/>
        <w:ind w:left="720" w:firstLine="0"/>
      </w:pPr>
    </w:p>
    <w:p w:rsidR="00742152" w:rsidRDefault="00742152">
      <w:pPr>
        <w:pStyle w:val="ParaNum"/>
        <w:numPr>
          <w:ilvl w:val="0"/>
          <w:numId w:val="4"/>
        </w:numPr>
        <w:tabs>
          <w:tab w:val="clear" w:pos="360"/>
        </w:tabs>
        <w:ind w:left="0" w:firstLine="720"/>
        <w:rPr>
          <w:szCs w:val="22"/>
        </w:rPr>
      </w:pPr>
      <w:r>
        <w:rPr>
          <w:szCs w:val="22"/>
        </w:rPr>
        <w:t>This action is taken under delegated authority pursuant to Sections 0.191 and 0.392 of the Commission’s rules, 47 C.F.R. §§ 0.191, 0.392.</w:t>
      </w:r>
    </w:p>
    <w:p w:rsidR="00742152" w:rsidRDefault="00742152">
      <w:pPr>
        <w:pStyle w:val="ParaNum"/>
        <w:ind w:firstLine="0"/>
      </w:pPr>
      <w:r>
        <w:tab/>
      </w:r>
      <w:r>
        <w:tab/>
        <w:t xml:space="preserve">                                      FEDERAL COMMUNICATIONS COMMISSION</w:t>
      </w:r>
    </w:p>
    <w:p w:rsidR="00742152" w:rsidRDefault="00742152">
      <w:pPr>
        <w:ind w:left="3600" w:firstLine="720"/>
        <w:rPr>
          <w:szCs w:val="22"/>
        </w:rPr>
      </w:pPr>
    </w:p>
    <w:p w:rsidR="00742152" w:rsidRDefault="00742152">
      <w:pPr>
        <w:ind w:left="3600" w:firstLine="720"/>
        <w:rPr>
          <w:szCs w:val="22"/>
        </w:rPr>
      </w:pPr>
    </w:p>
    <w:p w:rsidR="00742152" w:rsidRDefault="00742152">
      <w:pPr>
        <w:ind w:left="3600" w:firstLine="720"/>
        <w:rPr>
          <w:szCs w:val="22"/>
        </w:rPr>
      </w:pPr>
    </w:p>
    <w:p w:rsidR="00CA12F7" w:rsidRDefault="00CA12F7">
      <w:pPr>
        <w:ind w:left="3600" w:firstLine="720"/>
        <w:rPr>
          <w:szCs w:val="22"/>
        </w:rPr>
      </w:pPr>
      <w:bookmarkStart w:id="3" w:name="sp_999_4"/>
      <w:bookmarkStart w:id="4" w:name="SDU_4"/>
      <w:bookmarkEnd w:id="3"/>
      <w:bookmarkEnd w:id="4"/>
      <w:r>
        <w:rPr>
          <w:szCs w:val="22"/>
        </w:rPr>
        <w:t>David S. Turetsky</w:t>
      </w:r>
    </w:p>
    <w:p w:rsidR="00742152" w:rsidRDefault="00742152">
      <w:pPr>
        <w:ind w:left="3600" w:firstLine="720"/>
      </w:pPr>
      <w:r>
        <w:rPr>
          <w:szCs w:val="22"/>
        </w:rPr>
        <w:t>Chief, Public Safety and Homeland Security Bureau</w:t>
      </w:r>
    </w:p>
    <w:sectPr w:rsidR="007421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3A" w:rsidRDefault="0022413A">
      <w:r>
        <w:separator/>
      </w:r>
    </w:p>
  </w:endnote>
  <w:endnote w:type="continuationSeparator" w:id="0">
    <w:p w:rsidR="0022413A" w:rsidRDefault="0022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F" w:rsidRDefault="00E30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E6" w:rsidRDefault="009642E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A3EB9">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F" w:rsidRDefault="00E30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3A" w:rsidRDefault="0022413A">
      <w:r>
        <w:separator/>
      </w:r>
    </w:p>
  </w:footnote>
  <w:footnote w:type="continuationSeparator" w:id="0">
    <w:p w:rsidR="0022413A" w:rsidRDefault="0022413A">
      <w:r>
        <w:continuationSeparator/>
      </w:r>
    </w:p>
  </w:footnote>
  <w:footnote w:id="1">
    <w:p w:rsidR="00DA3007" w:rsidRDefault="00DA3007">
      <w:pPr>
        <w:pStyle w:val="FootnoteText"/>
      </w:pPr>
      <w:r>
        <w:rPr>
          <w:rStyle w:val="FootnoteReference"/>
        </w:rPr>
        <w:footnoteRef/>
      </w:r>
      <w:r>
        <w:t xml:space="preserve"> 47 C.F.R. </w:t>
      </w:r>
      <w:r w:rsidRPr="00E64F01">
        <w:t>§</w:t>
      </w:r>
      <w:r>
        <w:t xml:space="preserve"> 11.45.</w:t>
      </w:r>
    </w:p>
  </w:footnote>
  <w:footnote w:id="2">
    <w:p w:rsidR="0068426B" w:rsidRDefault="0068426B" w:rsidP="0068426B">
      <w:pPr>
        <w:pStyle w:val="FootnoteText"/>
      </w:pPr>
      <w:r>
        <w:rPr>
          <w:rStyle w:val="FootnoteReference"/>
        </w:rPr>
        <w:footnoteRef/>
      </w:r>
      <w:r>
        <w:t xml:space="preserve"> </w:t>
      </w:r>
      <w:r w:rsidRPr="00D7256A">
        <w:rPr>
          <w:i/>
        </w:rPr>
        <w:t>Compare</w:t>
      </w:r>
      <w:r w:rsidRPr="00D7256A">
        <w:t xml:space="preserve"> 47 C.F.R. </w:t>
      </w:r>
      <w:r w:rsidRPr="00E64F01">
        <w:t>§</w:t>
      </w:r>
      <w:r>
        <w:t xml:space="preserve"> </w:t>
      </w:r>
      <w:r w:rsidRPr="00D7256A">
        <w:t xml:space="preserve">10.520(b) </w:t>
      </w:r>
      <w:r w:rsidRPr="00D7256A">
        <w:rPr>
          <w:i/>
        </w:rPr>
        <w:t>with</w:t>
      </w:r>
      <w:r w:rsidRPr="00D7256A">
        <w:t xml:space="preserve"> 47 C.F.R. </w:t>
      </w:r>
      <w:r w:rsidRPr="00E64F01">
        <w:t>§</w:t>
      </w:r>
      <w:r w:rsidRPr="00D7256A">
        <w:t xml:space="preserve"> 11.31(a)(2)</w:t>
      </w:r>
      <w:r>
        <w:t xml:space="preserve">. </w:t>
      </w:r>
      <w:r>
        <w:rPr>
          <w:rFonts w:ascii="Arial" w:hAnsi="Arial" w:cs="Arial"/>
        </w:rPr>
        <w:t xml:space="preserve"> </w:t>
      </w:r>
      <w:r>
        <w:t xml:space="preserve"> </w:t>
      </w:r>
    </w:p>
  </w:footnote>
  <w:footnote w:id="3">
    <w:p w:rsidR="001F1AC9" w:rsidRDefault="001F1AC9">
      <w:pPr>
        <w:pStyle w:val="FootnoteText"/>
      </w:pPr>
      <w:r>
        <w:rPr>
          <w:rStyle w:val="FootnoteReference"/>
        </w:rPr>
        <w:footnoteRef/>
      </w:r>
      <w:r>
        <w:t xml:space="preserve"> </w:t>
      </w:r>
      <w:r w:rsidR="00635FEF" w:rsidRPr="00635FEF">
        <w:rPr>
          <w:i/>
        </w:rPr>
        <w:t>See</w:t>
      </w:r>
      <w:r w:rsidR="00635FEF" w:rsidRPr="00635FEF">
        <w:t xml:space="preserve"> Letter, Damon Penn, Assistant Administrator National Continuity Programs, Federal Emergency Management Agency (FEMA), to David Turetsky, Chief, Public Safety and Homeland Security Bureau, Federal Communications Commission (FCC) (May 16, 2013) (FEMA Letter).</w:t>
      </w:r>
    </w:p>
  </w:footnote>
  <w:footnote w:id="4">
    <w:p w:rsidR="00251038" w:rsidRPr="00251038" w:rsidRDefault="00251038">
      <w:pPr>
        <w:pStyle w:val="FootnoteText"/>
      </w:pPr>
      <w:r>
        <w:rPr>
          <w:rStyle w:val="FootnoteReference"/>
        </w:rPr>
        <w:footnoteRef/>
      </w:r>
      <w:r>
        <w:t xml:space="preserve"> </w:t>
      </w:r>
      <w:r>
        <w:rPr>
          <w:i/>
        </w:rPr>
        <w:t>Id</w:t>
      </w:r>
      <w:r>
        <w:t>., at 2.</w:t>
      </w:r>
    </w:p>
  </w:footnote>
  <w:footnote w:id="5">
    <w:p w:rsidR="00D7256A" w:rsidRDefault="00D7256A">
      <w:pPr>
        <w:pStyle w:val="FootnoteText"/>
      </w:pPr>
      <w:r>
        <w:rPr>
          <w:rStyle w:val="FootnoteReference"/>
        </w:rPr>
        <w:footnoteRef/>
      </w:r>
      <w:r>
        <w:t xml:space="preserve"> 47 C.F.R. </w:t>
      </w:r>
      <w:r w:rsidRPr="00E64F01">
        <w:t>§</w:t>
      </w:r>
      <w:r>
        <w:t xml:space="preserve"> 1</w:t>
      </w:r>
      <w:r w:rsidR="00CA12F7">
        <w:t>.</w:t>
      </w:r>
      <w:r>
        <w:t>3.</w:t>
      </w:r>
      <w:r w:rsidR="00251038">
        <w:t xml:space="preserve">  Under this rule, the Bureau </w:t>
      </w:r>
      <w:r w:rsidR="00917ABF">
        <w:t xml:space="preserve">also </w:t>
      </w:r>
      <w:r w:rsidR="00251038">
        <w:t xml:space="preserve">has authority to act on </w:t>
      </w:r>
      <w:r w:rsidR="00D25FBE">
        <w:t>its</w:t>
      </w:r>
      <w:r w:rsidR="00251038">
        <w:t xml:space="preserve"> own motion.</w:t>
      </w:r>
    </w:p>
  </w:footnote>
  <w:footnote w:id="6">
    <w:p w:rsidR="00415FC8" w:rsidRDefault="00415FC8">
      <w:pPr>
        <w:pStyle w:val="FootnoteText"/>
      </w:pPr>
      <w:r>
        <w:rPr>
          <w:rStyle w:val="FootnoteReference"/>
        </w:rPr>
        <w:footnoteRef/>
      </w:r>
      <w:r>
        <w:t xml:space="preserve"> </w:t>
      </w:r>
      <w:r w:rsidRPr="00415FC8">
        <w:t>47 C.F.R. §§ 0.191, 0.392</w:t>
      </w:r>
      <w:r>
        <w:t>.</w:t>
      </w:r>
    </w:p>
  </w:footnote>
  <w:footnote w:id="7">
    <w:p w:rsidR="00891B9B" w:rsidRPr="00E64F01" w:rsidRDefault="00891B9B" w:rsidP="00891B9B">
      <w:pPr>
        <w:pStyle w:val="FootnoteText"/>
      </w:pPr>
      <w:r w:rsidRPr="00E64F01">
        <w:rPr>
          <w:rStyle w:val="FootnoteReference"/>
        </w:rPr>
        <w:footnoteRef/>
      </w:r>
      <w:r w:rsidRPr="00E64F01">
        <w:t xml:space="preserve"> </w:t>
      </w:r>
      <w:r w:rsidR="00D7256A">
        <w:t>Warning, Alert, and Response Network Act, Title VI of the Security and Accountability for Every Port Act of 2006, Pub. L. No. 109-347, 120 Stat. 1884, (2006).</w:t>
      </w:r>
    </w:p>
  </w:footnote>
  <w:footnote w:id="8">
    <w:p w:rsidR="00891B9B" w:rsidRPr="00E64F01" w:rsidRDefault="00891B9B" w:rsidP="00891B9B">
      <w:pPr>
        <w:pStyle w:val="FootnoteText"/>
      </w:pPr>
      <w:r w:rsidRPr="00E64F01">
        <w:rPr>
          <w:rStyle w:val="FootnoteReference"/>
        </w:rPr>
        <w:footnoteRef/>
      </w:r>
      <w:r w:rsidRPr="00E64F01">
        <w:t xml:space="preserve"> </w:t>
      </w:r>
      <w:r w:rsidRPr="00E64F01">
        <w:rPr>
          <w:i/>
        </w:rPr>
        <w:t>See</w:t>
      </w:r>
      <w:r w:rsidRPr="00E64F01">
        <w:t xml:space="preserve"> </w:t>
      </w:r>
      <w:r w:rsidR="00CA12F7">
        <w:t xml:space="preserve">47 </w:t>
      </w:r>
      <w:r w:rsidRPr="00E64F01">
        <w:t>C</w:t>
      </w:r>
      <w:r w:rsidR="00CA12F7">
        <w:t>.</w:t>
      </w:r>
      <w:r w:rsidRPr="00E64F01">
        <w:t>F</w:t>
      </w:r>
      <w:r w:rsidR="00CA12F7">
        <w:t>.</w:t>
      </w:r>
      <w:r w:rsidRPr="00E64F01">
        <w:t>R</w:t>
      </w:r>
      <w:r w:rsidR="00CA12F7">
        <w:t>.</w:t>
      </w:r>
      <w:r w:rsidRPr="00E64F01">
        <w:t xml:space="preserve"> </w:t>
      </w:r>
      <w:r w:rsidR="00CA12F7" w:rsidRPr="00E64F01">
        <w:t>§§</w:t>
      </w:r>
      <w:r w:rsidR="00CA12F7">
        <w:t xml:space="preserve"> </w:t>
      </w:r>
      <w:r w:rsidRPr="00E64F01">
        <w:t xml:space="preserve">10.1, </w:t>
      </w:r>
      <w:r w:rsidRPr="00E64F01">
        <w:rPr>
          <w:i/>
        </w:rPr>
        <w:t>et seq.</w:t>
      </w:r>
    </w:p>
  </w:footnote>
  <w:footnote w:id="9">
    <w:p w:rsidR="00DF4FBA" w:rsidRDefault="00DF4FBA">
      <w:pPr>
        <w:pStyle w:val="FootnoteText"/>
      </w:pPr>
      <w:r>
        <w:rPr>
          <w:rStyle w:val="FootnoteReference"/>
        </w:rPr>
        <w:footnoteRef/>
      </w:r>
      <w:r>
        <w:t xml:space="preserve"> There are three types of WEA alerts: Presidential alerts issued by the President of the United States (or the President’s authorized designee)</w:t>
      </w:r>
      <w:r w:rsidR="0054204F">
        <w:t>,</w:t>
      </w:r>
      <w:r>
        <w:t xml:space="preserve"> Imminent Threat (such as a tornado)</w:t>
      </w:r>
      <w:r w:rsidR="0054204F">
        <w:t>,</w:t>
      </w:r>
      <w:r>
        <w:t xml:space="preserve"> and Child Abduction Emergency (AMBER) alerts.  </w:t>
      </w:r>
      <w:r w:rsidRPr="00941B9B">
        <w:rPr>
          <w:i/>
        </w:rPr>
        <w:t>See</w:t>
      </w:r>
      <w:r>
        <w:t xml:space="preserve"> </w:t>
      </w:r>
      <w:r w:rsidRPr="00DF4FBA">
        <w:t>47 C.F.R. § 10.</w:t>
      </w:r>
      <w:r>
        <w:t xml:space="preserve">400.  Members of the public may opt out of receiving all but Presidential Alerts.  </w:t>
      </w:r>
      <w:r w:rsidR="0054204F" w:rsidRPr="00941B9B">
        <w:rPr>
          <w:i/>
        </w:rPr>
        <w:t>See</w:t>
      </w:r>
      <w:r w:rsidR="0054204F">
        <w:t xml:space="preserve"> </w:t>
      </w:r>
      <w:r w:rsidRPr="00DF4FBA">
        <w:t>47 C.F.R. § 10.</w:t>
      </w:r>
      <w:r w:rsidR="0054204F">
        <w:t>280</w:t>
      </w:r>
      <w:r w:rsidRPr="00DF4FBA">
        <w:t>.</w:t>
      </w:r>
    </w:p>
  </w:footnote>
  <w:footnote w:id="10">
    <w:p w:rsidR="004761B8" w:rsidRDefault="004761B8" w:rsidP="004761B8">
      <w:pPr>
        <w:pStyle w:val="FootnoteText"/>
      </w:pPr>
      <w:r>
        <w:rPr>
          <w:rStyle w:val="FootnoteReference"/>
        </w:rPr>
        <w:footnoteRef/>
      </w:r>
      <w:r>
        <w:t xml:space="preserve"> </w:t>
      </w:r>
      <w:r w:rsidRPr="004761B8">
        <w:rPr>
          <w:i/>
        </w:rPr>
        <w:t>See</w:t>
      </w:r>
      <w:r>
        <w:t xml:space="preserve">, </w:t>
      </w:r>
      <w:r w:rsidRPr="004761B8">
        <w:rPr>
          <w:i/>
        </w:rPr>
        <w:t>e.g</w:t>
      </w:r>
      <w:r>
        <w:t xml:space="preserve">., Daniel Honker, </w:t>
      </w:r>
      <w:r w:rsidRPr="00B91CC6">
        <w:rPr>
          <w:i/>
        </w:rPr>
        <w:t>The Need to Standardize WEA Settings on Mobile Devices</w:t>
      </w:r>
      <w:r>
        <w:t xml:space="preserve">, </w:t>
      </w:r>
      <w:r w:rsidR="005245DE" w:rsidRPr="005245DE">
        <w:t>Alerts, Warnings &amp; Response to Emergencies / AWARE</w:t>
      </w:r>
      <w:r>
        <w:t>, Mar</w:t>
      </w:r>
      <w:r w:rsidR="002C1289">
        <w:t>.</w:t>
      </w:r>
      <w:r>
        <w:t xml:space="preserve"> 7, 2013, available at </w:t>
      </w:r>
      <w:r w:rsidRPr="00B91CC6">
        <w:t>http://www.awareforum.org/2013/03/the-need-to-standardize-wea-settings-on-mobile-devices/#more-4092</w:t>
      </w:r>
      <w:r>
        <w:t>.</w:t>
      </w:r>
    </w:p>
  </w:footnote>
  <w:footnote w:id="11">
    <w:p w:rsidR="00891B9B" w:rsidRPr="00E64F01" w:rsidRDefault="00891B9B" w:rsidP="00891B9B">
      <w:pPr>
        <w:pStyle w:val="FootnoteText"/>
      </w:pPr>
      <w:r w:rsidRPr="00E64F01">
        <w:rPr>
          <w:rStyle w:val="FootnoteReference"/>
        </w:rPr>
        <w:footnoteRef/>
      </w:r>
      <w:r w:rsidR="0019721A">
        <w:t xml:space="preserve"> </w:t>
      </w:r>
      <w:r w:rsidR="001521F4" w:rsidRPr="00994794">
        <w:rPr>
          <w:i/>
        </w:rPr>
        <w:t>See</w:t>
      </w:r>
      <w:r w:rsidR="001521F4">
        <w:t xml:space="preserve">, </w:t>
      </w:r>
      <w:r w:rsidR="001521F4" w:rsidRPr="00994794">
        <w:rPr>
          <w:i/>
        </w:rPr>
        <w:t>e.g</w:t>
      </w:r>
      <w:r w:rsidR="001521F4">
        <w:t>.</w:t>
      </w:r>
      <w:r w:rsidR="00994794">
        <w:t>,</w:t>
      </w:r>
      <w:r w:rsidR="001521F4">
        <w:t xml:space="preserve"> </w:t>
      </w:r>
      <w:r w:rsidR="00994794">
        <w:t>Rick Wimberly</w:t>
      </w:r>
      <w:r w:rsidR="00CD64E5">
        <w:t xml:space="preserve">, </w:t>
      </w:r>
      <w:r w:rsidR="00CD64E5" w:rsidRPr="00994794">
        <w:rPr>
          <w:i/>
        </w:rPr>
        <w:t>Wireless Emergency Alerts Used in Boston Bombings</w:t>
      </w:r>
      <w:r w:rsidR="00CD64E5">
        <w:t xml:space="preserve">, </w:t>
      </w:r>
      <w:r w:rsidR="00994794">
        <w:t>Emergency Management</w:t>
      </w:r>
      <w:r w:rsidR="00CD64E5">
        <w:t xml:space="preserve">, </w:t>
      </w:r>
      <w:r w:rsidR="00994794">
        <w:t>Apr</w:t>
      </w:r>
      <w:r w:rsidR="002C1289">
        <w:t>.</w:t>
      </w:r>
      <w:r w:rsidR="00994794">
        <w:t xml:space="preserve"> 22, 2013, </w:t>
      </w:r>
      <w:r w:rsidR="00CD64E5" w:rsidRPr="00994794">
        <w:rPr>
          <w:i/>
        </w:rPr>
        <w:t>available at</w:t>
      </w:r>
      <w:r w:rsidR="00CD64E5">
        <w:t xml:space="preserve"> </w:t>
      </w:r>
      <w:r w:rsidR="00CD64E5" w:rsidRPr="00CD64E5">
        <w:t>http://www.emergencymgmt.com/emergency-blogs/alerts/Wireless-Emergency-Alerts-Used-042213.html?showAddComment=1</w:t>
      </w:r>
      <w:r w:rsidR="00FC31F2">
        <w:t>.</w:t>
      </w:r>
    </w:p>
  </w:footnote>
  <w:footnote w:id="12">
    <w:p w:rsidR="00FC31F2" w:rsidRDefault="00FC31F2" w:rsidP="00FC31F2">
      <w:pPr>
        <w:pStyle w:val="FootnoteText"/>
      </w:pPr>
      <w:r>
        <w:rPr>
          <w:rStyle w:val="FootnoteReference"/>
        </w:rPr>
        <w:footnoteRef/>
      </w:r>
      <w:r>
        <w:t xml:space="preserve"> </w:t>
      </w:r>
      <w:r w:rsidRPr="00FC31F2">
        <w:rPr>
          <w:i/>
        </w:rPr>
        <w:t>See</w:t>
      </w:r>
      <w:r>
        <w:t xml:space="preserve">, </w:t>
      </w:r>
      <w:r w:rsidRPr="00FC31F2">
        <w:rPr>
          <w:i/>
        </w:rPr>
        <w:t>e.g</w:t>
      </w:r>
      <w:r>
        <w:t xml:space="preserve">., </w:t>
      </w:r>
      <w:r w:rsidRPr="0002705D">
        <w:rPr>
          <w:bCs/>
          <w:color w:val="000000"/>
          <w:kern w:val="36"/>
        </w:rPr>
        <w:t xml:space="preserve">Sarah Rich, </w:t>
      </w:r>
      <w:r w:rsidRPr="0002705D">
        <w:rPr>
          <w:bCs/>
          <w:i/>
          <w:color w:val="000000"/>
          <w:kern w:val="36"/>
        </w:rPr>
        <w:t>National SMS System Successful During Superstorm Sandy</w:t>
      </w:r>
      <w:r w:rsidRPr="0002705D">
        <w:rPr>
          <w:bCs/>
          <w:color w:val="000000"/>
          <w:kern w:val="36"/>
        </w:rPr>
        <w:t xml:space="preserve">, </w:t>
      </w:r>
      <w:r w:rsidRPr="0002705D">
        <w:t xml:space="preserve">Government Technology, </w:t>
      </w:r>
      <w:r w:rsidRPr="0002705D">
        <w:rPr>
          <w:iCs/>
        </w:rPr>
        <w:t>Nov</w:t>
      </w:r>
      <w:r w:rsidR="002C1289">
        <w:rPr>
          <w:iCs/>
        </w:rPr>
        <w:t>.</w:t>
      </w:r>
      <w:r w:rsidRPr="0002705D">
        <w:rPr>
          <w:iCs/>
        </w:rPr>
        <w:t xml:space="preserve"> 8, 2012</w:t>
      </w:r>
      <w:r w:rsidRPr="0002705D">
        <w:rPr>
          <w:i/>
          <w:iCs/>
        </w:rPr>
        <w:t xml:space="preserve">, available at </w:t>
      </w:r>
      <w:r w:rsidRPr="0002705D">
        <w:t>http://www.govtech.com/public-safety/National-SMS-System-Successful-During-Superstorm-Sandy.html</w:t>
      </w:r>
      <w:r>
        <w:t>.</w:t>
      </w:r>
    </w:p>
  </w:footnote>
  <w:footnote w:id="13">
    <w:p w:rsidR="00C700DB" w:rsidRDefault="00C700DB" w:rsidP="000A579F">
      <w:pPr>
        <w:pStyle w:val="FootnoteText"/>
      </w:pPr>
      <w:r>
        <w:rPr>
          <w:rStyle w:val="FootnoteReference"/>
        </w:rPr>
        <w:footnoteRef/>
      </w:r>
      <w:r>
        <w:t xml:space="preserve"> </w:t>
      </w:r>
      <w:r w:rsidR="000A579F" w:rsidRPr="0077543E">
        <w:t>Minnesota Department of Public Safety, Of</w:t>
      </w:r>
      <w:r w:rsidR="000A579F">
        <w:t>fic</w:t>
      </w:r>
      <w:r w:rsidR="000A579F" w:rsidRPr="0077543E">
        <w:t xml:space="preserve">e of Communications,  News Release, </w:t>
      </w:r>
      <w:r w:rsidR="000A579F" w:rsidRPr="0077543E">
        <w:rPr>
          <w:i/>
        </w:rPr>
        <w:t>Successful AMBER Alert Resolution First in Nation Using Wireless Emergency Alerts</w:t>
      </w:r>
      <w:r w:rsidR="000A579F" w:rsidRPr="0077543E">
        <w:t xml:space="preserve">, Feb. 21, 2013, available at </w:t>
      </w:r>
      <w:hyperlink r:id="rId1" w:history="1">
        <w:r w:rsidR="000A579F" w:rsidRPr="0077543E">
          <w:t>https://dps.mn.gov/divisions/ooc/news-releases/Pages/Successful-AMBER-Alert-Resolution-First-in-Nation-Using-Wireless-Emergency-Alerts.aspx</w:t>
        </w:r>
      </w:hyperlink>
      <w:r w:rsidR="000A579F" w:rsidRPr="0077543E">
        <w:t>.</w:t>
      </w:r>
    </w:p>
  </w:footnote>
  <w:footnote w:id="14">
    <w:p w:rsidR="00BA4920" w:rsidRDefault="00BA4920">
      <w:pPr>
        <w:pStyle w:val="FootnoteText"/>
      </w:pPr>
      <w:r>
        <w:rPr>
          <w:rStyle w:val="FootnoteReference"/>
        </w:rPr>
        <w:footnoteRef/>
      </w:r>
      <w:r>
        <w:t xml:space="preserve"> FEMA Letter at 1.</w:t>
      </w:r>
    </w:p>
  </w:footnote>
  <w:footnote w:id="15">
    <w:p w:rsidR="0000797D" w:rsidRDefault="0000797D">
      <w:pPr>
        <w:pStyle w:val="FootnoteText"/>
      </w:pPr>
      <w:r>
        <w:rPr>
          <w:rStyle w:val="FootnoteReference"/>
        </w:rPr>
        <w:footnoteRef/>
      </w:r>
      <w:r>
        <w:t xml:space="preserve"> </w:t>
      </w:r>
      <w:r w:rsidRPr="00E033BF">
        <w:rPr>
          <w:i/>
        </w:rPr>
        <w:t>See</w:t>
      </w:r>
      <w:r>
        <w:t xml:space="preserve"> </w:t>
      </w:r>
      <w:r w:rsidR="00BA4920" w:rsidRPr="00BA4920">
        <w:rPr>
          <w:i/>
        </w:rPr>
        <w:t>Id</w:t>
      </w:r>
      <w:r w:rsidR="00F56A36">
        <w:t xml:space="preserve">.  </w:t>
      </w:r>
    </w:p>
  </w:footnote>
  <w:footnote w:id="16">
    <w:p w:rsidR="00602140" w:rsidRDefault="00602140">
      <w:pPr>
        <w:pStyle w:val="FootnoteText"/>
      </w:pPr>
      <w:r>
        <w:rPr>
          <w:rStyle w:val="FootnoteReference"/>
        </w:rPr>
        <w:footnoteRef/>
      </w:r>
      <w:r>
        <w:t xml:space="preserve"> </w:t>
      </w:r>
      <w:r w:rsidRPr="00BF3E14">
        <w:rPr>
          <w:i/>
        </w:rPr>
        <w:t>See</w:t>
      </w:r>
      <w:r>
        <w:t xml:space="preserve"> FEMA Letter and attachments thereto.</w:t>
      </w:r>
      <w:r w:rsidR="00081BB0">
        <w:t xml:space="preserve">  </w:t>
      </w:r>
    </w:p>
  </w:footnote>
  <w:footnote w:id="17">
    <w:p w:rsidR="00FF4B6A" w:rsidRPr="00081BB0" w:rsidRDefault="00FF4B6A" w:rsidP="005245DE">
      <w:pPr>
        <w:pStyle w:val="FootnoteText"/>
      </w:pPr>
      <w:r>
        <w:rPr>
          <w:rStyle w:val="FootnoteReference"/>
        </w:rPr>
        <w:footnoteRef/>
      </w:r>
      <w:r>
        <w:t xml:space="preserve"> </w:t>
      </w:r>
      <w:r w:rsidR="00602140" w:rsidRPr="00E033BF">
        <w:rPr>
          <w:i/>
        </w:rPr>
        <w:t>Id</w:t>
      </w:r>
      <w:r w:rsidR="00602140">
        <w:t>.</w:t>
      </w:r>
      <w:r w:rsidR="00081BB0">
        <w:t xml:space="preserve">  FEMA reports that these PSAs would be placed in strategic local markets and would also be linked to </w:t>
      </w:r>
      <w:hyperlink r:id="rId2" w:history="1">
        <w:r w:rsidR="00081BB0" w:rsidRPr="00A44811">
          <w:rPr>
            <w:rStyle w:val="Hyperlink"/>
          </w:rPr>
          <w:t>www.ready.gov/alerts</w:t>
        </w:r>
      </w:hyperlink>
      <w:r w:rsidR="00081BB0">
        <w:t xml:space="preserve"> and distributed to its Integrated Public Alerts and Warning System (IPAWS) partners.  </w:t>
      </w:r>
      <w:r w:rsidR="00081BB0">
        <w:rPr>
          <w:i/>
        </w:rPr>
        <w:t>Id.</w:t>
      </w:r>
      <w:r w:rsidR="00081BB0">
        <w:t xml:space="preserve">  To support the WEA public education campaign, FEMA also plans to launch an on-line course, “IPAWS and the American People,” in the summer of 2013.  The course would be designed to educate the public about the variety of IPAWS alert and warning tools and technologies available to them and their public safety officials.  </w:t>
      </w:r>
      <w:r w:rsidR="00081BB0">
        <w:rPr>
          <w:i/>
        </w:rPr>
        <w:t>Id.</w:t>
      </w:r>
      <w:r w:rsidR="00081BB0">
        <w:t>, at 2.</w:t>
      </w:r>
    </w:p>
  </w:footnote>
  <w:footnote w:id="18">
    <w:p w:rsidR="00081BB0" w:rsidRPr="00081BB0" w:rsidRDefault="00081BB0">
      <w:pPr>
        <w:pStyle w:val="FootnoteText"/>
      </w:pPr>
      <w:r>
        <w:rPr>
          <w:rStyle w:val="FootnoteReference"/>
        </w:rPr>
        <w:footnoteRef/>
      </w:r>
      <w:r>
        <w:t xml:space="preserve"> </w:t>
      </w:r>
      <w:r>
        <w:rPr>
          <w:i/>
        </w:rPr>
        <w:t>Id.,</w:t>
      </w:r>
      <w:r>
        <w:t xml:space="preserve"> at 1.</w:t>
      </w:r>
    </w:p>
  </w:footnote>
  <w:footnote w:id="19">
    <w:p w:rsidR="00891B9B" w:rsidRPr="00E64F01" w:rsidRDefault="00891B9B" w:rsidP="00891B9B">
      <w:pPr>
        <w:pStyle w:val="FootnoteText"/>
      </w:pPr>
      <w:r w:rsidRPr="00E64F01">
        <w:rPr>
          <w:rStyle w:val="FootnoteReference"/>
        </w:rPr>
        <w:footnoteRef/>
      </w:r>
      <w:r w:rsidRPr="00E64F01">
        <w:t xml:space="preserve"> </w:t>
      </w:r>
      <w:r w:rsidRPr="00E64F01">
        <w:rPr>
          <w:i/>
        </w:rPr>
        <w:t>See</w:t>
      </w:r>
      <w:r w:rsidRPr="00E64F01">
        <w:t xml:space="preserve"> 47 C</w:t>
      </w:r>
      <w:r w:rsidR="00897E06">
        <w:t>.</w:t>
      </w:r>
      <w:r w:rsidRPr="00E64F01">
        <w:t>F</w:t>
      </w:r>
      <w:r w:rsidR="00897E06">
        <w:t>.</w:t>
      </w:r>
      <w:r w:rsidRPr="00E64F01">
        <w:t>R</w:t>
      </w:r>
      <w:r w:rsidR="00897E06">
        <w:t>.</w:t>
      </w:r>
      <w:r w:rsidRPr="00E64F01">
        <w:t xml:space="preserve"> §</w:t>
      </w:r>
      <w:r w:rsidR="00DC7DC1" w:rsidRPr="00E64F01">
        <w:t>§ 10.5</w:t>
      </w:r>
      <w:r w:rsidR="00DC7DC1">
        <w:t>2</w:t>
      </w:r>
      <w:r w:rsidR="00DC7DC1" w:rsidRPr="00E64F01">
        <w:t>0</w:t>
      </w:r>
      <w:r w:rsidR="00DC7DC1">
        <w:t xml:space="preserve">, </w:t>
      </w:r>
      <w:r w:rsidRPr="00E64F01">
        <w:t>10.530.</w:t>
      </w:r>
    </w:p>
  </w:footnote>
  <w:footnote w:id="20">
    <w:p w:rsidR="00891B9B" w:rsidRPr="00E64F01" w:rsidRDefault="00891B9B" w:rsidP="00891B9B">
      <w:pPr>
        <w:pStyle w:val="FootnoteText"/>
      </w:pPr>
      <w:r w:rsidRPr="00E64F01">
        <w:rPr>
          <w:rStyle w:val="FootnoteReference"/>
        </w:rPr>
        <w:footnoteRef/>
      </w:r>
      <w:r w:rsidRPr="00E64F01">
        <w:t xml:space="preserve"> </w:t>
      </w:r>
      <w:r w:rsidRPr="00E64F01">
        <w:rPr>
          <w:i/>
        </w:rPr>
        <w:t xml:space="preserve">See </w:t>
      </w:r>
      <w:r w:rsidRPr="00E64F01">
        <w:t>47 C</w:t>
      </w:r>
      <w:r w:rsidR="00897E06">
        <w:t>.</w:t>
      </w:r>
      <w:r w:rsidRPr="00E64F01">
        <w:t>F</w:t>
      </w:r>
      <w:r w:rsidR="00897E06">
        <w:t>.</w:t>
      </w:r>
      <w:r w:rsidRPr="00E64F01">
        <w:t>R</w:t>
      </w:r>
      <w:r w:rsidR="00897E06">
        <w:t>.</w:t>
      </w:r>
      <w:r w:rsidRPr="00E64F01">
        <w:t xml:space="preserve"> §§ 10.520(b) and 11.31(a)(2).  Both the WEA and EAS </w:t>
      </w:r>
      <w:r w:rsidR="00DC7DC1">
        <w:t>a</w:t>
      </w:r>
      <w:r w:rsidRPr="00E64F01">
        <w:t xml:space="preserve">ttention </w:t>
      </w:r>
      <w:r w:rsidR="00DC7DC1">
        <w:t>s</w:t>
      </w:r>
      <w:r w:rsidRPr="00E64F01">
        <w:t xml:space="preserve">ignals </w:t>
      </w:r>
      <w:r w:rsidR="00DC7DC1" w:rsidRPr="00DC7DC1">
        <w:t>consist of the fundamental frequencies of 853 Hz and 960 Hz transmitted simultaneously.</w:t>
      </w:r>
      <w:r w:rsidRPr="00E64F01">
        <w:t xml:space="preserve">  </w:t>
      </w:r>
    </w:p>
  </w:footnote>
  <w:footnote w:id="21">
    <w:p w:rsidR="00891B9B" w:rsidRPr="00E64F01" w:rsidRDefault="00891B9B" w:rsidP="00891B9B">
      <w:pPr>
        <w:pStyle w:val="FootnoteText"/>
      </w:pPr>
      <w:r w:rsidRPr="00E64F01">
        <w:rPr>
          <w:rStyle w:val="FootnoteReference"/>
        </w:rPr>
        <w:footnoteRef/>
      </w:r>
      <w:r w:rsidRPr="00E64F01">
        <w:t xml:space="preserve"> </w:t>
      </w:r>
      <w:r w:rsidR="00DC7DC1" w:rsidRPr="00897E06">
        <w:rPr>
          <w:i/>
        </w:rPr>
        <w:t>See</w:t>
      </w:r>
      <w:r w:rsidR="00DC7DC1">
        <w:t xml:space="preserve"> </w:t>
      </w:r>
      <w:r w:rsidR="00D16298">
        <w:t xml:space="preserve">Commercial Mobile Alert System, PS Docket No. 07-287, </w:t>
      </w:r>
      <w:r w:rsidR="00D16298" w:rsidRPr="00897E06">
        <w:rPr>
          <w:i/>
        </w:rPr>
        <w:t>First Report and Order</w:t>
      </w:r>
      <w:r w:rsidR="00D16298">
        <w:t xml:space="preserve">, </w:t>
      </w:r>
      <w:r w:rsidR="00897E06">
        <w:t xml:space="preserve">23 </w:t>
      </w:r>
      <w:r w:rsidR="00D16298">
        <w:t xml:space="preserve">FCC Rcd </w:t>
      </w:r>
      <w:r w:rsidR="00897E06">
        <w:t>6144, 6168-69</w:t>
      </w:r>
      <w:r w:rsidR="00D16298">
        <w:t xml:space="preserve">, </w:t>
      </w:r>
      <w:r w:rsidR="00DC7DC1">
        <w:t>paras. 64-7</w:t>
      </w:r>
      <w:r w:rsidR="00D16298">
        <w:t xml:space="preserve"> (2008).</w:t>
      </w:r>
      <w:r w:rsidR="00DC7DC1">
        <w:t xml:space="preserve"> </w:t>
      </w:r>
    </w:p>
  </w:footnote>
  <w:footnote w:id="22">
    <w:p w:rsidR="00891B9B" w:rsidRPr="00E64F01" w:rsidRDefault="00891B9B" w:rsidP="00891B9B">
      <w:pPr>
        <w:pStyle w:val="FootnoteText"/>
      </w:pPr>
      <w:r w:rsidRPr="00E64F01">
        <w:rPr>
          <w:rStyle w:val="FootnoteReference"/>
        </w:rPr>
        <w:footnoteRef/>
      </w:r>
      <w:r w:rsidRPr="00E64F01">
        <w:t xml:space="preserve"> 47 C</w:t>
      </w:r>
      <w:r w:rsidR="00897E06">
        <w:t>.</w:t>
      </w:r>
      <w:r w:rsidRPr="00E64F01">
        <w:t>F</w:t>
      </w:r>
      <w:r w:rsidR="00897E06">
        <w:t>.</w:t>
      </w:r>
      <w:r w:rsidRPr="00E64F01">
        <w:t>R</w:t>
      </w:r>
      <w:r w:rsidR="00897E06">
        <w:t>.</w:t>
      </w:r>
      <w:r w:rsidR="00414DA9">
        <w:t xml:space="preserve"> </w:t>
      </w:r>
      <w:r w:rsidRPr="00E64F01">
        <w:t>§ 11.45.</w:t>
      </w:r>
    </w:p>
  </w:footnote>
  <w:footnote w:id="23">
    <w:p w:rsidR="008F2FC1" w:rsidRDefault="008F2FC1">
      <w:pPr>
        <w:pStyle w:val="FootnoteText"/>
      </w:pPr>
      <w:r>
        <w:rPr>
          <w:rStyle w:val="FootnoteReference"/>
        </w:rPr>
        <w:footnoteRef/>
      </w:r>
      <w:r>
        <w:t xml:space="preserve"> </w:t>
      </w:r>
      <w:r w:rsidR="00414DA9">
        <w:t>47 C.F.R. § 10.</w:t>
      </w:r>
      <w:r>
        <w:t>520(d), on its face, states “[the WEA] audio attention signal must be restricted to use for Alert Messages under Part 10</w:t>
      </w:r>
      <w:r w:rsidRPr="00267C94">
        <w:t xml:space="preserve">.”  </w:t>
      </w:r>
      <w:r w:rsidR="00A255F7" w:rsidRPr="00267C94">
        <w:t xml:space="preserve">To the extent </w:t>
      </w:r>
      <w:r w:rsidRPr="00267C94">
        <w:t xml:space="preserve">this section </w:t>
      </w:r>
      <w:r w:rsidR="00267C94" w:rsidRPr="00267C94">
        <w:t xml:space="preserve">imposes </w:t>
      </w:r>
      <w:r w:rsidR="00A255F7" w:rsidRPr="00267C94">
        <w:t>a broad restriction against the non-alerting use of the WEA audio attention signal, we grant a limited waiver of this section</w:t>
      </w:r>
      <w:r w:rsidR="00267C94">
        <w:t xml:space="preserve"> </w:t>
      </w:r>
      <w:r w:rsidR="006F37FE">
        <w:t>as conditioned and specified herein</w:t>
      </w:r>
      <w:r w:rsidR="00A255F7" w:rsidRPr="00267C94">
        <w:t>.</w:t>
      </w:r>
    </w:p>
  </w:footnote>
  <w:footnote w:id="24">
    <w:p w:rsidR="00E64921" w:rsidRDefault="00E64921">
      <w:pPr>
        <w:pStyle w:val="FootnoteText"/>
      </w:pPr>
      <w:r>
        <w:rPr>
          <w:rStyle w:val="FootnoteReference"/>
        </w:rPr>
        <w:footnoteRef/>
      </w:r>
      <w:r>
        <w:t xml:space="preserve"> </w:t>
      </w:r>
      <w:r w:rsidRPr="00E64F01">
        <w:rPr>
          <w:iCs/>
        </w:rPr>
        <w:t>47 C.F.R. § 1.3</w:t>
      </w:r>
      <w:r w:rsidRPr="00E64F01">
        <w:t xml:space="preserve">.  </w:t>
      </w:r>
    </w:p>
  </w:footnote>
  <w:footnote w:id="25">
    <w:p w:rsidR="007F7FCB" w:rsidRDefault="007F7FCB" w:rsidP="007F7FCB">
      <w:pPr>
        <w:pStyle w:val="FootnoteText"/>
      </w:pPr>
      <w:r w:rsidRPr="00E64F01">
        <w:rPr>
          <w:rStyle w:val="FootnoteReference"/>
        </w:rPr>
        <w:footnoteRef/>
      </w:r>
      <w:r w:rsidR="00CA12F7">
        <w:t xml:space="preserve"> </w:t>
      </w:r>
      <w:r w:rsidR="00CA12F7" w:rsidRPr="00CA12F7">
        <w:rPr>
          <w:i/>
        </w:rPr>
        <w:t>See</w:t>
      </w:r>
      <w:r w:rsidRPr="00E64F01">
        <w:t xml:space="preserve"> </w:t>
      </w:r>
      <w:r w:rsidRPr="00CA12F7">
        <w:rPr>
          <w:i/>
          <w:iCs/>
        </w:rPr>
        <w:t>Northeast Cellular</w:t>
      </w:r>
      <w:r w:rsidR="00CA12F7">
        <w:rPr>
          <w:i/>
          <w:iCs/>
        </w:rPr>
        <w:t xml:space="preserve"> v. FCC</w:t>
      </w:r>
      <w:r w:rsidRPr="00CA12F7">
        <w:t xml:space="preserve">, 897 F.2d </w:t>
      </w:r>
      <w:r w:rsidR="00CA12F7" w:rsidRPr="00CA12F7">
        <w:t xml:space="preserve">1164, </w:t>
      </w:r>
      <w:r w:rsidRPr="00CA12F7">
        <w:t>1166</w:t>
      </w:r>
      <w:r w:rsidRPr="00E64F01">
        <w:t xml:space="preserve"> (</w:t>
      </w:r>
      <w:r w:rsidRPr="00E64F01">
        <w:rPr>
          <w:i/>
          <w:iCs/>
        </w:rPr>
        <w:t>citing WAIT Radio v. FCC</w:t>
      </w:r>
      <w:r w:rsidRPr="00E64F01">
        <w:t xml:space="preserve">, 418 F.2d 1153, 1159 (D.C.Cir.1969), </w:t>
      </w:r>
      <w:r w:rsidRPr="00E64F01">
        <w:rPr>
          <w:i/>
          <w:iCs/>
        </w:rPr>
        <w:t xml:space="preserve">aff’d, </w:t>
      </w:r>
      <w:r w:rsidRPr="00E64F01">
        <w:t xml:space="preserve">459 F.2d 1203 (1973), </w:t>
      </w:r>
      <w:r w:rsidRPr="00E64F01">
        <w:rPr>
          <w:i/>
          <w:iCs/>
        </w:rPr>
        <w:t xml:space="preserve">cert. denied, </w:t>
      </w:r>
      <w:r w:rsidRPr="00E64F01">
        <w:t>409 U.S. 1027 (1972)</w:t>
      </w:r>
      <w:r w:rsidR="00CA12F7">
        <w:t>)</w:t>
      </w:r>
      <w:r w:rsidRPr="00E64F01">
        <w:t>.</w:t>
      </w:r>
    </w:p>
  </w:footnote>
  <w:footnote w:id="26">
    <w:p w:rsidR="008829E3" w:rsidRDefault="008829E3">
      <w:pPr>
        <w:pStyle w:val="FootnoteText"/>
      </w:pPr>
      <w:r>
        <w:rPr>
          <w:rStyle w:val="FootnoteReference"/>
        </w:rPr>
        <w:footnoteRef/>
      </w:r>
      <w:r>
        <w:t xml:space="preserve"> </w:t>
      </w:r>
      <w:r w:rsidR="004360F8">
        <w:t xml:space="preserve"> </w:t>
      </w:r>
      <w:r w:rsidR="004360F8" w:rsidRPr="00414DA9">
        <w:rPr>
          <w:i/>
        </w:rPr>
        <w:t xml:space="preserve">See </w:t>
      </w:r>
      <w:r w:rsidR="004360F8" w:rsidRPr="00414DA9">
        <w:t>47 C.F.R. § 0.191(e) and §</w:t>
      </w:r>
      <w:r w:rsidR="00414DA9">
        <w:t xml:space="preserve"> </w:t>
      </w:r>
      <w:r w:rsidR="004360F8" w:rsidRPr="00414DA9">
        <w:t>0.392(a).</w:t>
      </w:r>
    </w:p>
  </w:footnote>
  <w:footnote w:id="27">
    <w:p w:rsidR="00FB0814" w:rsidRDefault="00FB0814">
      <w:pPr>
        <w:pStyle w:val="FootnoteText"/>
      </w:pPr>
      <w:r>
        <w:rPr>
          <w:rStyle w:val="FootnoteReference"/>
        </w:rPr>
        <w:footnoteRef/>
      </w:r>
      <w:r>
        <w:t xml:space="preserve"> </w:t>
      </w:r>
      <w:r w:rsidRPr="00FB0814">
        <w:t>Moreover, we have been assur</w:t>
      </w:r>
      <w:r w:rsidR="00D565CE">
        <w:t>ed by FEMA that use of the WEA A</w:t>
      </w:r>
      <w:r w:rsidRPr="00FB0814">
        <w:t xml:space="preserve">ttention </w:t>
      </w:r>
      <w:r w:rsidR="00D565CE">
        <w:t>S</w:t>
      </w:r>
      <w:r w:rsidRPr="00FB0814">
        <w:t>ignal in its PSAs poses no threat that properly functioning EAS encoder/decoder equipment maintained by broadcasters and other EAS Participants will be activated.</w:t>
      </w:r>
    </w:p>
  </w:footnote>
  <w:footnote w:id="28">
    <w:p w:rsidR="005B1657" w:rsidRDefault="005B1657">
      <w:pPr>
        <w:pStyle w:val="FootnoteText"/>
      </w:pPr>
      <w:r>
        <w:rPr>
          <w:rStyle w:val="FootnoteReference"/>
        </w:rPr>
        <w:footnoteRef/>
      </w:r>
      <w:r>
        <w:t xml:space="preserve"> For example, leading off a PSA with a WEA Attention Signal, without warning, may be an effective attention-getting device, but it would violate the conditions of this waiver because of the predictable effect that it could have on the listening or viewing public.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9F" w:rsidRDefault="00E30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E6" w:rsidRDefault="009642E6">
    <w:pPr>
      <w:pStyle w:val="Header"/>
      <w:tabs>
        <w:tab w:val="clear" w:pos="4320"/>
        <w:tab w:val="clear" w:pos="8640"/>
        <w:tab w:val="center" w:pos="4680"/>
        <w:tab w:val="right" w:pos="9360"/>
      </w:tabs>
      <w:rPr>
        <w:b/>
      </w:rPr>
    </w:pPr>
    <w:r>
      <w:rPr>
        <w:b/>
      </w:rPr>
      <w:tab/>
      <w:t>Federal Communications Commission</w:t>
    </w:r>
    <w:r>
      <w:rPr>
        <w:b/>
      </w:rPr>
      <w:tab/>
      <w:t>DA 13-</w:t>
    </w:r>
    <w:r w:rsidR="003234E5">
      <w:rPr>
        <w:b/>
      </w:rPr>
      <w:t>1301</w:t>
    </w:r>
  </w:p>
  <w:p w:rsidR="009642E6" w:rsidRDefault="008F2FC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886FD7B" wp14:editId="3DB70790">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9642E6" w:rsidRDefault="00964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E6" w:rsidRDefault="009642E6">
    <w:pPr>
      <w:pStyle w:val="Header"/>
      <w:tabs>
        <w:tab w:val="clear" w:pos="4320"/>
        <w:tab w:val="clear" w:pos="8640"/>
        <w:tab w:val="center" w:pos="4680"/>
        <w:tab w:val="right" w:pos="9360"/>
      </w:tabs>
      <w:rPr>
        <w:b/>
      </w:rPr>
    </w:pPr>
    <w:r>
      <w:rPr>
        <w:b/>
      </w:rPr>
      <w:tab/>
      <w:t>Federal Communications Commission</w:t>
    </w:r>
    <w:r>
      <w:rPr>
        <w:b/>
      </w:rPr>
      <w:tab/>
      <w:t>DA 13-</w:t>
    </w:r>
    <w:r w:rsidR="003234E5">
      <w:rPr>
        <w:b/>
      </w:rPr>
      <w:t>1301</w:t>
    </w:r>
    <w:r>
      <w:rPr>
        <w:b/>
      </w:rPr>
      <w:t xml:space="preserve"> </w:t>
    </w:r>
  </w:p>
  <w:p w:rsidR="009642E6" w:rsidRDefault="008F2FC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957039"/>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83F4BB0"/>
    <w:multiLevelType w:val="hybridMultilevel"/>
    <w:tmpl w:val="BA62D0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3E7779"/>
    <w:multiLevelType w:val="hybridMultilevel"/>
    <w:tmpl w:val="54EA03E8"/>
    <w:lvl w:ilvl="0" w:tplc="D7B26E92">
      <w:start w:val="1"/>
      <w:numFmt w:val="decimal"/>
      <w:pStyle w:val="StyleParaNumItalic"/>
      <w:lvlText w:val="%1."/>
      <w:lvlJc w:val="left"/>
      <w:pPr>
        <w:tabs>
          <w:tab w:val="num" w:pos="1800"/>
        </w:tabs>
        <w:ind w:left="720" w:firstLine="720"/>
      </w:pPr>
      <w:rPr>
        <w:rFonts w:ascii="Times New Roman" w:hAnsi="Times New Roman" w:cs="Times New Roman" w:hint="default"/>
        <w:color w:val="000000"/>
        <w:sz w:val="2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4B7B7FA8"/>
    <w:multiLevelType w:val="hybridMultilevel"/>
    <w:tmpl w:val="B120B938"/>
    <w:lvl w:ilvl="0" w:tplc="09C2D280">
      <w:start w:val="1"/>
      <w:numFmt w:val="upperLetter"/>
      <w:lvlText w:val="%1."/>
      <w:lvlJc w:val="left"/>
      <w:pPr>
        <w:tabs>
          <w:tab w:val="num" w:pos="720"/>
        </w:tabs>
        <w:ind w:left="720" w:hanging="360"/>
      </w:pPr>
      <w:rPr>
        <w:rFonts w:cs="Times New Roman"/>
      </w:rPr>
    </w:lvl>
    <w:lvl w:ilvl="1" w:tplc="35929908">
      <w:start w:val="1"/>
      <w:numFmt w:val="decimal"/>
      <w:lvlText w:val="%2."/>
      <w:lvlJc w:val="left"/>
      <w:pPr>
        <w:tabs>
          <w:tab w:val="num" w:pos="1440"/>
        </w:tabs>
        <w:ind w:left="1440" w:hanging="360"/>
      </w:pPr>
      <w:rPr>
        <w:rFonts w:cs="Times New Roman"/>
      </w:rPr>
    </w:lvl>
    <w:lvl w:ilvl="2" w:tplc="6FC669B2" w:tentative="1">
      <w:start w:val="1"/>
      <w:numFmt w:val="lowerRoman"/>
      <w:lvlText w:val="%3."/>
      <w:lvlJc w:val="right"/>
      <w:pPr>
        <w:tabs>
          <w:tab w:val="num" w:pos="2160"/>
        </w:tabs>
        <w:ind w:left="2160" w:hanging="180"/>
      </w:pPr>
      <w:rPr>
        <w:rFonts w:cs="Times New Roman"/>
      </w:rPr>
    </w:lvl>
    <w:lvl w:ilvl="3" w:tplc="49B05064" w:tentative="1">
      <w:start w:val="1"/>
      <w:numFmt w:val="decimal"/>
      <w:lvlText w:val="%4."/>
      <w:lvlJc w:val="left"/>
      <w:pPr>
        <w:tabs>
          <w:tab w:val="num" w:pos="2880"/>
        </w:tabs>
        <w:ind w:left="2880" w:hanging="360"/>
      </w:pPr>
      <w:rPr>
        <w:rFonts w:cs="Times New Roman"/>
      </w:rPr>
    </w:lvl>
    <w:lvl w:ilvl="4" w:tplc="6FA0D1CA" w:tentative="1">
      <w:start w:val="1"/>
      <w:numFmt w:val="lowerLetter"/>
      <w:lvlText w:val="%5."/>
      <w:lvlJc w:val="left"/>
      <w:pPr>
        <w:tabs>
          <w:tab w:val="num" w:pos="3600"/>
        </w:tabs>
        <w:ind w:left="3600" w:hanging="360"/>
      </w:pPr>
      <w:rPr>
        <w:rFonts w:cs="Times New Roman"/>
      </w:rPr>
    </w:lvl>
    <w:lvl w:ilvl="5" w:tplc="A8BCE1F6" w:tentative="1">
      <w:start w:val="1"/>
      <w:numFmt w:val="lowerRoman"/>
      <w:lvlText w:val="%6."/>
      <w:lvlJc w:val="right"/>
      <w:pPr>
        <w:tabs>
          <w:tab w:val="num" w:pos="4320"/>
        </w:tabs>
        <w:ind w:left="4320" w:hanging="180"/>
      </w:pPr>
      <w:rPr>
        <w:rFonts w:cs="Times New Roman"/>
      </w:rPr>
    </w:lvl>
    <w:lvl w:ilvl="6" w:tplc="1A5243EA" w:tentative="1">
      <w:start w:val="1"/>
      <w:numFmt w:val="decimal"/>
      <w:lvlText w:val="%7."/>
      <w:lvlJc w:val="left"/>
      <w:pPr>
        <w:tabs>
          <w:tab w:val="num" w:pos="5040"/>
        </w:tabs>
        <w:ind w:left="5040" w:hanging="360"/>
      </w:pPr>
      <w:rPr>
        <w:rFonts w:cs="Times New Roman"/>
      </w:rPr>
    </w:lvl>
    <w:lvl w:ilvl="7" w:tplc="B5CE3DE2" w:tentative="1">
      <w:start w:val="1"/>
      <w:numFmt w:val="lowerLetter"/>
      <w:lvlText w:val="%8."/>
      <w:lvlJc w:val="left"/>
      <w:pPr>
        <w:tabs>
          <w:tab w:val="num" w:pos="5760"/>
        </w:tabs>
        <w:ind w:left="5760" w:hanging="360"/>
      </w:pPr>
      <w:rPr>
        <w:rFonts w:cs="Times New Roman"/>
      </w:rPr>
    </w:lvl>
    <w:lvl w:ilvl="8" w:tplc="602A97B8" w:tentative="1">
      <w:start w:val="1"/>
      <w:numFmt w:val="lowerRoman"/>
      <w:lvlText w:val="%9."/>
      <w:lvlJc w:val="right"/>
      <w:pPr>
        <w:tabs>
          <w:tab w:val="num" w:pos="6480"/>
        </w:tabs>
        <w:ind w:left="6480" w:hanging="180"/>
      </w:pPr>
      <w:rPr>
        <w:rFonts w:cs="Times New Roman"/>
      </w:rPr>
    </w:lvl>
  </w:abstractNum>
  <w:abstractNum w:abstractNumId="7">
    <w:nsid w:val="4D707A20"/>
    <w:multiLevelType w:val="multilevel"/>
    <w:tmpl w:val="FB1E530E"/>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4D766165"/>
    <w:multiLevelType w:val="hybridMultilevel"/>
    <w:tmpl w:val="764EF95C"/>
    <w:lvl w:ilvl="0" w:tplc="06E83D44">
      <w:start w:val="1"/>
      <w:numFmt w:val="upperLetter"/>
      <w:lvlText w:val="%1."/>
      <w:lvlJc w:val="left"/>
      <w:pPr>
        <w:tabs>
          <w:tab w:val="num" w:pos="720"/>
        </w:tabs>
        <w:ind w:left="720" w:hanging="360"/>
      </w:pPr>
      <w:rPr>
        <w:rFonts w:cs="Times New Roman"/>
      </w:rPr>
    </w:lvl>
    <w:lvl w:ilvl="1" w:tplc="AA96C322">
      <w:start w:val="1"/>
      <w:numFmt w:val="bullet"/>
      <w:lvlText w:val=""/>
      <w:lvlJc w:val="left"/>
      <w:pPr>
        <w:tabs>
          <w:tab w:val="num" w:pos="1440"/>
        </w:tabs>
        <w:ind w:left="1440" w:hanging="360"/>
      </w:pPr>
      <w:rPr>
        <w:rFonts w:ascii="Symbol" w:hAnsi="Symbol" w:hint="default"/>
      </w:rPr>
    </w:lvl>
    <w:lvl w:ilvl="2" w:tplc="65D2BF98" w:tentative="1">
      <w:start w:val="1"/>
      <w:numFmt w:val="lowerRoman"/>
      <w:lvlText w:val="%3."/>
      <w:lvlJc w:val="right"/>
      <w:pPr>
        <w:tabs>
          <w:tab w:val="num" w:pos="2160"/>
        </w:tabs>
        <w:ind w:left="2160" w:hanging="180"/>
      </w:pPr>
      <w:rPr>
        <w:rFonts w:cs="Times New Roman"/>
      </w:rPr>
    </w:lvl>
    <w:lvl w:ilvl="3" w:tplc="D156693C" w:tentative="1">
      <w:start w:val="1"/>
      <w:numFmt w:val="decimal"/>
      <w:lvlText w:val="%4."/>
      <w:lvlJc w:val="left"/>
      <w:pPr>
        <w:tabs>
          <w:tab w:val="num" w:pos="2880"/>
        </w:tabs>
        <w:ind w:left="2880" w:hanging="360"/>
      </w:pPr>
      <w:rPr>
        <w:rFonts w:cs="Times New Roman"/>
      </w:rPr>
    </w:lvl>
    <w:lvl w:ilvl="4" w:tplc="C386904A" w:tentative="1">
      <w:start w:val="1"/>
      <w:numFmt w:val="lowerLetter"/>
      <w:lvlText w:val="%5."/>
      <w:lvlJc w:val="left"/>
      <w:pPr>
        <w:tabs>
          <w:tab w:val="num" w:pos="3600"/>
        </w:tabs>
        <w:ind w:left="3600" w:hanging="360"/>
      </w:pPr>
      <w:rPr>
        <w:rFonts w:cs="Times New Roman"/>
      </w:rPr>
    </w:lvl>
    <w:lvl w:ilvl="5" w:tplc="D5F6FAE4" w:tentative="1">
      <w:start w:val="1"/>
      <w:numFmt w:val="lowerRoman"/>
      <w:lvlText w:val="%6."/>
      <w:lvlJc w:val="right"/>
      <w:pPr>
        <w:tabs>
          <w:tab w:val="num" w:pos="4320"/>
        </w:tabs>
        <w:ind w:left="4320" w:hanging="180"/>
      </w:pPr>
      <w:rPr>
        <w:rFonts w:cs="Times New Roman"/>
      </w:rPr>
    </w:lvl>
    <w:lvl w:ilvl="6" w:tplc="B1E42CFE" w:tentative="1">
      <w:start w:val="1"/>
      <w:numFmt w:val="decimal"/>
      <w:lvlText w:val="%7."/>
      <w:lvlJc w:val="left"/>
      <w:pPr>
        <w:tabs>
          <w:tab w:val="num" w:pos="5040"/>
        </w:tabs>
        <w:ind w:left="5040" w:hanging="360"/>
      </w:pPr>
      <w:rPr>
        <w:rFonts w:cs="Times New Roman"/>
      </w:rPr>
    </w:lvl>
    <w:lvl w:ilvl="7" w:tplc="97227F3E" w:tentative="1">
      <w:start w:val="1"/>
      <w:numFmt w:val="lowerLetter"/>
      <w:lvlText w:val="%8."/>
      <w:lvlJc w:val="left"/>
      <w:pPr>
        <w:tabs>
          <w:tab w:val="num" w:pos="5760"/>
        </w:tabs>
        <w:ind w:left="5760" w:hanging="360"/>
      </w:pPr>
      <w:rPr>
        <w:rFonts w:cs="Times New Roman"/>
      </w:rPr>
    </w:lvl>
    <w:lvl w:ilvl="8" w:tplc="EF2AC81C" w:tentative="1">
      <w:start w:val="1"/>
      <w:numFmt w:val="lowerRoman"/>
      <w:lvlText w:val="%9."/>
      <w:lvlJc w:val="right"/>
      <w:pPr>
        <w:tabs>
          <w:tab w:val="num" w:pos="6480"/>
        </w:tabs>
        <w:ind w:left="6480" w:hanging="180"/>
      </w:pPr>
      <w:rPr>
        <w:rFonts w:cs="Times New Roman"/>
      </w:rPr>
    </w:lvl>
  </w:abstractNum>
  <w:abstractNum w:abstractNumId="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11">
    <w:nsid w:val="652D38AC"/>
    <w:multiLevelType w:val="multilevel"/>
    <w:tmpl w:val="D026CECA"/>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66E1C18"/>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9"/>
  </w:num>
  <w:num w:numId="2">
    <w:abstractNumId w:val="8"/>
  </w:num>
  <w:num w:numId="3">
    <w:abstractNumId w:val="6"/>
  </w:num>
  <w:num w:numId="4">
    <w:abstractNumId w:val="0"/>
  </w:num>
  <w:num w:numId="5">
    <w:abstractNumId w:val="4"/>
  </w:num>
  <w:num w:numId="6">
    <w:abstractNumId w:val="10"/>
  </w:num>
  <w:num w:numId="7">
    <w:abstractNumId w:val="9"/>
  </w:num>
  <w:num w:numId="8">
    <w:abstractNumId w:val="7"/>
  </w:num>
  <w:num w:numId="9">
    <w:abstractNumId w:val="3"/>
  </w:num>
  <w:num w:numId="10">
    <w:abstractNumId w:val="4"/>
  </w:num>
  <w:num w:numId="11">
    <w:abstractNumId w:val="11"/>
  </w:num>
  <w:num w:numId="12">
    <w:abstractNumId w:val="2"/>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B9"/>
    <w:rsid w:val="0000797D"/>
    <w:rsid w:val="0001475B"/>
    <w:rsid w:val="00041D19"/>
    <w:rsid w:val="00077465"/>
    <w:rsid w:val="00081BB0"/>
    <w:rsid w:val="000A0005"/>
    <w:rsid w:val="000A1309"/>
    <w:rsid w:val="000A579F"/>
    <w:rsid w:val="000F2108"/>
    <w:rsid w:val="00105D87"/>
    <w:rsid w:val="00114DEA"/>
    <w:rsid w:val="001207F6"/>
    <w:rsid w:val="001325C6"/>
    <w:rsid w:val="0013660E"/>
    <w:rsid w:val="001521F4"/>
    <w:rsid w:val="0017442E"/>
    <w:rsid w:val="00185E2A"/>
    <w:rsid w:val="00190A14"/>
    <w:rsid w:val="0019721A"/>
    <w:rsid w:val="001E286F"/>
    <w:rsid w:val="001E3615"/>
    <w:rsid w:val="001E3A51"/>
    <w:rsid w:val="001F1AC9"/>
    <w:rsid w:val="001F4367"/>
    <w:rsid w:val="001F4A9B"/>
    <w:rsid w:val="001F5208"/>
    <w:rsid w:val="0021531B"/>
    <w:rsid w:val="00222EB3"/>
    <w:rsid w:val="0022413A"/>
    <w:rsid w:val="00233CB8"/>
    <w:rsid w:val="00251038"/>
    <w:rsid w:val="00257296"/>
    <w:rsid w:val="002644E8"/>
    <w:rsid w:val="00267C94"/>
    <w:rsid w:val="00272253"/>
    <w:rsid w:val="00277278"/>
    <w:rsid w:val="0029392F"/>
    <w:rsid w:val="00294274"/>
    <w:rsid w:val="002C1289"/>
    <w:rsid w:val="002C7D1B"/>
    <w:rsid w:val="002D43DE"/>
    <w:rsid w:val="002E38A9"/>
    <w:rsid w:val="002E718E"/>
    <w:rsid w:val="002F1BC1"/>
    <w:rsid w:val="002F1E8D"/>
    <w:rsid w:val="002F30D0"/>
    <w:rsid w:val="00302B54"/>
    <w:rsid w:val="00322950"/>
    <w:rsid w:val="003234E5"/>
    <w:rsid w:val="00332C9B"/>
    <w:rsid w:val="00332D95"/>
    <w:rsid w:val="00354325"/>
    <w:rsid w:val="00363C9C"/>
    <w:rsid w:val="003B7A92"/>
    <w:rsid w:val="003C0980"/>
    <w:rsid w:val="003C128A"/>
    <w:rsid w:val="003F0094"/>
    <w:rsid w:val="003F099E"/>
    <w:rsid w:val="00400466"/>
    <w:rsid w:val="00414DA9"/>
    <w:rsid w:val="0041536D"/>
    <w:rsid w:val="00415E57"/>
    <w:rsid w:val="00415FC8"/>
    <w:rsid w:val="00430091"/>
    <w:rsid w:val="004360F8"/>
    <w:rsid w:val="00440E5B"/>
    <w:rsid w:val="004442B9"/>
    <w:rsid w:val="004470EC"/>
    <w:rsid w:val="00451464"/>
    <w:rsid w:val="00455E07"/>
    <w:rsid w:val="00460916"/>
    <w:rsid w:val="00463AD7"/>
    <w:rsid w:val="004761B8"/>
    <w:rsid w:val="004A1ED9"/>
    <w:rsid w:val="004C6C94"/>
    <w:rsid w:val="004F44F2"/>
    <w:rsid w:val="004F5F54"/>
    <w:rsid w:val="004F6364"/>
    <w:rsid w:val="00505BC9"/>
    <w:rsid w:val="00515369"/>
    <w:rsid w:val="005245DE"/>
    <w:rsid w:val="0054204F"/>
    <w:rsid w:val="005443CD"/>
    <w:rsid w:val="00563A9E"/>
    <w:rsid w:val="00596AD3"/>
    <w:rsid w:val="005A18F6"/>
    <w:rsid w:val="005A3D20"/>
    <w:rsid w:val="005A47BF"/>
    <w:rsid w:val="005B1657"/>
    <w:rsid w:val="005B5B91"/>
    <w:rsid w:val="005C4D40"/>
    <w:rsid w:val="005C6AB4"/>
    <w:rsid w:val="005D721B"/>
    <w:rsid w:val="005F3040"/>
    <w:rsid w:val="00602140"/>
    <w:rsid w:val="00635FEF"/>
    <w:rsid w:val="0066234C"/>
    <w:rsid w:val="0068426B"/>
    <w:rsid w:val="006851AC"/>
    <w:rsid w:val="006C1D99"/>
    <w:rsid w:val="006C4DA3"/>
    <w:rsid w:val="006D0BB2"/>
    <w:rsid w:val="006D7C44"/>
    <w:rsid w:val="006F37FE"/>
    <w:rsid w:val="00720B5A"/>
    <w:rsid w:val="00721D45"/>
    <w:rsid w:val="00742152"/>
    <w:rsid w:val="00792D83"/>
    <w:rsid w:val="00796C65"/>
    <w:rsid w:val="007A3EB9"/>
    <w:rsid w:val="007A59F4"/>
    <w:rsid w:val="007B17C8"/>
    <w:rsid w:val="007C2BD9"/>
    <w:rsid w:val="007D4CE8"/>
    <w:rsid w:val="007F2511"/>
    <w:rsid w:val="007F4735"/>
    <w:rsid w:val="007F6B84"/>
    <w:rsid w:val="007F7FCB"/>
    <w:rsid w:val="00802421"/>
    <w:rsid w:val="0080328F"/>
    <w:rsid w:val="0081298C"/>
    <w:rsid w:val="008246BE"/>
    <w:rsid w:val="00835C27"/>
    <w:rsid w:val="00863B0B"/>
    <w:rsid w:val="008829E3"/>
    <w:rsid w:val="00882F56"/>
    <w:rsid w:val="00891B9B"/>
    <w:rsid w:val="00897E06"/>
    <w:rsid w:val="008A68FF"/>
    <w:rsid w:val="008B093C"/>
    <w:rsid w:val="008F2FC1"/>
    <w:rsid w:val="00915156"/>
    <w:rsid w:val="00917ABF"/>
    <w:rsid w:val="00941B9B"/>
    <w:rsid w:val="009509AA"/>
    <w:rsid w:val="009642E6"/>
    <w:rsid w:val="00994794"/>
    <w:rsid w:val="009B21C6"/>
    <w:rsid w:val="009C2144"/>
    <w:rsid w:val="009C4D2E"/>
    <w:rsid w:val="009E695D"/>
    <w:rsid w:val="00A12406"/>
    <w:rsid w:val="00A255F7"/>
    <w:rsid w:val="00A330F6"/>
    <w:rsid w:val="00A337AA"/>
    <w:rsid w:val="00A350E8"/>
    <w:rsid w:val="00A35DC2"/>
    <w:rsid w:val="00A41D28"/>
    <w:rsid w:val="00A41D31"/>
    <w:rsid w:val="00AA13E8"/>
    <w:rsid w:val="00AD1C3E"/>
    <w:rsid w:val="00AD7ECE"/>
    <w:rsid w:val="00AE1957"/>
    <w:rsid w:val="00B05A60"/>
    <w:rsid w:val="00B062C4"/>
    <w:rsid w:val="00B0766F"/>
    <w:rsid w:val="00B414A0"/>
    <w:rsid w:val="00B512A3"/>
    <w:rsid w:val="00B61C64"/>
    <w:rsid w:val="00B81C46"/>
    <w:rsid w:val="00B9499B"/>
    <w:rsid w:val="00BA02B9"/>
    <w:rsid w:val="00BA4920"/>
    <w:rsid w:val="00BC5451"/>
    <w:rsid w:val="00BD0AD5"/>
    <w:rsid w:val="00BD585B"/>
    <w:rsid w:val="00C0252D"/>
    <w:rsid w:val="00C30D51"/>
    <w:rsid w:val="00C3309F"/>
    <w:rsid w:val="00C34C6C"/>
    <w:rsid w:val="00C55FED"/>
    <w:rsid w:val="00C5693C"/>
    <w:rsid w:val="00C60D9A"/>
    <w:rsid w:val="00C700DB"/>
    <w:rsid w:val="00C86588"/>
    <w:rsid w:val="00CA12F7"/>
    <w:rsid w:val="00CA3396"/>
    <w:rsid w:val="00CA7DC9"/>
    <w:rsid w:val="00CB3EA8"/>
    <w:rsid w:val="00CD3652"/>
    <w:rsid w:val="00CD3A97"/>
    <w:rsid w:val="00CD64E5"/>
    <w:rsid w:val="00CD7782"/>
    <w:rsid w:val="00CE49EE"/>
    <w:rsid w:val="00CF1D5E"/>
    <w:rsid w:val="00D067E3"/>
    <w:rsid w:val="00D16298"/>
    <w:rsid w:val="00D24AC9"/>
    <w:rsid w:val="00D25FBE"/>
    <w:rsid w:val="00D26D6E"/>
    <w:rsid w:val="00D27651"/>
    <w:rsid w:val="00D34494"/>
    <w:rsid w:val="00D52855"/>
    <w:rsid w:val="00D565CE"/>
    <w:rsid w:val="00D7256A"/>
    <w:rsid w:val="00DA3007"/>
    <w:rsid w:val="00DB5683"/>
    <w:rsid w:val="00DC7DC1"/>
    <w:rsid w:val="00DD46BC"/>
    <w:rsid w:val="00DE5ECF"/>
    <w:rsid w:val="00DF1660"/>
    <w:rsid w:val="00DF3584"/>
    <w:rsid w:val="00DF4FBA"/>
    <w:rsid w:val="00E033BF"/>
    <w:rsid w:val="00E115D6"/>
    <w:rsid w:val="00E3089F"/>
    <w:rsid w:val="00E33556"/>
    <w:rsid w:val="00E37C77"/>
    <w:rsid w:val="00E60A32"/>
    <w:rsid w:val="00E62BAA"/>
    <w:rsid w:val="00E64921"/>
    <w:rsid w:val="00E66DE8"/>
    <w:rsid w:val="00EA4B56"/>
    <w:rsid w:val="00EB0BBF"/>
    <w:rsid w:val="00EB7CD8"/>
    <w:rsid w:val="00F116D3"/>
    <w:rsid w:val="00F51675"/>
    <w:rsid w:val="00F56A36"/>
    <w:rsid w:val="00F8500F"/>
    <w:rsid w:val="00F97DDF"/>
    <w:rsid w:val="00FA7AAD"/>
    <w:rsid w:val="00FB0814"/>
    <w:rsid w:val="00FC1A0D"/>
    <w:rsid w:val="00FC31F2"/>
    <w:rsid w:val="00FC756A"/>
    <w:rsid w:val="00FD22D3"/>
    <w:rsid w:val="00FE1C4B"/>
    <w:rsid w:val="00FE6965"/>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OOTN"/>
    <w:basedOn w:val="Normal"/>
    <w:link w:val="FootnoteTextChar3"/>
    <w:uiPriority w:val="99"/>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o,fr,Style 3,Style 17,FR,Style 13,Footnote Reference/,Style 6"/>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sid w:val="003F099E"/>
    <w:rPr>
      <w:rFonts w:ascii="Arial" w:hAnsi="Arial" w:cs="Arial"/>
      <w:b w:val="0"/>
      <w:bCs w:val="0"/>
      <w:i w:val="0"/>
      <w:iCs w:val="0"/>
      <w:strike w:val="0"/>
      <w:color w:val="auto"/>
      <w:sz w:val="22"/>
      <w:szCs w:val="22"/>
      <w:u w:val="none"/>
    </w:rPr>
  </w:style>
  <w:style w:type="character" w:customStyle="1" w:styleId="FootnoteTextChar3CharChar1">
    <w:name w:val="Footnote Text Char3 Char Char1"/>
    <w:aliases w:val="Footnote Text Char4 Char1 Char Char1,Footnote Text Char Char2 Char Char Char1,Footnote Text Char3 Char Char Char2 Char Char1,Footnote Text Char Char2 Char Char Char2 Char Char1,Footnote Text Char3 Char1"/>
    <w:uiPriority w:val="99"/>
    <w:rsid w:val="00891B9B"/>
    <w:rPr>
      <w:sz w:val="20"/>
      <w:szCs w:val="20"/>
    </w:rPr>
  </w:style>
  <w:style w:type="character" w:styleId="Hyperlink">
    <w:name w:val="Hyperlink"/>
    <w:uiPriority w:val="99"/>
    <w:unhideWhenUsed/>
    <w:rsid w:val="00891B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OOTN"/>
    <w:basedOn w:val="Normal"/>
    <w:link w:val="FootnoteTextChar3"/>
    <w:uiPriority w:val="99"/>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o,fr,Style 3,Style 17,FR,Style 13,Footnote Reference/,Style 6"/>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sid w:val="003F099E"/>
    <w:rPr>
      <w:rFonts w:ascii="Arial" w:hAnsi="Arial" w:cs="Arial"/>
      <w:b w:val="0"/>
      <w:bCs w:val="0"/>
      <w:i w:val="0"/>
      <w:iCs w:val="0"/>
      <w:strike w:val="0"/>
      <w:color w:val="auto"/>
      <w:sz w:val="22"/>
      <w:szCs w:val="22"/>
      <w:u w:val="none"/>
    </w:rPr>
  </w:style>
  <w:style w:type="character" w:customStyle="1" w:styleId="FootnoteTextChar3CharChar1">
    <w:name w:val="Footnote Text Char3 Char Char1"/>
    <w:aliases w:val="Footnote Text Char4 Char1 Char Char1,Footnote Text Char Char2 Char Char Char1,Footnote Text Char3 Char Char Char2 Char Char1,Footnote Text Char Char2 Char Char Char2 Char Char1,Footnote Text Char3 Char1"/>
    <w:uiPriority w:val="99"/>
    <w:rsid w:val="00891B9B"/>
    <w:rPr>
      <w:sz w:val="20"/>
      <w:szCs w:val="20"/>
    </w:rPr>
  </w:style>
  <w:style w:type="character" w:styleId="Hyperlink">
    <w:name w:val="Hyperlink"/>
    <w:uiPriority w:val="99"/>
    <w:unhideWhenUsed/>
    <w:rsid w:val="00891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31"/>
      <w:marRight w:val="31"/>
      <w:marTop w:val="31"/>
      <w:marBottom w:val="31"/>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46"/>
              <w:marRight w:val="46"/>
              <w:marTop w:val="46"/>
              <w:marBottom w:val="46"/>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186"/>
                      <w:marRight w:val="0"/>
                      <w:marTop w:val="0"/>
                      <w:marBottom w:val="0"/>
                      <w:divBdr>
                        <w:top w:val="none" w:sz="0" w:space="0" w:color="auto"/>
                        <w:left w:val="none" w:sz="0" w:space="0" w:color="auto"/>
                        <w:bottom w:val="none" w:sz="0" w:space="0" w:color="auto"/>
                        <w:right w:val="none" w:sz="0" w:space="0" w:color="auto"/>
                      </w:divBdr>
                    </w:div>
                    <w:div w:id="4">
                      <w:marLeft w:val="372"/>
                      <w:marRight w:val="0"/>
                      <w:marTop w:val="0"/>
                      <w:marBottom w:val="0"/>
                      <w:divBdr>
                        <w:top w:val="none" w:sz="0" w:space="0" w:color="auto"/>
                        <w:left w:val="none" w:sz="0" w:space="0" w:color="auto"/>
                        <w:bottom w:val="none" w:sz="0" w:space="0" w:color="auto"/>
                        <w:right w:val="none" w:sz="0" w:space="0" w:color="auto"/>
                      </w:divBdr>
                    </w:div>
                    <w:div w:id="5">
                      <w:marLeft w:val="372"/>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372"/>
                      <w:marRight w:val="0"/>
                      <w:marTop w:val="0"/>
                      <w:marBottom w:val="0"/>
                      <w:divBdr>
                        <w:top w:val="none" w:sz="0" w:space="0" w:color="auto"/>
                        <w:left w:val="none" w:sz="0" w:space="0" w:color="auto"/>
                        <w:bottom w:val="none" w:sz="0" w:space="0" w:color="auto"/>
                        <w:right w:val="none" w:sz="0" w:space="0" w:color="auto"/>
                      </w:divBdr>
                    </w:div>
                    <w:div w:id="15">
                      <w:marLeft w:val="372"/>
                      <w:marRight w:val="0"/>
                      <w:marTop w:val="0"/>
                      <w:marBottom w:val="0"/>
                      <w:divBdr>
                        <w:top w:val="none" w:sz="0" w:space="0" w:color="auto"/>
                        <w:left w:val="none" w:sz="0" w:space="0" w:color="auto"/>
                        <w:bottom w:val="none" w:sz="0" w:space="0" w:color="auto"/>
                        <w:right w:val="none" w:sz="0" w:space="0" w:color="auto"/>
                      </w:divBdr>
                    </w:div>
                    <w:div w:id="17">
                      <w:marLeft w:val="186"/>
                      <w:marRight w:val="0"/>
                      <w:marTop w:val="0"/>
                      <w:marBottom w:val="0"/>
                      <w:divBdr>
                        <w:top w:val="none" w:sz="0" w:space="0" w:color="auto"/>
                        <w:left w:val="none" w:sz="0" w:space="0" w:color="auto"/>
                        <w:bottom w:val="none" w:sz="0" w:space="0" w:color="auto"/>
                        <w:right w:val="none" w:sz="0" w:space="0" w:color="auto"/>
                      </w:divBdr>
                    </w:div>
                    <w:div w:id="21">
                      <w:marLeft w:val="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eady.gov/alerts" TargetMode="External"/><Relationship Id="rId1" Type="http://schemas.openxmlformats.org/officeDocument/2006/relationships/hyperlink" Target="https://dps.mn.gov/divisions/ooc/news-releases/Pages/Successful-AMBER-Alert-Resolution-First-in-Nation-Using-Wireless-Emergency-Ale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1698</Words>
  <Characters>8898</Characters>
  <Application>Microsoft Office Word</Application>
  <DocSecurity>0</DocSecurity>
  <Lines>147</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10655</CharactersWithSpaces>
  <SharedDoc>false</SharedDoc>
  <HyperlinkBase> </HyperlinkBase>
  <HLinks>
    <vt:vector size="30" baseType="variant">
      <vt:variant>
        <vt:i4>3932212</vt:i4>
      </vt:variant>
      <vt:variant>
        <vt:i4>12</vt:i4>
      </vt:variant>
      <vt:variant>
        <vt:i4>0</vt:i4>
      </vt:variant>
      <vt:variant>
        <vt:i4>5</vt:i4>
      </vt:variant>
      <vt:variant>
        <vt:lpwstr>http://pocketnow.com/2012/08/03/your-phone-wants-to-save-your-life</vt:lpwstr>
      </vt:variant>
      <vt:variant>
        <vt:lpwstr/>
      </vt:variant>
      <vt:variant>
        <vt:i4>4325385</vt:i4>
      </vt:variant>
      <vt:variant>
        <vt:i4>9</vt:i4>
      </vt:variant>
      <vt:variant>
        <vt:i4>0</vt:i4>
      </vt:variant>
      <vt:variant>
        <vt:i4>5</vt:i4>
      </vt:variant>
      <vt:variant>
        <vt:lpwstr>http://www.techrepublic.com/blog/smartphones/wireless-emergency-alerts-legit-service-or-spreading-fear-and-panic/5476</vt:lpwstr>
      </vt:variant>
      <vt:variant>
        <vt:lpwstr/>
      </vt:variant>
      <vt:variant>
        <vt:i4>1310723</vt:i4>
      </vt:variant>
      <vt:variant>
        <vt:i4>6</vt:i4>
      </vt:variant>
      <vt:variant>
        <vt:i4>0</vt:i4>
      </vt:variant>
      <vt:variant>
        <vt:i4>5</vt:i4>
      </vt:variant>
      <vt:variant>
        <vt:lpwstr>http://www.slate.com/blogs/future_tense/2013/02/07/emergency_alert_blizzard_warning_text_sent_to_cellphones_by_nws.html</vt:lpwstr>
      </vt:variant>
      <vt:variant>
        <vt:lpwstr/>
      </vt:variant>
      <vt:variant>
        <vt:i4>458842</vt:i4>
      </vt:variant>
      <vt:variant>
        <vt:i4>3</vt:i4>
      </vt:variant>
      <vt:variant>
        <vt:i4>0</vt:i4>
      </vt:variant>
      <vt:variant>
        <vt:i4>5</vt:i4>
      </vt:variant>
      <vt:variant>
        <vt:lpwstr>http://www.awareforum.org/2013/03/state-promotes-amber-alert-wea-use/</vt:lpwstr>
      </vt:variant>
      <vt:variant>
        <vt:lpwstr>more-4108</vt:lpwstr>
      </vt:variant>
      <vt:variant>
        <vt:i4>6750327</vt:i4>
      </vt:variant>
      <vt:variant>
        <vt:i4>0</vt:i4>
      </vt:variant>
      <vt:variant>
        <vt:i4>0</vt:i4>
      </vt:variant>
      <vt:variant>
        <vt:i4>5</vt:i4>
      </vt:variant>
      <vt:variant>
        <vt:lpwstr>https://dps.mn.gov/divisions/ooc/news-releases/Pages/Successful-AMBER-Alert-Resolution-First-in-Nation-Using-Wireless-Emergency-Alerts.aspx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2009-07-14T18:13:00Z</cp:lastPrinted>
  <dcterms:created xsi:type="dcterms:W3CDTF">2013-05-31T17:47:00Z</dcterms:created>
  <dcterms:modified xsi:type="dcterms:W3CDTF">2013-05-31T17:47:00Z</dcterms:modified>
  <cp:category> </cp:category>
  <cp:contentStatus> </cp:contentStatus>
</cp:coreProperties>
</file>