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10" w:rsidRDefault="00BA2221">
      <w:pPr>
        <w:jc w:val="center"/>
        <w:rPr>
          <w:szCs w:val="22"/>
        </w:rPr>
      </w:pPr>
      <w:bookmarkStart w:id="0" w:name="_GoBack"/>
      <w:bookmarkEnd w:id="0"/>
      <w:r>
        <w:rPr>
          <w:szCs w:val="22"/>
        </w:rPr>
        <w:t xml:space="preserve">June </w:t>
      </w:r>
      <w:r w:rsidR="0085440A">
        <w:rPr>
          <w:szCs w:val="22"/>
        </w:rPr>
        <w:t>7</w:t>
      </w:r>
      <w:r>
        <w:rPr>
          <w:szCs w:val="22"/>
        </w:rPr>
        <w:t>, 2013</w:t>
      </w:r>
    </w:p>
    <w:p w:rsidR="008A7B10" w:rsidRDefault="008A7B10">
      <w:pPr>
        <w:jc w:val="center"/>
        <w:rPr>
          <w:szCs w:val="22"/>
        </w:rPr>
      </w:pPr>
    </w:p>
    <w:p w:rsidR="006150CE" w:rsidRDefault="006150CE">
      <w:pPr>
        <w:jc w:val="center"/>
        <w:rPr>
          <w:szCs w:val="22"/>
        </w:rPr>
      </w:pPr>
    </w:p>
    <w:p w:rsidR="008A7B10" w:rsidRDefault="00EA4C70">
      <w:pPr>
        <w:tabs>
          <w:tab w:val="right" w:pos="8730"/>
        </w:tabs>
        <w:jc w:val="center"/>
        <w:rPr>
          <w:szCs w:val="22"/>
        </w:rPr>
      </w:pPr>
      <w:r>
        <w:rPr>
          <w:szCs w:val="22"/>
        </w:rPr>
        <w:tab/>
        <w:t>DA 13-</w:t>
      </w:r>
      <w:r w:rsidR="0085440A">
        <w:rPr>
          <w:szCs w:val="22"/>
        </w:rPr>
        <w:t>1335</w:t>
      </w:r>
      <w:r w:rsidR="00EA74B3">
        <w:rPr>
          <w:szCs w:val="22"/>
        </w:rPr>
        <w:tab/>
      </w:r>
    </w:p>
    <w:p w:rsidR="0085440A" w:rsidRPr="00C72EA0" w:rsidRDefault="0085440A" w:rsidP="0085440A">
      <w:pPr>
        <w:rPr>
          <w:i/>
          <w:szCs w:val="22"/>
        </w:rPr>
      </w:pPr>
      <w:r w:rsidRPr="00C72EA0">
        <w:rPr>
          <w:i/>
          <w:iCs/>
          <w:szCs w:val="22"/>
        </w:rPr>
        <w:t>Via Certified Mail, Return Receipt Requested</w:t>
      </w:r>
    </w:p>
    <w:p w:rsidR="008A7B10" w:rsidRDefault="008A7B10">
      <w:pPr>
        <w:rPr>
          <w:szCs w:val="22"/>
        </w:rPr>
      </w:pPr>
    </w:p>
    <w:p w:rsidR="00A56A15" w:rsidRDefault="00A56A15">
      <w:pPr>
        <w:rPr>
          <w:szCs w:val="22"/>
        </w:rPr>
      </w:pPr>
    </w:p>
    <w:p w:rsidR="008A7B10" w:rsidRDefault="00ED59B4">
      <w:pPr>
        <w:pStyle w:val="BodyText3"/>
        <w:rPr>
          <w:sz w:val="22"/>
        </w:rPr>
      </w:pPr>
      <w:r>
        <w:rPr>
          <w:sz w:val="22"/>
        </w:rPr>
        <w:t xml:space="preserve">Mr. </w:t>
      </w:r>
      <w:r w:rsidR="00BA2221">
        <w:rPr>
          <w:sz w:val="22"/>
        </w:rPr>
        <w:t>Warren C. Havens</w:t>
      </w:r>
    </w:p>
    <w:p w:rsidR="003F342D" w:rsidRDefault="003F342D">
      <w:pPr>
        <w:pStyle w:val="BodyText3"/>
        <w:rPr>
          <w:sz w:val="22"/>
        </w:rPr>
      </w:pPr>
      <w:r>
        <w:rPr>
          <w:sz w:val="22"/>
        </w:rPr>
        <w:t>President, Environmentel LLC</w:t>
      </w:r>
    </w:p>
    <w:p w:rsidR="003F342D" w:rsidRDefault="003F342D">
      <w:pPr>
        <w:pStyle w:val="BodyText3"/>
        <w:rPr>
          <w:sz w:val="22"/>
        </w:rPr>
      </w:pPr>
      <w:r>
        <w:rPr>
          <w:sz w:val="22"/>
        </w:rPr>
        <w:t>President, V2G LLC</w:t>
      </w:r>
    </w:p>
    <w:p w:rsidR="008A7B10" w:rsidRDefault="00BA2221">
      <w:pPr>
        <w:pStyle w:val="BodyText3"/>
        <w:rPr>
          <w:sz w:val="22"/>
        </w:rPr>
      </w:pPr>
      <w:r>
        <w:rPr>
          <w:sz w:val="22"/>
        </w:rPr>
        <w:t>2509 Stuart Street</w:t>
      </w:r>
    </w:p>
    <w:p w:rsidR="008A7B10" w:rsidRDefault="00BA2221">
      <w:pPr>
        <w:pStyle w:val="BodyText3"/>
        <w:rPr>
          <w:sz w:val="22"/>
        </w:rPr>
      </w:pPr>
      <w:r>
        <w:rPr>
          <w:sz w:val="22"/>
        </w:rPr>
        <w:t>Berkeley, CA</w:t>
      </w:r>
      <w:r w:rsidR="00EA74B3">
        <w:rPr>
          <w:sz w:val="22"/>
        </w:rPr>
        <w:t xml:space="preserve"> </w:t>
      </w:r>
      <w:r>
        <w:rPr>
          <w:sz w:val="22"/>
        </w:rPr>
        <w:t>94705</w:t>
      </w:r>
    </w:p>
    <w:p w:rsidR="003F342D" w:rsidRPr="003F342D" w:rsidRDefault="003F342D">
      <w:pPr>
        <w:pStyle w:val="BodyText3"/>
        <w:rPr>
          <w:sz w:val="22"/>
          <w:szCs w:val="22"/>
        </w:rPr>
      </w:pPr>
    </w:p>
    <w:p w:rsidR="003F342D" w:rsidRPr="003F342D" w:rsidRDefault="003F342D">
      <w:pPr>
        <w:pStyle w:val="BodyText3"/>
        <w:rPr>
          <w:sz w:val="22"/>
          <w:szCs w:val="22"/>
        </w:rPr>
      </w:pPr>
      <w:r w:rsidRPr="003F342D">
        <w:rPr>
          <w:sz w:val="22"/>
          <w:szCs w:val="22"/>
        </w:rPr>
        <w:t>Mr. Warren C. Havens</w:t>
      </w:r>
    </w:p>
    <w:p w:rsidR="003F342D" w:rsidRPr="003F342D" w:rsidRDefault="003F342D">
      <w:pPr>
        <w:pStyle w:val="BodyText3"/>
        <w:rPr>
          <w:sz w:val="22"/>
          <w:szCs w:val="22"/>
        </w:rPr>
      </w:pPr>
      <w:r w:rsidRPr="003F342D">
        <w:rPr>
          <w:sz w:val="22"/>
          <w:szCs w:val="22"/>
        </w:rPr>
        <w:t>President, Skybridge Spectrum Foundation</w:t>
      </w:r>
    </w:p>
    <w:p w:rsidR="003F342D" w:rsidRPr="003F342D" w:rsidRDefault="003F342D">
      <w:pPr>
        <w:pStyle w:val="BodyText3"/>
        <w:rPr>
          <w:bCs/>
          <w:sz w:val="22"/>
          <w:szCs w:val="22"/>
        </w:rPr>
      </w:pPr>
      <w:r w:rsidRPr="003F342D">
        <w:rPr>
          <w:bCs/>
          <w:sz w:val="22"/>
          <w:szCs w:val="22"/>
        </w:rPr>
        <w:t>2649 Benvenue Ave., #4</w:t>
      </w:r>
    </w:p>
    <w:p w:rsidR="003F342D" w:rsidRDefault="00314DE8">
      <w:pPr>
        <w:pStyle w:val="BodyText3"/>
        <w:rPr>
          <w:sz w:val="22"/>
        </w:rPr>
      </w:pPr>
      <w:r>
        <w:rPr>
          <w:bCs/>
          <w:sz w:val="22"/>
          <w:szCs w:val="22"/>
        </w:rPr>
        <w:t>Berkeley, CA 94704</w:t>
      </w:r>
    </w:p>
    <w:p w:rsidR="008A7B10" w:rsidRDefault="008A7B10">
      <w:pPr>
        <w:pStyle w:val="BodyText3"/>
        <w:rPr>
          <w:sz w:val="22"/>
        </w:rPr>
      </w:pPr>
    </w:p>
    <w:p w:rsidR="008A7B10" w:rsidRDefault="008A7B10">
      <w:pPr>
        <w:pStyle w:val="BodyText3"/>
        <w:rPr>
          <w:sz w:val="22"/>
        </w:rPr>
      </w:pPr>
    </w:p>
    <w:p w:rsidR="008A7B10" w:rsidRDefault="00EA74B3">
      <w:pPr>
        <w:pStyle w:val="BodyText3"/>
        <w:ind w:left="1440" w:hanging="720"/>
        <w:jc w:val="left"/>
        <w:rPr>
          <w:sz w:val="22"/>
        </w:rPr>
      </w:pPr>
      <w:r>
        <w:rPr>
          <w:sz w:val="22"/>
        </w:rPr>
        <w:t xml:space="preserve">Re: </w:t>
      </w:r>
      <w:r>
        <w:rPr>
          <w:sz w:val="22"/>
        </w:rPr>
        <w:tab/>
      </w:r>
      <w:r w:rsidR="00BA2221">
        <w:rPr>
          <w:sz w:val="22"/>
        </w:rPr>
        <w:t>Environmentel, LLC, Skybridge Spectrum Foundation, V2G, LLC</w:t>
      </w:r>
      <w:r>
        <w:rPr>
          <w:sz w:val="22"/>
        </w:rPr>
        <w:t xml:space="preserve"> – Request</w:t>
      </w:r>
      <w:r w:rsidR="00351975">
        <w:rPr>
          <w:sz w:val="22"/>
        </w:rPr>
        <w:t>s</w:t>
      </w:r>
      <w:r>
        <w:rPr>
          <w:sz w:val="22"/>
        </w:rPr>
        <w:t xml:space="preserve"> for Waiver of Section 1.2106(a), </w:t>
      </w:r>
      <w:r w:rsidR="00D275EC">
        <w:rPr>
          <w:sz w:val="22"/>
        </w:rPr>
        <w:t xml:space="preserve">Auction of Licenses for </w:t>
      </w:r>
      <w:r w:rsidR="00BA2221">
        <w:rPr>
          <w:sz w:val="22"/>
        </w:rPr>
        <w:t xml:space="preserve">Lower and Upper Paging Bands </w:t>
      </w:r>
      <w:r w:rsidR="001B2441">
        <w:rPr>
          <w:sz w:val="22"/>
        </w:rPr>
        <w:t xml:space="preserve">     </w:t>
      </w:r>
      <w:r w:rsidR="00D275EC">
        <w:rPr>
          <w:sz w:val="22"/>
        </w:rPr>
        <w:t>(</w:t>
      </w:r>
      <w:r w:rsidR="00BA2221">
        <w:rPr>
          <w:sz w:val="22"/>
        </w:rPr>
        <w:t>Auction 95</w:t>
      </w:r>
      <w:r w:rsidR="00D275EC">
        <w:rPr>
          <w:sz w:val="22"/>
        </w:rPr>
        <w:t>)</w:t>
      </w:r>
    </w:p>
    <w:p w:rsidR="008A7B10" w:rsidRDefault="00EA74B3">
      <w:pPr>
        <w:pStyle w:val="BodyText3"/>
        <w:rPr>
          <w:sz w:val="22"/>
        </w:rPr>
      </w:pPr>
      <w:r>
        <w:rPr>
          <w:sz w:val="22"/>
        </w:rPr>
        <w:tab/>
      </w:r>
    </w:p>
    <w:p w:rsidR="008A7B10" w:rsidRDefault="00BA2221">
      <w:pPr>
        <w:pStyle w:val="BodyText3"/>
        <w:jc w:val="left"/>
        <w:rPr>
          <w:sz w:val="22"/>
        </w:rPr>
      </w:pPr>
      <w:r>
        <w:rPr>
          <w:sz w:val="22"/>
        </w:rPr>
        <w:t>Dear Mr. Havens</w:t>
      </w:r>
      <w:r w:rsidR="00EA74B3">
        <w:rPr>
          <w:sz w:val="22"/>
        </w:rPr>
        <w:t>:</w:t>
      </w:r>
    </w:p>
    <w:p w:rsidR="008A7B10" w:rsidRDefault="008A7B10">
      <w:pPr>
        <w:pStyle w:val="BodyText3"/>
        <w:rPr>
          <w:sz w:val="22"/>
        </w:rPr>
      </w:pPr>
    </w:p>
    <w:p w:rsidR="008A7B10" w:rsidRPr="00EA4C70" w:rsidRDefault="00EA74B3">
      <w:pPr>
        <w:pStyle w:val="BodyText3"/>
        <w:tabs>
          <w:tab w:val="left" w:pos="720"/>
        </w:tabs>
        <w:jc w:val="left"/>
        <w:rPr>
          <w:sz w:val="22"/>
          <w:szCs w:val="22"/>
        </w:rPr>
      </w:pPr>
      <w:r>
        <w:rPr>
          <w:sz w:val="22"/>
        </w:rPr>
        <w:tab/>
        <w:t>This letter denies the request</w:t>
      </w:r>
      <w:r w:rsidR="00351975">
        <w:rPr>
          <w:sz w:val="22"/>
        </w:rPr>
        <w:t>s</w:t>
      </w:r>
      <w:r>
        <w:rPr>
          <w:sz w:val="22"/>
        </w:rPr>
        <w:t xml:space="preserve"> </w:t>
      </w:r>
      <w:r w:rsidR="00F30296" w:rsidRPr="00EA4C70">
        <w:rPr>
          <w:sz w:val="22"/>
          <w:szCs w:val="22"/>
        </w:rPr>
        <w:t xml:space="preserve">submitted on May 9, 2013, </w:t>
      </w:r>
      <w:r w:rsidR="00F30296">
        <w:rPr>
          <w:sz w:val="22"/>
          <w:szCs w:val="22"/>
        </w:rPr>
        <w:t xml:space="preserve">by </w:t>
      </w:r>
      <w:r w:rsidR="00CC534D">
        <w:rPr>
          <w:sz w:val="22"/>
        </w:rPr>
        <w:t>Environmentel</w:t>
      </w:r>
      <w:r w:rsidR="00BA2221">
        <w:rPr>
          <w:sz w:val="22"/>
        </w:rPr>
        <w:t xml:space="preserve"> LLC (ENL), Skybridge Spectrum Foundation (SSF), and </w:t>
      </w:r>
      <w:r w:rsidR="00BA2221" w:rsidRPr="00EA4C70">
        <w:rPr>
          <w:sz w:val="22"/>
          <w:szCs w:val="22"/>
        </w:rPr>
        <w:t>V2G LLC (V2G)</w:t>
      </w:r>
      <w:r w:rsidRPr="00EA4C70">
        <w:rPr>
          <w:sz w:val="22"/>
          <w:szCs w:val="22"/>
        </w:rPr>
        <w:t xml:space="preserve"> </w:t>
      </w:r>
      <w:r w:rsidR="00351975">
        <w:rPr>
          <w:sz w:val="22"/>
          <w:szCs w:val="22"/>
        </w:rPr>
        <w:t xml:space="preserve">(collectively, “Applicants”) </w:t>
      </w:r>
      <w:r w:rsidR="00F30296">
        <w:rPr>
          <w:sz w:val="22"/>
          <w:szCs w:val="22"/>
        </w:rPr>
        <w:t xml:space="preserve">seeking </w:t>
      </w:r>
      <w:r w:rsidRPr="00EA4C70">
        <w:rPr>
          <w:sz w:val="22"/>
          <w:szCs w:val="22"/>
        </w:rPr>
        <w:t xml:space="preserve">waiver of the </w:t>
      </w:r>
      <w:r w:rsidR="00351975">
        <w:rPr>
          <w:sz w:val="22"/>
          <w:szCs w:val="22"/>
        </w:rPr>
        <w:t xml:space="preserve">Commission’s </w:t>
      </w:r>
      <w:r w:rsidR="00BA2221" w:rsidRPr="00EA4C70">
        <w:rPr>
          <w:sz w:val="22"/>
          <w:szCs w:val="22"/>
        </w:rPr>
        <w:t xml:space="preserve">rule </w:t>
      </w:r>
      <w:r w:rsidR="00351975">
        <w:rPr>
          <w:sz w:val="22"/>
          <w:szCs w:val="22"/>
        </w:rPr>
        <w:t>requiring a higher</w:t>
      </w:r>
      <w:r w:rsidR="00BA2221" w:rsidRPr="00EA4C70">
        <w:rPr>
          <w:sz w:val="22"/>
          <w:szCs w:val="22"/>
        </w:rPr>
        <w:t xml:space="preserve"> </w:t>
      </w:r>
      <w:r w:rsidRPr="00EA4C70">
        <w:rPr>
          <w:sz w:val="22"/>
          <w:szCs w:val="22"/>
        </w:rPr>
        <w:t xml:space="preserve">upfront payment </w:t>
      </w:r>
      <w:r w:rsidR="00351975">
        <w:rPr>
          <w:sz w:val="22"/>
          <w:szCs w:val="22"/>
        </w:rPr>
        <w:t>for any applicant that has previously been delinquent on any non-tax debt owed to any Federal agency</w:t>
      </w:r>
      <w:r w:rsidRPr="00EA4C70">
        <w:rPr>
          <w:sz w:val="22"/>
          <w:szCs w:val="22"/>
        </w:rPr>
        <w:t>.</w:t>
      </w:r>
      <w:r w:rsidRPr="00EA4C70">
        <w:rPr>
          <w:rStyle w:val="FootnoteReference"/>
          <w:sz w:val="22"/>
          <w:szCs w:val="22"/>
        </w:rPr>
        <w:footnoteReference w:id="1"/>
      </w:r>
      <w:r w:rsidRPr="00EA4C70">
        <w:rPr>
          <w:sz w:val="22"/>
          <w:szCs w:val="22"/>
        </w:rPr>
        <w:t xml:space="preserve">    </w:t>
      </w:r>
    </w:p>
    <w:p w:rsidR="008A7B10" w:rsidRPr="00EA4C70" w:rsidRDefault="008A7B10">
      <w:pPr>
        <w:pStyle w:val="BodyText3"/>
        <w:tabs>
          <w:tab w:val="left" w:pos="720"/>
        </w:tabs>
        <w:jc w:val="left"/>
        <w:rPr>
          <w:sz w:val="22"/>
          <w:szCs w:val="22"/>
        </w:rPr>
      </w:pPr>
    </w:p>
    <w:p w:rsidR="00BA7FA0" w:rsidRDefault="00EA74B3" w:rsidP="00EA4C70">
      <w:pPr>
        <w:rPr>
          <w:szCs w:val="22"/>
        </w:rPr>
      </w:pPr>
      <w:r w:rsidRPr="00EA4C70">
        <w:rPr>
          <w:szCs w:val="22"/>
        </w:rPr>
        <w:tab/>
      </w:r>
      <w:r w:rsidR="00EA4C70">
        <w:rPr>
          <w:szCs w:val="22"/>
        </w:rPr>
        <w:t xml:space="preserve">Each of the three </w:t>
      </w:r>
      <w:r w:rsidR="00AA5275">
        <w:rPr>
          <w:szCs w:val="22"/>
        </w:rPr>
        <w:t>A</w:t>
      </w:r>
      <w:r w:rsidR="00EA4C70" w:rsidRPr="00EA4C70">
        <w:rPr>
          <w:szCs w:val="22"/>
        </w:rPr>
        <w:t>pplicants states in its short-form application that it is a “former defaulter” within the meaning of section 1.2106(a) of the Commission’s rules.</w:t>
      </w:r>
      <w:r w:rsidR="00EA4C70">
        <w:rPr>
          <w:rStyle w:val="FootnoteReference"/>
          <w:szCs w:val="22"/>
        </w:rPr>
        <w:footnoteReference w:id="2"/>
      </w:r>
      <w:r w:rsidR="00EA4C70" w:rsidRPr="00EA4C70">
        <w:rPr>
          <w:szCs w:val="22"/>
        </w:rPr>
        <w:t xml:space="preserve">    Each </w:t>
      </w:r>
      <w:r w:rsidR="00AA5275">
        <w:rPr>
          <w:szCs w:val="22"/>
        </w:rPr>
        <w:t>A</w:t>
      </w:r>
      <w:r w:rsidR="00EA4C70" w:rsidRPr="00EA4C70">
        <w:rPr>
          <w:szCs w:val="22"/>
        </w:rPr>
        <w:t xml:space="preserve">pplicant nevertheless requests that the Commission find that a </w:t>
      </w:r>
      <w:r w:rsidR="00EA4C70" w:rsidRPr="00EA4C70">
        <w:rPr>
          <w:i/>
          <w:szCs w:val="22"/>
        </w:rPr>
        <w:t>de minimis</w:t>
      </w:r>
      <w:r w:rsidR="00EA4C70" w:rsidRPr="00EA4C70">
        <w:rPr>
          <w:szCs w:val="22"/>
        </w:rPr>
        <w:t xml:space="preserve"> exception exists with respect to section 1.2106(a), but </w:t>
      </w:r>
      <w:r w:rsidR="004E2D5C">
        <w:rPr>
          <w:szCs w:val="22"/>
        </w:rPr>
        <w:t xml:space="preserve">fails </w:t>
      </w:r>
      <w:r w:rsidR="00EA4C70" w:rsidRPr="00EA4C70">
        <w:rPr>
          <w:szCs w:val="22"/>
        </w:rPr>
        <w:t xml:space="preserve">to point to any Commission rule or decision establishing such exception.  In the alternative, each </w:t>
      </w:r>
      <w:r w:rsidR="00AA5275">
        <w:rPr>
          <w:szCs w:val="22"/>
        </w:rPr>
        <w:t>A</w:t>
      </w:r>
      <w:r w:rsidR="00EA4C70" w:rsidRPr="00EA4C70">
        <w:rPr>
          <w:szCs w:val="22"/>
        </w:rPr>
        <w:t xml:space="preserve">pplicant requests a waiver of the rule.  </w:t>
      </w:r>
    </w:p>
    <w:p w:rsidR="00BA7FA0" w:rsidRDefault="00BA7FA0" w:rsidP="00EA4C70">
      <w:pPr>
        <w:rPr>
          <w:szCs w:val="22"/>
        </w:rPr>
      </w:pPr>
    </w:p>
    <w:p w:rsidR="00EA4C70" w:rsidRDefault="00EA4C70" w:rsidP="003F342D">
      <w:pPr>
        <w:ind w:firstLine="720"/>
        <w:rPr>
          <w:szCs w:val="22"/>
        </w:rPr>
      </w:pPr>
      <w:r w:rsidRPr="00EA4C70">
        <w:rPr>
          <w:szCs w:val="22"/>
        </w:rPr>
        <w:t xml:space="preserve">Section 1.2106(a) contains no </w:t>
      </w:r>
      <w:r w:rsidRPr="00EA4C70">
        <w:rPr>
          <w:i/>
          <w:szCs w:val="22"/>
        </w:rPr>
        <w:t>de minimis</w:t>
      </w:r>
      <w:r w:rsidRPr="00EA4C70">
        <w:rPr>
          <w:szCs w:val="22"/>
        </w:rPr>
        <w:t xml:space="preserve"> exception.  </w:t>
      </w:r>
      <w:r w:rsidR="00BA7FA0">
        <w:rPr>
          <w:szCs w:val="22"/>
        </w:rPr>
        <w:t xml:space="preserve">In the absence of </w:t>
      </w:r>
      <w:r w:rsidR="00BA7FA0" w:rsidRPr="00EA4C70">
        <w:rPr>
          <w:szCs w:val="22"/>
        </w:rPr>
        <w:t>any Commission rule or decision establishing such exception</w:t>
      </w:r>
      <w:r w:rsidR="00BA7FA0">
        <w:rPr>
          <w:szCs w:val="22"/>
        </w:rPr>
        <w:t xml:space="preserve">, we decline to apply a </w:t>
      </w:r>
      <w:r w:rsidR="00BA7FA0" w:rsidRPr="00084C57">
        <w:rPr>
          <w:i/>
          <w:szCs w:val="22"/>
        </w:rPr>
        <w:t>de mi</w:t>
      </w:r>
      <w:r w:rsidR="00BA7FA0">
        <w:rPr>
          <w:i/>
          <w:szCs w:val="22"/>
        </w:rPr>
        <w:t>n</w:t>
      </w:r>
      <w:r w:rsidR="00BA7FA0" w:rsidRPr="009D5982">
        <w:rPr>
          <w:i/>
          <w:szCs w:val="22"/>
        </w:rPr>
        <w:t>i</w:t>
      </w:r>
      <w:r w:rsidR="00BA7FA0">
        <w:rPr>
          <w:i/>
          <w:szCs w:val="22"/>
        </w:rPr>
        <w:t>m</w:t>
      </w:r>
      <w:r w:rsidR="00BA7FA0" w:rsidRPr="009D5982">
        <w:rPr>
          <w:i/>
          <w:szCs w:val="22"/>
        </w:rPr>
        <w:t>is</w:t>
      </w:r>
      <w:r w:rsidR="00BA7FA0">
        <w:rPr>
          <w:szCs w:val="22"/>
        </w:rPr>
        <w:t xml:space="preserve"> standard by which applicants who are former defaulters would not be required to submit the higher upfront payment required by the Commission’s rule.  </w:t>
      </w:r>
    </w:p>
    <w:p w:rsidR="008A7B10" w:rsidRDefault="008A7B10">
      <w:pPr>
        <w:pStyle w:val="BodyText3"/>
        <w:tabs>
          <w:tab w:val="left" w:pos="720"/>
        </w:tabs>
        <w:jc w:val="left"/>
        <w:rPr>
          <w:sz w:val="22"/>
          <w:szCs w:val="22"/>
        </w:rPr>
      </w:pPr>
    </w:p>
    <w:p w:rsidR="00A56A15" w:rsidRPr="00EA4C70" w:rsidRDefault="00A56A15">
      <w:pPr>
        <w:pStyle w:val="BodyText3"/>
        <w:tabs>
          <w:tab w:val="left" w:pos="720"/>
        </w:tabs>
        <w:jc w:val="left"/>
        <w:rPr>
          <w:sz w:val="22"/>
          <w:szCs w:val="22"/>
        </w:rPr>
      </w:pPr>
    </w:p>
    <w:p w:rsidR="00AF2200" w:rsidRDefault="00EA4C70" w:rsidP="00AF2200">
      <w:pPr>
        <w:ind w:firstLine="720"/>
        <w:rPr>
          <w:szCs w:val="22"/>
        </w:rPr>
      </w:pPr>
      <w:r>
        <w:rPr>
          <w:szCs w:val="22"/>
        </w:rPr>
        <w:lastRenderedPageBreak/>
        <w:t xml:space="preserve">ENL, SSF, and V2G fail to </w:t>
      </w:r>
      <w:r w:rsidR="00BA7FA0">
        <w:rPr>
          <w:szCs w:val="22"/>
        </w:rPr>
        <w:t>meet the standard for granting a waiver set forth in section 1.925 of the Commission’s rules.</w:t>
      </w:r>
      <w:r w:rsidR="00AA5275">
        <w:rPr>
          <w:rStyle w:val="FootnoteReference"/>
        </w:rPr>
        <w:footnoteReference w:id="3"/>
      </w:r>
      <w:r w:rsidR="00AA5275">
        <w:rPr>
          <w:szCs w:val="22"/>
        </w:rPr>
        <w:t xml:space="preserve">  The </w:t>
      </w:r>
      <w:r w:rsidR="003706DB">
        <w:rPr>
          <w:szCs w:val="22"/>
        </w:rPr>
        <w:t>Waiver Requests</w:t>
      </w:r>
      <w:r w:rsidR="00BA7FA0">
        <w:rPr>
          <w:szCs w:val="22"/>
        </w:rPr>
        <w:t xml:space="preserve"> do not </w:t>
      </w:r>
      <w:r>
        <w:rPr>
          <w:szCs w:val="22"/>
        </w:rPr>
        <w:t xml:space="preserve">explain how the purpose of the rule would not be served or would be frustrated by applying the </w:t>
      </w:r>
      <w:r w:rsidR="00453C45">
        <w:rPr>
          <w:szCs w:val="22"/>
        </w:rPr>
        <w:t xml:space="preserve">requirement for a higher </w:t>
      </w:r>
      <w:r>
        <w:rPr>
          <w:szCs w:val="22"/>
        </w:rPr>
        <w:t>upfront payment in these circumstances.  Nor do</w:t>
      </w:r>
      <w:r w:rsidR="00AA5275">
        <w:rPr>
          <w:szCs w:val="22"/>
        </w:rPr>
        <w:t xml:space="preserve"> the </w:t>
      </w:r>
      <w:r w:rsidR="003706DB">
        <w:rPr>
          <w:szCs w:val="22"/>
        </w:rPr>
        <w:t xml:space="preserve">Waiver Requests </w:t>
      </w:r>
      <w:r>
        <w:rPr>
          <w:szCs w:val="22"/>
        </w:rPr>
        <w:t xml:space="preserve">demonstrate </w:t>
      </w:r>
      <w:r w:rsidR="00AD707E">
        <w:rPr>
          <w:szCs w:val="22"/>
        </w:rPr>
        <w:t xml:space="preserve">how grant of the waiver would serve </w:t>
      </w:r>
      <w:r>
        <w:rPr>
          <w:szCs w:val="22"/>
        </w:rPr>
        <w:t xml:space="preserve">the public interest.  </w:t>
      </w:r>
      <w:r w:rsidR="00AF2200">
        <w:rPr>
          <w:szCs w:val="22"/>
        </w:rPr>
        <w:t xml:space="preserve">Finally, none of the three </w:t>
      </w:r>
      <w:r w:rsidR="003706DB">
        <w:rPr>
          <w:szCs w:val="22"/>
        </w:rPr>
        <w:t xml:space="preserve">Waiver Requests </w:t>
      </w:r>
      <w:r w:rsidR="00AF2200">
        <w:rPr>
          <w:szCs w:val="22"/>
        </w:rPr>
        <w:t>present</w:t>
      </w:r>
      <w:r w:rsidR="00AF2200">
        <w:t xml:space="preserve"> unique or unusual factual circumstances </w:t>
      </w:r>
      <w:r w:rsidR="00966BF2">
        <w:t>in</w:t>
      </w:r>
      <w:r w:rsidR="00AF2200">
        <w:t xml:space="preserve"> the instant case</w:t>
      </w:r>
      <w:r w:rsidR="00AD707E">
        <w:t xml:space="preserve"> </w:t>
      </w:r>
      <w:r w:rsidR="00F30296">
        <w:t xml:space="preserve">that would make </w:t>
      </w:r>
      <w:r w:rsidR="00AF2200">
        <w:t xml:space="preserve">application of the rules inequitable, unduly burdensome, or </w:t>
      </w:r>
      <w:r w:rsidR="00F30296">
        <w:t>contrary to the public interest</w:t>
      </w:r>
      <w:r w:rsidR="00AC63A3">
        <w:t xml:space="preserve">, or give </w:t>
      </w:r>
      <w:r w:rsidR="00AF2200">
        <w:t xml:space="preserve">the applicants no reasonable alternative. </w:t>
      </w:r>
    </w:p>
    <w:p w:rsidR="00A56A15" w:rsidRDefault="00A56A15">
      <w:pPr>
        <w:pStyle w:val="BodyText3"/>
        <w:jc w:val="left"/>
        <w:rPr>
          <w:sz w:val="22"/>
          <w:szCs w:val="22"/>
        </w:rPr>
      </w:pPr>
    </w:p>
    <w:p w:rsidR="008A7B10" w:rsidRDefault="00EA74B3">
      <w:pPr>
        <w:pStyle w:val="BodyText3"/>
        <w:jc w:val="left"/>
        <w:rPr>
          <w:sz w:val="22"/>
          <w:szCs w:val="22"/>
        </w:rPr>
      </w:pPr>
      <w:r>
        <w:rPr>
          <w:sz w:val="22"/>
          <w:szCs w:val="22"/>
        </w:rPr>
        <w:tab/>
        <w:t>This action is taken pursuant to delegated authority under section 0.331 of the Commission’s rules.</w:t>
      </w:r>
      <w:r>
        <w:rPr>
          <w:rStyle w:val="FootnoteReference"/>
          <w:sz w:val="22"/>
          <w:szCs w:val="22"/>
        </w:rPr>
        <w:footnoteReference w:id="4"/>
      </w:r>
    </w:p>
    <w:p w:rsidR="008A7B10" w:rsidRDefault="008A7B10">
      <w:pPr>
        <w:pStyle w:val="BodyText3"/>
        <w:jc w:val="left"/>
        <w:rPr>
          <w:sz w:val="22"/>
          <w:szCs w:val="22"/>
        </w:rPr>
      </w:pPr>
    </w:p>
    <w:p w:rsidR="008A7B10" w:rsidRDefault="00EA74B3">
      <w:pPr>
        <w:pStyle w:val="BodyText3"/>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8A7B10" w:rsidRDefault="008A7B10">
      <w:pPr>
        <w:pStyle w:val="BodyText3"/>
        <w:jc w:val="left"/>
        <w:rPr>
          <w:sz w:val="22"/>
          <w:szCs w:val="22"/>
        </w:rPr>
      </w:pPr>
    </w:p>
    <w:p w:rsidR="008A7B10" w:rsidRDefault="008A7B10">
      <w:pPr>
        <w:pStyle w:val="BodyText3"/>
        <w:jc w:val="left"/>
        <w:rPr>
          <w:sz w:val="22"/>
          <w:szCs w:val="22"/>
        </w:rPr>
      </w:pPr>
    </w:p>
    <w:p w:rsidR="008A7B10" w:rsidRDefault="008A7B10">
      <w:pPr>
        <w:pStyle w:val="BodyText3"/>
        <w:jc w:val="left"/>
        <w:rPr>
          <w:sz w:val="22"/>
          <w:szCs w:val="22"/>
        </w:rPr>
      </w:pPr>
    </w:p>
    <w:p w:rsidR="008A7B10" w:rsidRDefault="008A7B10">
      <w:pPr>
        <w:pStyle w:val="BodyText3"/>
        <w:jc w:val="left"/>
        <w:rPr>
          <w:sz w:val="22"/>
          <w:szCs w:val="22"/>
        </w:rPr>
      </w:pPr>
    </w:p>
    <w:p w:rsidR="0085440A" w:rsidRDefault="00EA74B3">
      <w:pPr>
        <w:pStyle w:val="BodyText3"/>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5440A">
        <w:rPr>
          <w:sz w:val="22"/>
          <w:szCs w:val="22"/>
        </w:rPr>
        <w:t>Margaret W. Wiener</w:t>
      </w:r>
    </w:p>
    <w:p w:rsidR="008A7B10" w:rsidRDefault="00EA74B3" w:rsidP="0085440A">
      <w:pPr>
        <w:pStyle w:val="BodyText3"/>
        <w:ind w:left="3600" w:firstLine="720"/>
        <w:jc w:val="left"/>
        <w:rPr>
          <w:sz w:val="22"/>
          <w:szCs w:val="22"/>
        </w:rPr>
      </w:pPr>
      <w:r>
        <w:rPr>
          <w:sz w:val="22"/>
          <w:szCs w:val="22"/>
        </w:rPr>
        <w:t>Chief</w:t>
      </w:r>
    </w:p>
    <w:p w:rsidR="008A7B10" w:rsidRDefault="00EA74B3">
      <w:pPr>
        <w:pStyle w:val="BodyText3"/>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Auctions and Spectrum Access Division</w:t>
      </w:r>
    </w:p>
    <w:p w:rsidR="008A7B10" w:rsidRDefault="00EA74B3">
      <w:pPr>
        <w:pStyle w:val="BodyText3"/>
        <w:jc w:val="left"/>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p w:rsidR="008A7B10" w:rsidRDefault="008A7B10">
      <w:pPr>
        <w:pStyle w:val="BodyText3"/>
        <w:jc w:val="left"/>
        <w:rPr>
          <w:sz w:val="22"/>
        </w:rPr>
      </w:pPr>
    </w:p>
    <w:p w:rsidR="00EA74B3" w:rsidRDefault="00EA74B3">
      <w:pPr>
        <w:pStyle w:val="BodyText3"/>
        <w:jc w:val="left"/>
        <w:rPr>
          <w:sz w:val="22"/>
        </w:rPr>
      </w:pPr>
    </w:p>
    <w:sectPr w:rsidR="00EA74B3">
      <w:headerReference w:type="even" r:id="rId8"/>
      <w:headerReference w:type="default" r:id="rId9"/>
      <w:footerReference w:type="even" r:id="rId10"/>
      <w:footerReference w:type="default" r:id="rId11"/>
      <w:headerReference w:type="first" r:id="rId12"/>
      <w:footerReference w:type="first" r:id="rId13"/>
      <w:pgSz w:w="12240" w:h="15840" w:code="1"/>
      <w:pgMar w:top="731" w:right="1440" w:bottom="1080" w:left="1440" w:header="720" w:footer="54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A3" w:rsidRDefault="002E32A3">
      <w:r>
        <w:separator/>
      </w:r>
    </w:p>
  </w:endnote>
  <w:endnote w:type="continuationSeparator" w:id="0">
    <w:p w:rsidR="002E32A3" w:rsidRDefault="002E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10" w:rsidRDefault="00EA7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E4B">
      <w:rPr>
        <w:rStyle w:val="PageNumber"/>
        <w:noProof/>
      </w:rPr>
      <w:t>2</w:t>
    </w:r>
    <w:r>
      <w:rPr>
        <w:rStyle w:val="PageNumber"/>
      </w:rPr>
      <w:fldChar w:fldCharType="end"/>
    </w:r>
  </w:p>
  <w:p w:rsidR="008A7B10" w:rsidRDefault="008A7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4B" w:rsidRDefault="00920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4B" w:rsidRDefault="0092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A3" w:rsidRDefault="002E32A3">
      <w:r>
        <w:separator/>
      </w:r>
    </w:p>
  </w:footnote>
  <w:footnote w:type="continuationSeparator" w:id="0">
    <w:p w:rsidR="002E32A3" w:rsidRDefault="002E32A3">
      <w:r>
        <w:continuationSeparator/>
      </w:r>
    </w:p>
  </w:footnote>
  <w:footnote w:id="1">
    <w:p w:rsidR="00EA4C70" w:rsidRPr="00584225" w:rsidRDefault="00EA74B3" w:rsidP="003F342D">
      <w:pPr>
        <w:pStyle w:val="FootnoteText"/>
        <w:spacing w:after="120"/>
      </w:pPr>
      <w:r w:rsidRPr="00EA4C70">
        <w:rPr>
          <w:rStyle w:val="FootnoteReference"/>
        </w:rPr>
        <w:footnoteRef/>
      </w:r>
      <w:r w:rsidRPr="00EA4C70">
        <w:t xml:space="preserve"> </w:t>
      </w:r>
      <w:r w:rsidR="00BA7FA0">
        <w:t xml:space="preserve">47 C.F.R. § 1.2106.  An identical request was submitted in </w:t>
      </w:r>
      <w:r w:rsidR="004E2D5C">
        <w:t>each Appli</w:t>
      </w:r>
      <w:r w:rsidR="00AA5275">
        <w:t>c</w:t>
      </w:r>
      <w:r w:rsidR="004E2D5C">
        <w:t>ant’s</w:t>
      </w:r>
      <w:r w:rsidR="00AA5275">
        <w:t xml:space="preserve"> Auction 95</w:t>
      </w:r>
      <w:r w:rsidR="004E2D5C">
        <w:t xml:space="preserve"> </w:t>
      </w:r>
      <w:r w:rsidR="00AA5275">
        <w:t>short-form application (</w:t>
      </w:r>
      <w:r w:rsidR="004E2D5C">
        <w:t xml:space="preserve">application </w:t>
      </w:r>
      <w:r w:rsidR="00BA7FA0">
        <w:t>to participate in Auction 95</w:t>
      </w:r>
      <w:r w:rsidR="004E2D5C">
        <w:t>)</w:t>
      </w:r>
      <w:r w:rsidR="00BA7FA0">
        <w:t xml:space="preserve">.  </w:t>
      </w:r>
      <w:r w:rsidR="004E2D5C">
        <w:t xml:space="preserve">FCC Form 175 applications of </w:t>
      </w:r>
      <w:r w:rsidR="00BA2221" w:rsidRPr="00EA4C70">
        <w:t>ENL, SSF, V2G</w:t>
      </w:r>
      <w:r w:rsidRPr="00EA4C70">
        <w:t xml:space="preserve"> – </w:t>
      </w:r>
      <w:r w:rsidRPr="00584225">
        <w:t>Re</w:t>
      </w:r>
      <w:r w:rsidR="00BA2221" w:rsidRPr="00584225">
        <w:t>quest for Waiver, submitted May 9, 2013</w:t>
      </w:r>
      <w:r w:rsidRPr="00584225">
        <w:t xml:space="preserve"> (Waiver Request</w:t>
      </w:r>
      <w:r w:rsidR="003706DB">
        <w:t>s</w:t>
      </w:r>
      <w:r w:rsidRPr="00584225">
        <w:t xml:space="preserve">). </w:t>
      </w:r>
      <w:r w:rsidR="00351975">
        <w:t xml:space="preserve">   </w:t>
      </w:r>
    </w:p>
  </w:footnote>
  <w:footnote w:id="2">
    <w:p w:rsidR="00EA4C70" w:rsidRPr="00584225" w:rsidRDefault="00EA4C70" w:rsidP="003F342D">
      <w:pPr>
        <w:pStyle w:val="FootnoteText"/>
        <w:spacing w:after="120"/>
      </w:pPr>
      <w:r w:rsidRPr="00584225">
        <w:rPr>
          <w:rStyle w:val="FootnoteReference"/>
        </w:rPr>
        <w:footnoteRef/>
      </w:r>
      <w:r w:rsidRPr="00584225">
        <w:t xml:space="preserve"> </w:t>
      </w:r>
      <w:r w:rsidRPr="00584225">
        <w:rPr>
          <w:i/>
        </w:rPr>
        <w:t>See</w:t>
      </w:r>
      <w:r w:rsidRPr="00584225">
        <w:t xml:space="preserve"> 47 C.F.R. § 1.2106(a) (a former defaulter may participate in an auction so long as it is otherwise qualified and submits an upfront payment that is fifty percent more than would otherwise be necessary).</w:t>
      </w:r>
    </w:p>
  </w:footnote>
  <w:footnote w:id="3">
    <w:p w:rsidR="00AA5275" w:rsidRDefault="00AA5275" w:rsidP="00AA5275">
      <w:pPr>
        <w:pStyle w:val="FootnoteText"/>
        <w:spacing w:after="120"/>
      </w:pPr>
      <w:r>
        <w:rPr>
          <w:rStyle w:val="FootnoteReference"/>
        </w:rPr>
        <w:footnoteRef/>
      </w:r>
      <w:r>
        <w:t xml:space="preserve"> </w:t>
      </w:r>
      <w:r w:rsidRPr="00AF2200">
        <w:rPr>
          <w:i/>
        </w:rPr>
        <w:t>See</w:t>
      </w:r>
      <w:r>
        <w:t xml:space="preserve"> 47 C.F.R. § 1.925(b)(3) (The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  </w:t>
      </w:r>
    </w:p>
  </w:footnote>
  <w:footnote w:id="4">
    <w:p w:rsidR="008A7B10" w:rsidRDefault="00EA74B3">
      <w:pPr>
        <w:pStyle w:val="FootnoteText"/>
        <w:spacing w:after="120"/>
      </w:pPr>
      <w:r>
        <w:rPr>
          <w:rStyle w:val="FootnoteReference"/>
        </w:rPr>
        <w:footnoteRef/>
      </w:r>
      <w:r>
        <w:t xml:space="preserve"> 47 C.F.R. § 0.331.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4B" w:rsidRDefault="00920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10" w:rsidRDefault="00EA74B3">
    <w:pPr>
      <w:pStyle w:val="Header"/>
      <w:tabs>
        <w:tab w:val="clear" w:pos="8640"/>
        <w:tab w:val="right" w:pos="9180"/>
      </w:tabs>
    </w:pPr>
    <w:r>
      <w:t xml:space="preserve">Mr. </w:t>
    </w:r>
    <w:r w:rsidR="006150CE">
      <w:t>Warren C. Havens</w:t>
    </w:r>
  </w:p>
  <w:p w:rsidR="008A7B10" w:rsidRDefault="001E140C">
    <w:pPr>
      <w:pStyle w:val="Header"/>
    </w:pPr>
    <w:r>
      <w:t>June</w:t>
    </w:r>
    <w:r w:rsidR="006150CE">
      <w:t xml:space="preserve"> </w:t>
    </w:r>
    <w:r w:rsidR="0085440A">
      <w:t>7</w:t>
    </w:r>
    <w:r w:rsidR="006150CE">
      <w:t>, 2013</w:t>
    </w:r>
  </w:p>
  <w:p w:rsidR="008A7B10" w:rsidRDefault="00EA74B3">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94622">
      <w:rPr>
        <w:noProof/>
        <w:snapToGrid w:val="0"/>
      </w:rPr>
      <w:t>2</w:t>
    </w:r>
    <w:r>
      <w:rPr>
        <w:snapToGrid w:val="0"/>
      </w:rPr>
      <w:fldChar w:fldCharType="end"/>
    </w:r>
  </w:p>
  <w:p w:rsidR="008A7B10" w:rsidRDefault="008A7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10" w:rsidRDefault="00206126">
    <w:pPr>
      <w:rPr>
        <w:sz w:val="16"/>
        <w:szCs w:val="16"/>
      </w:rPr>
    </w:pPr>
    <w:r>
      <w:rPr>
        <w:noProof/>
        <w:sz w:val="16"/>
        <w:szCs w:val="16"/>
      </w:rPr>
      <mc:AlternateContent>
        <mc:Choice Requires="wpc">
          <w:drawing>
            <wp:anchor distT="0" distB="0" distL="114300" distR="114300" simplePos="0" relativeHeight="251657216" behindDoc="0" locked="0" layoutInCell="1" allowOverlap="1">
              <wp:simplePos x="0" y="0"/>
              <wp:positionH relativeFrom="column">
                <wp:posOffset>-66675</wp:posOffset>
              </wp:positionH>
              <wp:positionV relativeFrom="paragraph">
                <wp:posOffset>2540</wp:posOffset>
              </wp:positionV>
              <wp:extent cx="826770" cy="979170"/>
              <wp:effectExtent l="0" t="0" r="0"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
                      <wps:cNvSpPr>
                        <a:spLocks noChangeArrowheads="1"/>
                      </wps:cNvSpPr>
                      <wps:spPr bwMode="auto">
                        <a:xfrm>
                          <a:off x="0" y="81851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10" w:rsidRDefault="00EA74B3">
                            <w:r>
                              <w:rPr>
                                <w:color w:val="000000"/>
                                <w:sz w:val="24"/>
                                <w:szCs w:val="24"/>
                              </w:rPr>
                              <w:t xml:space="preserve"> </w:t>
                            </w:r>
                          </w:p>
                        </w:txbxContent>
                      </wps:txbx>
                      <wps:bodyPr rot="0" vert="horz" wrap="none" lIns="0" tIns="0" rIns="0" bIns="0" anchor="t" anchorCtr="0" upright="1">
                        <a:spAutoFit/>
                      </wps:bodyPr>
                    </wps:wsp>
                    <wps:wsp>
                      <wps:cNvPr id="3" name="Rectangle 4"/>
                      <wps:cNvSpPr>
                        <a:spLocks noChangeArrowheads="1"/>
                      </wps:cNvSpPr>
                      <wps:spPr bwMode="auto">
                        <a:xfrm>
                          <a:off x="3810" y="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10" w:rsidRDefault="00EA74B3">
                            <w:r>
                              <w:rPr>
                                <w:color w:val="000000"/>
                                <w:sz w:val="24"/>
                                <w:szCs w:val="24"/>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5.25pt;margin-top:.2pt;width:65.1pt;height:77.1pt;z-index:251657216" coordsize="8267,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67;height:9791;visibility:visible;mso-wrap-style:square">
                <v:fill o:detectmouseclick="t"/>
                <v:path o:connecttype="none"/>
              </v:shape>
              <v:rect id="Rectangle 3" o:spid="_x0000_s1028" style="position:absolute;top:8185;width:38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A7B10" w:rsidRDefault="00EA74B3">
                      <w:r>
                        <w:rPr>
                          <w:color w:val="000000"/>
                          <w:sz w:val="24"/>
                          <w:szCs w:val="24"/>
                        </w:rPr>
                        <w:t xml:space="preserve"> </w:t>
                      </w:r>
                    </w:p>
                  </w:txbxContent>
                </v:textbox>
              </v:rect>
              <v:rect id="Rectangle 4" o:spid="_x0000_s1029" style="position:absolute;left:38;width:38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A7B10" w:rsidRDefault="00EA74B3">
                      <w:r>
                        <w:rPr>
                          <w:color w:val="000000"/>
                          <w:sz w:val="24"/>
                          <w:szCs w:val="24"/>
                        </w:rPr>
                        <w:t xml:space="preserve"> </w:t>
                      </w:r>
                    </w:p>
                  </w:txbxContent>
                </v:textbox>
              </v:rect>
            </v:group>
          </w:pict>
        </mc:Fallback>
      </mc:AlternateContent>
    </w:r>
  </w:p>
  <w:p w:rsidR="008A7B10" w:rsidRDefault="00206126">
    <w:pPr>
      <w:tabs>
        <w:tab w:val="center" w:pos="4680"/>
      </w:tabs>
      <w:suppressAutoHyphens/>
      <w:rPr>
        <w:sz w:val="24"/>
      </w:rPr>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0</wp:posOffset>
              </wp:positionV>
              <wp:extent cx="751840" cy="7448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A7B10" w:rsidRDefault="008A7B10">
                          <w:pPr>
                            <w:tabs>
                              <w:tab w:val="left" w:pos="-720"/>
                            </w:tabs>
                            <w:suppressAutoHyphens/>
                            <w:jc w:val="both"/>
                            <w:rPr>
                              <w:sz w:val="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5pt;margin-top:0;width:59.2pt;height:58.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" o:allowincell="f" filled="f" stroked="f" strokeweight="0">
              <v:textbox style="mso-fit-shape-to-text:t" inset="0,0,0,0">
                <w:txbxContent>
                  <w:p w:rsidR="008A7B10" w:rsidRDefault="008A7B10">
                    <w:pPr>
                      <w:tabs>
                        <w:tab w:val="left" w:pos="-720"/>
                      </w:tabs>
                      <w:suppressAutoHyphens/>
                      <w:jc w:val="both"/>
                      <w:rPr>
                        <w:sz w:val="2"/>
                      </w:rPr>
                    </w:pPr>
                  </w:p>
                </w:txbxContent>
              </v:textbox>
              <w10:wrap anchorx="margin"/>
            </v:rect>
          </w:pict>
        </mc:Fallback>
      </mc:AlternateContent>
    </w:r>
    <w:r w:rsidR="00EA74B3">
      <w:rPr>
        <w:b/>
        <w:sz w:val="29"/>
      </w:rPr>
      <w:tab/>
      <w:t>Federal Communications Commission</w:t>
    </w:r>
  </w:p>
  <w:p w:rsidR="008A7B10" w:rsidRDefault="00EA74B3">
    <w:pPr>
      <w:tabs>
        <w:tab w:val="center" w:pos="4680"/>
      </w:tabs>
      <w:suppressAutoHyphens/>
      <w:rPr>
        <w:sz w:val="28"/>
        <w:szCs w:val="28"/>
      </w:rPr>
    </w:pPr>
    <w:r>
      <w:rPr>
        <w:sz w:val="24"/>
      </w:rPr>
      <w:tab/>
    </w:r>
    <w:smartTag w:uri="urn:schemas-microsoft-com:office:smarttags" w:element="place">
      <w:smartTag w:uri="urn:schemas-microsoft-com:office:smarttags" w:element="City">
        <w:r>
          <w:rPr>
            <w:sz w:val="28"/>
            <w:szCs w:val="28"/>
          </w:rPr>
          <w:t>Washington</w:t>
        </w:r>
      </w:smartTag>
      <w:r>
        <w:rPr>
          <w:sz w:val="28"/>
          <w:szCs w:val="28"/>
        </w:rPr>
        <w:t xml:space="preserve">, </w:t>
      </w:r>
      <w:smartTag w:uri="urn:schemas-microsoft-com:office:smarttags" w:element="State">
        <w:r>
          <w:rPr>
            <w:sz w:val="28"/>
            <w:szCs w:val="28"/>
          </w:rPr>
          <w:t>D.C.</w:t>
        </w:r>
      </w:smartTag>
      <w:r>
        <w:rPr>
          <w:sz w:val="28"/>
          <w:szCs w:val="28"/>
        </w:rPr>
        <w:t xml:space="preserve"> </w:t>
      </w:r>
      <w:smartTag w:uri="urn:schemas-microsoft-com:office:smarttags" w:element="PostalCode">
        <w:r>
          <w:rPr>
            <w:sz w:val="28"/>
            <w:szCs w:val="28"/>
          </w:rPr>
          <w:t>20554</w:t>
        </w:r>
      </w:smartTag>
    </w:smartTag>
  </w:p>
  <w:p w:rsidR="008A7B10" w:rsidRDefault="008A7B10">
    <w:pPr>
      <w:tabs>
        <w:tab w:val="left" w:pos="-720"/>
      </w:tabs>
      <w:suppressAutoHyphens/>
      <w:rPr>
        <w:sz w:val="24"/>
      </w:rPr>
    </w:pPr>
  </w:p>
  <w:p w:rsidR="008A7B10" w:rsidRDefault="00EA74B3">
    <w:pPr>
      <w:tabs>
        <w:tab w:val="center" w:pos="4680"/>
      </w:tabs>
      <w:suppressAutoHyphen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B4"/>
    <w:rsid w:val="001B2441"/>
    <w:rsid w:val="001D2097"/>
    <w:rsid w:val="001E140C"/>
    <w:rsid w:val="00206126"/>
    <w:rsid w:val="00211744"/>
    <w:rsid w:val="002E32A3"/>
    <w:rsid w:val="00314DE8"/>
    <w:rsid w:val="00351975"/>
    <w:rsid w:val="003706DB"/>
    <w:rsid w:val="003A3DAC"/>
    <w:rsid w:val="003F342D"/>
    <w:rsid w:val="00453C45"/>
    <w:rsid w:val="004770FC"/>
    <w:rsid w:val="004B0E12"/>
    <w:rsid w:val="004E2D5C"/>
    <w:rsid w:val="0051476E"/>
    <w:rsid w:val="00584225"/>
    <w:rsid w:val="006150CE"/>
    <w:rsid w:val="00694622"/>
    <w:rsid w:val="007278AC"/>
    <w:rsid w:val="0085440A"/>
    <w:rsid w:val="008A7B10"/>
    <w:rsid w:val="00920E4B"/>
    <w:rsid w:val="00966BF2"/>
    <w:rsid w:val="00A56A15"/>
    <w:rsid w:val="00AA5275"/>
    <w:rsid w:val="00AC63A3"/>
    <w:rsid w:val="00AD707E"/>
    <w:rsid w:val="00AF2200"/>
    <w:rsid w:val="00B975A5"/>
    <w:rsid w:val="00BA2221"/>
    <w:rsid w:val="00BA7FA0"/>
    <w:rsid w:val="00CB4E32"/>
    <w:rsid w:val="00CC534D"/>
    <w:rsid w:val="00D275EC"/>
    <w:rsid w:val="00D36618"/>
    <w:rsid w:val="00E74DE3"/>
    <w:rsid w:val="00EA4C70"/>
    <w:rsid w:val="00EA74B3"/>
    <w:rsid w:val="00EA7A46"/>
    <w:rsid w:val="00ED59B4"/>
    <w:rsid w:val="00F30296"/>
    <w:rsid w:val="00FE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3">
    <w:name w:val="Body Text 3"/>
    <w:basedOn w:val="Normal"/>
    <w:pPr>
      <w:jc w:val="both"/>
    </w:pPr>
    <w:rPr>
      <w:sz w:val="24"/>
    </w:r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ft"/>
    <w:basedOn w:val="Normal"/>
    <w:link w:val="FootnoteTextChar2"/>
    <w:semiHidden/>
    <w:rPr>
      <w:sz w:val="20"/>
    </w:rPr>
  </w:style>
  <w:style w:type="paragraph" w:styleId="NormalWeb">
    <w:name w:val="Normal (Web)"/>
    <w:basedOn w:val="Normal"/>
    <w:pPr>
      <w:spacing w:before="100" w:beforeAutospacing="1" w:after="100" w:afterAutospacing="1"/>
    </w:pPr>
    <w:rPr>
      <w:sz w:val="24"/>
      <w:szCs w:val="24"/>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ft Char"/>
    <w:basedOn w:val="DefaultParagraphFont"/>
    <w:link w:val="FootnoteText"/>
    <w:rPr>
      <w:lang w:val="en-US" w:eastAsia="en-US" w:bidi="ar-SA"/>
    </w:r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Date">
    <w:name w:val="Date"/>
    <w:basedOn w:val="Normal"/>
    <w:next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
    <w:rsid w:val="00351975"/>
    <w:rPr>
      <w:lang w:val="en-US" w:eastAsia="en-US" w:bidi="ar-SA"/>
    </w:rPr>
  </w:style>
  <w:style w:type="character" w:styleId="CommentReference">
    <w:name w:val="annotation reference"/>
    <w:basedOn w:val="DefaultParagraphFont"/>
    <w:rsid w:val="003706DB"/>
    <w:rPr>
      <w:sz w:val="16"/>
      <w:szCs w:val="16"/>
    </w:rPr>
  </w:style>
  <w:style w:type="paragraph" w:styleId="CommentText">
    <w:name w:val="annotation text"/>
    <w:basedOn w:val="Normal"/>
    <w:link w:val="CommentTextChar"/>
    <w:rsid w:val="003706DB"/>
    <w:rPr>
      <w:sz w:val="20"/>
    </w:rPr>
  </w:style>
  <w:style w:type="character" w:customStyle="1" w:styleId="CommentTextChar">
    <w:name w:val="Comment Text Char"/>
    <w:basedOn w:val="DefaultParagraphFont"/>
    <w:link w:val="CommentText"/>
    <w:rsid w:val="003706DB"/>
  </w:style>
  <w:style w:type="paragraph" w:styleId="CommentSubject">
    <w:name w:val="annotation subject"/>
    <w:basedOn w:val="CommentText"/>
    <w:next w:val="CommentText"/>
    <w:link w:val="CommentSubjectChar"/>
    <w:rsid w:val="003706DB"/>
    <w:rPr>
      <w:b/>
      <w:bCs/>
    </w:rPr>
  </w:style>
  <w:style w:type="character" w:customStyle="1" w:styleId="CommentSubjectChar">
    <w:name w:val="Comment Subject Char"/>
    <w:basedOn w:val="CommentTextChar"/>
    <w:link w:val="CommentSubject"/>
    <w:rsid w:val="00370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3">
    <w:name w:val="Body Text 3"/>
    <w:basedOn w:val="Normal"/>
    <w:pPr>
      <w:jc w:val="both"/>
    </w:pPr>
    <w:rPr>
      <w:sz w:val="24"/>
    </w:r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ft"/>
    <w:basedOn w:val="Normal"/>
    <w:link w:val="FootnoteTextChar2"/>
    <w:semiHidden/>
    <w:rPr>
      <w:sz w:val="20"/>
    </w:rPr>
  </w:style>
  <w:style w:type="paragraph" w:styleId="NormalWeb">
    <w:name w:val="Normal (Web)"/>
    <w:basedOn w:val="Normal"/>
    <w:pPr>
      <w:spacing w:before="100" w:beforeAutospacing="1" w:after="100" w:afterAutospacing="1"/>
    </w:pPr>
    <w:rPr>
      <w:sz w:val="24"/>
      <w:szCs w:val="24"/>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ft Char"/>
    <w:basedOn w:val="DefaultParagraphFont"/>
    <w:link w:val="FootnoteText"/>
    <w:rPr>
      <w:lang w:val="en-US" w:eastAsia="en-US" w:bidi="ar-SA"/>
    </w:r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Date">
    <w:name w:val="Date"/>
    <w:basedOn w:val="Normal"/>
    <w:next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
    <w:rsid w:val="00351975"/>
    <w:rPr>
      <w:lang w:val="en-US" w:eastAsia="en-US" w:bidi="ar-SA"/>
    </w:rPr>
  </w:style>
  <w:style w:type="character" w:styleId="CommentReference">
    <w:name w:val="annotation reference"/>
    <w:basedOn w:val="DefaultParagraphFont"/>
    <w:rsid w:val="003706DB"/>
    <w:rPr>
      <w:sz w:val="16"/>
      <w:szCs w:val="16"/>
    </w:rPr>
  </w:style>
  <w:style w:type="paragraph" w:styleId="CommentText">
    <w:name w:val="annotation text"/>
    <w:basedOn w:val="Normal"/>
    <w:link w:val="CommentTextChar"/>
    <w:rsid w:val="003706DB"/>
    <w:rPr>
      <w:sz w:val="20"/>
    </w:rPr>
  </w:style>
  <w:style w:type="character" w:customStyle="1" w:styleId="CommentTextChar">
    <w:name w:val="Comment Text Char"/>
    <w:basedOn w:val="DefaultParagraphFont"/>
    <w:link w:val="CommentText"/>
    <w:rsid w:val="003706DB"/>
  </w:style>
  <w:style w:type="paragraph" w:styleId="CommentSubject">
    <w:name w:val="annotation subject"/>
    <w:basedOn w:val="CommentText"/>
    <w:next w:val="CommentText"/>
    <w:link w:val="CommentSubjectChar"/>
    <w:rsid w:val="003706DB"/>
    <w:rPr>
      <w:b/>
      <w:bCs/>
    </w:rPr>
  </w:style>
  <w:style w:type="character" w:customStyle="1" w:styleId="CommentSubjectChar">
    <w:name w:val="Comment Subject Char"/>
    <w:basedOn w:val="CommentTextChar"/>
    <w:link w:val="CommentSubject"/>
    <w:rsid w:val="00370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91192">
      <w:bodyDiv w:val="1"/>
      <w:marLeft w:val="0"/>
      <w:marRight w:val="0"/>
      <w:marTop w:val="30"/>
      <w:marBottom w:val="750"/>
      <w:divBdr>
        <w:top w:val="none" w:sz="0" w:space="0" w:color="auto"/>
        <w:left w:val="none" w:sz="0" w:space="0" w:color="auto"/>
        <w:bottom w:val="none" w:sz="0" w:space="0" w:color="auto"/>
        <w:right w:val="none" w:sz="0" w:space="0" w:color="auto"/>
      </w:divBdr>
      <w:divsChild>
        <w:div w:id="89431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2084</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2010-07-07T22:00:00Z</cp:lastPrinted>
  <dcterms:created xsi:type="dcterms:W3CDTF">2013-06-07T18:38:00Z</dcterms:created>
  <dcterms:modified xsi:type="dcterms:W3CDTF">2013-06-07T18:38:00Z</dcterms:modified>
  <cp:category> </cp:category>
  <cp:contentStatus> </cp:contentStatus>
</cp:coreProperties>
</file>