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2E" w:rsidRDefault="00F32D2E" w:rsidP="00F32D2E">
      <w:pPr>
        <w:ind w:left="6480" w:firstLine="720"/>
        <w:jc w:val="right"/>
        <w:outlineLvl w:val="0"/>
        <w:rPr>
          <w:b/>
          <w:bCs/>
          <w:sz w:val="22"/>
          <w:szCs w:val="22"/>
        </w:rPr>
        <w:sectPr w:rsidR="00F32D2E" w:rsidSect="00F32D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72"/>
        </w:sectPr>
      </w:pPr>
      <w:bookmarkStart w:id="1" w:name="_GoBack"/>
      <w:bookmarkEnd w:id="1"/>
    </w:p>
    <w:p w:rsidR="00CE66D3" w:rsidRPr="00843776" w:rsidRDefault="00622482" w:rsidP="00F32D2E">
      <w:pPr>
        <w:ind w:left="6480" w:firstLine="720"/>
        <w:jc w:val="right"/>
        <w:outlineLvl w:val="0"/>
        <w:rPr>
          <w:b/>
          <w:bCs/>
          <w:sz w:val="22"/>
          <w:szCs w:val="22"/>
        </w:rPr>
      </w:pPr>
      <w:r w:rsidRPr="00843776">
        <w:rPr>
          <w:b/>
          <w:bCs/>
          <w:sz w:val="22"/>
          <w:szCs w:val="22"/>
        </w:rPr>
        <w:lastRenderedPageBreak/>
        <w:t>DA 1</w:t>
      </w:r>
      <w:r w:rsidR="00EE6837" w:rsidRPr="00843776">
        <w:rPr>
          <w:b/>
          <w:bCs/>
          <w:sz w:val="22"/>
          <w:szCs w:val="22"/>
        </w:rPr>
        <w:t>3</w:t>
      </w:r>
      <w:r w:rsidRPr="00843776">
        <w:rPr>
          <w:b/>
          <w:bCs/>
          <w:sz w:val="22"/>
          <w:szCs w:val="22"/>
        </w:rPr>
        <w:t>-</w:t>
      </w:r>
      <w:r w:rsidR="00181952">
        <w:rPr>
          <w:b/>
          <w:bCs/>
          <w:sz w:val="22"/>
          <w:szCs w:val="22"/>
        </w:rPr>
        <w:t>1336</w:t>
      </w:r>
    </w:p>
    <w:p w:rsidR="00622482" w:rsidRPr="00843776" w:rsidRDefault="00622482" w:rsidP="00F32D2E">
      <w:pPr>
        <w:outlineLvl w:val="0"/>
        <w:rPr>
          <w:b/>
          <w:bCs/>
          <w:sz w:val="22"/>
          <w:szCs w:val="22"/>
        </w:rPr>
      </w:pP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t xml:space="preserve"> </w:t>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005A64E6">
        <w:rPr>
          <w:b/>
          <w:bCs/>
          <w:sz w:val="22"/>
          <w:szCs w:val="22"/>
        </w:rPr>
        <w:t xml:space="preserve">Released: </w:t>
      </w:r>
      <w:r w:rsidR="00CE66D3">
        <w:rPr>
          <w:b/>
          <w:bCs/>
          <w:sz w:val="22"/>
          <w:szCs w:val="22"/>
        </w:rPr>
        <w:t>June</w:t>
      </w:r>
      <w:r w:rsidR="004D740E">
        <w:rPr>
          <w:b/>
          <w:bCs/>
          <w:sz w:val="22"/>
          <w:szCs w:val="22"/>
        </w:rPr>
        <w:t xml:space="preserve"> 7, 2</w:t>
      </w:r>
      <w:r w:rsidR="00EE6837" w:rsidRPr="00843776">
        <w:rPr>
          <w:b/>
          <w:bCs/>
          <w:sz w:val="22"/>
          <w:szCs w:val="22"/>
        </w:rPr>
        <w:t>013</w:t>
      </w:r>
    </w:p>
    <w:p w:rsidR="00622482" w:rsidRPr="00843776" w:rsidRDefault="00622482" w:rsidP="00F32D2E">
      <w:pPr>
        <w:jc w:val="center"/>
        <w:outlineLvl w:val="0"/>
        <w:rPr>
          <w:bCs/>
          <w:sz w:val="22"/>
          <w:szCs w:val="22"/>
        </w:rPr>
      </w:pPr>
    </w:p>
    <w:p w:rsidR="00FC4CF4" w:rsidRPr="00843776" w:rsidRDefault="00622482" w:rsidP="00F32D2E">
      <w:pPr>
        <w:ind w:firstLine="720"/>
        <w:jc w:val="center"/>
        <w:outlineLvl w:val="0"/>
        <w:rPr>
          <w:b/>
          <w:bCs/>
          <w:sz w:val="22"/>
          <w:szCs w:val="22"/>
        </w:rPr>
      </w:pPr>
      <w:r w:rsidRPr="00843776">
        <w:rPr>
          <w:b/>
          <w:bCs/>
          <w:sz w:val="22"/>
          <w:szCs w:val="22"/>
        </w:rPr>
        <w:t xml:space="preserve">ANNOUNCING PROCEDURES FOR OBTAINING CONFIDENTIAL </w:t>
      </w:r>
    </w:p>
    <w:p w:rsidR="00FC4CF4" w:rsidRPr="00843776" w:rsidRDefault="00622482" w:rsidP="00F32D2E">
      <w:pPr>
        <w:ind w:firstLine="720"/>
        <w:jc w:val="center"/>
        <w:outlineLvl w:val="0"/>
        <w:rPr>
          <w:b/>
          <w:bCs/>
          <w:sz w:val="22"/>
          <w:szCs w:val="22"/>
        </w:rPr>
      </w:pPr>
      <w:r w:rsidRPr="00843776">
        <w:rPr>
          <w:b/>
          <w:bCs/>
          <w:sz w:val="22"/>
          <w:szCs w:val="22"/>
        </w:rPr>
        <w:t xml:space="preserve">INFORMATION FOR </w:t>
      </w:r>
      <w:r w:rsidR="00FC4CF4" w:rsidRPr="00843776">
        <w:rPr>
          <w:b/>
          <w:bCs/>
          <w:sz w:val="22"/>
          <w:szCs w:val="22"/>
        </w:rPr>
        <w:t xml:space="preserve">2013 </w:t>
      </w:r>
      <w:r w:rsidRPr="00843776">
        <w:rPr>
          <w:b/>
          <w:bCs/>
          <w:sz w:val="22"/>
          <w:szCs w:val="22"/>
        </w:rPr>
        <w:t>ANNUAL ACCESS CHARGE TARIFF FILING</w:t>
      </w:r>
      <w:r w:rsidR="009F1EC5" w:rsidRPr="00843776">
        <w:rPr>
          <w:b/>
          <w:bCs/>
          <w:sz w:val="22"/>
          <w:szCs w:val="22"/>
        </w:rPr>
        <w:t>S</w:t>
      </w:r>
    </w:p>
    <w:p w:rsidR="00622482" w:rsidRPr="00843776" w:rsidRDefault="009F1EC5" w:rsidP="00F32D2E">
      <w:pPr>
        <w:ind w:firstLine="720"/>
        <w:jc w:val="center"/>
        <w:outlineLvl w:val="0"/>
        <w:rPr>
          <w:b/>
          <w:bCs/>
          <w:sz w:val="22"/>
          <w:szCs w:val="22"/>
        </w:rPr>
      </w:pPr>
      <w:r w:rsidRPr="00843776">
        <w:rPr>
          <w:b/>
          <w:bCs/>
          <w:sz w:val="22"/>
          <w:szCs w:val="22"/>
        </w:rPr>
        <w:t xml:space="preserve"> </w:t>
      </w:r>
      <w:r w:rsidR="00F87B45" w:rsidRPr="00843776">
        <w:rPr>
          <w:b/>
          <w:bCs/>
          <w:sz w:val="22"/>
          <w:szCs w:val="22"/>
        </w:rPr>
        <w:t>AND CORRECTIONS</w:t>
      </w:r>
      <w:r w:rsidR="00FC4CF4" w:rsidRPr="00843776">
        <w:rPr>
          <w:b/>
          <w:bCs/>
          <w:sz w:val="22"/>
          <w:szCs w:val="22"/>
        </w:rPr>
        <w:t xml:space="preserve"> </w:t>
      </w:r>
      <w:r w:rsidR="00F87B45" w:rsidRPr="00843776">
        <w:rPr>
          <w:b/>
          <w:bCs/>
          <w:sz w:val="22"/>
          <w:szCs w:val="22"/>
        </w:rPr>
        <w:t>TO TRP SPREADSHEETS</w:t>
      </w:r>
    </w:p>
    <w:p w:rsidR="00622482" w:rsidRDefault="00622482" w:rsidP="00F32D2E">
      <w:pPr>
        <w:rPr>
          <w:sz w:val="22"/>
          <w:szCs w:val="22"/>
        </w:rPr>
      </w:pPr>
    </w:p>
    <w:p w:rsidR="009F1EC5" w:rsidRPr="009F1EC5" w:rsidRDefault="009F1EC5" w:rsidP="00F32D2E">
      <w:pPr>
        <w:jc w:val="center"/>
        <w:rPr>
          <w:b/>
          <w:sz w:val="22"/>
          <w:szCs w:val="22"/>
        </w:rPr>
      </w:pPr>
      <w:r w:rsidRPr="009F1EC5">
        <w:rPr>
          <w:b/>
          <w:sz w:val="22"/>
          <w:szCs w:val="22"/>
        </w:rPr>
        <w:t>WC Docket No. 13-76</w:t>
      </w:r>
    </w:p>
    <w:p w:rsidR="009F1EC5" w:rsidRPr="00B3163C" w:rsidRDefault="009F1EC5" w:rsidP="00F32D2E">
      <w:pPr>
        <w:rPr>
          <w:sz w:val="22"/>
          <w:szCs w:val="22"/>
        </w:rPr>
      </w:pPr>
    </w:p>
    <w:p w:rsidR="00CF7206" w:rsidRPr="00CF7206" w:rsidRDefault="00622482" w:rsidP="00F32D2E">
      <w:pPr>
        <w:rPr>
          <w:color w:val="1F497D"/>
          <w:sz w:val="22"/>
          <w:szCs w:val="22"/>
        </w:rPr>
      </w:pPr>
      <w:r w:rsidRPr="00B3163C">
        <w:rPr>
          <w:sz w:val="22"/>
          <w:szCs w:val="22"/>
        </w:rPr>
        <w:tab/>
      </w:r>
      <w:r w:rsidR="00CF7206" w:rsidRPr="00CF7206">
        <w:rPr>
          <w:sz w:val="22"/>
          <w:szCs w:val="22"/>
        </w:rPr>
        <w:t xml:space="preserve">On </w:t>
      </w:r>
      <w:r w:rsidR="004D740E">
        <w:rPr>
          <w:sz w:val="22"/>
          <w:szCs w:val="22"/>
        </w:rPr>
        <w:t>June 6,</w:t>
      </w:r>
      <w:r w:rsidR="00CF7206">
        <w:rPr>
          <w:sz w:val="22"/>
          <w:szCs w:val="22"/>
        </w:rPr>
        <w:t xml:space="preserve"> 2013,</w:t>
      </w:r>
      <w:r w:rsidR="00CF7206" w:rsidRPr="00CF7206">
        <w:rPr>
          <w:sz w:val="22"/>
          <w:szCs w:val="22"/>
        </w:rPr>
        <w:t xml:space="preserve"> we released a Public Notice that </w:t>
      </w:r>
      <w:r w:rsidR="00CF7206">
        <w:rPr>
          <w:sz w:val="22"/>
          <w:szCs w:val="22"/>
        </w:rPr>
        <w:t>announced procedures for obtaining confidential information for the 2013 Annual Access Charge Tariff Filings and provided some corrections to the TRP spreadsheets.</w:t>
      </w:r>
      <w:r w:rsidR="00CF7206">
        <w:rPr>
          <w:rStyle w:val="FootnoteReference"/>
        </w:rPr>
        <w:footnoteReference w:id="1"/>
      </w:r>
      <w:r w:rsidR="00CF7206">
        <w:rPr>
          <w:sz w:val="22"/>
          <w:szCs w:val="22"/>
        </w:rPr>
        <w:t xml:space="preserve">  </w:t>
      </w:r>
      <w:r w:rsidR="00CF7206" w:rsidRPr="00CF7206">
        <w:rPr>
          <w:sz w:val="22"/>
          <w:szCs w:val="22"/>
        </w:rPr>
        <w:t xml:space="preserve">This Public Notice </w:t>
      </w:r>
      <w:r w:rsidR="00CF7206">
        <w:rPr>
          <w:sz w:val="22"/>
          <w:szCs w:val="22"/>
        </w:rPr>
        <w:t xml:space="preserve">attaches a revised </w:t>
      </w:r>
      <w:r w:rsidR="004D740E">
        <w:rPr>
          <w:sz w:val="22"/>
          <w:szCs w:val="22"/>
        </w:rPr>
        <w:t>P</w:t>
      </w:r>
      <w:r w:rsidR="00CF7206">
        <w:rPr>
          <w:sz w:val="22"/>
          <w:szCs w:val="22"/>
        </w:rPr>
        <w:t xml:space="preserve">rotective </w:t>
      </w:r>
      <w:r w:rsidR="004D740E">
        <w:rPr>
          <w:sz w:val="22"/>
          <w:szCs w:val="22"/>
        </w:rPr>
        <w:t>O</w:t>
      </w:r>
      <w:r w:rsidR="00CF7206">
        <w:rPr>
          <w:sz w:val="22"/>
          <w:szCs w:val="22"/>
        </w:rPr>
        <w:t>rder</w:t>
      </w:r>
      <w:r w:rsidR="00CF7206" w:rsidRPr="00CF7206">
        <w:rPr>
          <w:sz w:val="22"/>
          <w:szCs w:val="22"/>
        </w:rPr>
        <w:t xml:space="preserve"> and </w:t>
      </w:r>
      <w:bookmarkStart w:id="2" w:name="SR;181"/>
      <w:bookmarkStart w:id="3" w:name="SearchTerm"/>
      <w:bookmarkEnd w:id="2"/>
      <w:bookmarkEnd w:id="3"/>
      <w:r w:rsidR="00CF7206" w:rsidRPr="00CF7206">
        <w:rPr>
          <w:rStyle w:val="searchterm"/>
          <w:sz w:val="22"/>
          <w:szCs w:val="22"/>
        </w:rPr>
        <w:t>supersedes</w:t>
      </w:r>
      <w:r w:rsidR="00CF7206" w:rsidRPr="00CF7206">
        <w:rPr>
          <w:sz w:val="22"/>
          <w:szCs w:val="22"/>
        </w:rPr>
        <w:t xml:space="preserve"> the </w:t>
      </w:r>
      <w:r w:rsidR="00CF7206" w:rsidRPr="00CF7206">
        <w:rPr>
          <w:i/>
          <w:sz w:val="22"/>
          <w:szCs w:val="22"/>
        </w:rPr>
        <w:t>June 6</w:t>
      </w:r>
      <w:r w:rsidR="00CF7206" w:rsidRPr="00CF7206">
        <w:rPr>
          <w:i/>
          <w:sz w:val="22"/>
          <w:szCs w:val="22"/>
          <w:vertAlign w:val="superscript"/>
        </w:rPr>
        <w:t>th</w:t>
      </w:r>
      <w:r w:rsidR="00CF7206">
        <w:rPr>
          <w:sz w:val="22"/>
          <w:szCs w:val="22"/>
        </w:rPr>
        <w:t xml:space="preserve"> </w:t>
      </w:r>
      <w:r w:rsidR="00CF7206" w:rsidRPr="00CF7206">
        <w:rPr>
          <w:i/>
          <w:sz w:val="22"/>
          <w:szCs w:val="22"/>
        </w:rPr>
        <w:t>Public Notice</w:t>
      </w:r>
      <w:r w:rsidR="00CF7206" w:rsidRPr="00F32D2E">
        <w:rPr>
          <w:iCs/>
          <w:sz w:val="22"/>
          <w:szCs w:val="22"/>
        </w:rPr>
        <w:t>.</w:t>
      </w:r>
    </w:p>
    <w:p w:rsidR="00622482" w:rsidRDefault="00622482" w:rsidP="00F32D2E">
      <w:pPr>
        <w:rPr>
          <w:sz w:val="22"/>
          <w:szCs w:val="22"/>
        </w:rPr>
      </w:pPr>
    </w:p>
    <w:p w:rsidR="00A3318D" w:rsidRPr="00A3318D" w:rsidRDefault="00A3318D" w:rsidP="00F32D2E">
      <w:pPr>
        <w:numPr>
          <w:ilvl w:val="0"/>
          <w:numId w:val="8"/>
        </w:numPr>
        <w:ind w:left="720"/>
        <w:rPr>
          <w:b/>
          <w:sz w:val="22"/>
          <w:szCs w:val="22"/>
        </w:rPr>
      </w:pPr>
      <w:r w:rsidRPr="00A3318D">
        <w:rPr>
          <w:b/>
          <w:sz w:val="22"/>
          <w:szCs w:val="22"/>
        </w:rPr>
        <w:t>Confidential Information</w:t>
      </w:r>
    </w:p>
    <w:p w:rsidR="005E116D" w:rsidRDefault="005E116D" w:rsidP="00F32D2E">
      <w:pPr>
        <w:rPr>
          <w:sz w:val="22"/>
          <w:szCs w:val="22"/>
        </w:rPr>
      </w:pPr>
    </w:p>
    <w:p w:rsidR="004170CD" w:rsidRDefault="004170CD" w:rsidP="00F32D2E">
      <w:pPr>
        <w:ind w:firstLine="810"/>
        <w:rPr>
          <w:sz w:val="22"/>
          <w:szCs w:val="22"/>
        </w:rPr>
      </w:pPr>
      <w:r w:rsidRPr="00B3163C">
        <w:rPr>
          <w:sz w:val="22"/>
          <w:szCs w:val="22"/>
        </w:rPr>
        <w:t>We expect that carriers will be requesting confidential treatment for certain data filed with the 201</w:t>
      </w:r>
      <w:r>
        <w:rPr>
          <w:sz w:val="22"/>
          <w:szCs w:val="22"/>
        </w:rPr>
        <w:t>3</w:t>
      </w:r>
      <w:r w:rsidRPr="00B3163C">
        <w:rPr>
          <w:sz w:val="22"/>
          <w:szCs w:val="22"/>
        </w:rPr>
        <w:t xml:space="preserve"> annual access charge tariff filing.</w:t>
      </w:r>
      <w:r w:rsidRPr="00B3163C">
        <w:rPr>
          <w:rStyle w:val="FootnoteReference"/>
          <w:sz w:val="22"/>
        </w:rPr>
        <w:footnoteReference w:id="2"/>
      </w:r>
      <w:r w:rsidRPr="00B3163C">
        <w:rPr>
          <w:sz w:val="22"/>
          <w:szCs w:val="22"/>
        </w:rPr>
        <w:t xml:space="preserve">  Because we </w:t>
      </w:r>
      <w:r>
        <w:rPr>
          <w:sz w:val="22"/>
          <w:szCs w:val="22"/>
        </w:rPr>
        <w:t>recognize that</w:t>
      </w:r>
      <w:r w:rsidRPr="00B3163C">
        <w:rPr>
          <w:sz w:val="22"/>
          <w:szCs w:val="22"/>
        </w:rPr>
        <w:t xml:space="preserve"> there may be a heightened interest in reviewing the confidential data of other carriers, we </w:t>
      </w:r>
      <w:r>
        <w:rPr>
          <w:sz w:val="22"/>
          <w:szCs w:val="22"/>
        </w:rPr>
        <w:t xml:space="preserve">note </w:t>
      </w:r>
      <w:r w:rsidRPr="00B3163C">
        <w:rPr>
          <w:sz w:val="22"/>
          <w:szCs w:val="22"/>
        </w:rPr>
        <w:t>the procedure that should be followed in requesting access to confidential information filed with a streamlined tariff.</w:t>
      </w:r>
      <w:r>
        <w:rPr>
          <w:sz w:val="22"/>
          <w:szCs w:val="22"/>
        </w:rPr>
        <w:t xml:space="preserve">  </w:t>
      </w:r>
    </w:p>
    <w:p w:rsidR="004170CD" w:rsidRDefault="004170CD" w:rsidP="00F32D2E">
      <w:pPr>
        <w:ind w:firstLine="810"/>
        <w:rPr>
          <w:sz w:val="22"/>
          <w:szCs w:val="22"/>
        </w:rPr>
      </w:pPr>
    </w:p>
    <w:p w:rsidR="004D740E" w:rsidRDefault="00CF7206" w:rsidP="00F32D2E">
      <w:pPr>
        <w:ind w:left="-90" w:firstLine="810"/>
        <w:rPr>
          <w:sz w:val="22"/>
          <w:szCs w:val="22"/>
        </w:rPr>
      </w:pPr>
      <w:r>
        <w:rPr>
          <w:sz w:val="22"/>
          <w:szCs w:val="22"/>
        </w:rPr>
        <w:t xml:space="preserve">In the </w:t>
      </w:r>
      <w:r>
        <w:rPr>
          <w:i/>
          <w:sz w:val="22"/>
          <w:szCs w:val="22"/>
        </w:rPr>
        <w:t>Tariff Streamlining Order</w:t>
      </w:r>
      <w:r>
        <w:rPr>
          <w:sz w:val="22"/>
          <w:szCs w:val="22"/>
        </w:rPr>
        <w:t>,</w:t>
      </w:r>
      <w:r>
        <w:rPr>
          <w:rStyle w:val="FootnoteReference"/>
          <w:sz w:val="22"/>
        </w:rPr>
        <w:footnoteReference w:id="3"/>
      </w:r>
      <w:r>
        <w:rPr>
          <w:sz w:val="22"/>
          <w:szCs w:val="22"/>
        </w:rPr>
        <w:t xml:space="preserve"> the Commission adopted a standard protective order for purposes of tariff review for tariffs filed pursuant to section 204(a)(3) of the Telecommunications Act.</w:t>
      </w:r>
      <w:r>
        <w:rPr>
          <w:rStyle w:val="FootnoteReference"/>
          <w:sz w:val="22"/>
        </w:rPr>
        <w:footnoteReference w:id="4"/>
      </w:r>
      <w:r>
        <w:rPr>
          <w:sz w:val="22"/>
          <w:szCs w:val="22"/>
        </w:rPr>
        <w:t xml:space="preserve"> Carriers should use the protective order contained in the </w:t>
      </w:r>
      <w:r>
        <w:rPr>
          <w:i/>
          <w:sz w:val="22"/>
          <w:szCs w:val="22"/>
        </w:rPr>
        <w:t>Tariff Streamlining Order</w:t>
      </w:r>
      <w:r>
        <w:rPr>
          <w:sz w:val="22"/>
          <w:szCs w:val="22"/>
        </w:rPr>
        <w:t xml:space="preserve"> for the purposes of obtaining access to confidential information filed in this year’s annual access charge tariff filing.</w:t>
      </w:r>
      <w:r>
        <w:rPr>
          <w:rStyle w:val="FootnoteReference"/>
          <w:sz w:val="22"/>
        </w:rPr>
        <w:footnoteReference w:id="5"/>
      </w:r>
      <w:r>
        <w:rPr>
          <w:sz w:val="22"/>
          <w:szCs w:val="22"/>
        </w:rPr>
        <w:t xml:space="preserve">  Because there will be limited time for review, we suggest that carriers complete the necessary declarations ahead of time to expedite obtaining and reviewing confidential information.  We have provided the protective order and declarations as </w:t>
      </w:r>
      <w:r w:rsidR="004D740E">
        <w:rPr>
          <w:sz w:val="22"/>
          <w:szCs w:val="22"/>
        </w:rPr>
        <w:t xml:space="preserve">an </w:t>
      </w:r>
      <w:r>
        <w:rPr>
          <w:sz w:val="22"/>
          <w:szCs w:val="22"/>
        </w:rPr>
        <w:t>Attachment to this Public Notice.</w:t>
      </w:r>
    </w:p>
    <w:p w:rsidR="004D740E" w:rsidRDefault="004D740E" w:rsidP="00F32D2E">
      <w:pPr>
        <w:rPr>
          <w:sz w:val="22"/>
          <w:szCs w:val="22"/>
        </w:rPr>
      </w:pPr>
    </w:p>
    <w:p w:rsidR="00A3318D" w:rsidRPr="00A3318D" w:rsidRDefault="00F87B45" w:rsidP="00F32D2E">
      <w:pPr>
        <w:numPr>
          <w:ilvl w:val="0"/>
          <w:numId w:val="8"/>
        </w:numPr>
        <w:ind w:left="720"/>
        <w:rPr>
          <w:b/>
          <w:sz w:val="22"/>
          <w:szCs w:val="22"/>
        </w:rPr>
      </w:pPr>
      <w:r>
        <w:rPr>
          <w:b/>
          <w:sz w:val="22"/>
          <w:szCs w:val="22"/>
        </w:rPr>
        <w:lastRenderedPageBreak/>
        <w:t>Corrections to the TRP Spreadsheets</w:t>
      </w:r>
    </w:p>
    <w:p w:rsidR="00A3318D" w:rsidRDefault="00A3318D" w:rsidP="00F32D2E">
      <w:pPr>
        <w:rPr>
          <w:sz w:val="22"/>
          <w:szCs w:val="22"/>
        </w:rPr>
      </w:pPr>
    </w:p>
    <w:p w:rsidR="00590B2B" w:rsidRDefault="004170CD" w:rsidP="00F32D2E">
      <w:pPr>
        <w:ind w:firstLine="720"/>
        <w:rPr>
          <w:sz w:val="22"/>
          <w:szCs w:val="22"/>
        </w:rPr>
      </w:pPr>
      <w:r>
        <w:rPr>
          <w:sz w:val="22"/>
          <w:szCs w:val="22"/>
        </w:rPr>
        <w:t xml:space="preserve">We also notify carriers that we have corrected an error in the Rate Ceiling CAF and Rate Ceiling No CAF worksheets contained in the long form TRP for both the price cap and rate-of-return carriers.  </w:t>
      </w:r>
      <w:r w:rsidRPr="004170CD">
        <w:rPr>
          <w:sz w:val="22"/>
          <w:szCs w:val="22"/>
        </w:rPr>
        <w:t xml:space="preserve">The error </w:t>
      </w:r>
      <w:r w:rsidR="00590B2B" w:rsidRPr="004170CD">
        <w:rPr>
          <w:sz w:val="22"/>
          <w:szCs w:val="22"/>
        </w:rPr>
        <w:t>occur</w:t>
      </w:r>
      <w:r w:rsidR="00590B2B">
        <w:rPr>
          <w:sz w:val="22"/>
          <w:szCs w:val="22"/>
        </w:rPr>
        <w:t>red</w:t>
      </w:r>
      <w:r w:rsidR="00590B2B" w:rsidRPr="004170CD">
        <w:rPr>
          <w:sz w:val="22"/>
          <w:szCs w:val="22"/>
        </w:rPr>
        <w:t xml:space="preserve"> in column C of the</w:t>
      </w:r>
      <w:r w:rsidR="00F87B45">
        <w:rPr>
          <w:sz w:val="22"/>
          <w:szCs w:val="22"/>
        </w:rPr>
        <w:t xml:space="preserve"> “</w:t>
      </w:r>
      <w:r w:rsidR="00590B2B" w:rsidRPr="004170CD">
        <w:rPr>
          <w:sz w:val="22"/>
          <w:szCs w:val="22"/>
        </w:rPr>
        <w:t>Max. ARC Revenue Calc” tab and on column C of the “CAF Calc” tab</w:t>
      </w:r>
      <w:r w:rsidR="00590B2B">
        <w:rPr>
          <w:sz w:val="22"/>
          <w:szCs w:val="22"/>
        </w:rPr>
        <w:t xml:space="preserve"> and</w:t>
      </w:r>
      <w:r w:rsidR="00590B2B" w:rsidRPr="004170CD">
        <w:rPr>
          <w:sz w:val="22"/>
          <w:szCs w:val="22"/>
        </w:rPr>
        <w:t xml:space="preserve"> </w:t>
      </w:r>
      <w:r w:rsidRPr="004170CD">
        <w:rPr>
          <w:sz w:val="22"/>
          <w:szCs w:val="22"/>
        </w:rPr>
        <w:t>cause</w:t>
      </w:r>
      <w:r>
        <w:rPr>
          <w:sz w:val="22"/>
          <w:szCs w:val="22"/>
        </w:rPr>
        <w:t>d</w:t>
      </w:r>
      <w:r w:rsidRPr="004170CD">
        <w:rPr>
          <w:sz w:val="22"/>
          <w:szCs w:val="22"/>
        </w:rPr>
        <w:t xml:space="preserve"> the Residential ARC Eligible Tariff Period Projected Lines to be based on the Total Current Year Rate Ceiling Composite Charges instead </w:t>
      </w:r>
      <w:r w:rsidR="00F87B45">
        <w:rPr>
          <w:sz w:val="22"/>
          <w:szCs w:val="22"/>
        </w:rPr>
        <w:t xml:space="preserve">of </w:t>
      </w:r>
      <w:r w:rsidRPr="004170CD">
        <w:rPr>
          <w:sz w:val="22"/>
          <w:szCs w:val="22"/>
        </w:rPr>
        <w:t>on the maximum of the Total Current Year Rate Ceiling Composite Charges and the Total 2012 Year Rate Ceiling Composite Charg</w:t>
      </w:r>
      <w:r w:rsidR="00590B2B">
        <w:rPr>
          <w:sz w:val="22"/>
          <w:szCs w:val="22"/>
        </w:rPr>
        <w:t>es.</w:t>
      </w:r>
      <w:r w:rsidR="00C01539">
        <w:rPr>
          <w:sz w:val="22"/>
          <w:szCs w:val="22"/>
        </w:rPr>
        <w:t xml:space="preserve"> </w:t>
      </w:r>
      <w:r w:rsidR="00590B2B">
        <w:rPr>
          <w:sz w:val="22"/>
          <w:szCs w:val="22"/>
        </w:rPr>
        <w:t xml:space="preserve"> These worksheets have been corrected and are available at </w:t>
      </w:r>
      <w:hyperlink r:id="rId14" w:history="1">
        <w:r w:rsidR="00F87B45" w:rsidRPr="00C01539">
          <w:rPr>
            <w:rStyle w:val="Hyperlink"/>
            <w:sz w:val="22"/>
            <w:szCs w:val="22"/>
          </w:rPr>
          <w:t>http://www.fcc.gov/encyclopedia/tariff-review-plans</w:t>
        </w:r>
      </w:hyperlink>
      <w:r w:rsidR="00F51A95">
        <w:rPr>
          <w:sz w:val="22"/>
          <w:szCs w:val="22"/>
        </w:rPr>
        <w:t>.</w:t>
      </w:r>
      <w:r w:rsidRPr="004170CD">
        <w:rPr>
          <w:sz w:val="22"/>
          <w:szCs w:val="22"/>
        </w:rPr>
        <w:t xml:space="preserve"> </w:t>
      </w:r>
    </w:p>
    <w:p w:rsidR="0047019D" w:rsidRDefault="0047019D" w:rsidP="00F32D2E">
      <w:pPr>
        <w:contextualSpacing/>
        <w:jc w:val="center"/>
        <w:rPr>
          <w:rFonts w:eastAsia="Calibri"/>
          <w:sz w:val="22"/>
          <w:szCs w:val="22"/>
        </w:rPr>
      </w:pPr>
    </w:p>
    <w:p w:rsidR="00C01539" w:rsidRDefault="00590B2B" w:rsidP="00F32D2E">
      <w:pPr>
        <w:contextualSpacing/>
        <w:jc w:val="center"/>
        <w:rPr>
          <w:rFonts w:eastAsia="Calibri"/>
          <w:b/>
          <w:sz w:val="22"/>
          <w:szCs w:val="22"/>
        </w:rPr>
      </w:pPr>
      <w:r w:rsidRPr="002B48AB">
        <w:rPr>
          <w:rFonts w:eastAsia="Calibri"/>
          <w:b/>
          <w:sz w:val="22"/>
          <w:szCs w:val="22"/>
        </w:rPr>
        <w:t xml:space="preserve">- FCC </w:t>
      </w:r>
      <w:r w:rsidR="00C01539">
        <w:rPr>
          <w:rFonts w:eastAsia="Calibri"/>
          <w:b/>
          <w:sz w:val="22"/>
          <w:szCs w:val="22"/>
        </w:rPr>
        <w:t>–</w:t>
      </w:r>
    </w:p>
    <w:p w:rsidR="00C01539" w:rsidRDefault="00C01539" w:rsidP="00F32D2E">
      <w:pPr>
        <w:contextualSpacing/>
        <w:jc w:val="center"/>
        <w:rPr>
          <w:rFonts w:eastAsia="Calibri"/>
          <w:b/>
          <w:sz w:val="22"/>
          <w:szCs w:val="22"/>
        </w:rPr>
      </w:pPr>
    </w:p>
    <w:p w:rsidR="00C01539" w:rsidRDefault="00C01539" w:rsidP="00F32D2E">
      <w:pPr>
        <w:contextualSpacing/>
        <w:jc w:val="center"/>
        <w:rPr>
          <w:rFonts w:eastAsia="Calibri"/>
          <w:b/>
          <w:sz w:val="22"/>
          <w:szCs w:val="22"/>
        </w:rPr>
      </w:pPr>
    </w:p>
    <w:p w:rsidR="00C01539" w:rsidRDefault="00C01539" w:rsidP="00F32D2E">
      <w:pPr>
        <w:contextualSpacing/>
        <w:jc w:val="center"/>
        <w:rPr>
          <w:b/>
          <w:sz w:val="22"/>
          <w:szCs w:val="22"/>
        </w:rPr>
        <w:sectPr w:rsidR="00C01539" w:rsidSect="00F32D2E">
          <w:type w:val="continuous"/>
          <w:pgSz w:w="12240" w:h="15840" w:code="1"/>
          <w:pgMar w:top="1440" w:right="1440" w:bottom="1440" w:left="1440" w:header="720" w:footer="1440" w:gutter="0"/>
          <w:cols w:space="720"/>
          <w:titlePg/>
          <w:docGrid w:linePitch="272"/>
        </w:sectPr>
      </w:pPr>
    </w:p>
    <w:p w:rsidR="00622482" w:rsidRPr="00CE313C" w:rsidRDefault="00590B2B" w:rsidP="00F32D2E">
      <w:pPr>
        <w:contextualSpacing/>
        <w:jc w:val="center"/>
        <w:rPr>
          <w:b/>
          <w:sz w:val="22"/>
        </w:rPr>
      </w:pPr>
      <w:r w:rsidRPr="002B48AB">
        <w:rPr>
          <w:b/>
          <w:sz w:val="22"/>
          <w:szCs w:val="22"/>
        </w:rPr>
        <w:lastRenderedPageBreak/>
        <w:br w:type="page"/>
      </w:r>
    </w:p>
    <w:p w:rsidR="004D740E" w:rsidRDefault="004D740E" w:rsidP="00F32D2E">
      <w:pPr>
        <w:jc w:val="center"/>
        <w:outlineLvl w:val="0"/>
        <w:rPr>
          <w:b/>
          <w:sz w:val="22"/>
        </w:rPr>
      </w:pPr>
      <w:r>
        <w:rPr>
          <w:b/>
          <w:sz w:val="22"/>
        </w:rPr>
        <w:lastRenderedPageBreak/>
        <w:t xml:space="preserve">ATTACHMENT </w:t>
      </w:r>
    </w:p>
    <w:p w:rsidR="004D740E" w:rsidRDefault="004D740E" w:rsidP="00F32D2E">
      <w:pPr>
        <w:jc w:val="center"/>
        <w:outlineLvl w:val="0"/>
        <w:rPr>
          <w:sz w:val="22"/>
        </w:rPr>
      </w:pPr>
    </w:p>
    <w:p w:rsidR="004D740E" w:rsidRDefault="004D740E" w:rsidP="00F32D2E">
      <w:pPr>
        <w:jc w:val="center"/>
        <w:outlineLvl w:val="0"/>
        <w:rPr>
          <w:sz w:val="22"/>
        </w:rPr>
      </w:pPr>
    </w:p>
    <w:p w:rsidR="004D740E" w:rsidRDefault="004D740E" w:rsidP="00F32D2E">
      <w:pPr>
        <w:tabs>
          <w:tab w:val="left" w:pos="720"/>
        </w:tabs>
        <w:jc w:val="center"/>
        <w:outlineLvl w:val="0"/>
        <w:rPr>
          <w:b/>
          <w:sz w:val="22"/>
        </w:rPr>
      </w:pPr>
      <w:r>
        <w:rPr>
          <w:b/>
          <w:sz w:val="22"/>
        </w:rPr>
        <w:t>Before the</w:t>
      </w:r>
    </w:p>
    <w:p w:rsidR="004D740E" w:rsidRDefault="004D740E" w:rsidP="00F32D2E">
      <w:pPr>
        <w:jc w:val="center"/>
        <w:outlineLvl w:val="0"/>
        <w:rPr>
          <w:b/>
          <w:sz w:val="22"/>
        </w:rPr>
      </w:pPr>
      <w:r>
        <w:rPr>
          <w:b/>
          <w:sz w:val="22"/>
        </w:rPr>
        <w:t>Federal Communications Commission</w:t>
      </w:r>
    </w:p>
    <w:p w:rsidR="004D740E" w:rsidRDefault="004D740E" w:rsidP="00F32D2E">
      <w:pPr>
        <w:jc w:val="center"/>
        <w:outlineLvl w:val="0"/>
        <w:rPr>
          <w:b/>
          <w:sz w:val="22"/>
        </w:rPr>
      </w:pPr>
      <w:r>
        <w:rPr>
          <w:b/>
          <w:sz w:val="22"/>
        </w:rPr>
        <w:t>Washington, D.C. 20554</w:t>
      </w:r>
    </w:p>
    <w:p w:rsidR="004D740E" w:rsidRDefault="004D740E" w:rsidP="00F32D2E">
      <w:pPr>
        <w:rPr>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A66A6B">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2013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4D740E" w:rsidP="00F32D2E">
            <w:pPr>
              <w:rPr>
                <w:sz w:val="22"/>
              </w:rPr>
            </w:pPr>
            <w:r>
              <w:rPr>
                <w:spacing w:val="-2"/>
                <w:sz w:val="22"/>
              </w:rPr>
              <w:t>WCB/Pricing File No. 13-76</w:t>
            </w:r>
          </w:p>
        </w:tc>
      </w:tr>
    </w:tbl>
    <w:p w:rsidR="004D740E" w:rsidRDefault="004D740E" w:rsidP="00F32D2E">
      <w:pPr>
        <w:spacing w:before="120"/>
        <w:jc w:val="center"/>
        <w:outlineLvl w:val="0"/>
        <w:rPr>
          <w:b/>
          <w:sz w:val="22"/>
          <w:szCs w:val="22"/>
        </w:rPr>
      </w:pPr>
      <w:r>
        <w:rPr>
          <w:b/>
          <w:spacing w:val="-2"/>
          <w:sz w:val="22"/>
          <w:szCs w:val="22"/>
        </w:rPr>
        <w:t>PROTECTIVE ORDER</w:t>
      </w:r>
    </w:p>
    <w:p w:rsidR="004D740E" w:rsidRDefault="004D740E" w:rsidP="00F32D2E">
      <w:pPr>
        <w:autoSpaceDE w:val="0"/>
        <w:autoSpaceDN w:val="0"/>
        <w:adjustRightInd w:val="0"/>
        <w:rPr>
          <w:b/>
          <w:color w:val="000000"/>
          <w:sz w:val="22"/>
        </w:rPr>
      </w:pPr>
    </w:p>
    <w:p w:rsidR="004D740E" w:rsidRDefault="004D740E" w:rsidP="00F32D2E">
      <w:pPr>
        <w:autoSpaceDE w:val="0"/>
        <w:autoSpaceDN w:val="0"/>
        <w:adjustRightInd w:val="0"/>
        <w:ind w:firstLine="720"/>
        <w:rPr>
          <w:color w:val="000000"/>
          <w:sz w:val="22"/>
        </w:rPr>
      </w:pPr>
      <w:r>
        <w:rPr>
          <w:color w:val="000000"/>
          <w:sz w:val="22"/>
        </w:rPr>
        <w:t xml:space="preserve">This Protective Order is intended to facilitate and expedite the review of documents containing trade secrets and commercial or financial information obtained from a person and privileged or confidential. </w:t>
      </w:r>
      <w:r w:rsidR="001C4C02">
        <w:rPr>
          <w:color w:val="000000"/>
          <w:sz w:val="22"/>
        </w:rPr>
        <w:t xml:space="preserve"> </w:t>
      </w:r>
      <w:r>
        <w:rPr>
          <w:color w:val="000000"/>
          <w:sz w:val="22"/>
        </w:rPr>
        <w:t xml:space="preserve">It reflects the manner in which “Confidential Information,” as that term is defined herein, is to be treated. </w:t>
      </w:r>
      <w:r w:rsidR="001C4C02">
        <w:rPr>
          <w:color w:val="000000"/>
          <w:sz w:val="22"/>
        </w:rPr>
        <w:t xml:space="preserve"> </w:t>
      </w:r>
      <w:r>
        <w:rPr>
          <w:color w:val="000000"/>
          <w:sz w:val="22"/>
        </w:rPr>
        <w:t>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4D740E" w:rsidRDefault="004D740E" w:rsidP="00F32D2E">
      <w:pPr>
        <w:rPr>
          <w:sz w:val="22"/>
          <w:szCs w:val="22"/>
        </w:rPr>
      </w:pPr>
    </w:p>
    <w:p w:rsidR="004D740E" w:rsidRPr="000E5094"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Definitions.</w:t>
      </w:r>
    </w:p>
    <w:p w:rsidR="004D740E" w:rsidRDefault="004D740E" w:rsidP="00F32D2E">
      <w:pPr>
        <w:autoSpaceDE w:val="0"/>
        <w:autoSpaceDN w:val="0"/>
        <w:adjustRightInd w:val="0"/>
        <w:ind w:left="360"/>
        <w:rPr>
          <w:color w:val="000000"/>
          <w:sz w:val="22"/>
        </w:rPr>
      </w:pPr>
    </w:p>
    <w:p w:rsidR="004D740E" w:rsidRPr="000E5094" w:rsidRDefault="004D740E" w:rsidP="000E5094">
      <w:pPr>
        <w:pStyle w:val="ListParagraph"/>
        <w:numPr>
          <w:ilvl w:val="0"/>
          <w:numId w:val="10"/>
        </w:numPr>
        <w:autoSpaceDE w:val="0"/>
        <w:autoSpaceDN w:val="0"/>
        <w:adjustRightInd w:val="0"/>
        <w:rPr>
          <w:color w:val="000000"/>
          <w:sz w:val="22"/>
        </w:rPr>
      </w:pPr>
      <w:r w:rsidRPr="000E5094">
        <w:rPr>
          <w:color w:val="000000"/>
          <w:sz w:val="22"/>
          <w:u w:val="single"/>
        </w:rPr>
        <w:t>Authorized Representative</w:t>
      </w:r>
      <w:r w:rsidRPr="000E5094">
        <w:rPr>
          <w:color w:val="000000"/>
          <w:sz w:val="22"/>
        </w:rPr>
        <w:t>. “Authorized Representative” shall have the meaning set forth in Paragraph seven.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Commission</w:t>
      </w:r>
      <w:r>
        <w:rPr>
          <w:color w:val="000000"/>
          <w:sz w:val="22"/>
        </w:rPr>
        <w:t>. “Commission” means the Federal Communications Commission or any arm of the Commission acting pursuant to delegated authority.</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Confidential Information</w:t>
      </w:r>
      <w:r>
        <w:rPr>
          <w:color w:val="000000"/>
          <w:sz w:val="22"/>
        </w:rPr>
        <w:t>. “Confidential Information” means (i) information submitted to the Commission by the Submitting Party that has been so designated by the Submitting Party and which the Submitting Party has determined in good faith constitutes trade secrets and commercial or financial information which is privileged or confidential within the meaning of Exemption 4 of the Freedom of Information Act, 5 U.S.C. § 552(b)(4) and (ii) information submitted to the Commission by the Submitting Party that has been so designated by the Submitting Party and which the Submitting Party has determined in good faith falls within the terms of Commission orders designating the items for treatment as Confidential Information. Confidential Information includes additional copies of, notes, and information derived from Confidential Information.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Declaration</w:t>
      </w:r>
      <w:r>
        <w:rPr>
          <w:color w:val="000000"/>
          <w:sz w:val="22"/>
        </w:rPr>
        <w:t>. “Declaration” means Attachment A to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Reviewing Party</w:t>
      </w:r>
      <w:r>
        <w:rPr>
          <w:color w:val="000000"/>
          <w:sz w:val="22"/>
        </w:rPr>
        <w:t>. “Reviewing Party” means a person or entity participating in this proceeding or considering in good faith filing a document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Submitting Party</w:t>
      </w:r>
      <w:r>
        <w:rPr>
          <w:color w:val="000000"/>
          <w:sz w:val="22"/>
        </w:rPr>
        <w:t>. “Submitting Party” means a person or entity that seeks confidential treatment of Confidential Information pursuant to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Claim of Confidentiality</w:t>
      </w:r>
      <w:r>
        <w:rPr>
          <w:color w:val="000000"/>
          <w:sz w:val="22"/>
        </w:rPr>
        <w:t xml:space="preserve">. The Submitting Party may designate information as “Confidential Information” consistent with the definition of that term in Paragraph 1 of this Protective Order. The Commission may, </w:t>
      </w:r>
      <w:r>
        <w:rPr>
          <w:iCs/>
          <w:color w:val="000000"/>
          <w:sz w:val="22"/>
        </w:rPr>
        <w:t>sua sponte</w:t>
      </w:r>
      <w:r>
        <w:rPr>
          <w:color w:val="000000"/>
          <w:sz w:val="22"/>
        </w:rPr>
        <w:t xml:space="preserve"> or upon petition, pursuant to 47 C.F.R. §§ 0.459 &amp; 0.461, determine that all or part of the information claimed as “Confidential Information” is not entitled to such treatment.</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Procedures for Claiming Information is Confidential</w:t>
      </w:r>
      <w:r>
        <w:rPr>
          <w:color w:val="000000"/>
          <w:sz w:val="22"/>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where feasible, also submit a redacted version not containing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Storage of Confidential Information at the Commission</w:t>
      </w:r>
      <w:r>
        <w:rPr>
          <w:color w:val="000000"/>
          <w:sz w:val="22"/>
        </w:rPr>
        <w:t>. The Secretary of the Commission or other Commission staff to whom Confidential Information is submitted shall place the Confidential Information in a non-public file. Confidential Information shall be segregated in the files of the Commission, and shall be withheld from inspection by any person not bound by the terms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Access to Confidential Information</w:t>
      </w:r>
      <w:r>
        <w:rPr>
          <w:color w:val="000000"/>
          <w:sz w:val="22"/>
        </w:rPr>
        <w:t>. Confidential Information shall only be made available to Commission staff, Commission consultants and to counsel to the Reviewing Parties, or if a Reviewing Party has no counsel, to a person designated by the Reviewing Party. Before counsel to a Reviewing Party or such other designated person designated by the Reviewing Party may obtain access to Confidential Information, counsel</w:t>
      </w:r>
      <w:r w:rsidR="000E5094">
        <w:rPr>
          <w:color w:val="000000"/>
          <w:sz w:val="22"/>
        </w:rPr>
        <w:t>,</w:t>
      </w:r>
      <w:r>
        <w:rPr>
          <w:color w:val="000000"/>
          <w:sz w:val="22"/>
        </w:rPr>
        <w:t xml:space="preserve"> or such other designated person must execute the attached Declaration. </w:t>
      </w:r>
      <w:r w:rsidR="000E5094">
        <w:rPr>
          <w:color w:val="000000"/>
          <w:sz w:val="22"/>
        </w:rPr>
        <w:t xml:space="preserve"> </w:t>
      </w:r>
      <w:r>
        <w:rPr>
          <w:color w:val="000000"/>
          <w:sz w:val="22"/>
        </w:rPr>
        <w:t>Consultants under contract to the Commission may obtain access to Confidential Information only if they have signed, as part of their employment contract, a non-disclosure agreement or if they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Order. In addition, before Authorized Representatives may obtain access to Confidential Information, each Authorized Representative must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Authorized Representatives shall be limited to:</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Any person designated by the Commission in the public interest, upon such terms as the Commission may deem proper.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Inspection of Confidential Information</w:t>
      </w:r>
      <w:r>
        <w:rPr>
          <w:color w:val="000000"/>
          <w:sz w:val="22"/>
        </w:rPr>
        <w:t xml:space="preserve">. Confidential Information shall be maintained by a Submitting Party for inspection at two or more locations, at least one of which shall be in Washington, D.C. </w:t>
      </w:r>
      <w:r w:rsidR="000E5094">
        <w:rPr>
          <w:color w:val="000000"/>
          <w:sz w:val="22"/>
        </w:rPr>
        <w:t xml:space="preserve"> </w:t>
      </w:r>
      <w:r>
        <w:rPr>
          <w:color w:val="000000"/>
          <w:sz w:val="22"/>
        </w:rPr>
        <w:t>Inspection shall be carried out by Authorized Representatives upon reasonable notice not to exceed one business day during normal business hours.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Copies of Confidential Information</w:t>
      </w:r>
      <w:r>
        <w:rPr>
          <w:color w:val="000000"/>
          <w:sz w:val="22"/>
        </w:rPr>
        <w:t xml:space="preserve">. </w:t>
      </w:r>
      <w:r w:rsidR="000E5094">
        <w:rPr>
          <w:color w:val="000000"/>
          <w:sz w:val="22"/>
        </w:rPr>
        <w:t xml:space="preserve"> </w:t>
      </w:r>
      <w:r>
        <w:rPr>
          <w:color w:val="000000"/>
          <w:sz w:val="22"/>
        </w:rPr>
        <w:t>The Submitting Party shall provide a copy of the Confidential Material to Authorized Representatives upon request and may charge a reasonable copying fee not to exceed twenty 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Filing of Declaration</w:t>
      </w:r>
      <w:r>
        <w:rPr>
          <w:color w:val="000000"/>
          <w:sz w:val="22"/>
        </w:rPr>
        <w:t xml:space="preserve">. </w:t>
      </w:r>
      <w:r w:rsidR="000E5094">
        <w:rPr>
          <w:color w:val="000000"/>
          <w:sz w:val="22"/>
        </w:rPr>
        <w:t xml:space="preserve"> </w:t>
      </w:r>
      <w:r>
        <w:rPr>
          <w:color w:val="000000"/>
          <w:sz w:val="22"/>
        </w:rPr>
        <w:t>Counsel for Reviewing Parties shall provide to the Submitting Party and the Commission a copy of the attached Declaration for each Authorized Representative within five (5) business days after the attached Declaration is executed, or by any other deadline that may be prescribed by the Commission.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Use of Confidential Information</w:t>
      </w:r>
      <w:r>
        <w:rPr>
          <w:color w:val="000000"/>
          <w:sz w:val="22"/>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Order. This shall not preclude the use of any material or information that is in the public domain or has been developed independently by any other person who has not had access to the Confidential Information nor otherwise learned of its contents.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Pleadings Using Confidential Information</w:t>
      </w:r>
      <w:r>
        <w:rPr>
          <w:color w:val="000000"/>
          <w:sz w:val="22"/>
        </w:rPr>
        <w:t xml:space="preserve">. </w:t>
      </w:r>
      <w:r w:rsidR="000E5094">
        <w:rPr>
          <w:color w:val="000000"/>
          <w:sz w:val="22"/>
        </w:rPr>
        <w:t xml:space="preserve"> </w:t>
      </w:r>
      <w:r>
        <w:rPr>
          <w:color w:val="000000"/>
          <w:sz w:val="22"/>
        </w:rPr>
        <w:t>Submitting Parties and Reviewing Parties may, in any pleadings that they file in this proceeding, reference the Confidential Information, but only if they comply with the following procedures: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Any portions of the pleadings that contain or disclose Confidential Information must be physically segregated from the remainder of the pleadings and filed under seal;</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The portions containing or disclosing Confidential Information must be covered by a separate letter referencing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Each page of any Party's filing that contains or discloses Confidential Information subject to this Order must be clearly marked: “Confidential Information included pursuant to Protective Order, [cite proceeding];” and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The confidential portion(s) of the pleading, to the extent they are required to be served, shall be served upon the Secretary of the Commission, the Submitting Party, and those Reviewing Parties that have signed the attached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Violations of Protective Order</w:t>
      </w:r>
      <w:r>
        <w:rPr>
          <w:color w:val="000000"/>
          <w:sz w:val="22"/>
        </w:rPr>
        <w:t>.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Termination of Proceeding</w:t>
      </w:r>
      <w:r>
        <w:rPr>
          <w:color w:val="000000"/>
          <w:sz w:val="22"/>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9 and 11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No Waiver of Confidentiality</w:t>
      </w:r>
      <w:r>
        <w:rPr>
          <w:color w:val="000000"/>
          <w:sz w:val="22"/>
        </w:rPr>
        <w:t xml:space="preserve">. </w:t>
      </w:r>
      <w:r w:rsidR="000E5094">
        <w:rPr>
          <w:color w:val="000000"/>
          <w:sz w:val="22"/>
        </w:rPr>
        <w:t xml:space="preserve"> </w:t>
      </w:r>
      <w:r>
        <w:rPr>
          <w:color w:val="000000"/>
          <w:sz w:val="22"/>
        </w:rPr>
        <w:t>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Additional Rights Preserved</w:t>
      </w:r>
      <w:r>
        <w:rPr>
          <w:color w:val="000000"/>
          <w:sz w:val="22"/>
        </w:rPr>
        <w:t xml:space="preserve">. </w:t>
      </w:r>
      <w:r w:rsidR="000E5094">
        <w:rPr>
          <w:color w:val="000000"/>
          <w:sz w:val="22"/>
        </w:rPr>
        <w:t xml:space="preserve"> </w:t>
      </w:r>
      <w:r>
        <w:rPr>
          <w:color w:val="000000"/>
          <w:sz w:val="22"/>
        </w:rPr>
        <w:t>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Effect of Protective Order</w:t>
      </w:r>
      <w:r>
        <w:rPr>
          <w:color w:val="000000"/>
          <w:sz w:val="22"/>
        </w:rPr>
        <w:t xml:space="preserve">. </w:t>
      </w:r>
      <w:r w:rsidR="000E5094">
        <w:rPr>
          <w:color w:val="000000"/>
          <w:sz w:val="22"/>
        </w:rPr>
        <w:t xml:space="preserve"> </w:t>
      </w:r>
      <w:r>
        <w:rPr>
          <w:color w:val="000000"/>
          <w:sz w:val="22"/>
        </w:rPr>
        <w:t>This Protective Order constitutes an Order of the Commission and an agreement between the Reviewing Party, executing the attached Declaration, and the Submitting Party.</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Authority</w:t>
      </w:r>
      <w:r>
        <w:rPr>
          <w:color w:val="000000"/>
          <w:sz w:val="22"/>
        </w:rPr>
        <w:t xml:space="preserve">. </w:t>
      </w:r>
      <w:r w:rsidR="000E5094">
        <w:rPr>
          <w:color w:val="000000"/>
          <w:sz w:val="22"/>
        </w:rPr>
        <w:t xml:space="preserve"> </w:t>
      </w:r>
      <w:r>
        <w:rPr>
          <w:color w:val="000000"/>
          <w:sz w:val="22"/>
        </w:rPr>
        <w:t>This Protective Order is issued pursuant to Sections 4(i) and 4(j) of the Communications Act as amended, 47 U.S.C. §§154(i), (j), and 47 C.F.R. §0.457(d).</w:t>
      </w:r>
    </w:p>
    <w:p w:rsidR="004D740E" w:rsidRDefault="004D740E" w:rsidP="00F32D2E">
      <w:pPr>
        <w:autoSpaceDE w:val="0"/>
        <w:autoSpaceDN w:val="0"/>
        <w:adjustRightInd w:val="0"/>
        <w:rPr>
          <w:color w:val="000000"/>
          <w:sz w:val="22"/>
        </w:rPr>
      </w:pPr>
    </w:p>
    <w:p w:rsidR="004D740E" w:rsidRDefault="003C195E" w:rsidP="00F32D2E">
      <w:pPr>
        <w:rPr>
          <w:sz w:val="22"/>
          <w:szCs w:val="22"/>
        </w:rPr>
      </w:pPr>
      <w:r>
        <w:rPr>
          <w:sz w:val="22"/>
          <w:szCs w:val="22"/>
        </w:rPr>
        <w:br w:type="page"/>
      </w:r>
    </w:p>
    <w:p w:rsidR="004D740E" w:rsidRDefault="004D740E" w:rsidP="00F32D2E">
      <w:pPr>
        <w:rPr>
          <w:sz w:val="22"/>
          <w:szCs w:val="22"/>
        </w:rPr>
      </w:pPr>
    </w:p>
    <w:p w:rsidR="004D740E" w:rsidRPr="003C195E" w:rsidRDefault="004D740E" w:rsidP="003C195E">
      <w:pPr>
        <w:autoSpaceDE w:val="0"/>
        <w:autoSpaceDN w:val="0"/>
        <w:adjustRightInd w:val="0"/>
        <w:jc w:val="center"/>
        <w:rPr>
          <w:b/>
          <w:color w:val="000000"/>
          <w:sz w:val="22"/>
        </w:rPr>
      </w:pPr>
      <w:r w:rsidRPr="003C195E">
        <w:rPr>
          <w:b/>
          <w:color w:val="000000"/>
          <w:sz w:val="22"/>
        </w:rPr>
        <w:t>Attachment A to Standard Protective Order</w:t>
      </w:r>
    </w:p>
    <w:p w:rsidR="004D740E" w:rsidRDefault="004D740E" w:rsidP="00F32D2E">
      <w:pPr>
        <w:autoSpaceDE w:val="0"/>
        <w:autoSpaceDN w:val="0"/>
        <w:adjustRightInd w:val="0"/>
        <w:jc w:val="center"/>
        <w:rPr>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color w:val="000000"/>
          <w:sz w:val="22"/>
        </w:rPr>
      </w:pPr>
      <w:r>
        <w:rPr>
          <w:b/>
          <w:bCs/>
          <w:color w:val="000000"/>
          <w:sz w:val="22"/>
        </w:rPr>
        <w:t>DECLARATION</w:t>
      </w:r>
    </w:p>
    <w:p w:rsidR="004D740E" w:rsidRDefault="004D740E" w:rsidP="00F32D2E">
      <w:pPr>
        <w:autoSpaceDE w:val="0"/>
        <w:autoSpaceDN w:val="0"/>
        <w:adjustRightInd w:val="0"/>
        <w:rPr>
          <w:color w:val="000000"/>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A66A6B">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2013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4D740E" w:rsidP="00F32D2E">
            <w:pPr>
              <w:rPr>
                <w:sz w:val="22"/>
              </w:rPr>
            </w:pPr>
            <w:r>
              <w:rPr>
                <w:spacing w:val="-2"/>
                <w:sz w:val="22"/>
              </w:rPr>
              <w:t>WCB/Pricing File No. 13-76</w:t>
            </w:r>
          </w:p>
        </w:tc>
      </w:tr>
    </w:tbl>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rPr>
          <w:color w:val="000000"/>
          <w:sz w:val="22"/>
        </w:rPr>
      </w:pPr>
      <w:r>
        <w:rPr>
          <w:color w:val="000000"/>
          <w:sz w:val="22"/>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I acknowledge that a violation of the Protective Order is a violation of an order of the Federal Communications Commission. I acknowledge that this Protective Order is also a binding agreement with the Submitting Party.</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(signed)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(printed name)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(representing)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(title)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(employer)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(address)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(phone)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(date) ____________________</w:t>
      </w:r>
    </w:p>
    <w:p w:rsidR="004D740E" w:rsidRDefault="004D740E" w:rsidP="00F32D2E">
      <w:pPr>
        <w:autoSpaceDE w:val="0"/>
        <w:autoSpaceDN w:val="0"/>
        <w:adjustRightInd w:val="0"/>
        <w:rPr>
          <w:color w:val="000000"/>
          <w:sz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062F3E" w:rsidRPr="0084741B" w:rsidRDefault="00062F3E" w:rsidP="00F32D2E">
      <w:pPr>
        <w:jc w:val="center"/>
        <w:outlineLvl w:val="0"/>
        <w:rPr>
          <w:sz w:val="22"/>
        </w:rPr>
      </w:pPr>
    </w:p>
    <w:sectPr w:rsidR="00062F3E" w:rsidRPr="0084741B" w:rsidSect="00F32D2E">
      <w:headerReference w:type="default" r:id="rId15"/>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8B" w:rsidRDefault="000C5E8B">
      <w:r>
        <w:separator/>
      </w:r>
    </w:p>
  </w:endnote>
  <w:endnote w:type="continuationSeparator" w:id="0">
    <w:p w:rsidR="000C5E8B" w:rsidRDefault="000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Default="00622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482" w:rsidRDefault="00622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Pr="002B48AB" w:rsidRDefault="00622482">
    <w:pPr>
      <w:pStyle w:val="Footer"/>
      <w:framePr w:wrap="around" w:vAnchor="text" w:hAnchor="margin" w:xAlign="center" w:y="1"/>
      <w:rPr>
        <w:rStyle w:val="PageNumber"/>
        <w:sz w:val="22"/>
        <w:szCs w:val="22"/>
      </w:rPr>
    </w:pPr>
    <w:r w:rsidRPr="002B48AB">
      <w:rPr>
        <w:rStyle w:val="PageNumber"/>
        <w:sz w:val="22"/>
        <w:szCs w:val="22"/>
      </w:rPr>
      <w:fldChar w:fldCharType="begin"/>
    </w:r>
    <w:r w:rsidRPr="002B48AB">
      <w:rPr>
        <w:rStyle w:val="PageNumber"/>
        <w:sz w:val="22"/>
        <w:szCs w:val="22"/>
      </w:rPr>
      <w:instrText xml:space="preserve">PAGE  </w:instrText>
    </w:r>
    <w:r w:rsidRPr="002B48AB">
      <w:rPr>
        <w:rStyle w:val="PageNumber"/>
        <w:sz w:val="22"/>
        <w:szCs w:val="22"/>
      </w:rPr>
      <w:fldChar w:fldCharType="separate"/>
    </w:r>
    <w:r w:rsidR="00784C91">
      <w:rPr>
        <w:rStyle w:val="PageNumber"/>
        <w:noProof/>
        <w:sz w:val="22"/>
        <w:szCs w:val="22"/>
      </w:rPr>
      <w:t>2</w:t>
    </w:r>
    <w:r w:rsidRPr="002B48AB">
      <w:rPr>
        <w:rStyle w:val="PageNumber"/>
        <w:sz w:val="22"/>
        <w:szCs w:val="22"/>
      </w:rPr>
      <w:fldChar w:fldCharType="end"/>
    </w:r>
  </w:p>
  <w:p w:rsidR="00622482" w:rsidRDefault="00622482">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CC" w:rsidRDefault="005F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8B" w:rsidRDefault="000C5E8B">
      <w:r>
        <w:separator/>
      </w:r>
    </w:p>
  </w:footnote>
  <w:footnote w:type="continuationSeparator" w:id="0">
    <w:p w:rsidR="000C5E8B" w:rsidRDefault="000C5E8B">
      <w:r>
        <w:continuationSeparator/>
      </w:r>
    </w:p>
  </w:footnote>
  <w:footnote w:id="1">
    <w:p w:rsidR="00CF7206" w:rsidRDefault="00CF7206">
      <w:pPr>
        <w:pStyle w:val="FootnoteText"/>
      </w:pPr>
      <w:r>
        <w:rPr>
          <w:rStyle w:val="FootnoteReference"/>
        </w:rPr>
        <w:footnoteRef/>
      </w:r>
      <w:r>
        <w:t xml:space="preserve"> See </w:t>
      </w:r>
      <w:r w:rsidRPr="004D740E">
        <w:rPr>
          <w:i/>
        </w:rPr>
        <w:t>Announcing Procedures for Obtaining Confidential Information for 2013 Annual Access Charge Tariff Filings and Corrections to TRP Spreadsheets</w:t>
      </w:r>
      <w:r>
        <w:t>, WC Docket No. 13-76, Public Notice, DA 13-18 (Wireline Comp. Bur. June 6, 2013) (</w:t>
      </w:r>
      <w:r w:rsidRPr="00CF7206">
        <w:rPr>
          <w:i/>
        </w:rPr>
        <w:t>June 6</w:t>
      </w:r>
      <w:r w:rsidRPr="00CF7206">
        <w:rPr>
          <w:i/>
          <w:vertAlign w:val="superscript"/>
        </w:rPr>
        <w:t>th</w:t>
      </w:r>
      <w:r w:rsidRPr="00CF7206">
        <w:rPr>
          <w:i/>
        </w:rPr>
        <w:t xml:space="preserve"> Public Notice</w:t>
      </w:r>
      <w:r>
        <w:t>).</w:t>
      </w:r>
    </w:p>
  </w:footnote>
  <w:footnote w:id="2">
    <w:p w:rsidR="004170CD" w:rsidRDefault="004170CD" w:rsidP="0047019D">
      <w:pPr>
        <w:pStyle w:val="FootnoteText"/>
        <w:spacing w:after="120"/>
      </w:pPr>
      <w:r>
        <w:rPr>
          <w:rStyle w:val="FootnoteReference"/>
        </w:rPr>
        <w:footnoteRef/>
      </w:r>
      <w:r>
        <w:t xml:space="preserve"> </w:t>
      </w:r>
      <w:r w:rsidRPr="00BC1B66">
        <w:rPr>
          <w:i/>
        </w:rPr>
        <w:t>See generally</w:t>
      </w:r>
      <w:r>
        <w:t xml:space="preserve"> </w:t>
      </w:r>
      <w:r>
        <w:rPr>
          <w:i/>
        </w:rPr>
        <w:t>Material to be Filed in Support of 2013 Annual Access Tariff Filings</w:t>
      </w:r>
      <w:r>
        <w:t>, WC Docket No. 13-76, Order, DA 13-789 (Wireline Comp. Bur., rel. Apr. 19, 2013).</w:t>
      </w:r>
    </w:p>
  </w:footnote>
  <w:footnote w:id="3">
    <w:p w:rsidR="00CF7206" w:rsidRDefault="00CF7206" w:rsidP="00CF7206">
      <w:pPr>
        <w:pStyle w:val="FootnoteText"/>
      </w:pPr>
      <w:r>
        <w:rPr>
          <w:rStyle w:val="FootnoteReference"/>
        </w:rPr>
        <w:footnoteRef/>
      </w:r>
      <w:r>
        <w:t xml:space="preserve"> </w:t>
      </w:r>
      <w:r>
        <w:rPr>
          <w:rFonts w:ascii="Times New Roman Italic" w:hAnsi="Times New Roman Italic"/>
        </w:rPr>
        <w:t>Implementation of Section 402(b)(1)(A) of the Telecommunications Act of 1996</w:t>
      </w:r>
      <w:r>
        <w:t>, CC Docket No. 96-187, Report and Order, 12 FCC Rcd 2170 (1997) (</w:t>
      </w:r>
      <w:r>
        <w:rPr>
          <w:rFonts w:ascii="Times New Roman Italic" w:hAnsi="Times New Roman Italic"/>
        </w:rPr>
        <w:t>Tariff Streamlining Order</w:t>
      </w:r>
      <w:r>
        <w:t>).</w:t>
      </w:r>
    </w:p>
  </w:footnote>
  <w:footnote w:id="4">
    <w:p w:rsidR="00CF7206" w:rsidRDefault="00CF7206" w:rsidP="00CF7206">
      <w:pPr>
        <w:pStyle w:val="FootnoteText"/>
      </w:pPr>
      <w:r>
        <w:rPr>
          <w:rStyle w:val="FootnoteReference"/>
          <w:rFonts w:ascii="Times New Roman Italic" w:hAnsi="Times New Roman Italic"/>
        </w:rPr>
        <w:footnoteRef/>
      </w:r>
      <w:r>
        <w:rPr>
          <w:rFonts w:ascii="Times New Roman Italic" w:hAnsi="Times New Roman Italic"/>
        </w:rPr>
        <w:t xml:space="preserve"> Tariff Streamlining Order</w:t>
      </w:r>
      <w:r>
        <w:t>, 12 FCC Rcd at 2210-16, paras. 87-95.</w:t>
      </w:r>
    </w:p>
  </w:footnote>
  <w:footnote w:id="5">
    <w:p w:rsidR="00CF7206" w:rsidRDefault="00CF7206" w:rsidP="00CF7206">
      <w:pPr>
        <w:pStyle w:val="FootnoteText"/>
      </w:pPr>
      <w:r>
        <w:rPr>
          <w:rStyle w:val="FootnoteReference"/>
        </w:rPr>
        <w:footnoteRef/>
      </w:r>
      <w:r>
        <w:t xml:space="preserve"> </w:t>
      </w:r>
      <w:r>
        <w:rPr>
          <w:rFonts w:ascii="Times New Roman Italic" w:hAnsi="Times New Roman Italic"/>
        </w:rPr>
        <w:t>Id</w:t>
      </w:r>
      <w:r>
        <w:t>. at Appendix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CC" w:rsidRDefault="005F4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AB" w:rsidRPr="002B48AB" w:rsidRDefault="002B48AB" w:rsidP="002B48AB">
    <w:pPr>
      <w:pStyle w:val="Header"/>
      <w:tabs>
        <w:tab w:val="clear" w:pos="4320"/>
        <w:tab w:val="clear" w:pos="8640"/>
        <w:tab w:val="left" w:pos="7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Default="0047019D">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0A909D84" wp14:editId="68F775AA">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482">
      <w:tab/>
    </w:r>
    <w:r w:rsidR="00622482">
      <w:rPr>
        <w:rFonts w:ascii="Arial" w:hAnsi="Arial"/>
        <w:b/>
        <w:sz w:val="96"/>
      </w:rPr>
      <w:t>PUBLIC NOTICE</w:t>
    </w:r>
  </w:p>
  <w:p w:rsidR="00622482" w:rsidRDefault="0047019D">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6192" behindDoc="0" locked="0" layoutInCell="1" allowOverlap="1" wp14:anchorId="7869FB1B" wp14:editId="14D340C9">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482" w:rsidRDefault="00622482">
                          <w:pPr>
                            <w:rPr>
                              <w:rFonts w:ascii="Arial" w:hAnsi="Arial"/>
                              <w:b/>
                              <w:sz w:val="24"/>
                            </w:rPr>
                          </w:pPr>
                          <w:r>
                            <w:rPr>
                              <w:rFonts w:ascii="Arial" w:hAnsi="Arial"/>
                              <w:b/>
                              <w:sz w:val="24"/>
                            </w:rPr>
                            <w:t>Federal Communications Commission</w:t>
                          </w:r>
                        </w:p>
                        <w:p w:rsidR="00622482" w:rsidRDefault="00622482">
                          <w:pPr>
                            <w:rPr>
                              <w:rFonts w:ascii="Arial" w:hAnsi="Arial"/>
                              <w:b/>
                              <w:sz w:val="24"/>
                            </w:rPr>
                          </w:pPr>
                          <w:r>
                            <w:rPr>
                              <w:rFonts w:ascii="Arial" w:hAnsi="Arial"/>
                              <w:b/>
                              <w:sz w:val="24"/>
                            </w:rPr>
                            <w:t>445 12th St., SW</w:t>
                          </w:r>
                        </w:p>
                        <w:p w:rsidR="00622482" w:rsidRDefault="00622482">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622482" w:rsidRDefault="00622482">
                    <w:pPr>
                      <w:rPr>
                        <w:rFonts w:ascii="Arial" w:hAnsi="Arial"/>
                        <w:b/>
                        <w:sz w:val="24"/>
                      </w:rPr>
                    </w:pPr>
                    <w:r>
                      <w:rPr>
                        <w:rFonts w:ascii="Arial" w:hAnsi="Arial"/>
                        <w:b/>
                        <w:sz w:val="24"/>
                      </w:rPr>
                      <w:t>Federal Communications Commission</w:t>
                    </w:r>
                  </w:p>
                  <w:p w:rsidR="00622482" w:rsidRDefault="00622482">
                    <w:pPr>
                      <w:rPr>
                        <w:rFonts w:ascii="Arial" w:hAnsi="Arial"/>
                        <w:b/>
                        <w:sz w:val="24"/>
                      </w:rPr>
                    </w:pPr>
                    <w:r>
                      <w:rPr>
                        <w:rFonts w:ascii="Arial" w:hAnsi="Arial"/>
                        <w:b/>
                        <w:sz w:val="24"/>
                      </w:rPr>
                      <w:t>445 12th St., SW</w:t>
                    </w:r>
                  </w:p>
                  <w:p w:rsidR="00622482" w:rsidRDefault="00622482">
                    <w:pPr>
                      <w:rPr>
                        <w:rFonts w:ascii="Arial" w:hAnsi="Arial"/>
                        <w:sz w:val="24"/>
                      </w:rPr>
                    </w:pPr>
                    <w:r>
                      <w:rPr>
                        <w:rFonts w:ascii="Arial" w:hAnsi="Arial"/>
                        <w:b/>
                        <w:sz w:val="24"/>
                      </w:rPr>
                      <w:t>Washington, DC 20554</w:t>
                    </w: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1" allowOverlap="1" wp14:anchorId="076909CF" wp14:editId="63A9F2CF">
              <wp:simplePos x="0" y="0"/>
              <wp:positionH relativeFrom="column">
                <wp:posOffset>3137535</wp:posOffset>
              </wp:positionH>
              <wp:positionV relativeFrom="paragraph">
                <wp:posOffset>91440</wp:posOffset>
              </wp:positionV>
              <wp:extent cx="28575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482" w:rsidRDefault="00622482">
                          <w:pPr>
                            <w:spacing w:before="40"/>
                            <w:jc w:val="right"/>
                            <w:rPr>
                              <w:rFonts w:ascii="Arial" w:hAnsi="Arial"/>
                              <w:sz w:val="16"/>
                            </w:rPr>
                          </w:pPr>
                          <w:r>
                            <w:rPr>
                              <w:rFonts w:ascii="Arial" w:hAnsi="Arial"/>
                              <w:sz w:val="16"/>
                            </w:rPr>
                            <w:tab/>
                          </w:r>
                        </w:p>
                        <w:p w:rsidR="00622482" w:rsidRDefault="00622482">
                          <w:pPr>
                            <w:spacing w:before="40"/>
                            <w:jc w:val="right"/>
                            <w:rPr>
                              <w:rFonts w:ascii="Arial" w:hAnsi="Arial"/>
                              <w:b/>
                              <w:sz w:val="16"/>
                            </w:rPr>
                          </w:pPr>
                          <w:r>
                            <w:rPr>
                              <w:rFonts w:ascii="Arial" w:hAnsi="Arial"/>
                              <w:b/>
                              <w:sz w:val="16"/>
                            </w:rPr>
                            <w:t>News Media Information 202 / 418-0500</w:t>
                          </w:r>
                        </w:p>
                        <w:p w:rsidR="00622482" w:rsidRDefault="006224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22482" w:rsidRDefault="00622482">
                          <w:pPr>
                            <w:jc w:val="right"/>
                            <w:rPr>
                              <w:rFonts w:ascii="Arial" w:hAnsi="Arial"/>
                              <w:b/>
                              <w:sz w:val="16"/>
                            </w:rPr>
                          </w:pPr>
                          <w:r>
                            <w:rPr>
                              <w:rFonts w:ascii="Arial" w:hAnsi="Arial"/>
                              <w:b/>
                              <w:sz w:val="16"/>
                            </w:rPr>
                            <w:t>TTY: 1-888-835-5322</w:t>
                          </w:r>
                        </w:p>
                        <w:p w:rsidR="00622482" w:rsidRDefault="00622482">
                          <w:pPr>
                            <w:jc w:val="right"/>
                          </w:pPr>
                        </w:p>
                        <w:p w:rsidR="00622482" w:rsidRDefault="00622482">
                          <w:pPr>
                            <w:jc w:val="right"/>
                            <w:rPr>
                              <w:rFonts w:ascii="Arial" w:hAnsi="Arial"/>
                              <w:sz w:val="16"/>
                            </w:rPr>
                          </w:pPr>
                        </w:p>
                        <w:p w:rsidR="00622482" w:rsidRDefault="00622482">
                          <w:pPr>
                            <w:jc w:val="right"/>
                            <w:rPr>
                              <w:rFonts w:ascii="Arial" w:hAnsi="Arial"/>
                              <w:sz w:val="16"/>
                            </w:rPr>
                          </w:pPr>
                          <w:r>
                            <w:rPr>
                              <w:rFonts w:ascii="Arial" w:hAnsi="Arial"/>
                              <w:sz w:val="16"/>
                            </w:rPr>
                            <w:tab/>
                          </w:r>
                        </w:p>
                        <w:p w:rsidR="00622482" w:rsidRDefault="00622482">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gQf&#10;S4UCAAAWBQAADgAAAAAAAAAAAAAAAAAuAgAAZHJzL2Uyb0RvYy54bWxQSwECLQAUAAYACAAAACEA&#10;yWHOMNwAAAAKAQAADwAAAAAAAAAAAAAAAADfBAAAZHJzL2Rvd25yZXYueG1sUEsFBgAAAAAEAAQA&#10;8wAAAOgFAAAAAA==&#10;" stroked="f">
              <v:textbox>
                <w:txbxContent>
                  <w:p w:rsidR="00622482" w:rsidRDefault="00622482">
                    <w:pPr>
                      <w:spacing w:before="40"/>
                      <w:jc w:val="right"/>
                      <w:rPr>
                        <w:rFonts w:ascii="Arial" w:hAnsi="Arial"/>
                        <w:sz w:val="16"/>
                      </w:rPr>
                    </w:pPr>
                    <w:r>
                      <w:rPr>
                        <w:rFonts w:ascii="Arial" w:hAnsi="Arial"/>
                        <w:sz w:val="16"/>
                      </w:rPr>
                      <w:tab/>
                    </w:r>
                  </w:p>
                  <w:p w:rsidR="00622482" w:rsidRDefault="00622482">
                    <w:pPr>
                      <w:spacing w:before="40"/>
                      <w:jc w:val="right"/>
                      <w:rPr>
                        <w:rFonts w:ascii="Arial" w:hAnsi="Arial"/>
                        <w:b/>
                        <w:sz w:val="16"/>
                      </w:rPr>
                    </w:pPr>
                    <w:r>
                      <w:rPr>
                        <w:rFonts w:ascii="Arial" w:hAnsi="Arial"/>
                        <w:b/>
                        <w:sz w:val="16"/>
                      </w:rPr>
                      <w:t>News Media Information 202 / 418-0500</w:t>
                    </w:r>
                  </w:p>
                  <w:p w:rsidR="00622482" w:rsidRDefault="006224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22482" w:rsidRDefault="00622482">
                    <w:pPr>
                      <w:jc w:val="right"/>
                      <w:rPr>
                        <w:rFonts w:ascii="Arial" w:hAnsi="Arial"/>
                        <w:b/>
                        <w:sz w:val="16"/>
                      </w:rPr>
                    </w:pPr>
                    <w:r>
                      <w:rPr>
                        <w:rFonts w:ascii="Arial" w:hAnsi="Arial"/>
                        <w:b/>
                        <w:sz w:val="16"/>
                      </w:rPr>
                      <w:t>TTY: 1-888-835-5322</w:t>
                    </w:r>
                  </w:p>
                  <w:p w:rsidR="00622482" w:rsidRDefault="00622482">
                    <w:pPr>
                      <w:jc w:val="right"/>
                    </w:pPr>
                  </w:p>
                  <w:p w:rsidR="00622482" w:rsidRDefault="00622482">
                    <w:pPr>
                      <w:jc w:val="right"/>
                      <w:rPr>
                        <w:rFonts w:ascii="Arial" w:hAnsi="Arial"/>
                        <w:sz w:val="16"/>
                      </w:rPr>
                    </w:pPr>
                  </w:p>
                  <w:p w:rsidR="00622482" w:rsidRDefault="00622482">
                    <w:pPr>
                      <w:jc w:val="right"/>
                      <w:rPr>
                        <w:rFonts w:ascii="Arial" w:hAnsi="Arial"/>
                        <w:sz w:val="16"/>
                      </w:rPr>
                    </w:pPr>
                    <w:r>
                      <w:rPr>
                        <w:rFonts w:ascii="Arial" w:hAnsi="Arial"/>
                        <w:sz w:val="16"/>
                      </w:rPr>
                      <w:tab/>
                    </w:r>
                  </w:p>
                  <w:p w:rsidR="00622482" w:rsidRDefault="00622482">
                    <w:pPr>
                      <w:jc w:val="right"/>
                      <w:rPr>
                        <w:rFonts w:ascii="Arial" w:hAnsi="Arial"/>
                        <w:sz w:val="16"/>
                      </w:rPr>
                    </w:pPr>
                    <w:r>
                      <w:rPr>
                        <w:rFonts w:ascii="Arial" w:hAnsi="Arial"/>
                        <w:sz w:val="16"/>
                      </w:rPr>
                      <w:tab/>
                    </w:r>
                  </w:p>
                </w:txbxContent>
              </v:textbox>
            </v:shape>
          </w:pict>
        </mc:Fallback>
      </mc:AlternateContent>
    </w:r>
  </w:p>
  <w:p w:rsidR="00622482" w:rsidRDefault="0047019D">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09D4DA46" wp14:editId="45C6788F">
              <wp:simplePos x="0" y="0"/>
              <wp:positionH relativeFrom="column">
                <wp:posOffset>-26670</wp:posOffset>
              </wp:positionH>
              <wp:positionV relativeFrom="paragraph">
                <wp:posOffset>63500</wp:posOffset>
              </wp:positionV>
              <wp:extent cx="62007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39" w:rsidRPr="002B48AB" w:rsidRDefault="00C01539" w:rsidP="002B48AB">
    <w:pPr>
      <w:pStyle w:val="Header"/>
      <w:pBdr>
        <w:bottom w:val="single" w:sz="12" w:space="1" w:color="auto"/>
      </w:pBdr>
      <w:tabs>
        <w:tab w:val="clear" w:pos="4320"/>
        <w:tab w:val="clear" w:pos="8640"/>
        <w:tab w:val="left" w:pos="720"/>
      </w:tabs>
      <w:jc w:val="center"/>
      <w:rPr>
        <w:b/>
        <w:spacing w:val="-2"/>
        <w:sz w:val="22"/>
        <w:szCs w:val="22"/>
      </w:rPr>
    </w:pPr>
    <w:r>
      <w:tab/>
    </w:r>
    <w:r>
      <w:tab/>
    </w:r>
    <w:r>
      <w:tab/>
    </w:r>
    <w:r w:rsidRPr="002B48AB">
      <w:rPr>
        <w:sz w:val="22"/>
        <w:szCs w:val="22"/>
      </w:rPr>
      <w:tab/>
    </w:r>
    <w:r w:rsidRPr="002B48AB">
      <w:rPr>
        <w:b/>
        <w:sz w:val="22"/>
        <w:szCs w:val="22"/>
      </w:rPr>
      <w:t>Federal Communications Commission</w:t>
    </w:r>
    <w:r w:rsidRPr="002B48AB">
      <w:rPr>
        <w:b/>
        <w:sz w:val="22"/>
        <w:szCs w:val="22"/>
      </w:rPr>
      <w:tab/>
    </w:r>
    <w:r w:rsidRPr="002B48AB">
      <w:rPr>
        <w:b/>
        <w:sz w:val="22"/>
        <w:szCs w:val="22"/>
      </w:rPr>
      <w:tab/>
    </w:r>
    <w:r w:rsidRPr="002B48AB">
      <w:rPr>
        <w:b/>
        <w:sz w:val="22"/>
        <w:szCs w:val="22"/>
      </w:rPr>
      <w:tab/>
    </w:r>
    <w:r>
      <w:rPr>
        <w:b/>
        <w:sz w:val="22"/>
        <w:szCs w:val="22"/>
      </w:rPr>
      <w:t xml:space="preserve">     </w:t>
    </w:r>
    <w:r w:rsidRPr="002B48AB">
      <w:rPr>
        <w:b/>
        <w:spacing w:val="-2"/>
        <w:sz w:val="22"/>
        <w:szCs w:val="22"/>
      </w:rPr>
      <w:t>DA 13-</w:t>
    </w:r>
    <w:r>
      <w:rPr>
        <w:b/>
        <w:spacing w:val="-2"/>
        <w:sz w:val="22"/>
        <w:szCs w:val="22"/>
      </w:rPr>
      <w:t>1336</w:t>
    </w:r>
  </w:p>
  <w:p w:rsidR="00C01539" w:rsidRPr="002B48AB" w:rsidRDefault="00C01539" w:rsidP="002B48AB">
    <w:pPr>
      <w:pStyle w:val="Header"/>
      <w:tabs>
        <w:tab w:val="clear" w:pos="4320"/>
        <w:tab w:val="clear" w:pos="8640"/>
        <w:tab w:val="left" w:pos="7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07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27F2E"/>
    <w:multiLevelType w:val="hybridMultilevel"/>
    <w:tmpl w:val="A6C6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A4514"/>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F1B3D"/>
    <w:multiLevelType w:val="singleLevel"/>
    <w:tmpl w:val="5E86C082"/>
    <w:lvl w:ilvl="0">
      <w:start w:val="1"/>
      <w:numFmt w:val="decimal"/>
      <w:pStyle w:val="ParaNum"/>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32E"/>
    <w:multiLevelType w:val="hybridMultilevel"/>
    <w:tmpl w:val="F85C6DB8"/>
    <w:lvl w:ilvl="0" w:tplc="8544EA9A">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F5AC9"/>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F4F1B"/>
    <w:multiLevelType w:val="hybridMultilevel"/>
    <w:tmpl w:val="24BC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1FF58AB"/>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E46660"/>
    <w:multiLevelType w:val="hybridMultilevel"/>
    <w:tmpl w:val="C8749A10"/>
    <w:lvl w:ilvl="0" w:tplc="75F481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lvlOverride w:ilvl="0">
      <w:startOverride w:val="1"/>
    </w:lvlOverride>
  </w:num>
  <w:num w:numId="2">
    <w:abstractNumId w:val="4"/>
  </w:num>
  <w:num w:numId="3">
    <w:abstractNumId w:val="4"/>
    <w:lvlOverride w:ilvl="0">
      <w:startOverride w:val="1"/>
    </w:lvlOverride>
  </w:num>
  <w:num w:numId="4">
    <w:abstractNumId w:val="8"/>
  </w:num>
  <w:num w:numId="5">
    <w:abstractNumId w:val="1"/>
  </w:num>
  <w:num w:numId="6">
    <w:abstractNumId w:val="11"/>
  </w:num>
  <w:num w:numId="7">
    <w:abstractNumId w:val="5"/>
  </w:num>
  <w:num w:numId="8">
    <w:abstractNumId w:val="10"/>
  </w:num>
  <w:num w:numId="9">
    <w:abstractNumId w:val="0"/>
  </w:num>
  <w:num w:numId="10">
    <w:abstractNumId w:val="3"/>
  </w:num>
  <w:num w:numId="11">
    <w:abstractNumId w:val="7"/>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A1"/>
    <w:rsid w:val="000479B8"/>
    <w:rsid w:val="00062F3E"/>
    <w:rsid w:val="0009122A"/>
    <w:rsid w:val="000942C6"/>
    <w:rsid w:val="000C5E8B"/>
    <w:rsid w:val="000E5094"/>
    <w:rsid w:val="00181952"/>
    <w:rsid w:val="001A53EF"/>
    <w:rsid w:val="001C4C02"/>
    <w:rsid w:val="001D5092"/>
    <w:rsid w:val="0023393B"/>
    <w:rsid w:val="0025037C"/>
    <w:rsid w:val="00252A0C"/>
    <w:rsid w:val="002648C0"/>
    <w:rsid w:val="00284917"/>
    <w:rsid w:val="002B48AB"/>
    <w:rsid w:val="0034728C"/>
    <w:rsid w:val="00356FC9"/>
    <w:rsid w:val="003C195E"/>
    <w:rsid w:val="003D4F12"/>
    <w:rsid w:val="004170CD"/>
    <w:rsid w:val="0047019D"/>
    <w:rsid w:val="004D740E"/>
    <w:rsid w:val="0051173C"/>
    <w:rsid w:val="00584EF6"/>
    <w:rsid w:val="00590B2B"/>
    <w:rsid w:val="005A64E6"/>
    <w:rsid w:val="005B1F5C"/>
    <w:rsid w:val="005D7614"/>
    <w:rsid w:val="005E116D"/>
    <w:rsid w:val="005E1C30"/>
    <w:rsid w:val="005F4ECC"/>
    <w:rsid w:val="00622482"/>
    <w:rsid w:val="006D3ECE"/>
    <w:rsid w:val="00706CA0"/>
    <w:rsid w:val="00784C91"/>
    <w:rsid w:val="007B0B48"/>
    <w:rsid w:val="007E3BD4"/>
    <w:rsid w:val="0082077E"/>
    <w:rsid w:val="00826610"/>
    <w:rsid w:val="00843776"/>
    <w:rsid w:val="0084741B"/>
    <w:rsid w:val="0098158F"/>
    <w:rsid w:val="009964AE"/>
    <w:rsid w:val="009D073C"/>
    <w:rsid w:val="009E69A8"/>
    <w:rsid w:val="009F1EC5"/>
    <w:rsid w:val="00A3318D"/>
    <w:rsid w:val="00A670D6"/>
    <w:rsid w:val="00AA0536"/>
    <w:rsid w:val="00B6318E"/>
    <w:rsid w:val="00B817F6"/>
    <w:rsid w:val="00BB388D"/>
    <w:rsid w:val="00BD24A1"/>
    <w:rsid w:val="00C01539"/>
    <w:rsid w:val="00C46CCE"/>
    <w:rsid w:val="00C5030D"/>
    <w:rsid w:val="00C871FC"/>
    <w:rsid w:val="00C92384"/>
    <w:rsid w:val="00CB18A0"/>
    <w:rsid w:val="00CC6FB6"/>
    <w:rsid w:val="00CE313C"/>
    <w:rsid w:val="00CE66D3"/>
    <w:rsid w:val="00CF505F"/>
    <w:rsid w:val="00CF7206"/>
    <w:rsid w:val="00D4396B"/>
    <w:rsid w:val="00D9605F"/>
    <w:rsid w:val="00DD1E98"/>
    <w:rsid w:val="00E329C4"/>
    <w:rsid w:val="00E53994"/>
    <w:rsid w:val="00E93F95"/>
    <w:rsid w:val="00E95244"/>
    <w:rsid w:val="00EE6837"/>
    <w:rsid w:val="00EF0472"/>
    <w:rsid w:val="00F1658E"/>
    <w:rsid w:val="00F25D98"/>
    <w:rsid w:val="00F32D2E"/>
    <w:rsid w:val="00F51A95"/>
    <w:rsid w:val="00F87B45"/>
    <w:rsid w:val="00FC4CF4"/>
    <w:rsid w:val="00FC5DF7"/>
    <w:rsid w:val="00FC6430"/>
    <w:rsid w:val="00FC78E2"/>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038">
      <w:bodyDiv w:val="1"/>
      <w:marLeft w:val="0"/>
      <w:marRight w:val="0"/>
      <w:marTop w:val="0"/>
      <w:marBottom w:val="0"/>
      <w:divBdr>
        <w:top w:val="none" w:sz="0" w:space="0" w:color="auto"/>
        <w:left w:val="none" w:sz="0" w:space="0" w:color="auto"/>
        <w:bottom w:val="none" w:sz="0" w:space="0" w:color="auto"/>
        <w:right w:val="none" w:sz="0" w:space="0" w:color="auto"/>
      </w:divBdr>
    </w:div>
    <w:div w:id="435714906">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768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tariff-review-pla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14619</Characters>
  <Application>Microsoft Office Word</Application>
  <DocSecurity>0</DocSecurity>
  <Lines>315</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17125</CharactersWithSpaces>
  <SharedDoc>false</SharedDoc>
  <HyperlinkBase> </HyperlinkBase>
  <HLinks>
    <vt:vector size="12" baseType="variant">
      <vt:variant>
        <vt:i4>7667713</vt:i4>
      </vt:variant>
      <vt:variant>
        <vt:i4>3</vt:i4>
      </vt:variant>
      <vt:variant>
        <vt:i4>0</vt:i4>
      </vt:variant>
      <vt:variant>
        <vt:i4>5</vt:i4>
      </vt:variant>
      <vt:variant>
        <vt:lpwstr>mailto:Robin.Cohn@fcc.gov</vt:lpwstr>
      </vt:variant>
      <vt:variant>
        <vt:lpwstr/>
      </vt:variant>
      <vt:variant>
        <vt:i4>7667713</vt:i4>
      </vt:variant>
      <vt:variant>
        <vt:i4>0</vt:i4>
      </vt:variant>
      <vt:variant>
        <vt:i4>0</vt:i4>
      </vt:variant>
      <vt:variant>
        <vt:i4>5</vt:i4>
      </vt:variant>
      <vt:variant>
        <vt:lpwstr>mailto:Robin.Cohn@fcc.gov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2013-06-07T18:01:00Z</dcterms:created>
  <dcterms:modified xsi:type="dcterms:W3CDTF">2013-06-07T18:01:00Z</dcterms:modified>
  <cp:category> </cp:category>
  <cp:contentStatus> </cp:contentStatus>
</cp:coreProperties>
</file>