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E27" w:rsidRDefault="00B24E27" w:rsidP="00B24E27">
      <w:pPr>
        <w:pStyle w:val="Header"/>
        <w:tabs>
          <w:tab w:val="clear" w:pos="4320"/>
          <w:tab w:val="clear" w:pos="8640"/>
        </w:tabs>
        <w:contextualSpacing/>
        <w:rPr>
          <w:szCs w:val="22"/>
        </w:rPr>
        <w:sectPr w:rsidR="00B24E27">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720" w:left="1440" w:header="720" w:footer="1440" w:gutter="0"/>
          <w:cols w:space="720"/>
          <w:titlePg/>
        </w:sectPr>
      </w:pPr>
      <w:bookmarkStart w:id="1" w:name="_GoBack"/>
      <w:bookmarkEnd w:id="1"/>
    </w:p>
    <w:p w:rsidR="00B24E27" w:rsidRPr="005510DF" w:rsidRDefault="00B24E27" w:rsidP="00B24E27">
      <w:pPr>
        <w:contextualSpacing/>
        <w:jc w:val="right"/>
        <w:rPr>
          <w:rFonts w:eastAsia="Calibri"/>
          <w:b/>
          <w:szCs w:val="22"/>
        </w:rPr>
      </w:pPr>
      <w:r w:rsidRPr="005510DF">
        <w:rPr>
          <w:rFonts w:eastAsia="Calibri"/>
          <w:b/>
          <w:szCs w:val="22"/>
        </w:rPr>
        <w:lastRenderedPageBreak/>
        <w:t>DA 13-</w:t>
      </w:r>
      <w:r w:rsidR="004457B4">
        <w:rPr>
          <w:rFonts w:eastAsia="Calibri"/>
          <w:b/>
          <w:szCs w:val="22"/>
        </w:rPr>
        <w:t>1378</w:t>
      </w:r>
    </w:p>
    <w:p w:rsidR="00B24E27" w:rsidRPr="005510DF" w:rsidRDefault="00B24E27" w:rsidP="00B24E27">
      <w:pPr>
        <w:contextualSpacing/>
        <w:jc w:val="right"/>
        <w:rPr>
          <w:rFonts w:eastAsia="Calibri"/>
          <w:b/>
          <w:szCs w:val="22"/>
        </w:rPr>
      </w:pPr>
      <w:r w:rsidRPr="005510DF">
        <w:rPr>
          <w:rFonts w:eastAsia="Calibri"/>
          <w:b/>
          <w:szCs w:val="22"/>
        </w:rPr>
        <w:t>Release</w:t>
      </w:r>
      <w:r w:rsidR="00541AA2">
        <w:rPr>
          <w:rFonts w:eastAsia="Calibri"/>
          <w:b/>
          <w:szCs w:val="22"/>
        </w:rPr>
        <w:t>d</w:t>
      </w:r>
      <w:r w:rsidRPr="005510DF">
        <w:rPr>
          <w:rFonts w:eastAsia="Calibri"/>
          <w:b/>
          <w:szCs w:val="22"/>
        </w:rPr>
        <w:t xml:space="preserve">: </w:t>
      </w:r>
      <w:r w:rsidR="00B22DA1">
        <w:rPr>
          <w:rFonts w:eastAsia="Calibri"/>
          <w:b/>
          <w:szCs w:val="22"/>
        </w:rPr>
        <w:t>June 13</w:t>
      </w:r>
      <w:r w:rsidRPr="005510DF">
        <w:rPr>
          <w:rFonts w:eastAsia="Calibri"/>
          <w:b/>
          <w:szCs w:val="22"/>
        </w:rPr>
        <w:t>, 2013</w:t>
      </w:r>
    </w:p>
    <w:p w:rsidR="007A0639" w:rsidRDefault="007A0639" w:rsidP="009F5E94">
      <w:pPr>
        <w:contextualSpacing/>
        <w:rPr>
          <w:rFonts w:eastAsia="Calibri"/>
          <w:b/>
          <w:szCs w:val="22"/>
        </w:rPr>
      </w:pPr>
    </w:p>
    <w:p w:rsidR="007A0639" w:rsidRDefault="007A0639" w:rsidP="00B24E27">
      <w:pPr>
        <w:contextualSpacing/>
        <w:jc w:val="center"/>
        <w:rPr>
          <w:rFonts w:eastAsia="Calibri"/>
          <w:b/>
          <w:szCs w:val="22"/>
        </w:rPr>
      </w:pPr>
    </w:p>
    <w:p w:rsidR="007A0639" w:rsidRPr="007A0639" w:rsidRDefault="00F819E1" w:rsidP="00E72FD8">
      <w:pPr>
        <w:jc w:val="center"/>
        <w:rPr>
          <w:b/>
          <w:color w:val="000000"/>
          <w:szCs w:val="22"/>
        </w:rPr>
      </w:pPr>
      <w:bookmarkStart w:id="2" w:name="citeas((Cite_as:_2013_WL_1785858,_*1_(F."/>
      <w:bookmarkStart w:id="3" w:name="sp_999_1"/>
      <w:bookmarkStart w:id="4" w:name="SDU_1"/>
      <w:bookmarkEnd w:id="2"/>
      <w:r>
        <w:rPr>
          <w:b/>
          <w:color w:val="000000"/>
          <w:szCs w:val="22"/>
        </w:rPr>
        <w:t xml:space="preserve">WCB ANNOUNCES </w:t>
      </w:r>
      <w:r w:rsidR="007A0639" w:rsidRPr="007A0639">
        <w:rPr>
          <w:b/>
          <w:color w:val="000000"/>
          <w:szCs w:val="22"/>
        </w:rPr>
        <w:t xml:space="preserve">COMMENT CYCLE FOR </w:t>
      </w:r>
      <w:bookmarkStart w:id="5" w:name="SR;64"/>
      <w:bookmarkStart w:id="6" w:name="SearchTerm"/>
      <w:bookmarkEnd w:id="5"/>
      <w:r w:rsidR="00E72FD8" w:rsidRPr="002B5012">
        <w:rPr>
          <w:b/>
          <w:color w:val="000000"/>
          <w:szCs w:val="22"/>
        </w:rPr>
        <w:t xml:space="preserve">SECOND </w:t>
      </w:r>
      <w:r w:rsidR="002F29F1">
        <w:rPr>
          <w:b/>
          <w:color w:val="000000"/>
          <w:szCs w:val="22"/>
        </w:rPr>
        <w:t>F</w:t>
      </w:r>
      <w:r>
        <w:rPr>
          <w:b/>
          <w:color w:val="000000"/>
          <w:szCs w:val="22"/>
        </w:rPr>
        <w:t>NPRM</w:t>
      </w:r>
      <w:r w:rsidR="00E72FD8" w:rsidRPr="002B5012">
        <w:rPr>
          <w:b/>
          <w:color w:val="000000"/>
          <w:szCs w:val="22"/>
        </w:rPr>
        <w:t xml:space="preserve"> ON </w:t>
      </w:r>
      <w:r w:rsidR="000802F6">
        <w:rPr>
          <w:b/>
          <w:color w:val="000000"/>
          <w:szCs w:val="22"/>
        </w:rPr>
        <w:t>STRUCTURAL SEPARATION</w:t>
      </w:r>
      <w:r>
        <w:rPr>
          <w:b/>
          <w:color w:val="000000"/>
          <w:szCs w:val="22"/>
        </w:rPr>
        <w:t xml:space="preserve"> REQUIREMENTS IN </w:t>
      </w:r>
      <w:r w:rsidR="00E72FD8" w:rsidRPr="002B5012">
        <w:rPr>
          <w:b/>
          <w:color w:val="000000"/>
          <w:szCs w:val="22"/>
        </w:rPr>
        <w:t xml:space="preserve">SECTION 64.1903 </w:t>
      </w:r>
    </w:p>
    <w:p w:rsidR="007A0639" w:rsidRPr="007A0639" w:rsidRDefault="007A0639" w:rsidP="007A0639">
      <w:pPr>
        <w:jc w:val="center"/>
        <w:rPr>
          <w:color w:val="000000"/>
          <w:szCs w:val="22"/>
        </w:rPr>
      </w:pPr>
    </w:p>
    <w:p w:rsidR="007A0639" w:rsidRPr="009F5E94" w:rsidRDefault="00E72FD8" w:rsidP="007A0639">
      <w:pPr>
        <w:jc w:val="center"/>
        <w:rPr>
          <w:b/>
          <w:color w:val="000000"/>
          <w:szCs w:val="22"/>
        </w:rPr>
      </w:pPr>
      <w:r w:rsidRPr="009F5E94">
        <w:rPr>
          <w:b/>
          <w:color w:val="000000"/>
          <w:szCs w:val="22"/>
        </w:rPr>
        <w:t>CC Docket No. 00-175</w:t>
      </w:r>
    </w:p>
    <w:p w:rsidR="009C549D" w:rsidRDefault="009C549D" w:rsidP="00927C34">
      <w:pPr>
        <w:rPr>
          <w:b/>
          <w:color w:val="000000"/>
          <w:szCs w:val="22"/>
        </w:rPr>
      </w:pPr>
    </w:p>
    <w:p w:rsidR="00927C34" w:rsidRDefault="002B5012" w:rsidP="00927C34">
      <w:pPr>
        <w:rPr>
          <w:b/>
          <w:color w:val="000000"/>
          <w:szCs w:val="22"/>
        </w:rPr>
      </w:pPr>
      <w:r>
        <w:rPr>
          <w:b/>
          <w:color w:val="000000"/>
          <w:szCs w:val="22"/>
        </w:rPr>
        <w:t xml:space="preserve">Comment Date: July </w:t>
      </w:r>
      <w:r w:rsidR="007061BE">
        <w:rPr>
          <w:b/>
          <w:color w:val="000000"/>
          <w:szCs w:val="22"/>
        </w:rPr>
        <w:t>12</w:t>
      </w:r>
      <w:r w:rsidR="007A0639" w:rsidRPr="007A0639">
        <w:rPr>
          <w:b/>
          <w:color w:val="000000"/>
          <w:szCs w:val="22"/>
        </w:rPr>
        <w:t>,</w:t>
      </w:r>
      <w:r>
        <w:rPr>
          <w:b/>
          <w:color w:val="000000"/>
          <w:szCs w:val="22"/>
        </w:rPr>
        <w:t xml:space="preserve"> 2013</w:t>
      </w:r>
      <w:r>
        <w:rPr>
          <w:b/>
          <w:color w:val="000000"/>
          <w:szCs w:val="22"/>
        </w:rPr>
        <w:br/>
        <w:t xml:space="preserve">Reply Comment Date: August </w:t>
      </w:r>
      <w:r w:rsidR="007061BE">
        <w:rPr>
          <w:b/>
          <w:color w:val="000000"/>
          <w:szCs w:val="22"/>
        </w:rPr>
        <w:t>12</w:t>
      </w:r>
      <w:r w:rsidR="007A0639" w:rsidRPr="007A0639">
        <w:rPr>
          <w:b/>
          <w:color w:val="000000"/>
          <w:szCs w:val="22"/>
        </w:rPr>
        <w:t>, 201</w:t>
      </w:r>
      <w:r w:rsidR="00927C34">
        <w:rPr>
          <w:b/>
          <w:color w:val="000000"/>
          <w:szCs w:val="22"/>
        </w:rPr>
        <w:t>3</w:t>
      </w:r>
    </w:p>
    <w:p w:rsidR="00927C34" w:rsidRDefault="00927C34" w:rsidP="00927C34">
      <w:pPr>
        <w:rPr>
          <w:b/>
          <w:color w:val="000000"/>
          <w:szCs w:val="22"/>
        </w:rPr>
      </w:pPr>
    </w:p>
    <w:p w:rsidR="00CA4B38" w:rsidRPr="002B5012" w:rsidRDefault="00CA4B38" w:rsidP="003E346D">
      <w:pPr>
        <w:ind w:firstLine="720"/>
      </w:pPr>
      <w:r w:rsidRPr="002B5012">
        <w:rPr>
          <w:color w:val="000000"/>
          <w:szCs w:val="22"/>
        </w:rPr>
        <w:t>On May 17</w:t>
      </w:r>
      <w:r w:rsidR="007A0639" w:rsidRPr="007A0639">
        <w:rPr>
          <w:color w:val="000000"/>
          <w:szCs w:val="22"/>
        </w:rPr>
        <w:t xml:space="preserve">, 2013, the Wireline Competition Bureau released a </w:t>
      </w:r>
      <w:r w:rsidR="000802F6">
        <w:rPr>
          <w:color w:val="000000"/>
          <w:szCs w:val="22"/>
        </w:rPr>
        <w:t xml:space="preserve">Second </w:t>
      </w:r>
      <w:r w:rsidR="009C549D">
        <w:rPr>
          <w:color w:val="000000"/>
          <w:szCs w:val="22"/>
        </w:rPr>
        <w:t xml:space="preserve">Further </w:t>
      </w:r>
      <w:r w:rsidR="000802F6">
        <w:rPr>
          <w:color w:val="000000"/>
          <w:szCs w:val="22"/>
        </w:rPr>
        <w:t>Notice of Proposed R</w:t>
      </w:r>
      <w:r w:rsidRPr="002B5012">
        <w:rPr>
          <w:color w:val="000000"/>
          <w:szCs w:val="22"/>
        </w:rPr>
        <w:t xml:space="preserve">ulemaking (Second FNPRM) seeking comments on whether </w:t>
      </w:r>
      <w:r w:rsidR="002B5012" w:rsidRPr="002B5012">
        <w:rPr>
          <w:color w:val="000000"/>
          <w:szCs w:val="22"/>
        </w:rPr>
        <w:t xml:space="preserve">the structural separation requirements contained in </w:t>
      </w:r>
      <w:r w:rsidRPr="002B5012">
        <w:rPr>
          <w:color w:val="000000"/>
          <w:szCs w:val="22"/>
        </w:rPr>
        <w:t xml:space="preserve">section 64.1903 of the Commission’s rules, 47 C.F.R. § 64.1903, should continue to apply to independent incumbent local exchange carriers </w:t>
      </w:r>
      <w:r w:rsidR="002B5012" w:rsidRPr="002B5012">
        <w:rPr>
          <w:color w:val="000000"/>
          <w:szCs w:val="22"/>
        </w:rPr>
        <w:t xml:space="preserve">(independent ILECs) </w:t>
      </w:r>
      <w:r w:rsidRPr="002B5012">
        <w:rPr>
          <w:color w:val="000000"/>
          <w:szCs w:val="22"/>
        </w:rPr>
        <w:t>subject to rate-of-return regulation.</w:t>
      </w:r>
      <w:r w:rsidRPr="002B5012">
        <w:rPr>
          <w:rStyle w:val="FootnoteReference"/>
          <w:color w:val="000000"/>
          <w:szCs w:val="22"/>
        </w:rPr>
        <w:footnoteReference w:id="1"/>
      </w:r>
      <w:r w:rsidR="00F819E1">
        <w:rPr>
          <w:rFonts w:eastAsia="Calibri"/>
          <w:szCs w:val="22"/>
        </w:rPr>
        <w:t xml:space="preserve">  C</w:t>
      </w:r>
      <w:r w:rsidR="007A0639" w:rsidRPr="007A0639">
        <w:t>omment</w:t>
      </w:r>
      <w:r w:rsidR="003E346D">
        <w:t>s</w:t>
      </w:r>
      <w:r w:rsidR="007A0639" w:rsidRPr="007A0639">
        <w:t xml:space="preserve"> and reply comment</w:t>
      </w:r>
      <w:r w:rsidR="003E346D">
        <w:t>s</w:t>
      </w:r>
      <w:r w:rsidR="007A0639" w:rsidRPr="007A0639">
        <w:t xml:space="preserve"> </w:t>
      </w:r>
      <w:r w:rsidR="00F819E1">
        <w:t>are</w:t>
      </w:r>
      <w:r w:rsidR="00F819E1" w:rsidRPr="002B5012">
        <w:t xml:space="preserve"> </w:t>
      </w:r>
      <w:r w:rsidR="00F819E1">
        <w:t xml:space="preserve">due </w:t>
      </w:r>
      <w:r w:rsidR="002B5012" w:rsidRPr="002B5012">
        <w:t>30 and 60</w:t>
      </w:r>
      <w:r w:rsidR="007A0639" w:rsidRPr="007A0639">
        <w:t xml:space="preserve"> days, respectiv</w:t>
      </w:r>
      <w:r w:rsidR="007A0639" w:rsidRPr="007A0639">
        <w:rPr>
          <w:rFonts w:eastAsia="Calibri"/>
        </w:rPr>
        <w:t>ely, after publicat</w:t>
      </w:r>
      <w:r w:rsidR="002B5012" w:rsidRPr="009A27B8">
        <w:rPr>
          <w:rFonts w:eastAsia="Calibri"/>
        </w:rPr>
        <w:t>ion of the summary of the Second FNPRM</w:t>
      </w:r>
      <w:r w:rsidR="007A0639" w:rsidRPr="007A0639">
        <w:rPr>
          <w:rFonts w:eastAsia="Calibri"/>
        </w:rPr>
        <w:t xml:space="preserve"> in the</w:t>
      </w:r>
      <w:bookmarkStart w:id="7" w:name="SR;202"/>
      <w:bookmarkStart w:id="8" w:name="FN[FN2]"/>
      <w:bookmarkEnd w:id="7"/>
      <w:bookmarkEnd w:id="8"/>
      <w:r w:rsidR="002B5012" w:rsidRPr="009A27B8">
        <w:rPr>
          <w:rFonts w:eastAsia="Calibri"/>
        </w:rPr>
        <w:t xml:space="preserve"> Federal Register.</w:t>
      </w:r>
      <w:r w:rsidR="009A27B8">
        <w:rPr>
          <w:rStyle w:val="FootnoteReference"/>
          <w:rFonts w:eastAsia="Calibri"/>
        </w:rPr>
        <w:footnoteReference w:id="2"/>
      </w:r>
      <w:r w:rsidR="002B5012" w:rsidRPr="009A27B8">
        <w:rPr>
          <w:rFonts w:eastAsia="Calibri"/>
        </w:rPr>
        <w:t xml:space="preserve">  </w:t>
      </w:r>
      <w:r w:rsidR="00F819E1">
        <w:rPr>
          <w:rFonts w:eastAsia="Calibri"/>
        </w:rPr>
        <w:t xml:space="preserve">Publication of this summary in the Federal Register occurred on </w:t>
      </w:r>
      <w:r w:rsidR="002B5012" w:rsidRPr="009A27B8">
        <w:rPr>
          <w:rFonts w:eastAsia="Calibri"/>
        </w:rPr>
        <w:t>June 12</w:t>
      </w:r>
      <w:r w:rsidR="007A0639" w:rsidRPr="007A0639">
        <w:rPr>
          <w:rFonts w:eastAsia="Calibri"/>
        </w:rPr>
        <w:t>, 2013</w:t>
      </w:r>
      <w:r w:rsidR="002B5012" w:rsidRPr="002B5012">
        <w:t>.</w:t>
      </w:r>
      <w:bookmarkStart w:id="9" w:name="FN[FN3]"/>
      <w:bookmarkEnd w:id="6"/>
      <w:bookmarkEnd w:id="9"/>
      <w:r w:rsidR="002B5012" w:rsidRPr="002B5012">
        <w:rPr>
          <w:rStyle w:val="FootnoteReference"/>
          <w:color w:val="000000"/>
          <w:szCs w:val="22"/>
        </w:rPr>
        <w:footnoteReference w:id="3"/>
      </w:r>
      <w:r w:rsidR="007A0639" w:rsidRPr="007A0639">
        <w:t xml:space="preserve"> </w:t>
      </w:r>
      <w:r w:rsidR="002B5012" w:rsidRPr="002B5012">
        <w:t xml:space="preserve"> </w:t>
      </w:r>
      <w:r w:rsidR="007A0639" w:rsidRPr="007A0639">
        <w:t>Accordingly,</w:t>
      </w:r>
      <w:r w:rsidR="000802F6">
        <w:rPr>
          <w:b/>
          <w:bCs/>
        </w:rPr>
        <w:t xml:space="preserve"> comments will be due on July </w:t>
      </w:r>
      <w:r w:rsidR="007061BE">
        <w:rPr>
          <w:b/>
          <w:bCs/>
        </w:rPr>
        <w:t>12</w:t>
      </w:r>
      <w:r w:rsidR="007A0639" w:rsidRPr="007A0639">
        <w:rPr>
          <w:b/>
          <w:bCs/>
        </w:rPr>
        <w:t>, 2013</w:t>
      </w:r>
      <w:r w:rsidR="007A0639" w:rsidRPr="007A0639">
        <w:t xml:space="preserve">, and </w:t>
      </w:r>
      <w:r w:rsidR="007A0639" w:rsidRPr="007A0639">
        <w:rPr>
          <w:b/>
          <w:bCs/>
        </w:rPr>
        <w:t>re</w:t>
      </w:r>
      <w:r w:rsidR="002B5012" w:rsidRPr="002B5012">
        <w:rPr>
          <w:b/>
          <w:bCs/>
        </w:rPr>
        <w:t>ply comments will be due on August</w:t>
      </w:r>
      <w:r w:rsidR="000802F6">
        <w:rPr>
          <w:b/>
          <w:bCs/>
        </w:rPr>
        <w:t xml:space="preserve"> </w:t>
      </w:r>
      <w:r w:rsidR="007061BE">
        <w:rPr>
          <w:b/>
          <w:bCs/>
        </w:rPr>
        <w:t>12</w:t>
      </w:r>
      <w:r w:rsidR="007A0639" w:rsidRPr="007A0639">
        <w:rPr>
          <w:b/>
          <w:bCs/>
        </w:rPr>
        <w:t>, 2013</w:t>
      </w:r>
      <w:r w:rsidR="007A0639" w:rsidRPr="007A0639">
        <w:t>.</w:t>
      </w:r>
    </w:p>
    <w:bookmarkEnd w:id="3"/>
    <w:bookmarkEnd w:id="4"/>
    <w:p w:rsidR="000F5334" w:rsidRPr="002B5012" w:rsidRDefault="000F5334" w:rsidP="00EB25CE">
      <w:pPr>
        <w:contextualSpacing/>
        <w:rPr>
          <w:rFonts w:eastAsia="Calibri"/>
          <w:szCs w:val="22"/>
        </w:rPr>
      </w:pPr>
    </w:p>
    <w:p w:rsidR="00B24E27" w:rsidRPr="002B5012" w:rsidRDefault="00B24E27" w:rsidP="00C41A5B">
      <w:pPr>
        <w:ind w:firstLine="720"/>
        <w:contextualSpacing/>
        <w:rPr>
          <w:rFonts w:eastAsia="Calibri"/>
          <w:color w:val="000000" w:themeColor="text1"/>
          <w:szCs w:val="22"/>
        </w:rPr>
      </w:pPr>
      <w:r w:rsidRPr="002B5012">
        <w:rPr>
          <w:rFonts w:eastAsia="Calibri"/>
          <w:color w:val="000000" w:themeColor="text1"/>
          <w:szCs w:val="22"/>
        </w:rPr>
        <w:t xml:space="preserve">Pursuant to sections 1.415 and 1.419 of the Commission’s rules, </w:t>
      </w:r>
      <w:r w:rsidR="00611D83" w:rsidRPr="002B5012">
        <w:rPr>
          <w:rFonts w:eastAsia="Calibri"/>
          <w:color w:val="000000" w:themeColor="text1"/>
          <w:szCs w:val="22"/>
        </w:rPr>
        <w:t xml:space="preserve">47 C.F.R. §§ 1.415, 1.419, </w:t>
      </w:r>
      <w:r w:rsidRPr="002B5012">
        <w:rPr>
          <w:rFonts w:eastAsia="Calibri"/>
          <w:color w:val="000000" w:themeColor="text1"/>
          <w:szCs w:val="22"/>
        </w:rPr>
        <w:t xml:space="preserve">interested parties may file comments </w:t>
      </w:r>
      <w:r w:rsidR="00F77866" w:rsidRPr="002B5012">
        <w:rPr>
          <w:rFonts w:eastAsia="Calibri"/>
          <w:color w:val="000000" w:themeColor="text1"/>
          <w:szCs w:val="22"/>
        </w:rPr>
        <w:t>on</w:t>
      </w:r>
      <w:r w:rsidRPr="002B5012">
        <w:rPr>
          <w:rFonts w:eastAsia="Calibri"/>
          <w:color w:val="000000" w:themeColor="text1"/>
          <w:szCs w:val="22"/>
        </w:rPr>
        <w:t xml:space="preserve"> or before the date indicated on the first page of this document.</w:t>
      </w:r>
      <w:r w:rsidR="00611D83" w:rsidRPr="002B5012">
        <w:rPr>
          <w:rFonts w:eastAsia="Calibri"/>
          <w:color w:val="000000" w:themeColor="text1"/>
          <w:szCs w:val="22"/>
        </w:rPr>
        <w:t xml:space="preserve">  </w:t>
      </w:r>
      <w:r w:rsidR="00DD5494" w:rsidRPr="002B5012">
        <w:rPr>
          <w:rFonts w:eastAsia="Calibri"/>
          <w:color w:val="000000" w:themeColor="text1"/>
          <w:szCs w:val="22"/>
        </w:rPr>
        <w:t>C</w:t>
      </w:r>
      <w:r w:rsidRPr="002B5012">
        <w:rPr>
          <w:rFonts w:eastAsia="Calibri"/>
          <w:color w:val="000000" w:themeColor="text1"/>
          <w:szCs w:val="22"/>
        </w:rPr>
        <w:t>omments</w:t>
      </w:r>
      <w:r w:rsidR="00843FC4" w:rsidRPr="002B5012">
        <w:rPr>
          <w:rFonts w:eastAsia="Calibri"/>
          <w:color w:val="000000" w:themeColor="text1"/>
          <w:szCs w:val="22"/>
        </w:rPr>
        <w:t xml:space="preserve"> </w:t>
      </w:r>
      <w:r w:rsidRPr="002B5012">
        <w:rPr>
          <w:rFonts w:eastAsia="Calibri"/>
          <w:color w:val="000000" w:themeColor="text1"/>
          <w:szCs w:val="22"/>
        </w:rPr>
        <w:t>may be filed using the Commission’s Electronic Comment Filing System (ECFS).</w:t>
      </w:r>
      <w:r w:rsidR="00611D83" w:rsidRPr="002B5012">
        <w:rPr>
          <w:rFonts w:eastAsia="Calibri"/>
          <w:color w:val="000000" w:themeColor="text1"/>
          <w:szCs w:val="22"/>
        </w:rPr>
        <w:t xml:space="preserve">  </w:t>
      </w:r>
      <w:r w:rsidR="00611D83" w:rsidRPr="002B5012">
        <w:rPr>
          <w:rFonts w:eastAsia="Calibri"/>
          <w:i/>
          <w:color w:val="000000" w:themeColor="text1"/>
          <w:szCs w:val="22"/>
        </w:rPr>
        <w:t>See</w:t>
      </w:r>
      <w:r w:rsidR="00611D83" w:rsidRPr="002B5012">
        <w:rPr>
          <w:rFonts w:eastAsia="Calibri"/>
          <w:color w:val="000000" w:themeColor="text1"/>
          <w:szCs w:val="22"/>
        </w:rPr>
        <w:t xml:space="preserve"> </w:t>
      </w:r>
      <w:r w:rsidR="00611D83" w:rsidRPr="002B5012">
        <w:rPr>
          <w:rFonts w:eastAsia="Calibri"/>
          <w:i/>
          <w:color w:val="000000" w:themeColor="text1"/>
          <w:szCs w:val="22"/>
        </w:rPr>
        <w:t>Electronic Filing of Documents in Rulemaking Proceedings</w:t>
      </w:r>
      <w:r w:rsidR="00611D83" w:rsidRPr="002B5012">
        <w:rPr>
          <w:rFonts w:eastAsia="Calibri"/>
          <w:color w:val="000000" w:themeColor="text1"/>
          <w:szCs w:val="22"/>
        </w:rPr>
        <w:t>, 63 FR 24121 (1998).</w:t>
      </w:r>
    </w:p>
    <w:p w:rsidR="00B24E27" w:rsidRPr="002B5012" w:rsidRDefault="00B24E27" w:rsidP="00B24E27">
      <w:pPr>
        <w:contextualSpacing/>
        <w:rPr>
          <w:rFonts w:eastAsia="Calibri"/>
          <w:szCs w:val="22"/>
        </w:rPr>
      </w:pPr>
    </w:p>
    <w:p w:rsidR="00B24E27" w:rsidRPr="002B5012" w:rsidRDefault="00B24E27" w:rsidP="00B24E27">
      <w:pPr>
        <w:numPr>
          <w:ilvl w:val="0"/>
          <w:numId w:val="19"/>
        </w:numPr>
        <w:contextualSpacing/>
        <w:rPr>
          <w:rFonts w:eastAsia="Calibri"/>
          <w:szCs w:val="22"/>
        </w:rPr>
      </w:pPr>
      <w:r w:rsidRPr="002B5012">
        <w:rPr>
          <w:rFonts w:eastAsia="Calibri"/>
          <w:szCs w:val="22"/>
        </w:rPr>
        <w:t xml:space="preserve">Electronic Filers: Comments may be filed electronically using the Internet by accessing the ECFS: </w:t>
      </w:r>
      <w:r w:rsidRPr="002B5012">
        <w:rPr>
          <w:rFonts w:eastAsia="Calibri"/>
          <w:szCs w:val="22"/>
          <w:u w:val="single"/>
        </w:rPr>
        <w:t>http://fjallfoss.fcc.gov/ecfs2/</w:t>
      </w:r>
      <w:r w:rsidRPr="002B5012">
        <w:rPr>
          <w:rFonts w:eastAsia="Calibri"/>
          <w:szCs w:val="22"/>
        </w:rPr>
        <w:t>.</w:t>
      </w:r>
    </w:p>
    <w:p w:rsidR="00B24E27" w:rsidRPr="005510DF" w:rsidRDefault="00B24E27" w:rsidP="00B24E27">
      <w:pPr>
        <w:contextualSpacing/>
        <w:rPr>
          <w:rFonts w:eastAsia="Calibri"/>
          <w:szCs w:val="22"/>
        </w:rPr>
      </w:pPr>
    </w:p>
    <w:p w:rsidR="00B24E27" w:rsidRPr="005510DF" w:rsidRDefault="00B24E27" w:rsidP="00B24E27">
      <w:pPr>
        <w:numPr>
          <w:ilvl w:val="0"/>
          <w:numId w:val="19"/>
        </w:numPr>
        <w:contextualSpacing/>
        <w:rPr>
          <w:rFonts w:eastAsia="Calibri"/>
          <w:szCs w:val="22"/>
        </w:rPr>
      </w:pPr>
      <w:r w:rsidRPr="005510DF">
        <w:rPr>
          <w:rFonts w:eastAsia="Calibri"/>
          <w:szCs w:val="22"/>
        </w:rPr>
        <w:t>Paper Filers: Parties who choose to file by paper must file an original and one copy of each filing.</w:t>
      </w:r>
      <w:r w:rsidR="00611D83" w:rsidRPr="005510DF">
        <w:rPr>
          <w:rFonts w:eastAsia="Calibri"/>
          <w:szCs w:val="22"/>
        </w:rPr>
        <w:t xml:space="preserve">  </w:t>
      </w:r>
      <w:r w:rsidRPr="005510DF">
        <w:rPr>
          <w:rFonts w:eastAsia="Calibri"/>
          <w:szCs w:val="22"/>
        </w:rPr>
        <w:t>If more than one docket or rulemaking number appears in the caption of this proceeding, filers must submit two additional copies for each additional docket or rulemaking number.</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Filings can be sent by hand or messenger delivery, by commercial overnight courier, or by first-class or overnight U.S. Postal Service mail. </w:t>
      </w:r>
      <w:r w:rsidR="00611D83" w:rsidRPr="005510DF">
        <w:rPr>
          <w:rFonts w:eastAsia="Calibri"/>
          <w:szCs w:val="22"/>
        </w:rPr>
        <w:t xml:space="preserve"> </w:t>
      </w:r>
      <w:r w:rsidRPr="005510DF">
        <w:rPr>
          <w:rFonts w:eastAsia="Calibri"/>
          <w:szCs w:val="22"/>
        </w:rPr>
        <w:t>All filings must be addressed to the Commission’s Secretary, Office of the Secretary, Federal Communications Commission.</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All hand-delivered or messenger-delivered paper filings for the Commission’s Secretary must be delivered to FCC Headquarters at 445 12th Street, SW, Room TW-A325, Washington, DC 20554.</w:t>
      </w:r>
      <w:r w:rsidR="00611D83" w:rsidRPr="005510DF">
        <w:rPr>
          <w:rFonts w:eastAsia="Calibri"/>
          <w:szCs w:val="22"/>
        </w:rPr>
        <w:t xml:space="preserve"> </w:t>
      </w:r>
      <w:r w:rsidRPr="005510DF">
        <w:rPr>
          <w:rFonts w:eastAsia="Calibri"/>
          <w:szCs w:val="22"/>
        </w:rPr>
        <w:t xml:space="preserve"> The filing hours are 8:00 a.m. to 7:00 p.m. </w:t>
      </w:r>
      <w:r w:rsidR="00611D83" w:rsidRPr="005510DF">
        <w:rPr>
          <w:rFonts w:eastAsia="Calibri"/>
          <w:szCs w:val="22"/>
        </w:rPr>
        <w:t xml:space="preserve"> </w:t>
      </w:r>
      <w:r w:rsidRPr="005510DF">
        <w:rPr>
          <w:rFonts w:eastAsia="Calibri"/>
          <w:szCs w:val="22"/>
        </w:rPr>
        <w:t xml:space="preserve">All hand deliveries must be held together with rubber bands or fasteners. </w:t>
      </w:r>
      <w:r w:rsidR="00C65EA8" w:rsidRPr="005510DF">
        <w:rPr>
          <w:rFonts w:eastAsia="Calibri"/>
          <w:szCs w:val="22"/>
        </w:rPr>
        <w:t xml:space="preserve"> </w:t>
      </w:r>
      <w:r w:rsidRPr="005510DF">
        <w:rPr>
          <w:rFonts w:eastAsia="Calibri"/>
          <w:szCs w:val="22"/>
        </w:rPr>
        <w:t xml:space="preserve">Any envelopes and boxes must be disposed of </w:t>
      </w:r>
      <w:r w:rsidRPr="005510DF">
        <w:rPr>
          <w:rFonts w:eastAsia="Calibri"/>
          <w:szCs w:val="22"/>
          <w:u w:val="single"/>
        </w:rPr>
        <w:t>before</w:t>
      </w:r>
      <w:r w:rsidRPr="005510DF">
        <w:rPr>
          <w:rFonts w:eastAsia="Calibri"/>
          <w:szCs w:val="22"/>
        </w:rPr>
        <w:t xml:space="preserve"> entering the building.</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Commercial overnight mail (other than U.S. Postal Service Express Mail and Priority Mail) must be sent to 9300 East Hampton Drive, Capitol Heights, MD 20743.</w:t>
      </w:r>
    </w:p>
    <w:p w:rsidR="00B24E27" w:rsidRPr="005510DF" w:rsidRDefault="00B24E27" w:rsidP="00B24E27">
      <w:pPr>
        <w:contextualSpacing/>
        <w:rPr>
          <w:rFonts w:eastAsia="Calibri"/>
          <w:szCs w:val="22"/>
        </w:rPr>
      </w:pPr>
    </w:p>
    <w:p w:rsidR="00B24E27" w:rsidRPr="005510DF" w:rsidRDefault="00B24E27" w:rsidP="00B24E27">
      <w:pPr>
        <w:numPr>
          <w:ilvl w:val="0"/>
          <w:numId w:val="20"/>
        </w:numPr>
        <w:contextualSpacing/>
        <w:rPr>
          <w:rFonts w:eastAsia="Calibri"/>
          <w:szCs w:val="22"/>
        </w:rPr>
      </w:pPr>
      <w:r w:rsidRPr="005510DF">
        <w:rPr>
          <w:rFonts w:eastAsia="Calibri"/>
          <w:szCs w:val="22"/>
        </w:rPr>
        <w:t>U.S. Postal Service first-class, Express, and Priority mail must be addressed to 445 12th Street, SW, Washington D.C. 20554.</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People with Disabilities: To request materials in accessible formats for people with disabilities</w:t>
      </w:r>
    </w:p>
    <w:p w:rsidR="00B24E27" w:rsidRPr="005510DF" w:rsidRDefault="00B24E27" w:rsidP="00B24E27">
      <w:pPr>
        <w:contextualSpacing/>
        <w:rPr>
          <w:rFonts w:eastAsia="Calibri"/>
          <w:szCs w:val="22"/>
        </w:rPr>
      </w:pPr>
      <w:r w:rsidRPr="005510DF">
        <w:rPr>
          <w:rFonts w:eastAsia="Calibri"/>
          <w:szCs w:val="22"/>
        </w:rPr>
        <w:t>(</w:t>
      </w:r>
      <w:r w:rsidR="008455DB" w:rsidRPr="005510DF">
        <w:rPr>
          <w:rFonts w:eastAsia="Calibri"/>
          <w:szCs w:val="22"/>
        </w:rPr>
        <w:t>Braille</w:t>
      </w:r>
      <w:r w:rsidRPr="005510DF">
        <w:rPr>
          <w:rFonts w:eastAsia="Calibri"/>
          <w:szCs w:val="22"/>
        </w:rPr>
        <w:t>, large print, electronic files, audio format), send an e</w:t>
      </w:r>
      <w:r w:rsidR="00715A6F" w:rsidRPr="005510DF">
        <w:rPr>
          <w:rFonts w:eastAsia="Calibri"/>
          <w:szCs w:val="22"/>
        </w:rPr>
        <w:t>-</w:t>
      </w:r>
      <w:r w:rsidRPr="005510DF">
        <w:rPr>
          <w:rFonts w:eastAsia="Calibri"/>
          <w:szCs w:val="22"/>
        </w:rPr>
        <w:t xml:space="preserve">mail to </w:t>
      </w:r>
      <w:hyperlink r:id="rId14" w:history="1">
        <w:r w:rsidR="00904CB1" w:rsidRPr="001E76AF">
          <w:rPr>
            <w:rStyle w:val="Hyperlink"/>
            <w:rFonts w:eastAsia="Calibri"/>
            <w:szCs w:val="22"/>
          </w:rPr>
          <w:t>fcc504@fcc.gov</w:t>
        </w:r>
      </w:hyperlink>
      <w:r w:rsidR="00904CB1">
        <w:rPr>
          <w:rFonts w:eastAsia="Calibri"/>
          <w:szCs w:val="22"/>
        </w:rPr>
        <w:t xml:space="preserve"> </w:t>
      </w:r>
      <w:r w:rsidRPr="005510DF">
        <w:rPr>
          <w:rFonts w:eastAsia="Calibri"/>
          <w:szCs w:val="22"/>
        </w:rPr>
        <w:t>or call the Consumer &amp; Governmental Affairs Bureau at (202) 418-0530 (voice) or (202) 418-0432 (</w:t>
      </w:r>
      <w:r w:rsidR="004F6D09" w:rsidRPr="005510DF">
        <w:rPr>
          <w:rFonts w:eastAsia="Calibri"/>
          <w:szCs w:val="22"/>
        </w:rPr>
        <w:t>tty</w:t>
      </w:r>
      <w:r w:rsidRPr="005510DF">
        <w:rPr>
          <w:rFonts w:eastAsia="Calibri"/>
          <w:szCs w:val="22"/>
        </w:rPr>
        <w:t>).</w:t>
      </w:r>
    </w:p>
    <w:p w:rsidR="00B24E27" w:rsidRPr="005510DF" w:rsidRDefault="00B24E27" w:rsidP="00B24E27">
      <w:pPr>
        <w:contextualSpacing/>
        <w:rPr>
          <w:rFonts w:eastAsia="Calibri"/>
          <w:szCs w:val="22"/>
        </w:rPr>
      </w:pPr>
    </w:p>
    <w:p w:rsidR="002F3D7C" w:rsidRPr="00E169D5" w:rsidRDefault="002F3D7C" w:rsidP="002F3D7C">
      <w:pPr>
        <w:ind w:firstLine="720"/>
      </w:pPr>
      <w:r>
        <w:t xml:space="preserve">The proceeding this Notice initiates shall be treated as a “permit-but-disclose” proceeding in accordance with the Commission’s </w:t>
      </w:r>
      <w:r>
        <w:rPr>
          <w:i/>
          <w:iCs/>
        </w:rPr>
        <w:t xml:space="preserve">ex parte </w:t>
      </w:r>
      <w:r>
        <w:t>rules.</w:t>
      </w:r>
      <w:r>
        <w:rPr>
          <w:rStyle w:val="FootnoteReference"/>
        </w:rPr>
        <w:footnoteReference w:id="4"/>
      </w:r>
      <w:r>
        <w:t xml:space="preserve">  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B24E27" w:rsidRPr="005510DF" w:rsidRDefault="00B24E27" w:rsidP="00B24E27">
      <w:pPr>
        <w:contextualSpacing/>
        <w:rPr>
          <w:rFonts w:eastAsia="Calibri"/>
          <w:szCs w:val="22"/>
        </w:rPr>
      </w:pPr>
    </w:p>
    <w:p w:rsidR="00B24E27" w:rsidRPr="005510DF" w:rsidRDefault="00B24E27" w:rsidP="00B24E27">
      <w:pPr>
        <w:ind w:firstLine="720"/>
        <w:contextualSpacing/>
        <w:rPr>
          <w:rFonts w:eastAsia="Calibri"/>
          <w:szCs w:val="22"/>
        </w:rPr>
      </w:pPr>
      <w:r w:rsidRPr="005510DF">
        <w:rPr>
          <w:rFonts w:eastAsia="Calibri"/>
          <w:szCs w:val="22"/>
        </w:rPr>
        <w:t xml:space="preserve">For further information, </w:t>
      </w:r>
      <w:r w:rsidR="009C35FD">
        <w:rPr>
          <w:rFonts w:eastAsia="Calibri"/>
          <w:szCs w:val="22"/>
        </w:rPr>
        <w:t>please contact Gregory Kwan</w:t>
      </w:r>
      <w:r w:rsidRPr="005510DF">
        <w:rPr>
          <w:rFonts w:eastAsia="Calibri"/>
          <w:szCs w:val="22"/>
        </w:rPr>
        <w:t xml:space="preserve">, Wireline Competition Bureau, </w:t>
      </w:r>
      <w:r w:rsidR="009C35FD">
        <w:rPr>
          <w:rFonts w:eastAsia="Calibri"/>
          <w:szCs w:val="22"/>
        </w:rPr>
        <w:t xml:space="preserve">Competition </w:t>
      </w:r>
      <w:r w:rsidRPr="005510DF">
        <w:rPr>
          <w:rFonts w:eastAsia="Calibri"/>
          <w:szCs w:val="22"/>
        </w:rPr>
        <w:t>Policy Division, at (202</w:t>
      </w:r>
      <w:r w:rsidR="009C35FD">
        <w:rPr>
          <w:rFonts w:eastAsia="Calibri"/>
          <w:szCs w:val="22"/>
        </w:rPr>
        <w:t>) 418-1191</w:t>
      </w:r>
      <w:r w:rsidRPr="005510DF">
        <w:rPr>
          <w:rFonts w:eastAsia="Calibri"/>
          <w:szCs w:val="22"/>
        </w:rPr>
        <w:t xml:space="preserve"> or via e</w:t>
      </w:r>
      <w:r w:rsidR="00715A6F" w:rsidRPr="005510DF">
        <w:rPr>
          <w:rFonts w:eastAsia="Calibri"/>
          <w:szCs w:val="22"/>
        </w:rPr>
        <w:t>-</w:t>
      </w:r>
      <w:r w:rsidRPr="005510DF">
        <w:rPr>
          <w:rFonts w:eastAsia="Calibri"/>
          <w:szCs w:val="22"/>
        </w:rPr>
        <w:t xml:space="preserve">mail at </w:t>
      </w:r>
      <w:r w:rsidR="009C35FD" w:rsidRPr="00C13EC3">
        <w:rPr>
          <w:rFonts w:eastAsia="Calibri"/>
          <w:color w:val="0000FF"/>
          <w:szCs w:val="22"/>
          <w:u w:val="single"/>
        </w:rPr>
        <w:t>Gregory.Kwan</w:t>
      </w:r>
      <w:r w:rsidRPr="00C13EC3">
        <w:rPr>
          <w:rFonts w:eastAsia="Calibri"/>
          <w:color w:val="0000FF"/>
          <w:szCs w:val="22"/>
          <w:u w:val="single"/>
        </w:rPr>
        <w:t>@fcc.gov</w:t>
      </w:r>
      <w:r w:rsidRPr="005510DF">
        <w:rPr>
          <w:rFonts w:eastAsia="Calibri"/>
          <w:szCs w:val="22"/>
        </w:rPr>
        <w:t>.</w:t>
      </w:r>
    </w:p>
    <w:p w:rsidR="00B24E27" w:rsidRPr="005510DF" w:rsidRDefault="00B24E27" w:rsidP="00DD5494">
      <w:pPr>
        <w:contextualSpacing/>
        <w:rPr>
          <w:rFonts w:eastAsia="Calibri"/>
          <w:szCs w:val="22"/>
        </w:rPr>
      </w:pPr>
    </w:p>
    <w:p w:rsidR="00B24E27" w:rsidRPr="00E500CC" w:rsidRDefault="00B24E27" w:rsidP="00DD5494">
      <w:pPr>
        <w:contextualSpacing/>
        <w:jc w:val="center"/>
        <w:rPr>
          <w:b/>
        </w:rPr>
      </w:pPr>
      <w:r w:rsidRPr="00E500CC">
        <w:rPr>
          <w:rFonts w:eastAsia="Calibri"/>
          <w:b/>
          <w:szCs w:val="22"/>
        </w:rPr>
        <w:t xml:space="preserve">- FCC </w:t>
      </w:r>
      <w:r w:rsidR="006C4B9B" w:rsidRPr="00E500CC">
        <w:rPr>
          <w:rFonts w:eastAsia="Calibri"/>
          <w:b/>
          <w:szCs w:val="22"/>
        </w:rPr>
        <w:t>-</w:t>
      </w:r>
    </w:p>
    <w:sectPr w:rsidR="00B24E27" w:rsidRPr="00E500CC" w:rsidSect="00B24E27">
      <w:headerReference w:type="default" r:id="rId15"/>
      <w:footerReference w:type="default" r:id="rId16"/>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4EB" w:rsidRDefault="00D724EB">
      <w:r>
        <w:separator/>
      </w:r>
    </w:p>
  </w:endnote>
  <w:endnote w:type="continuationSeparator" w:id="0">
    <w:p w:rsidR="00D724EB" w:rsidRDefault="00D724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Lucida Grande">
    <w:altName w:val="Courier New"/>
    <w:charset w:val="00"/>
    <w:family w:val="auto"/>
    <w:pitch w:val="variable"/>
    <w:sig w:usb0="00000003" w:usb1="00000000" w:usb2="00000000" w:usb3="00000000" w:csb0="00000001" w:csb1="00000000"/>
  </w:font>
  <w:font w:name="News Gothic MT">
    <w:altName w:val="Arial"/>
    <w:charset w:val="00"/>
    <w:family w:val="swiss"/>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24E27" w:rsidRDefault="00B24E2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5" w:rsidRDefault="008B6ED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pPr>
      <w:pStyle w:val="Footer"/>
      <w:jc w:val="center"/>
    </w:pPr>
    <w:r>
      <w:fldChar w:fldCharType="begin"/>
    </w:r>
    <w:r>
      <w:instrText xml:space="preserve"> PAGE   \* MERGEFORMAT </w:instrText>
    </w:r>
    <w:r>
      <w:fldChar w:fldCharType="separate"/>
    </w:r>
    <w:r w:rsidR="00BF768F">
      <w:rPr>
        <w:noProof/>
      </w:rPr>
      <w:t>3</w:t>
    </w:r>
    <w:r>
      <w:rPr>
        <w:noProof/>
      </w:rPr>
      <w:fldChar w:fldCharType="end"/>
    </w:r>
  </w:p>
  <w:p w:rsidR="00B24E27" w:rsidRDefault="00B24E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4EB" w:rsidRDefault="00D724EB">
      <w:r>
        <w:separator/>
      </w:r>
    </w:p>
  </w:footnote>
  <w:footnote w:type="continuationSeparator" w:id="0">
    <w:p w:rsidR="00D724EB" w:rsidRDefault="00D724EB">
      <w:r>
        <w:continuationSeparator/>
      </w:r>
    </w:p>
  </w:footnote>
  <w:footnote w:id="1">
    <w:p w:rsidR="001D327B" w:rsidRPr="006D2191" w:rsidRDefault="00CA4B38" w:rsidP="004948A9">
      <w:pPr>
        <w:spacing w:after="120"/>
        <w:rPr>
          <w:snapToGrid w:val="0"/>
          <w:color w:val="000000" w:themeColor="text1"/>
          <w:kern w:val="28"/>
          <w:sz w:val="20"/>
        </w:rPr>
      </w:pPr>
      <w:r>
        <w:rPr>
          <w:rStyle w:val="FootnoteReference"/>
        </w:rPr>
        <w:footnoteRef/>
      </w:r>
      <w:r>
        <w:t xml:space="preserve"> </w:t>
      </w:r>
      <w:r w:rsidR="009A27B8" w:rsidRPr="001D327B">
        <w:rPr>
          <w:sz w:val="20"/>
        </w:rPr>
        <w:t xml:space="preserve">The </w:t>
      </w:r>
      <w:r w:rsidRPr="001D327B">
        <w:rPr>
          <w:sz w:val="20"/>
        </w:rPr>
        <w:t>Second FN</w:t>
      </w:r>
      <w:r w:rsidR="00D0656A" w:rsidRPr="001D327B">
        <w:rPr>
          <w:sz w:val="20"/>
        </w:rPr>
        <w:t>PRM</w:t>
      </w:r>
      <w:r w:rsidR="009A27B8" w:rsidRPr="001D327B">
        <w:rPr>
          <w:sz w:val="20"/>
        </w:rPr>
        <w:t xml:space="preserve"> was</w:t>
      </w:r>
      <w:r w:rsidR="00D0656A" w:rsidRPr="001D327B">
        <w:rPr>
          <w:sz w:val="20"/>
        </w:rPr>
        <w:t xml:space="preserve"> released </w:t>
      </w:r>
      <w:r w:rsidR="009A27B8" w:rsidRPr="001D327B">
        <w:rPr>
          <w:sz w:val="20"/>
        </w:rPr>
        <w:t xml:space="preserve">along with </w:t>
      </w:r>
      <w:r w:rsidR="00F545CE" w:rsidRPr="001D327B">
        <w:rPr>
          <w:sz w:val="20"/>
        </w:rPr>
        <w:t xml:space="preserve">a memorandum </w:t>
      </w:r>
      <w:r w:rsidR="00D0656A" w:rsidRPr="001D327B">
        <w:rPr>
          <w:sz w:val="20"/>
        </w:rPr>
        <w:t>o</w:t>
      </w:r>
      <w:r w:rsidRPr="001D327B">
        <w:rPr>
          <w:sz w:val="20"/>
        </w:rPr>
        <w:t xml:space="preserve">pinion and </w:t>
      </w:r>
      <w:r w:rsidR="00D0656A" w:rsidRPr="001D327B">
        <w:rPr>
          <w:sz w:val="20"/>
        </w:rPr>
        <w:t>o</w:t>
      </w:r>
      <w:r w:rsidRPr="001D327B">
        <w:rPr>
          <w:sz w:val="20"/>
        </w:rPr>
        <w:t>rder which, among other things, partially granted United States Telecom Association’s (USTelecom)</w:t>
      </w:r>
      <w:r w:rsidR="00D0656A" w:rsidRPr="001D327B">
        <w:rPr>
          <w:sz w:val="20"/>
        </w:rPr>
        <w:t xml:space="preserve"> petition for forbearance from section 64.1903.   </w:t>
      </w:r>
      <w:r w:rsidR="009A27B8" w:rsidRPr="001D327B">
        <w:rPr>
          <w:i/>
          <w:sz w:val="20"/>
        </w:rPr>
        <w:t xml:space="preserve">See </w:t>
      </w:r>
      <w:r w:rsidR="001D327B" w:rsidRPr="001D327B">
        <w:rPr>
          <w:i/>
          <w:iCs/>
          <w:sz w:val="20"/>
        </w:rPr>
        <w:t>Petition of USTelecom for Forbearance Under 47 U.S.C. § 160(c) from Enforcement of Certain Legacy Telecommunications Regulations</w:t>
      </w:r>
      <w:r w:rsidR="001D327B" w:rsidRPr="001D327B">
        <w:rPr>
          <w:sz w:val="20"/>
        </w:rPr>
        <w:t xml:space="preserve"> </w:t>
      </w:r>
      <w:r w:rsidR="001D327B" w:rsidRPr="001D327B">
        <w:rPr>
          <w:i/>
          <w:iCs/>
          <w:sz w:val="20"/>
        </w:rPr>
        <w:t>et al</w:t>
      </w:r>
      <w:r w:rsidR="001D327B" w:rsidRPr="001D327B">
        <w:rPr>
          <w:sz w:val="20"/>
        </w:rPr>
        <w:t xml:space="preserve">., WC Docket No. 12-61 et al., Memorandum Opinion and Order and Report and Order in WC Docket No. 10-132 and Further Notice of Proposed Rulemaking and </w:t>
      </w:r>
      <w:r w:rsidR="001D327B" w:rsidRPr="001D327B">
        <w:rPr>
          <w:color w:val="000000"/>
          <w:sz w:val="20"/>
        </w:rPr>
        <w:t>Second Further Notice of</w:t>
      </w:r>
      <w:r w:rsidR="00814182">
        <w:rPr>
          <w:color w:val="000000"/>
          <w:sz w:val="20"/>
        </w:rPr>
        <w:t xml:space="preserve"> Proposed Rulemaking, FCC 13-69</w:t>
      </w:r>
      <w:r w:rsidR="001D327B" w:rsidRPr="001D327B">
        <w:rPr>
          <w:color w:val="000000"/>
          <w:sz w:val="20"/>
        </w:rPr>
        <w:t xml:space="preserve"> (rel. May 17, 2013)</w:t>
      </w:r>
      <w:r w:rsidR="009A27B8" w:rsidRPr="001D327B">
        <w:rPr>
          <w:sz w:val="20"/>
        </w:rPr>
        <w:t xml:space="preserve">.  </w:t>
      </w:r>
      <w:r w:rsidR="00D0656A" w:rsidRPr="001D327B">
        <w:rPr>
          <w:sz w:val="20"/>
        </w:rPr>
        <w:t xml:space="preserve">In that order the Commission </w:t>
      </w:r>
      <w:r w:rsidR="00D0656A" w:rsidRPr="001D327B">
        <w:rPr>
          <w:snapToGrid w:val="0"/>
          <w:color w:val="000000" w:themeColor="text1"/>
          <w:kern w:val="28"/>
          <w:sz w:val="20"/>
        </w:rPr>
        <w:t>granted forbearance from s</w:t>
      </w:r>
      <w:r w:rsidR="009C549D">
        <w:rPr>
          <w:snapToGrid w:val="0"/>
          <w:color w:val="000000" w:themeColor="text1"/>
          <w:kern w:val="28"/>
          <w:sz w:val="20"/>
        </w:rPr>
        <w:t>ection 64.1903 as it applies to</w:t>
      </w:r>
      <w:r w:rsidR="00AF6571" w:rsidRPr="001D327B">
        <w:rPr>
          <w:snapToGrid w:val="0"/>
          <w:color w:val="000000" w:themeColor="text1"/>
          <w:kern w:val="28"/>
          <w:sz w:val="20"/>
        </w:rPr>
        <w:t xml:space="preserve"> price cap</w:t>
      </w:r>
      <w:r w:rsidR="009C549D">
        <w:rPr>
          <w:snapToGrid w:val="0"/>
          <w:color w:val="000000" w:themeColor="text1"/>
          <w:kern w:val="28"/>
          <w:sz w:val="20"/>
        </w:rPr>
        <w:t xml:space="preserve"> carriers</w:t>
      </w:r>
      <w:r w:rsidR="00D0656A" w:rsidRPr="001D327B">
        <w:rPr>
          <w:snapToGrid w:val="0"/>
          <w:color w:val="000000" w:themeColor="text1"/>
          <w:kern w:val="28"/>
          <w:sz w:val="20"/>
        </w:rPr>
        <w:t xml:space="preserve"> that comply with certain conditions.  </w:t>
      </w:r>
      <w:r w:rsidR="00AF6571" w:rsidRPr="001D327B">
        <w:rPr>
          <w:i/>
          <w:snapToGrid w:val="0"/>
          <w:color w:val="000000" w:themeColor="text1"/>
          <w:kern w:val="28"/>
          <w:sz w:val="20"/>
        </w:rPr>
        <w:t>Id.</w:t>
      </w:r>
      <w:r w:rsidR="009A27B8" w:rsidRPr="001D327B">
        <w:rPr>
          <w:snapToGrid w:val="0"/>
          <w:color w:val="000000" w:themeColor="text1"/>
          <w:kern w:val="28"/>
          <w:sz w:val="20"/>
        </w:rPr>
        <w:t xml:space="preserve"> at</w:t>
      </w:r>
      <w:r w:rsidR="00814182">
        <w:rPr>
          <w:snapToGrid w:val="0"/>
          <w:color w:val="000000" w:themeColor="text1"/>
          <w:kern w:val="28"/>
          <w:sz w:val="20"/>
        </w:rPr>
        <w:t xml:space="preserve"> 102-</w:t>
      </w:r>
      <w:r w:rsidR="001D327B">
        <w:rPr>
          <w:snapToGrid w:val="0"/>
          <w:color w:val="000000" w:themeColor="text1"/>
          <w:kern w:val="28"/>
          <w:sz w:val="20"/>
        </w:rPr>
        <w:t>03,</w:t>
      </w:r>
      <w:r w:rsidR="00814182">
        <w:rPr>
          <w:snapToGrid w:val="0"/>
          <w:color w:val="000000" w:themeColor="text1"/>
          <w:kern w:val="28"/>
          <w:sz w:val="20"/>
        </w:rPr>
        <w:t xml:space="preserve"> paras. 227-</w:t>
      </w:r>
      <w:r w:rsidR="009A27B8" w:rsidRPr="001D327B">
        <w:rPr>
          <w:snapToGrid w:val="0"/>
          <w:color w:val="000000" w:themeColor="text1"/>
          <w:kern w:val="28"/>
          <w:sz w:val="20"/>
        </w:rPr>
        <w:t>28</w:t>
      </w:r>
      <w:r w:rsidR="00D0656A" w:rsidRPr="001D327B">
        <w:rPr>
          <w:snapToGrid w:val="0"/>
          <w:color w:val="000000" w:themeColor="text1"/>
          <w:kern w:val="28"/>
          <w:sz w:val="20"/>
        </w:rPr>
        <w:t xml:space="preserve">. </w:t>
      </w:r>
      <w:r w:rsidR="00814182">
        <w:rPr>
          <w:snapToGrid w:val="0"/>
          <w:color w:val="000000" w:themeColor="text1"/>
          <w:kern w:val="28"/>
          <w:sz w:val="20"/>
        </w:rPr>
        <w:t xml:space="preserve"> </w:t>
      </w:r>
      <w:r w:rsidR="00D0656A" w:rsidRPr="001D327B">
        <w:rPr>
          <w:snapToGrid w:val="0"/>
          <w:color w:val="000000" w:themeColor="text1"/>
          <w:kern w:val="28"/>
          <w:sz w:val="20"/>
        </w:rPr>
        <w:t xml:space="preserve"> Based on the record in that proceeding, however, the Commission denied similar relief to independent ILECs subject to rate-of-return regulation.  </w:t>
      </w:r>
      <w:r w:rsidR="00D0656A" w:rsidRPr="001D327B">
        <w:rPr>
          <w:i/>
          <w:snapToGrid w:val="0"/>
          <w:color w:val="000000" w:themeColor="text1"/>
          <w:kern w:val="28"/>
          <w:sz w:val="20"/>
        </w:rPr>
        <w:t xml:space="preserve">Id. </w:t>
      </w:r>
      <w:r w:rsidR="00AF6571" w:rsidRPr="001D327B">
        <w:rPr>
          <w:snapToGrid w:val="0"/>
          <w:color w:val="000000" w:themeColor="text1"/>
          <w:kern w:val="28"/>
          <w:sz w:val="20"/>
        </w:rPr>
        <w:t xml:space="preserve">at </w:t>
      </w:r>
      <w:r w:rsidR="001D327B" w:rsidRPr="001D327B">
        <w:rPr>
          <w:snapToGrid w:val="0"/>
          <w:color w:val="000000" w:themeColor="text1"/>
          <w:kern w:val="28"/>
          <w:sz w:val="20"/>
        </w:rPr>
        <w:t xml:space="preserve">64, </w:t>
      </w:r>
      <w:r w:rsidR="00AF6571" w:rsidRPr="001D327B">
        <w:rPr>
          <w:snapToGrid w:val="0"/>
          <w:color w:val="000000" w:themeColor="text1"/>
          <w:kern w:val="28"/>
          <w:sz w:val="20"/>
        </w:rPr>
        <w:t>para</w:t>
      </w:r>
      <w:r w:rsidR="00D0656A" w:rsidRPr="001D327B">
        <w:rPr>
          <w:snapToGrid w:val="0"/>
          <w:color w:val="000000" w:themeColor="text1"/>
          <w:kern w:val="28"/>
          <w:sz w:val="20"/>
        </w:rPr>
        <w:t>.</w:t>
      </w:r>
      <w:r w:rsidR="00AF6571" w:rsidRPr="001D327B">
        <w:rPr>
          <w:snapToGrid w:val="0"/>
          <w:color w:val="000000" w:themeColor="text1"/>
          <w:kern w:val="28"/>
          <w:sz w:val="20"/>
        </w:rPr>
        <w:t xml:space="preserve"> 139. </w:t>
      </w:r>
      <w:r w:rsidR="00927C34">
        <w:rPr>
          <w:snapToGrid w:val="0"/>
          <w:color w:val="000000" w:themeColor="text1"/>
          <w:kern w:val="28"/>
          <w:sz w:val="20"/>
        </w:rPr>
        <w:t xml:space="preserve"> </w:t>
      </w:r>
      <w:r w:rsidR="00D0656A" w:rsidRPr="001D327B">
        <w:rPr>
          <w:snapToGrid w:val="0"/>
          <w:color w:val="000000" w:themeColor="text1"/>
          <w:kern w:val="28"/>
          <w:sz w:val="20"/>
        </w:rPr>
        <w:t>Accordingly, the Second FNPRM seeks comments on the costs and benefits</w:t>
      </w:r>
      <w:r w:rsidR="002B5012" w:rsidRPr="001D327B">
        <w:rPr>
          <w:snapToGrid w:val="0"/>
          <w:color w:val="000000" w:themeColor="text1"/>
          <w:kern w:val="28"/>
          <w:sz w:val="20"/>
        </w:rPr>
        <w:t xml:space="preserve"> of continuing to apply section 64.1903 to independent ILECs subject to rate-of-return regulation, which are the only carriers </w:t>
      </w:r>
      <w:r w:rsidR="000802F6">
        <w:rPr>
          <w:snapToGrid w:val="0"/>
          <w:color w:val="000000" w:themeColor="text1"/>
          <w:kern w:val="28"/>
          <w:sz w:val="20"/>
        </w:rPr>
        <w:t>that remain</w:t>
      </w:r>
      <w:r w:rsidR="002B5012" w:rsidRPr="001D327B">
        <w:rPr>
          <w:snapToGrid w:val="0"/>
          <w:color w:val="000000" w:themeColor="text1"/>
          <w:kern w:val="28"/>
          <w:sz w:val="20"/>
        </w:rPr>
        <w:t xml:space="preserve"> subject to the rule.</w:t>
      </w:r>
      <w:r w:rsidR="00D0656A" w:rsidRPr="001D327B">
        <w:rPr>
          <w:snapToGrid w:val="0"/>
          <w:color w:val="000000" w:themeColor="text1"/>
          <w:kern w:val="28"/>
          <w:sz w:val="20"/>
        </w:rPr>
        <w:t xml:space="preserve"> </w:t>
      </w:r>
    </w:p>
  </w:footnote>
  <w:footnote w:id="2">
    <w:p w:rsidR="009A27B8" w:rsidRPr="00AF6571" w:rsidRDefault="009A27B8" w:rsidP="004948A9">
      <w:pPr>
        <w:pStyle w:val="FootnoteText"/>
        <w:spacing w:after="120"/>
      </w:pPr>
      <w:r>
        <w:rPr>
          <w:rStyle w:val="FootnoteReference"/>
        </w:rPr>
        <w:footnoteRef/>
      </w:r>
      <w:r>
        <w:t xml:space="preserve"> </w:t>
      </w:r>
      <w:r w:rsidR="00F545CE">
        <w:rPr>
          <w:i/>
        </w:rPr>
        <w:t xml:space="preserve">Id. </w:t>
      </w:r>
      <w:r w:rsidR="001D327B">
        <w:t>at 2.</w:t>
      </w:r>
    </w:p>
  </w:footnote>
  <w:footnote w:id="3">
    <w:p w:rsidR="002B5012" w:rsidRPr="00AF6571" w:rsidRDefault="002B5012" w:rsidP="004948A9">
      <w:pPr>
        <w:pStyle w:val="FootnoteText"/>
        <w:spacing w:after="120"/>
      </w:pPr>
      <w:r>
        <w:rPr>
          <w:rStyle w:val="FootnoteReference"/>
        </w:rPr>
        <w:footnoteRef/>
      </w:r>
      <w:r>
        <w:t xml:space="preserve"> </w:t>
      </w:r>
      <w:r w:rsidR="00F545CE">
        <w:t>78 FR 35191</w:t>
      </w:r>
      <w:r w:rsidR="009F5E94">
        <w:t xml:space="preserve"> (June 12, 2013)</w:t>
      </w:r>
      <w:r w:rsidR="00F545CE">
        <w:t>.</w:t>
      </w:r>
    </w:p>
  </w:footnote>
  <w:footnote w:id="4">
    <w:p w:rsidR="002F3D7C" w:rsidRDefault="002F3D7C" w:rsidP="004948A9">
      <w:pPr>
        <w:pStyle w:val="FootnoteText"/>
        <w:spacing w:after="120"/>
        <w:rPr>
          <w:i/>
          <w:iCs/>
        </w:rPr>
      </w:pPr>
      <w:r>
        <w:rPr>
          <w:rStyle w:val="FootnoteReference"/>
        </w:rPr>
        <w:footnoteRef/>
      </w:r>
      <w:r>
        <w:t xml:space="preserve"> 47 C.F.R. §§ 1.1200 </w:t>
      </w:r>
      <w:r>
        <w:rPr>
          <w:i/>
          <w:iCs/>
        </w:rPr>
        <w:t>et seq.</w:t>
      </w:r>
    </w:p>
    <w:p w:rsidR="002F3D7C" w:rsidRPr="00E169D5" w:rsidRDefault="002F3D7C" w:rsidP="004948A9">
      <w:pPr>
        <w:pStyle w:val="FootnoteText"/>
        <w:spacing w:after="120"/>
        <w:rPr>
          <w:i/>
          <w:iC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5" w:rsidRDefault="008B6E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ED5" w:rsidRDefault="008B6ED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Pr="0092286C" w:rsidRDefault="00822BA7">
    <w:pPr>
      <w:pStyle w:val="Header"/>
      <w:tabs>
        <w:tab w:val="clear" w:pos="4320"/>
        <w:tab w:val="clear" w:pos="8640"/>
      </w:tabs>
      <w:spacing w:before="40"/>
      <w:ind w:firstLine="1080"/>
      <w:rPr>
        <w:rFonts w:ascii="Arial" w:hAnsi="Arial" w:cs="Arial"/>
        <w:b/>
        <w:kern w:val="28"/>
        <w:sz w:val="96"/>
      </w:rPr>
    </w:pPr>
    <w:r>
      <w:rPr>
        <w:rFonts w:ascii="Arial" w:hAnsi="Arial" w:cs="Arial"/>
        <w:b/>
        <w:noProof/>
      </w:rPr>
      <w:drawing>
        <wp:anchor distT="0" distB="0" distL="114300" distR="114300" simplePos="0" relativeHeight="251659264" behindDoc="0" locked="0" layoutInCell="0" allowOverlap="1" wp14:anchorId="31CE52BD" wp14:editId="5348F9DF">
          <wp:simplePos x="0" y="0"/>
          <wp:positionH relativeFrom="column">
            <wp:posOffset>30480</wp:posOffset>
          </wp:positionH>
          <wp:positionV relativeFrom="paragraph">
            <wp:posOffset>107950</wp:posOffset>
          </wp:positionV>
          <wp:extent cx="530225" cy="530225"/>
          <wp:effectExtent l="0" t="0" r="3175" b="3175"/>
          <wp:wrapTopAndBottom/>
          <wp:docPr id="5" name="Picture 4"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noProof/>
        <w:sz w:val="24"/>
      </w:rPr>
      <mc:AlternateContent>
        <mc:Choice Requires="wps">
          <w:drawing>
            <wp:anchor distT="0" distB="0" distL="114300" distR="114300" simplePos="0" relativeHeight="251656192" behindDoc="0" locked="0" layoutInCell="0" allowOverlap="1" wp14:anchorId="31A6B85A" wp14:editId="63FB3474">
              <wp:simplePos x="0" y="0"/>
              <wp:positionH relativeFrom="column">
                <wp:posOffset>604520</wp:posOffset>
              </wp:positionH>
              <wp:positionV relativeFrom="paragraph">
                <wp:posOffset>731520</wp:posOffset>
              </wp:positionV>
              <wp:extent cx="3108960" cy="640080"/>
              <wp:effectExtent l="0" t="0" r="0" b="7620"/>
              <wp:wrapNone/>
              <wp:docPr id="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47.6pt;margin-top:57.6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" o:allowincell="f" stroked="f">
              <v:textbox>
                <w:txbxContent>
                  <w:p w:rsidR="00B24E27" w:rsidRDefault="00B24E27">
                    <w:pPr>
                      <w:rPr>
                        <w:rFonts w:ascii="Arial" w:hAnsi="Arial"/>
                        <w:b/>
                      </w:rPr>
                    </w:pPr>
                    <w:r>
                      <w:rPr>
                        <w:rFonts w:ascii="Arial" w:hAnsi="Arial"/>
                        <w:b/>
                      </w:rPr>
                      <w:t>Federal Communications Commission</w:t>
                    </w:r>
                  </w:p>
                  <w:p w:rsidR="00B24E27" w:rsidRDefault="00B24E2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B24E27" w:rsidRDefault="00B24E27">
                    <w:pPr>
                      <w:rPr>
                        <w:rFonts w:ascii="Arial" w:hAnsi="Arial"/>
                        <w:sz w:val="24"/>
                      </w:rPr>
                    </w:pPr>
                    <w:r>
                      <w:rPr>
                        <w:rFonts w:ascii="Arial" w:hAnsi="Arial"/>
                        <w:b/>
                      </w:rPr>
                      <w:t>Washington, D.C. 20554</w:t>
                    </w:r>
                  </w:p>
                </w:txbxContent>
              </v:textbox>
            </v:shape>
          </w:pict>
        </mc:Fallback>
      </mc:AlternateContent>
    </w:r>
    <w:r w:rsidR="00B24E27" w:rsidRPr="0092286C">
      <w:rPr>
        <w:rFonts w:ascii="Arial" w:hAnsi="Arial" w:cs="Arial"/>
        <w:b/>
        <w:kern w:val="28"/>
        <w:sz w:val="96"/>
      </w:rPr>
      <w:t>PUBLIC NOTICE</w:t>
    </w:r>
  </w:p>
  <w:p w:rsidR="00B24E27" w:rsidRDefault="00822BA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mc:AlternateContent>
        <mc:Choice Requires="wps">
          <w:drawing>
            <wp:anchor distT="0" distB="0" distL="114300" distR="114300" simplePos="0" relativeHeight="251658240" behindDoc="0" locked="0" layoutInCell="1" allowOverlap="1" wp14:anchorId="3718253A" wp14:editId="3458E8CE">
              <wp:simplePos x="0" y="0"/>
              <wp:positionH relativeFrom="column">
                <wp:posOffset>3366135</wp:posOffset>
              </wp:positionH>
              <wp:positionV relativeFrom="paragraph">
                <wp:posOffset>76200</wp:posOffset>
              </wp:positionV>
              <wp:extent cx="2640965" cy="548640"/>
              <wp:effectExtent l="0" t="0" r="6985"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265.05pt;margin-top:6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" stroked="f">
              <v:textbox inset=",0,,0">
                <w:txbxContent>
                  <w:p w:rsidR="00B24E27" w:rsidRDefault="00B24E27">
                    <w:pPr>
                      <w:spacing w:before="40"/>
                      <w:jc w:val="right"/>
                      <w:rPr>
                        <w:rFonts w:ascii="Arial" w:hAnsi="Arial"/>
                        <w:b/>
                        <w:sz w:val="16"/>
                      </w:rPr>
                    </w:pPr>
                    <w:r>
                      <w:rPr>
                        <w:rFonts w:ascii="Arial" w:hAnsi="Arial"/>
                        <w:b/>
                        <w:sz w:val="16"/>
                      </w:rPr>
                      <w:t>News Media Information 202 / 418-0500</w:t>
                    </w:r>
                  </w:p>
                  <w:p w:rsidR="00B24E27" w:rsidRDefault="00B24E27">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B24E27" w:rsidRDefault="00B24E27">
                    <w:pPr>
                      <w:jc w:val="right"/>
                      <w:rPr>
                        <w:rFonts w:ascii="Arial" w:hAnsi="Arial"/>
                        <w:b/>
                        <w:sz w:val="16"/>
                      </w:rPr>
                    </w:pPr>
                    <w:r>
                      <w:rPr>
                        <w:rFonts w:ascii="Arial" w:hAnsi="Arial"/>
                        <w:b/>
                        <w:sz w:val="16"/>
                      </w:rPr>
                      <w:t>TTY: 1-888-835-5322</w:t>
                    </w:r>
                  </w:p>
                  <w:p w:rsidR="00B24E27" w:rsidRDefault="00B24E27">
                    <w:pPr>
                      <w:jc w:val="right"/>
                    </w:pPr>
                  </w:p>
                </w:txbxContent>
              </v:textbox>
            </v:shape>
          </w:pict>
        </mc:Fallback>
      </mc:AlternateContent>
    </w:r>
    <w:r>
      <w:rPr>
        <w:rFonts w:ascii="Arial" w:hAnsi="Arial"/>
        <w:b/>
        <w:noProof/>
      </w:rPr>
      <mc:AlternateContent>
        <mc:Choice Requires="wps">
          <w:drawing>
            <wp:anchor distT="0" distB="0" distL="114300" distR="114300" simplePos="0" relativeHeight="251657216" behindDoc="0" locked="0" layoutInCell="0" allowOverlap="1" wp14:anchorId="51E7EC4B" wp14:editId="4960E1B2">
              <wp:simplePos x="0" y="0"/>
              <wp:positionH relativeFrom="column">
                <wp:posOffset>0</wp:posOffset>
              </wp:positionH>
              <wp:positionV relativeFrom="paragraph">
                <wp:posOffset>697865</wp:posOffset>
              </wp:positionV>
              <wp:extent cx="5943600" cy="2540"/>
              <wp:effectExtent l="0" t="0" r="19050" b="3556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4.95pt" to="468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" o:allowincell="f"/>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4E27" w:rsidRDefault="00B24E27" w:rsidP="00B24E2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4D9A6558">
      <w:start w:val="1"/>
      <w:numFmt w:val="bullet"/>
      <w:lvlText w:val=""/>
      <w:lvlJc w:val="left"/>
      <w:pPr>
        <w:tabs>
          <w:tab w:val="num" w:pos="720"/>
        </w:tabs>
        <w:ind w:left="720" w:hanging="360"/>
      </w:pPr>
      <w:rPr>
        <w:rFonts w:ascii="Wingdings" w:hAnsi="Wingdings" w:hint="default"/>
      </w:rPr>
    </w:lvl>
    <w:lvl w:ilvl="1" w:tplc="48AC7B16">
      <w:start w:val="1"/>
      <w:numFmt w:val="decimal"/>
      <w:lvlText w:val="(%2)"/>
      <w:lvlJc w:val="left"/>
      <w:pPr>
        <w:tabs>
          <w:tab w:val="num" w:pos="1440"/>
        </w:tabs>
        <w:ind w:left="1440" w:hanging="360"/>
      </w:pPr>
      <w:rPr>
        <w:rFonts w:hint="default"/>
      </w:rPr>
    </w:lvl>
    <w:lvl w:ilvl="2" w:tplc="669E2654">
      <w:start w:val="1"/>
      <w:numFmt w:val="lowerRoman"/>
      <w:lvlText w:val="%3."/>
      <w:lvlJc w:val="right"/>
      <w:pPr>
        <w:tabs>
          <w:tab w:val="num" w:pos="2160"/>
        </w:tabs>
        <w:ind w:left="2160" w:hanging="180"/>
      </w:pPr>
    </w:lvl>
    <w:lvl w:ilvl="3" w:tplc="D49284EA" w:tentative="1">
      <w:start w:val="1"/>
      <w:numFmt w:val="decimal"/>
      <w:lvlText w:val="%4."/>
      <w:lvlJc w:val="left"/>
      <w:pPr>
        <w:tabs>
          <w:tab w:val="num" w:pos="2880"/>
        </w:tabs>
        <w:ind w:left="2880" w:hanging="360"/>
      </w:pPr>
    </w:lvl>
    <w:lvl w:ilvl="4" w:tplc="6EE6FF7E" w:tentative="1">
      <w:start w:val="1"/>
      <w:numFmt w:val="lowerLetter"/>
      <w:lvlText w:val="%5."/>
      <w:lvlJc w:val="left"/>
      <w:pPr>
        <w:tabs>
          <w:tab w:val="num" w:pos="3600"/>
        </w:tabs>
        <w:ind w:left="3600" w:hanging="360"/>
      </w:pPr>
    </w:lvl>
    <w:lvl w:ilvl="5" w:tplc="31B42BA8" w:tentative="1">
      <w:start w:val="1"/>
      <w:numFmt w:val="lowerRoman"/>
      <w:lvlText w:val="%6."/>
      <w:lvlJc w:val="right"/>
      <w:pPr>
        <w:tabs>
          <w:tab w:val="num" w:pos="4320"/>
        </w:tabs>
        <w:ind w:left="4320" w:hanging="180"/>
      </w:pPr>
    </w:lvl>
    <w:lvl w:ilvl="6" w:tplc="2B6AD27E" w:tentative="1">
      <w:start w:val="1"/>
      <w:numFmt w:val="decimal"/>
      <w:lvlText w:val="%7."/>
      <w:lvlJc w:val="left"/>
      <w:pPr>
        <w:tabs>
          <w:tab w:val="num" w:pos="5040"/>
        </w:tabs>
        <w:ind w:left="5040" w:hanging="360"/>
      </w:pPr>
    </w:lvl>
    <w:lvl w:ilvl="7" w:tplc="AC942F12" w:tentative="1">
      <w:start w:val="1"/>
      <w:numFmt w:val="lowerLetter"/>
      <w:lvlText w:val="%8."/>
      <w:lvlJc w:val="left"/>
      <w:pPr>
        <w:tabs>
          <w:tab w:val="num" w:pos="5760"/>
        </w:tabs>
        <w:ind w:left="5760" w:hanging="360"/>
      </w:pPr>
    </w:lvl>
    <w:lvl w:ilvl="8" w:tplc="3452BFBC" w:tentative="1">
      <w:start w:val="1"/>
      <w:numFmt w:val="lowerRoman"/>
      <w:lvlText w:val="%9."/>
      <w:lvlJc w:val="right"/>
      <w:pPr>
        <w:tabs>
          <w:tab w:val="num" w:pos="6480"/>
        </w:tabs>
        <w:ind w:left="6480" w:hanging="180"/>
      </w:pPr>
    </w:lvl>
  </w:abstractNum>
  <w:abstractNum w:abstractNumId="1">
    <w:nsid w:val="104E3A28"/>
    <w:multiLevelType w:val="hybridMultilevel"/>
    <w:tmpl w:val="89249F5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614E81"/>
    <w:multiLevelType w:val="hybridMultilevel"/>
    <w:tmpl w:val="F6BE7E1C"/>
    <w:lvl w:ilvl="0" w:tplc="98940042">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4">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rPr>
    </w:lvl>
  </w:abstractNum>
  <w:abstractNum w:abstractNumId="5">
    <w:nsid w:val="3ECA7DF0"/>
    <w:multiLevelType w:val="singleLevel"/>
    <w:tmpl w:val="47CCC0D4"/>
    <w:lvl w:ilvl="0">
      <w:start w:val="1"/>
      <w:numFmt w:val="decimal"/>
      <w:lvlText w:val="(%1)"/>
      <w:lvlJc w:val="left"/>
      <w:pPr>
        <w:tabs>
          <w:tab w:val="num" w:pos="360"/>
        </w:tabs>
        <w:ind w:left="360" w:hanging="360"/>
      </w:pPr>
      <w:rPr>
        <w:rFonts w:hint="default"/>
      </w:rPr>
    </w:lvl>
  </w:abstractNum>
  <w:abstractNum w:abstractNumId="6">
    <w:nsid w:val="50E225D9"/>
    <w:multiLevelType w:val="hybridMultilevel"/>
    <w:tmpl w:val="6F56B5B2"/>
    <w:lvl w:ilvl="0" w:tplc="5768AFD6">
      <w:start w:val="1"/>
      <w:numFmt w:val="bullet"/>
      <w:lvlText w:val=""/>
      <w:lvlJc w:val="left"/>
      <w:pPr>
        <w:tabs>
          <w:tab w:val="num" w:pos="720"/>
        </w:tabs>
        <w:ind w:left="720" w:hanging="360"/>
      </w:pPr>
      <w:rPr>
        <w:rFonts w:ascii="Wingdings" w:hAnsi="Wingdings" w:hint="default"/>
      </w:rPr>
    </w:lvl>
    <w:lvl w:ilvl="1" w:tplc="57FCB76E">
      <w:start w:val="1"/>
      <w:numFmt w:val="bullet"/>
      <w:lvlText w:val="o"/>
      <w:lvlJc w:val="left"/>
      <w:pPr>
        <w:tabs>
          <w:tab w:val="num" w:pos="720"/>
        </w:tabs>
        <w:ind w:left="720" w:hanging="360"/>
      </w:pPr>
      <w:rPr>
        <w:rFonts w:ascii="Courier New" w:hAnsi="Courier New" w:cs="Symbol" w:hint="default"/>
      </w:rPr>
    </w:lvl>
    <w:lvl w:ilvl="2" w:tplc="9D400CAA">
      <w:start w:val="1"/>
      <w:numFmt w:val="bullet"/>
      <w:lvlText w:val=""/>
      <w:lvlJc w:val="left"/>
      <w:pPr>
        <w:tabs>
          <w:tab w:val="num" w:pos="1440"/>
        </w:tabs>
        <w:ind w:left="1440" w:hanging="360"/>
      </w:pPr>
      <w:rPr>
        <w:rFonts w:ascii="Wingdings" w:hAnsi="Wingdings" w:hint="default"/>
      </w:rPr>
    </w:lvl>
    <w:lvl w:ilvl="3" w:tplc="302A4BA0" w:tentative="1">
      <w:start w:val="1"/>
      <w:numFmt w:val="bullet"/>
      <w:lvlText w:val=""/>
      <w:lvlJc w:val="left"/>
      <w:pPr>
        <w:tabs>
          <w:tab w:val="num" w:pos="2160"/>
        </w:tabs>
        <w:ind w:left="2160" w:hanging="360"/>
      </w:pPr>
      <w:rPr>
        <w:rFonts w:ascii="Symbol" w:hAnsi="Symbol" w:hint="default"/>
      </w:rPr>
    </w:lvl>
    <w:lvl w:ilvl="4" w:tplc="BC7A153C" w:tentative="1">
      <w:start w:val="1"/>
      <w:numFmt w:val="bullet"/>
      <w:lvlText w:val="o"/>
      <w:lvlJc w:val="left"/>
      <w:pPr>
        <w:tabs>
          <w:tab w:val="num" w:pos="2880"/>
        </w:tabs>
        <w:ind w:left="2880" w:hanging="360"/>
      </w:pPr>
      <w:rPr>
        <w:rFonts w:ascii="Courier New" w:hAnsi="Courier New" w:cs="Symbol" w:hint="default"/>
      </w:rPr>
    </w:lvl>
    <w:lvl w:ilvl="5" w:tplc="E16A31AC" w:tentative="1">
      <w:start w:val="1"/>
      <w:numFmt w:val="bullet"/>
      <w:lvlText w:val=""/>
      <w:lvlJc w:val="left"/>
      <w:pPr>
        <w:tabs>
          <w:tab w:val="num" w:pos="3600"/>
        </w:tabs>
        <w:ind w:left="3600" w:hanging="360"/>
      </w:pPr>
      <w:rPr>
        <w:rFonts w:ascii="Wingdings" w:hAnsi="Wingdings" w:hint="default"/>
      </w:rPr>
    </w:lvl>
    <w:lvl w:ilvl="6" w:tplc="1FB0EFDA" w:tentative="1">
      <w:start w:val="1"/>
      <w:numFmt w:val="bullet"/>
      <w:lvlText w:val=""/>
      <w:lvlJc w:val="left"/>
      <w:pPr>
        <w:tabs>
          <w:tab w:val="num" w:pos="4320"/>
        </w:tabs>
        <w:ind w:left="4320" w:hanging="360"/>
      </w:pPr>
      <w:rPr>
        <w:rFonts w:ascii="Symbol" w:hAnsi="Symbol" w:hint="default"/>
      </w:rPr>
    </w:lvl>
    <w:lvl w:ilvl="7" w:tplc="0CEC1CEE" w:tentative="1">
      <w:start w:val="1"/>
      <w:numFmt w:val="bullet"/>
      <w:lvlText w:val="o"/>
      <w:lvlJc w:val="left"/>
      <w:pPr>
        <w:tabs>
          <w:tab w:val="num" w:pos="5040"/>
        </w:tabs>
        <w:ind w:left="5040" w:hanging="360"/>
      </w:pPr>
      <w:rPr>
        <w:rFonts w:ascii="Courier New" w:hAnsi="Courier New" w:cs="Symbol" w:hint="default"/>
      </w:rPr>
    </w:lvl>
    <w:lvl w:ilvl="8" w:tplc="52341F7A" w:tentative="1">
      <w:start w:val="1"/>
      <w:numFmt w:val="bullet"/>
      <w:lvlText w:val=""/>
      <w:lvlJc w:val="left"/>
      <w:pPr>
        <w:tabs>
          <w:tab w:val="num" w:pos="5760"/>
        </w:tabs>
        <w:ind w:left="5760" w:hanging="360"/>
      </w:pPr>
      <w:rPr>
        <w:rFonts w:ascii="Wingdings" w:hAnsi="Wingdings" w:hint="default"/>
      </w:rPr>
    </w:lvl>
  </w:abstractNum>
  <w:abstractNum w:abstractNumId="7">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8">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9">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66896454"/>
    <w:multiLevelType w:val="multilevel"/>
    <w:tmpl w:val="53160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CCE5AC5"/>
    <w:multiLevelType w:val="hybridMultilevel"/>
    <w:tmpl w:val="E9CA87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391286"/>
    <w:multiLevelType w:val="hybridMultilevel"/>
    <w:tmpl w:val="A072DFF6"/>
    <w:lvl w:ilvl="0" w:tplc="D53AD13A">
      <w:start w:val="1"/>
      <w:numFmt w:val="bullet"/>
      <w:lvlText w:val=""/>
      <w:lvlJc w:val="left"/>
      <w:pPr>
        <w:tabs>
          <w:tab w:val="num" w:pos="720"/>
        </w:tabs>
        <w:ind w:left="720" w:hanging="360"/>
      </w:pPr>
      <w:rPr>
        <w:rFonts w:ascii="Wingdings" w:hAnsi="Wingdings" w:hint="default"/>
      </w:rPr>
    </w:lvl>
    <w:lvl w:ilvl="1" w:tplc="3FEE1456" w:tentative="1">
      <w:start w:val="1"/>
      <w:numFmt w:val="bullet"/>
      <w:lvlText w:val="o"/>
      <w:lvlJc w:val="left"/>
      <w:pPr>
        <w:tabs>
          <w:tab w:val="num" w:pos="1440"/>
        </w:tabs>
        <w:ind w:left="1440" w:hanging="360"/>
      </w:pPr>
      <w:rPr>
        <w:rFonts w:ascii="Courier New" w:hAnsi="Courier New" w:cs="Symbol" w:hint="default"/>
      </w:rPr>
    </w:lvl>
    <w:lvl w:ilvl="2" w:tplc="9836D05C" w:tentative="1">
      <w:start w:val="1"/>
      <w:numFmt w:val="bullet"/>
      <w:lvlText w:val=""/>
      <w:lvlJc w:val="left"/>
      <w:pPr>
        <w:tabs>
          <w:tab w:val="num" w:pos="2160"/>
        </w:tabs>
        <w:ind w:left="2160" w:hanging="360"/>
      </w:pPr>
      <w:rPr>
        <w:rFonts w:ascii="Wingdings" w:hAnsi="Wingdings" w:hint="default"/>
      </w:rPr>
    </w:lvl>
    <w:lvl w:ilvl="3" w:tplc="D72C5006" w:tentative="1">
      <w:start w:val="1"/>
      <w:numFmt w:val="bullet"/>
      <w:lvlText w:val=""/>
      <w:lvlJc w:val="left"/>
      <w:pPr>
        <w:tabs>
          <w:tab w:val="num" w:pos="2880"/>
        </w:tabs>
        <w:ind w:left="2880" w:hanging="360"/>
      </w:pPr>
      <w:rPr>
        <w:rFonts w:ascii="Symbol" w:hAnsi="Symbol" w:hint="default"/>
      </w:rPr>
    </w:lvl>
    <w:lvl w:ilvl="4" w:tplc="44C4772E" w:tentative="1">
      <w:start w:val="1"/>
      <w:numFmt w:val="bullet"/>
      <w:lvlText w:val="o"/>
      <w:lvlJc w:val="left"/>
      <w:pPr>
        <w:tabs>
          <w:tab w:val="num" w:pos="3600"/>
        </w:tabs>
        <w:ind w:left="3600" w:hanging="360"/>
      </w:pPr>
      <w:rPr>
        <w:rFonts w:ascii="Courier New" w:hAnsi="Courier New" w:cs="Symbol" w:hint="default"/>
      </w:rPr>
    </w:lvl>
    <w:lvl w:ilvl="5" w:tplc="A73E80E4" w:tentative="1">
      <w:start w:val="1"/>
      <w:numFmt w:val="bullet"/>
      <w:lvlText w:val=""/>
      <w:lvlJc w:val="left"/>
      <w:pPr>
        <w:tabs>
          <w:tab w:val="num" w:pos="4320"/>
        </w:tabs>
        <w:ind w:left="4320" w:hanging="360"/>
      </w:pPr>
      <w:rPr>
        <w:rFonts w:ascii="Wingdings" w:hAnsi="Wingdings" w:hint="default"/>
      </w:rPr>
    </w:lvl>
    <w:lvl w:ilvl="6" w:tplc="38D0CCAE" w:tentative="1">
      <w:start w:val="1"/>
      <w:numFmt w:val="bullet"/>
      <w:lvlText w:val=""/>
      <w:lvlJc w:val="left"/>
      <w:pPr>
        <w:tabs>
          <w:tab w:val="num" w:pos="5040"/>
        </w:tabs>
        <w:ind w:left="5040" w:hanging="360"/>
      </w:pPr>
      <w:rPr>
        <w:rFonts w:ascii="Symbol" w:hAnsi="Symbol" w:hint="default"/>
      </w:rPr>
    </w:lvl>
    <w:lvl w:ilvl="7" w:tplc="E8C699E0" w:tentative="1">
      <w:start w:val="1"/>
      <w:numFmt w:val="bullet"/>
      <w:lvlText w:val="o"/>
      <w:lvlJc w:val="left"/>
      <w:pPr>
        <w:tabs>
          <w:tab w:val="num" w:pos="5760"/>
        </w:tabs>
        <w:ind w:left="5760" w:hanging="360"/>
      </w:pPr>
      <w:rPr>
        <w:rFonts w:ascii="Courier New" w:hAnsi="Courier New" w:cs="Symbol" w:hint="default"/>
      </w:rPr>
    </w:lvl>
    <w:lvl w:ilvl="8" w:tplc="97D200A4" w:tentative="1">
      <w:start w:val="1"/>
      <w:numFmt w:val="bullet"/>
      <w:lvlText w:val=""/>
      <w:lvlJc w:val="left"/>
      <w:pPr>
        <w:tabs>
          <w:tab w:val="num" w:pos="6480"/>
        </w:tabs>
        <w:ind w:left="6480" w:hanging="360"/>
      </w:pPr>
      <w:rPr>
        <w:rFonts w:ascii="Wingdings" w:hAnsi="Wingdings" w:hint="default"/>
      </w:rPr>
    </w:lvl>
  </w:abstractNum>
  <w:abstractNum w:abstractNumId="14">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9"/>
  </w:num>
  <w:num w:numId="2">
    <w:abstractNumId w:val="8"/>
  </w:num>
  <w:num w:numId="3">
    <w:abstractNumId w:val="10"/>
  </w:num>
  <w:num w:numId="4">
    <w:abstractNumId w:val="3"/>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7"/>
  </w:num>
  <w:num w:numId="12">
    <w:abstractNumId w:val="4"/>
  </w:num>
  <w:num w:numId="13">
    <w:abstractNumId w:val="11"/>
  </w:num>
  <w:num w:numId="14">
    <w:abstractNumId w:val="5"/>
  </w:num>
  <w:num w:numId="15">
    <w:abstractNumId w:val="6"/>
  </w:num>
  <w:num w:numId="16">
    <w:abstractNumId w:val="0"/>
  </w:num>
  <w:num w:numId="17">
    <w:abstractNumId w:val="14"/>
  </w:num>
  <w:num w:numId="18">
    <w:abstractNumId w:val="13"/>
  </w:num>
  <w:num w:numId="19">
    <w:abstractNumId w:val="1"/>
  </w:num>
  <w:num w:numId="20">
    <w:abstractNumId w:val="12"/>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ctiveWritingStyle w:appName="MSWord" w:lang="en-US" w:vendorID="8" w:dllVersion="513" w:checkStyle="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6D8B"/>
    <w:rsid w:val="000253D2"/>
    <w:rsid w:val="00025EA7"/>
    <w:rsid w:val="0002695B"/>
    <w:rsid w:val="000413D8"/>
    <w:rsid w:val="00042566"/>
    <w:rsid w:val="00047A60"/>
    <w:rsid w:val="00073021"/>
    <w:rsid w:val="000802F6"/>
    <w:rsid w:val="0008367B"/>
    <w:rsid w:val="0009364C"/>
    <w:rsid w:val="00094772"/>
    <w:rsid w:val="000D4205"/>
    <w:rsid w:val="000E295E"/>
    <w:rsid w:val="000F2CAE"/>
    <w:rsid w:val="000F5334"/>
    <w:rsid w:val="00110F67"/>
    <w:rsid w:val="0011342E"/>
    <w:rsid w:val="00143B8C"/>
    <w:rsid w:val="0015703C"/>
    <w:rsid w:val="0016446C"/>
    <w:rsid w:val="001661C5"/>
    <w:rsid w:val="00175B7C"/>
    <w:rsid w:val="00175F62"/>
    <w:rsid w:val="001819D5"/>
    <w:rsid w:val="00182161"/>
    <w:rsid w:val="0018430F"/>
    <w:rsid w:val="001A29CE"/>
    <w:rsid w:val="001D327B"/>
    <w:rsid w:val="001E018C"/>
    <w:rsid w:val="001E4EEE"/>
    <w:rsid w:val="001F01A5"/>
    <w:rsid w:val="002010EF"/>
    <w:rsid w:val="00205224"/>
    <w:rsid w:val="002456B8"/>
    <w:rsid w:val="00275254"/>
    <w:rsid w:val="00281983"/>
    <w:rsid w:val="002834CA"/>
    <w:rsid w:val="0028458C"/>
    <w:rsid w:val="00286118"/>
    <w:rsid w:val="002909B2"/>
    <w:rsid w:val="002A14CF"/>
    <w:rsid w:val="002B5012"/>
    <w:rsid w:val="002D1DAA"/>
    <w:rsid w:val="002D397F"/>
    <w:rsid w:val="002E27E8"/>
    <w:rsid w:val="002E5225"/>
    <w:rsid w:val="002F13DE"/>
    <w:rsid w:val="002F29F1"/>
    <w:rsid w:val="002F3D7C"/>
    <w:rsid w:val="00304514"/>
    <w:rsid w:val="003049B0"/>
    <w:rsid w:val="00305F16"/>
    <w:rsid w:val="00321789"/>
    <w:rsid w:val="00327171"/>
    <w:rsid w:val="003331B8"/>
    <w:rsid w:val="00363F67"/>
    <w:rsid w:val="003930D1"/>
    <w:rsid w:val="003B3A41"/>
    <w:rsid w:val="003C16FE"/>
    <w:rsid w:val="003C3BB8"/>
    <w:rsid w:val="003D65BF"/>
    <w:rsid w:val="003E346D"/>
    <w:rsid w:val="0043223B"/>
    <w:rsid w:val="004457B4"/>
    <w:rsid w:val="00447606"/>
    <w:rsid w:val="0045053C"/>
    <w:rsid w:val="0045094A"/>
    <w:rsid w:val="00454D4E"/>
    <w:rsid w:val="00463F8D"/>
    <w:rsid w:val="00466412"/>
    <w:rsid w:val="00482435"/>
    <w:rsid w:val="004948A9"/>
    <w:rsid w:val="004C34A5"/>
    <w:rsid w:val="004D5227"/>
    <w:rsid w:val="004F6D09"/>
    <w:rsid w:val="00511A5F"/>
    <w:rsid w:val="00525F29"/>
    <w:rsid w:val="00541AA2"/>
    <w:rsid w:val="005421B8"/>
    <w:rsid w:val="00545632"/>
    <w:rsid w:val="00550C13"/>
    <w:rsid w:val="005510DF"/>
    <w:rsid w:val="00567579"/>
    <w:rsid w:val="005715EC"/>
    <w:rsid w:val="0057474A"/>
    <w:rsid w:val="005956C4"/>
    <w:rsid w:val="005A2927"/>
    <w:rsid w:val="005B4F2D"/>
    <w:rsid w:val="005C3895"/>
    <w:rsid w:val="005C705E"/>
    <w:rsid w:val="005E563A"/>
    <w:rsid w:val="005F05A6"/>
    <w:rsid w:val="00611D83"/>
    <w:rsid w:val="006231F4"/>
    <w:rsid w:val="00633AA8"/>
    <w:rsid w:val="006406F1"/>
    <w:rsid w:val="0065093D"/>
    <w:rsid w:val="00651807"/>
    <w:rsid w:val="00684892"/>
    <w:rsid w:val="006A240A"/>
    <w:rsid w:val="006A2E87"/>
    <w:rsid w:val="006A3949"/>
    <w:rsid w:val="006B06C4"/>
    <w:rsid w:val="006B7E8D"/>
    <w:rsid w:val="006C31FA"/>
    <w:rsid w:val="006C4B9B"/>
    <w:rsid w:val="006D2191"/>
    <w:rsid w:val="006E49C3"/>
    <w:rsid w:val="006E6CBD"/>
    <w:rsid w:val="006F0D27"/>
    <w:rsid w:val="00704B03"/>
    <w:rsid w:val="007061BE"/>
    <w:rsid w:val="00715A6F"/>
    <w:rsid w:val="0074755A"/>
    <w:rsid w:val="00761F11"/>
    <w:rsid w:val="0078183F"/>
    <w:rsid w:val="00783E07"/>
    <w:rsid w:val="007A0639"/>
    <w:rsid w:val="007B02F7"/>
    <w:rsid w:val="007B70F3"/>
    <w:rsid w:val="007D069B"/>
    <w:rsid w:val="007E38AD"/>
    <w:rsid w:val="00814182"/>
    <w:rsid w:val="00822BA7"/>
    <w:rsid w:val="008417F9"/>
    <w:rsid w:val="00843FC4"/>
    <w:rsid w:val="008455DB"/>
    <w:rsid w:val="00845640"/>
    <w:rsid w:val="008649D9"/>
    <w:rsid w:val="00864C0B"/>
    <w:rsid w:val="0087171C"/>
    <w:rsid w:val="008718B4"/>
    <w:rsid w:val="00893849"/>
    <w:rsid w:val="008B67F4"/>
    <w:rsid w:val="008B6ED5"/>
    <w:rsid w:val="008C1EBD"/>
    <w:rsid w:val="008E2B06"/>
    <w:rsid w:val="008E6D99"/>
    <w:rsid w:val="00903037"/>
    <w:rsid w:val="00904CB1"/>
    <w:rsid w:val="0091166A"/>
    <w:rsid w:val="0092286C"/>
    <w:rsid w:val="00924172"/>
    <w:rsid w:val="00927C34"/>
    <w:rsid w:val="0093402F"/>
    <w:rsid w:val="009373D2"/>
    <w:rsid w:val="00942296"/>
    <w:rsid w:val="009531D2"/>
    <w:rsid w:val="00984BA4"/>
    <w:rsid w:val="00991EC9"/>
    <w:rsid w:val="00993D50"/>
    <w:rsid w:val="009A27B8"/>
    <w:rsid w:val="009C35FD"/>
    <w:rsid w:val="009C549D"/>
    <w:rsid w:val="009D07BF"/>
    <w:rsid w:val="009D14E1"/>
    <w:rsid w:val="009D19DB"/>
    <w:rsid w:val="009F113F"/>
    <w:rsid w:val="009F5E94"/>
    <w:rsid w:val="00A13591"/>
    <w:rsid w:val="00A24F62"/>
    <w:rsid w:val="00A725EB"/>
    <w:rsid w:val="00A76D31"/>
    <w:rsid w:val="00AA6D8B"/>
    <w:rsid w:val="00AC0E06"/>
    <w:rsid w:val="00AC3816"/>
    <w:rsid w:val="00AD4647"/>
    <w:rsid w:val="00AF6571"/>
    <w:rsid w:val="00B1414B"/>
    <w:rsid w:val="00B22DA1"/>
    <w:rsid w:val="00B24D47"/>
    <w:rsid w:val="00B24E27"/>
    <w:rsid w:val="00B27873"/>
    <w:rsid w:val="00B352B9"/>
    <w:rsid w:val="00B633BB"/>
    <w:rsid w:val="00B74870"/>
    <w:rsid w:val="00B90B86"/>
    <w:rsid w:val="00BB20C8"/>
    <w:rsid w:val="00BC2369"/>
    <w:rsid w:val="00BE7DFA"/>
    <w:rsid w:val="00BF4D14"/>
    <w:rsid w:val="00BF68A7"/>
    <w:rsid w:val="00BF768F"/>
    <w:rsid w:val="00C01C1E"/>
    <w:rsid w:val="00C13EC3"/>
    <w:rsid w:val="00C16076"/>
    <w:rsid w:val="00C20029"/>
    <w:rsid w:val="00C23366"/>
    <w:rsid w:val="00C3234C"/>
    <w:rsid w:val="00C41A5B"/>
    <w:rsid w:val="00C65EA8"/>
    <w:rsid w:val="00C70142"/>
    <w:rsid w:val="00C73C5F"/>
    <w:rsid w:val="00CA4B38"/>
    <w:rsid w:val="00CC5E52"/>
    <w:rsid w:val="00D0154E"/>
    <w:rsid w:val="00D0656A"/>
    <w:rsid w:val="00D2023C"/>
    <w:rsid w:val="00D24DEB"/>
    <w:rsid w:val="00D328C8"/>
    <w:rsid w:val="00D6578C"/>
    <w:rsid w:val="00D66AB4"/>
    <w:rsid w:val="00D724EB"/>
    <w:rsid w:val="00D813FF"/>
    <w:rsid w:val="00D9134A"/>
    <w:rsid w:val="00DC23A9"/>
    <w:rsid w:val="00DD5494"/>
    <w:rsid w:val="00DF4DC7"/>
    <w:rsid w:val="00E03E20"/>
    <w:rsid w:val="00E41783"/>
    <w:rsid w:val="00E500CC"/>
    <w:rsid w:val="00E72309"/>
    <w:rsid w:val="00E72FD8"/>
    <w:rsid w:val="00EA3F55"/>
    <w:rsid w:val="00EB1985"/>
    <w:rsid w:val="00EB25CE"/>
    <w:rsid w:val="00ED6D8A"/>
    <w:rsid w:val="00EE15A0"/>
    <w:rsid w:val="00EE26A1"/>
    <w:rsid w:val="00EE356F"/>
    <w:rsid w:val="00EF27DD"/>
    <w:rsid w:val="00F06820"/>
    <w:rsid w:val="00F12F7E"/>
    <w:rsid w:val="00F22B55"/>
    <w:rsid w:val="00F545CE"/>
    <w:rsid w:val="00F77866"/>
    <w:rsid w:val="00F819E1"/>
    <w:rsid w:val="00FC720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 Spacing" w:qFormat="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Normal">
    <w:name w:val="Normal"/>
    <w:qFormat/>
    <w:rsid w:val="00AC50B1"/>
    <w:rPr>
      <w:sz w:val="22"/>
    </w:rPr>
  </w:style>
  <w:style w:type="paragraph" w:styleId="Heading1">
    <w:name w:val="heading 1"/>
    <w:basedOn w:val="Normal"/>
    <w:next w:val="Normal"/>
    <w:qFormat/>
    <w:rsid w:val="00AC50B1"/>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AC50B1"/>
    <w:pPr>
      <w:keepNext/>
      <w:widowControl w:val="0"/>
      <w:numPr>
        <w:ilvl w:val="1"/>
        <w:numId w:val="2"/>
      </w:numPr>
      <w:spacing w:after="220"/>
      <w:jc w:val="both"/>
      <w:outlineLvl w:val="1"/>
    </w:pPr>
    <w:rPr>
      <w:b/>
    </w:rPr>
  </w:style>
  <w:style w:type="paragraph" w:styleId="Heading3">
    <w:name w:val="heading 3"/>
    <w:basedOn w:val="Normal"/>
    <w:next w:val="Normal"/>
    <w:qFormat/>
    <w:rsid w:val="00AC50B1"/>
    <w:pPr>
      <w:keepNext/>
      <w:widowControl w:val="0"/>
      <w:numPr>
        <w:ilvl w:val="2"/>
        <w:numId w:val="2"/>
      </w:numPr>
      <w:spacing w:after="220"/>
      <w:jc w:val="both"/>
      <w:outlineLvl w:val="2"/>
    </w:pPr>
    <w:rPr>
      <w:b/>
    </w:rPr>
  </w:style>
  <w:style w:type="paragraph" w:styleId="Heading4">
    <w:name w:val="heading 4"/>
    <w:basedOn w:val="Normal"/>
    <w:next w:val="Normal"/>
    <w:qFormat/>
    <w:rsid w:val="00AC50B1"/>
    <w:pPr>
      <w:keepNext/>
      <w:widowControl w:val="0"/>
      <w:numPr>
        <w:ilvl w:val="3"/>
        <w:numId w:val="2"/>
      </w:numPr>
      <w:spacing w:after="220"/>
      <w:jc w:val="both"/>
      <w:outlineLvl w:val="3"/>
    </w:pPr>
    <w:rPr>
      <w:b/>
    </w:rPr>
  </w:style>
  <w:style w:type="paragraph" w:styleId="Heading5">
    <w:name w:val="heading 5"/>
    <w:basedOn w:val="Normal"/>
    <w:next w:val="Normal"/>
    <w:qFormat/>
    <w:rsid w:val="00AC50B1"/>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AC50B1"/>
    <w:pPr>
      <w:widowControl w:val="0"/>
      <w:numPr>
        <w:ilvl w:val="5"/>
        <w:numId w:val="2"/>
      </w:numPr>
      <w:spacing w:after="220"/>
      <w:jc w:val="both"/>
      <w:outlineLvl w:val="5"/>
    </w:pPr>
    <w:rPr>
      <w:b/>
    </w:rPr>
  </w:style>
  <w:style w:type="paragraph" w:styleId="Heading7">
    <w:name w:val="heading 7"/>
    <w:basedOn w:val="Normal"/>
    <w:next w:val="Normal"/>
    <w:qFormat/>
    <w:rsid w:val="00AC50B1"/>
    <w:pPr>
      <w:widowControl w:val="0"/>
      <w:numPr>
        <w:ilvl w:val="7"/>
        <w:numId w:val="2"/>
      </w:numPr>
      <w:spacing w:after="220"/>
      <w:jc w:val="both"/>
      <w:outlineLvl w:val="6"/>
    </w:pPr>
    <w:rPr>
      <w:b/>
    </w:rPr>
  </w:style>
  <w:style w:type="paragraph" w:styleId="Heading8">
    <w:name w:val="heading 8"/>
    <w:basedOn w:val="Normal"/>
    <w:next w:val="Normal"/>
    <w:qFormat/>
    <w:rsid w:val="00AC50B1"/>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rsid w:val="00AC50B1"/>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rsid w:val="00AC50B1"/>
    <w:rPr>
      <w:rFonts w:ascii="Tahoma" w:hAnsi="Tahoma" w:cs="Tahoma"/>
      <w:sz w:val="16"/>
      <w:szCs w:val="16"/>
    </w:rPr>
  </w:style>
  <w:style w:type="character" w:customStyle="1" w:styleId="BalloonTextChar">
    <w:name w:val="Balloon Text Char"/>
    <w:link w:val="BalloonText"/>
    <w:uiPriority w:val="99"/>
    <w:semiHidden/>
    <w:rsid w:val="00D61445"/>
    <w:rPr>
      <w:rFonts w:ascii="Lucida Grande" w:hAnsi="Lucida Grande"/>
      <w:sz w:val="18"/>
      <w:szCs w:val="18"/>
    </w:rPr>
  </w:style>
  <w:style w:type="paragraph" w:styleId="Header">
    <w:name w:val="header"/>
    <w:basedOn w:val="Normal"/>
    <w:rsid w:val="00AC50B1"/>
    <w:pPr>
      <w:tabs>
        <w:tab w:val="center" w:pos="4320"/>
        <w:tab w:val="right" w:pos="8640"/>
      </w:tabs>
    </w:pPr>
  </w:style>
  <w:style w:type="paragraph" w:styleId="Footer">
    <w:name w:val="footer"/>
    <w:basedOn w:val="Normal"/>
    <w:rsid w:val="00AC50B1"/>
    <w:pPr>
      <w:tabs>
        <w:tab w:val="center" w:pos="4320"/>
        <w:tab w:val="right" w:pos="8640"/>
      </w:tabs>
    </w:pPr>
  </w:style>
  <w:style w:type="character" w:styleId="Hyperlink">
    <w:name w:val="Hyperlink"/>
    <w:rsid w:val="00AC50B1"/>
    <w:rPr>
      <w:color w:val="0000FF"/>
      <w:u w:val="single"/>
    </w:rPr>
  </w:style>
  <w:style w:type="paragraph" w:styleId="BlockText">
    <w:name w:val="Block Text"/>
    <w:basedOn w:val="Normal"/>
    <w:rsid w:val="00AC50B1"/>
    <w:pPr>
      <w:widowControl w:val="0"/>
      <w:spacing w:after="220"/>
      <w:ind w:left="1440" w:right="1440"/>
      <w:jc w:val="both"/>
    </w:pPr>
  </w:style>
  <w:style w:type="paragraph" w:customStyle="1" w:styleId="Bullet">
    <w:name w:val="Bullet"/>
    <w:basedOn w:val="Normal"/>
    <w:rsid w:val="00AC50B1"/>
    <w:pPr>
      <w:widowControl w:val="0"/>
      <w:numPr>
        <w:numId w:val="1"/>
      </w:numPr>
      <w:tabs>
        <w:tab w:val="clear" w:pos="2520"/>
      </w:tabs>
      <w:spacing w:after="220"/>
      <w:ind w:left="2160" w:hanging="720"/>
      <w:jc w:val="both"/>
    </w:pPr>
  </w:style>
  <w:style w:type="paragraph" w:styleId="Caption">
    <w:name w:val="caption"/>
    <w:basedOn w:val="Normal"/>
    <w:next w:val="Normal"/>
    <w:qFormat/>
    <w:rsid w:val="00AC50B1"/>
    <w:pPr>
      <w:spacing w:before="120" w:after="120"/>
    </w:pPr>
    <w:rPr>
      <w:b/>
    </w:rPr>
  </w:style>
  <w:style w:type="character" w:styleId="FootnoteReference">
    <w:name w:val="footnote reference"/>
    <w:semiHidden/>
    <w:rsid w:val="00AC50B1"/>
    <w:rPr>
      <w:vertAlign w:val="superscript"/>
    </w:rPr>
  </w:style>
  <w:style w:type="paragraph" w:styleId="FootnoteText">
    <w:name w:val="footnote text"/>
    <w:aliases w:val="ALTS FOOTNOTE"/>
    <w:basedOn w:val="Normal"/>
    <w:semiHidden/>
    <w:rsid w:val="00AC50B1"/>
    <w:pPr>
      <w:tabs>
        <w:tab w:val="left" w:pos="720"/>
      </w:tabs>
      <w:spacing w:after="200"/>
    </w:pPr>
    <w:rPr>
      <w:sz w:val="20"/>
    </w:rPr>
  </w:style>
  <w:style w:type="paragraph" w:customStyle="1" w:styleId="NumberedList">
    <w:name w:val="Numbered List"/>
    <w:basedOn w:val="Normal"/>
    <w:rsid w:val="00AC50B1"/>
    <w:pPr>
      <w:numPr>
        <w:numId w:val="11"/>
      </w:numPr>
      <w:tabs>
        <w:tab w:val="clear" w:pos="1080"/>
      </w:tabs>
      <w:spacing w:after="220"/>
      <w:ind w:firstLine="0"/>
    </w:pPr>
  </w:style>
  <w:style w:type="paragraph" w:customStyle="1" w:styleId="Paranum">
    <w:name w:val="Paranum"/>
    <w:basedOn w:val="Normal"/>
    <w:rsid w:val="00AC50B1"/>
    <w:pPr>
      <w:widowControl w:val="0"/>
      <w:numPr>
        <w:numId w:val="12"/>
      </w:numPr>
      <w:tabs>
        <w:tab w:val="clear" w:pos="1080"/>
      </w:tabs>
      <w:spacing w:after="220"/>
      <w:jc w:val="both"/>
    </w:pPr>
  </w:style>
  <w:style w:type="paragraph" w:customStyle="1" w:styleId="TableFormat">
    <w:name w:val="Table Format"/>
    <w:basedOn w:val="Normal"/>
    <w:rsid w:val="00AC50B1"/>
    <w:pPr>
      <w:widowControl w:val="0"/>
      <w:tabs>
        <w:tab w:val="left" w:pos="5040"/>
      </w:tabs>
      <w:spacing w:after="220"/>
      <w:ind w:left="5040" w:hanging="3600"/>
      <w:jc w:val="both"/>
    </w:pPr>
  </w:style>
  <w:style w:type="paragraph" w:styleId="TOC1">
    <w:name w:val="toc 1"/>
    <w:basedOn w:val="Normal"/>
    <w:next w:val="Normal"/>
    <w:autoRedefine/>
    <w:semiHidden/>
    <w:rsid w:val="00AC50B1"/>
    <w:rPr>
      <w:caps/>
    </w:rPr>
  </w:style>
  <w:style w:type="character" w:styleId="FollowedHyperlink">
    <w:name w:val="FollowedHyperlink"/>
    <w:rsid w:val="00AC50B1"/>
    <w:rPr>
      <w:color w:val="800080"/>
      <w:u w:val="single"/>
    </w:rPr>
  </w:style>
  <w:style w:type="paragraph" w:styleId="BodyText">
    <w:name w:val="Body Text"/>
    <w:basedOn w:val="Normal"/>
    <w:rsid w:val="00AC50B1"/>
    <w:pPr>
      <w:widowControl w:val="0"/>
      <w:tabs>
        <w:tab w:val="num" w:pos="360"/>
        <w:tab w:val="center" w:pos="4680"/>
      </w:tabs>
      <w:suppressAutoHyphens/>
      <w:jc w:val="center"/>
    </w:pPr>
    <w:rPr>
      <w:b/>
      <w:snapToGrid w:val="0"/>
      <w:sz w:val="24"/>
    </w:rPr>
  </w:style>
  <w:style w:type="paragraph" w:customStyle="1" w:styleId="ParaNum0">
    <w:name w:val="ParaNum"/>
    <w:basedOn w:val="Normal"/>
    <w:rsid w:val="00AC50B1"/>
    <w:pPr>
      <w:widowControl w:val="0"/>
      <w:spacing w:after="220"/>
      <w:jc w:val="both"/>
    </w:pPr>
    <w:rPr>
      <w:snapToGrid w:val="0"/>
      <w:kern w:val="28"/>
    </w:rPr>
  </w:style>
  <w:style w:type="character" w:styleId="CommentReference">
    <w:name w:val="annotation reference"/>
    <w:semiHidden/>
    <w:rsid w:val="00AC50B1"/>
    <w:rPr>
      <w:sz w:val="16"/>
      <w:szCs w:val="16"/>
    </w:rPr>
  </w:style>
  <w:style w:type="character" w:styleId="PageNumber">
    <w:name w:val="page number"/>
    <w:basedOn w:val="DefaultParagraphFont"/>
    <w:rsid w:val="00AC50B1"/>
  </w:style>
  <w:style w:type="paragraph" w:styleId="NormalWeb">
    <w:name w:val="Normal (Web)"/>
    <w:basedOn w:val="Normal"/>
    <w:rsid w:val="00AC50B1"/>
    <w:pPr>
      <w:spacing w:before="100" w:beforeAutospacing="1" w:after="100" w:afterAutospacing="1"/>
    </w:pPr>
    <w:rPr>
      <w:sz w:val="24"/>
      <w:szCs w:val="24"/>
    </w:rPr>
  </w:style>
  <w:style w:type="paragraph" w:styleId="BodyTextIndent">
    <w:name w:val="Body Text Indent"/>
    <w:basedOn w:val="Normal"/>
    <w:rsid w:val="00AC50B1"/>
    <w:pPr>
      <w:spacing w:after="120"/>
      <w:ind w:left="360"/>
    </w:pPr>
  </w:style>
  <w:style w:type="paragraph" w:styleId="CommentText">
    <w:name w:val="annotation text"/>
    <w:basedOn w:val="Normal"/>
    <w:semiHidden/>
    <w:rsid w:val="00AC50B1"/>
    <w:rPr>
      <w:sz w:val="20"/>
    </w:rPr>
  </w:style>
  <w:style w:type="paragraph" w:styleId="CommentSubject">
    <w:name w:val="annotation subject"/>
    <w:basedOn w:val="CommentText"/>
    <w:next w:val="CommentText"/>
    <w:semiHidden/>
    <w:rsid w:val="00AC50B1"/>
    <w:rPr>
      <w:b/>
      <w:bCs/>
    </w:rPr>
  </w:style>
  <w:style w:type="character" w:styleId="Emphasis">
    <w:name w:val="Emphasis"/>
    <w:qFormat/>
    <w:rsid w:val="005C38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967382">
      <w:bodyDiv w:val="1"/>
      <w:marLeft w:val="0"/>
      <w:marRight w:val="0"/>
      <w:marTop w:val="0"/>
      <w:marBottom w:val="0"/>
      <w:divBdr>
        <w:top w:val="none" w:sz="0" w:space="0" w:color="auto"/>
        <w:left w:val="none" w:sz="0" w:space="0" w:color="auto"/>
        <w:bottom w:val="none" w:sz="0" w:space="0" w:color="auto"/>
        <w:right w:val="none" w:sz="0" w:space="0" w:color="auto"/>
      </w:divBdr>
    </w:div>
    <w:div w:id="1099065644">
      <w:bodyDiv w:val="1"/>
      <w:marLeft w:val="0"/>
      <w:marRight w:val="0"/>
      <w:marTop w:val="0"/>
      <w:marBottom w:val="0"/>
      <w:divBdr>
        <w:top w:val="none" w:sz="0" w:space="0" w:color="auto"/>
        <w:left w:val="none" w:sz="0" w:space="0" w:color="auto"/>
        <w:bottom w:val="none" w:sz="0" w:space="0" w:color="auto"/>
        <w:right w:val="none" w:sz="0" w:space="0" w:color="auto"/>
      </w:divBdr>
    </w:div>
    <w:div w:id="1345401637">
      <w:bodyDiv w:val="1"/>
      <w:marLeft w:val="30"/>
      <w:marRight w:val="30"/>
      <w:marTop w:val="30"/>
      <w:marBottom w:val="30"/>
      <w:divBdr>
        <w:top w:val="none" w:sz="0" w:space="0" w:color="auto"/>
        <w:left w:val="none" w:sz="0" w:space="0" w:color="auto"/>
        <w:bottom w:val="none" w:sz="0" w:space="0" w:color="auto"/>
        <w:right w:val="none" w:sz="0" w:space="0" w:color="auto"/>
      </w:divBdr>
      <w:divsChild>
        <w:div w:id="737023863">
          <w:marLeft w:val="0"/>
          <w:marRight w:val="0"/>
          <w:marTop w:val="0"/>
          <w:marBottom w:val="0"/>
          <w:divBdr>
            <w:top w:val="none" w:sz="0" w:space="0" w:color="auto"/>
            <w:left w:val="none" w:sz="0" w:space="0" w:color="auto"/>
            <w:bottom w:val="none" w:sz="0" w:space="0" w:color="auto"/>
            <w:right w:val="none" w:sz="0" w:space="0" w:color="auto"/>
          </w:divBdr>
          <w:divsChild>
            <w:div w:id="597374564">
              <w:marLeft w:val="45"/>
              <w:marRight w:val="45"/>
              <w:marTop w:val="45"/>
              <w:marBottom w:val="45"/>
              <w:divBdr>
                <w:top w:val="none" w:sz="0" w:space="0" w:color="auto"/>
                <w:left w:val="none" w:sz="0" w:space="0" w:color="auto"/>
                <w:bottom w:val="none" w:sz="0" w:space="0" w:color="auto"/>
                <w:right w:val="none" w:sz="0" w:space="0" w:color="auto"/>
              </w:divBdr>
              <w:divsChild>
                <w:div w:id="1155493650">
                  <w:marLeft w:val="0"/>
                  <w:marRight w:val="0"/>
                  <w:marTop w:val="0"/>
                  <w:marBottom w:val="0"/>
                  <w:divBdr>
                    <w:top w:val="none" w:sz="0" w:space="0" w:color="auto"/>
                    <w:left w:val="none" w:sz="0" w:space="0" w:color="auto"/>
                    <w:bottom w:val="none" w:sz="0" w:space="0" w:color="auto"/>
                    <w:right w:val="none" w:sz="0" w:space="0" w:color="auto"/>
                  </w:divBdr>
                  <w:divsChild>
                    <w:div w:id="276521720">
                      <w:marLeft w:val="0"/>
                      <w:marRight w:val="0"/>
                      <w:marTop w:val="0"/>
                      <w:marBottom w:val="0"/>
                      <w:divBdr>
                        <w:top w:val="none" w:sz="0" w:space="0" w:color="auto"/>
                        <w:left w:val="none" w:sz="0" w:space="0" w:color="auto"/>
                        <w:bottom w:val="none" w:sz="0" w:space="0" w:color="auto"/>
                        <w:right w:val="none" w:sz="0" w:space="0" w:color="auto"/>
                      </w:divBdr>
                    </w:div>
                    <w:div w:id="1575164430">
                      <w:marLeft w:val="0"/>
                      <w:marRight w:val="0"/>
                      <w:marTop w:val="0"/>
                      <w:marBottom w:val="0"/>
                      <w:divBdr>
                        <w:top w:val="none" w:sz="0" w:space="0" w:color="auto"/>
                        <w:left w:val="none" w:sz="0" w:space="0" w:color="auto"/>
                        <w:bottom w:val="none" w:sz="0" w:space="0" w:color="auto"/>
                        <w:right w:val="none" w:sz="0" w:space="0" w:color="auto"/>
                      </w:divBdr>
                    </w:div>
                    <w:div w:id="758870309">
                      <w:blockQuote w:val="1"/>
                      <w:marLeft w:val="720"/>
                      <w:marRight w:val="720"/>
                      <w:marTop w:val="100"/>
                      <w:marBottom w:val="100"/>
                      <w:divBdr>
                        <w:top w:val="none" w:sz="0" w:space="0" w:color="auto"/>
                        <w:left w:val="none" w:sz="0" w:space="0" w:color="auto"/>
                        <w:bottom w:val="none" w:sz="0" w:space="0" w:color="auto"/>
                        <w:right w:val="none" w:sz="0" w:space="0" w:color="auto"/>
                      </w:divBdr>
                    </w:div>
                    <w:div w:id="947782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682975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11759959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fcc504@fcc.gov"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751</Words>
  <Characters>4203</Characters>
  <Application>Microsoft Office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4952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2012-02-03T15:49:00Z</cp:lastPrinted>
  <dcterms:created xsi:type="dcterms:W3CDTF">2013-06-13T21:27:00Z</dcterms:created>
  <dcterms:modified xsi:type="dcterms:W3CDTF">2013-06-13T21:27:00Z</dcterms:modified>
  <cp:category> </cp:category>
  <cp:contentStatus> </cp:contentStatus>
</cp:coreProperties>
</file>