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w:hAnsi="Times"/>
          <w:b/>
          <w:szCs w:val="22"/>
        </w:rPr>
      </w:pPr>
      <w:bookmarkStart w:id="0" w:name="_GoBack"/>
      <w:bookmarkEnd w:id="0"/>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DA </w:t>
      </w:r>
      <w:r w:rsidR="003773FF" w:rsidRPr="003773FF">
        <w:rPr>
          <w:rFonts w:ascii="Times" w:hAnsi="Times"/>
          <w:b/>
          <w:szCs w:val="22"/>
        </w:rPr>
        <w:t>13-1385</w:t>
      </w:r>
    </w:p>
    <w:p w:rsidR="006B61F6" w:rsidRPr="004A58C2" w:rsidRDefault="006B61F6" w:rsidP="00CB35C6">
      <w:pPr>
        <w:jc w:val="right"/>
        <w:rPr>
          <w:rFonts w:ascii="Times" w:hAnsi="Times"/>
          <w:b/>
          <w:szCs w:val="22"/>
        </w:rPr>
      </w:pP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Released: </w:t>
      </w:r>
      <w:r w:rsidR="006734A5" w:rsidRPr="004A58C2">
        <w:rPr>
          <w:rFonts w:ascii="Times" w:hAnsi="Times"/>
          <w:b/>
          <w:szCs w:val="22"/>
        </w:rPr>
        <w:t xml:space="preserve">June </w:t>
      </w:r>
      <w:r w:rsidR="0027566E">
        <w:rPr>
          <w:rFonts w:ascii="Times" w:hAnsi="Times"/>
          <w:b/>
          <w:szCs w:val="22"/>
        </w:rPr>
        <w:t>17</w:t>
      </w:r>
      <w:r w:rsidRPr="004A58C2">
        <w:rPr>
          <w:rFonts w:ascii="Times" w:hAnsi="Times"/>
          <w:b/>
          <w:szCs w:val="22"/>
        </w:rPr>
        <w:t>, 2013</w:t>
      </w:r>
    </w:p>
    <w:p w:rsidR="00304C68" w:rsidRDefault="00304C68">
      <w:pPr>
        <w:rPr>
          <w:rFonts w:ascii="Times" w:hAnsi="Times"/>
          <w:b/>
          <w:szCs w:val="22"/>
        </w:rPr>
      </w:pPr>
    </w:p>
    <w:p w:rsidR="002441AE" w:rsidRPr="004A58C2" w:rsidRDefault="002441AE">
      <w:pPr>
        <w:rPr>
          <w:rFonts w:ascii="Times" w:hAnsi="Times"/>
          <w:b/>
          <w:szCs w:val="22"/>
        </w:rPr>
      </w:pPr>
    </w:p>
    <w:p w:rsidR="009E29FD" w:rsidRPr="004A58C2" w:rsidRDefault="007E258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MEDIA BUREAU ANNOUNCES </w:t>
      </w:r>
      <w:r w:rsidR="009E29FD" w:rsidRPr="004A58C2">
        <w:rPr>
          <w:rFonts w:ascii="Times" w:hAnsi="Times"/>
          <w:b/>
          <w:kern w:val="0"/>
          <w:szCs w:val="22"/>
        </w:rPr>
        <w:t>AVAILABILITY OF THE REVISED</w:t>
      </w:r>
    </w:p>
    <w:p w:rsidR="006671CF" w:rsidRPr="004A58C2" w:rsidRDefault="009E29FD">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FCC FORM 318 AND THE </w:t>
      </w:r>
      <w:r w:rsidR="006A6637" w:rsidRPr="004A58C2">
        <w:rPr>
          <w:rFonts w:ascii="Times" w:hAnsi="Times"/>
          <w:b/>
          <w:kern w:val="0"/>
          <w:szCs w:val="22"/>
        </w:rPr>
        <w:t>FILING PROCEDURE</w:t>
      </w:r>
      <w:r w:rsidRPr="004A58C2">
        <w:rPr>
          <w:rFonts w:ascii="Times" w:hAnsi="Times"/>
          <w:b/>
          <w:kern w:val="0"/>
          <w:szCs w:val="22"/>
        </w:rPr>
        <w:t>S</w:t>
      </w:r>
      <w:r w:rsidR="006A6637" w:rsidRPr="004A58C2">
        <w:rPr>
          <w:rFonts w:ascii="Times" w:hAnsi="Times"/>
          <w:b/>
          <w:kern w:val="0"/>
          <w:szCs w:val="22"/>
        </w:rPr>
        <w:t xml:space="preserve"> FOR</w:t>
      </w:r>
    </w:p>
    <w:p w:rsidR="006B61F6" w:rsidRPr="004A58C2" w:rsidRDefault="006A6637">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OCTOBER </w:t>
      </w:r>
      <w:r w:rsidR="00D20563" w:rsidRPr="004A58C2">
        <w:rPr>
          <w:rFonts w:ascii="Times" w:hAnsi="Times"/>
          <w:b/>
          <w:kern w:val="0"/>
          <w:szCs w:val="22"/>
        </w:rPr>
        <w:t>15</w:t>
      </w:r>
      <w:r w:rsidRPr="004A58C2">
        <w:rPr>
          <w:rFonts w:ascii="Times" w:hAnsi="Times"/>
          <w:b/>
          <w:kern w:val="0"/>
          <w:szCs w:val="22"/>
        </w:rPr>
        <w:t xml:space="preserve"> – OCTOBER </w:t>
      </w:r>
      <w:r w:rsidR="00D20563" w:rsidRPr="004A58C2">
        <w:rPr>
          <w:rFonts w:ascii="Times" w:hAnsi="Times"/>
          <w:b/>
          <w:kern w:val="0"/>
          <w:szCs w:val="22"/>
        </w:rPr>
        <w:t>29</w:t>
      </w:r>
      <w:r w:rsidRPr="004A58C2">
        <w:rPr>
          <w:rFonts w:ascii="Times" w:hAnsi="Times"/>
          <w:b/>
          <w:kern w:val="0"/>
          <w:szCs w:val="22"/>
        </w:rPr>
        <w:t>, 2013 LOW POWER FM FILING WINDOW</w:t>
      </w:r>
    </w:p>
    <w:p w:rsidR="006B61F6" w:rsidRPr="004A58C2" w:rsidRDefault="006B61F6">
      <w:pPr>
        <w:pStyle w:val="BlockText"/>
        <w:widowControl/>
        <w:tabs>
          <w:tab w:val="left" w:pos="810"/>
        </w:tabs>
        <w:spacing w:after="0"/>
        <w:ind w:left="720" w:right="0"/>
        <w:jc w:val="center"/>
        <w:rPr>
          <w:rFonts w:ascii="Times" w:hAnsi="Times"/>
          <w:b/>
          <w:szCs w:val="22"/>
        </w:rPr>
      </w:pPr>
    </w:p>
    <w:p w:rsidR="00643433" w:rsidRPr="004A58C2" w:rsidRDefault="00304C68" w:rsidP="00643433">
      <w:pPr>
        <w:tabs>
          <w:tab w:val="left" w:pos="1"/>
          <w:tab w:val="left" w:pos="720"/>
          <w:tab w:val="left" w:pos="1440"/>
          <w:tab w:val="right" w:pos="9360"/>
        </w:tabs>
        <w:rPr>
          <w:rFonts w:ascii="Times" w:hAnsi="Times"/>
          <w:szCs w:val="22"/>
        </w:rPr>
      </w:pPr>
      <w:r w:rsidRPr="004A58C2">
        <w:rPr>
          <w:rFonts w:ascii="Times" w:hAnsi="Times"/>
          <w:szCs w:val="22"/>
        </w:rPr>
        <w:tab/>
      </w:r>
      <w:r w:rsidRPr="004A58C2">
        <w:rPr>
          <w:rFonts w:ascii="Times" w:hAnsi="Times"/>
          <w:szCs w:val="22"/>
        </w:rPr>
        <w:tab/>
      </w:r>
      <w:r w:rsidR="006946A8" w:rsidRPr="004A58C2">
        <w:rPr>
          <w:rFonts w:ascii="Times" w:hAnsi="Times"/>
          <w:szCs w:val="22"/>
        </w:rPr>
        <w:t>As directed by the Commission,</w:t>
      </w:r>
      <w:r w:rsidR="00D20563" w:rsidRPr="004A58C2">
        <w:rPr>
          <w:rStyle w:val="FootnoteReference"/>
          <w:rFonts w:ascii="Times" w:hAnsi="Times"/>
          <w:szCs w:val="22"/>
        </w:rPr>
        <w:footnoteReference w:id="1"/>
      </w:r>
      <w:r w:rsidR="006946A8" w:rsidRPr="004A58C2">
        <w:rPr>
          <w:rFonts w:ascii="Times" w:hAnsi="Times"/>
          <w:szCs w:val="22"/>
        </w:rPr>
        <w:t xml:space="preserve"> this Public Notice (</w:t>
      </w:r>
      <w:r w:rsidR="0009692D" w:rsidRPr="004A58C2">
        <w:rPr>
          <w:rFonts w:ascii="Times" w:hAnsi="Times"/>
          <w:szCs w:val="22"/>
        </w:rPr>
        <w:t>“Notice”)</w:t>
      </w:r>
      <w:r w:rsidRPr="004A58C2">
        <w:rPr>
          <w:rFonts w:ascii="Times" w:hAnsi="Times"/>
          <w:szCs w:val="22"/>
        </w:rPr>
        <w:t xml:space="preserve"> </w:t>
      </w:r>
      <w:r w:rsidR="00643433" w:rsidRPr="004A58C2">
        <w:rPr>
          <w:rFonts w:ascii="Times" w:hAnsi="Times"/>
          <w:szCs w:val="22"/>
        </w:rPr>
        <w:t xml:space="preserve">announces </w:t>
      </w:r>
      <w:r w:rsidR="006946A8" w:rsidRPr="004A58C2">
        <w:rPr>
          <w:rFonts w:ascii="Times" w:hAnsi="Times"/>
          <w:szCs w:val="22"/>
        </w:rPr>
        <w:t>p</w:t>
      </w:r>
      <w:r w:rsidR="00742DE5" w:rsidRPr="004A58C2">
        <w:rPr>
          <w:rFonts w:ascii="Times" w:hAnsi="Times"/>
          <w:szCs w:val="22"/>
        </w:rPr>
        <w:t>rocedures and filing requirements that will apply to the</w:t>
      </w:r>
      <w:r w:rsidR="006946A8" w:rsidRPr="004A58C2">
        <w:rPr>
          <w:rFonts w:ascii="Times" w:hAnsi="Times"/>
          <w:szCs w:val="22"/>
        </w:rPr>
        <w:t xml:space="preserve"> </w:t>
      </w:r>
      <w:r w:rsidR="00503E77" w:rsidRPr="004A58C2">
        <w:rPr>
          <w:rFonts w:ascii="Times" w:hAnsi="Times"/>
          <w:szCs w:val="22"/>
        </w:rPr>
        <w:t xml:space="preserve">upcoming </w:t>
      </w:r>
      <w:r w:rsidR="006946A8" w:rsidRPr="004A58C2">
        <w:rPr>
          <w:rFonts w:ascii="Times" w:hAnsi="Times"/>
          <w:szCs w:val="22"/>
        </w:rPr>
        <w:t xml:space="preserve">Low Power FM (“LPFM”) new station and major change filing window.  The window is available for </w:t>
      </w:r>
      <w:r w:rsidR="00B40EBD" w:rsidRPr="004A58C2">
        <w:rPr>
          <w:rFonts w:ascii="Times" w:hAnsi="Times"/>
          <w:szCs w:val="22"/>
        </w:rPr>
        <w:t xml:space="preserve">LPFM </w:t>
      </w:r>
      <w:r w:rsidR="006946A8" w:rsidRPr="004A58C2">
        <w:rPr>
          <w:rFonts w:ascii="Times" w:hAnsi="Times"/>
          <w:szCs w:val="22"/>
        </w:rPr>
        <w:t xml:space="preserve">proposals in the entire FM band (channels 201-300).  </w:t>
      </w:r>
      <w:r w:rsidR="00643433" w:rsidRPr="004A58C2">
        <w:rPr>
          <w:rFonts w:ascii="Times" w:hAnsi="Times"/>
          <w:szCs w:val="22"/>
        </w:rPr>
        <w:t xml:space="preserve">The window will open on </w:t>
      </w:r>
      <w:r w:rsidR="00742DE5" w:rsidRPr="004A58C2">
        <w:rPr>
          <w:rFonts w:ascii="Times" w:hAnsi="Times"/>
          <w:szCs w:val="22"/>
        </w:rPr>
        <w:t xml:space="preserve">October </w:t>
      </w:r>
      <w:r w:rsidR="00D20563" w:rsidRPr="004A58C2">
        <w:rPr>
          <w:rFonts w:ascii="Times" w:hAnsi="Times"/>
          <w:szCs w:val="22"/>
        </w:rPr>
        <w:t>15</w:t>
      </w:r>
      <w:r w:rsidR="00742DE5" w:rsidRPr="004A58C2">
        <w:rPr>
          <w:rFonts w:ascii="Times" w:hAnsi="Times"/>
          <w:szCs w:val="22"/>
        </w:rPr>
        <w:t>, 2013</w:t>
      </w:r>
      <w:r w:rsidR="00FA0DB9" w:rsidRPr="004A58C2">
        <w:rPr>
          <w:rFonts w:ascii="Times" w:hAnsi="Times"/>
          <w:szCs w:val="22"/>
        </w:rPr>
        <w:t>,</w:t>
      </w:r>
      <w:r w:rsidR="00643433" w:rsidRPr="004A58C2">
        <w:rPr>
          <w:rFonts w:ascii="Times" w:hAnsi="Times"/>
          <w:szCs w:val="22"/>
        </w:rPr>
        <w:t xml:space="preserve"> and close </w:t>
      </w:r>
      <w:r w:rsidR="00650C9D" w:rsidRPr="004A58C2">
        <w:rPr>
          <w:rFonts w:ascii="Times" w:hAnsi="Times"/>
          <w:szCs w:val="22"/>
        </w:rPr>
        <w:t xml:space="preserve">at </w:t>
      </w:r>
      <w:r w:rsidR="00832FA9" w:rsidRPr="004A58C2">
        <w:rPr>
          <w:rFonts w:ascii="Times" w:hAnsi="Times"/>
          <w:szCs w:val="22"/>
        </w:rPr>
        <w:t>6:</w:t>
      </w:r>
      <w:r w:rsidR="00650C9D" w:rsidRPr="004A58C2">
        <w:rPr>
          <w:rFonts w:ascii="Times" w:hAnsi="Times"/>
          <w:szCs w:val="22"/>
        </w:rPr>
        <w:t>00 pm</w:t>
      </w:r>
      <w:r w:rsidR="004A58C2" w:rsidRPr="004A58C2">
        <w:rPr>
          <w:rFonts w:ascii="Times" w:hAnsi="Times"/>
          <w:szCs w:val="22"/>
        </w:rPr>
        <w:t xml:space="preserve"> ED</w:t>
      </w:r>
      <w:r w:rsidR="003F6CA9" w:rsidRPr="004A58C2">
        <w:rPr>
          <w:rFonts w:ascii="Times" w:hAnsi="Times"/>
          <w:szCs w:val="22"/>
        </w:rPr>
        <w:t>T</w:t>
      </w:r>
      <w:r w:rsidR="00650C9D" w:rsidRPr="004A58C2">
        <w:rPr>
          <w:rFonts w:ascii="Times" w:hAnsi="Times"/>
          <w:szCs w:val="22"/>
        </w:rPr>
        <w:t xml:space="preserve"> </w:t>
      </w:r>
      <w:r w:rsidR="00643433" w:rsidRPr="004A58C2">
        <w:rPr>
          <w:rFonts w:ascii="Times" w:hAnsi="Times"/>
          <w:szCs w:val="22"/>
        </w:rPr>
        <w:t xml:space="preserve">on </w:t>
      </w:r>
      <w:r w:rsidR="00742DE5" w:rsidRPr="004A58C2">
        <w:rPr>
          <w:rFonts w:ascii="Times" w:hAnsi="Times"/>
          <w:szCs w:val="22"/>
        </w:rPr>
        <w:t xml:space="preserve">October </w:t>
      </w:r>
      <w:r w:rsidR="00D20563" w:rsidRPr="004A58C2">
        <w:rPr>
          <w:rFonts w:ascii="Times" w:hAnsi="Times"/>
          <w:szCs w:val="22"/>
        </w:rPr>
        <w:t>29</w:t>
      </w:r>
      <w:r w:rsidR="00742DE5" w:rsidRPr="004A58C2">
        <w:rPr>
          <w:rFonts w:ascii="Times" w:hAnsi="Times"/>
          <w:szCs w:val="22"/>
        </w:rPr>
        <w:t>, 2013.</w:t>
      </w:r>
    </w:p>
    <w:p w:rsidR="00643433" w:rsidRPr="004A58C2" w:rsidRDefault="00643433" w:rsidP="00643433">
      <w:pPr>
        <w:tabs>
          <w:tab w:val="left" w:pos="1"/>
          <w:tab w:val="left" w:pos="720"/>
          <w:tab w:val="left" w:pos="1440"/>
          <w:tab w:val="right" w:pos="9360"/>
        </w:tabs>
        <w:rPr>
          <w:rFonts w:ascii="Times" w:hAnsi="Times"/>
          <w:szCs w:val="22"/>
        </w:rPr>
      </w:pPr>
    </w:p>
    <w:p w:rsidR="00643433" w:rsidRPr="004A58C2" w:rsidRDefault="00643433" w:rsidP="00643433">
      <w:pPr>
        <w:tabs>
          <w:tab w:val="left" w:pos="1"/>
          <w:tab w:val="left" w:pos="720"/>
          <w:tab w:val="left" w:pos="1440"/>
          <w:tab w:val="right" w:pos="9360"/>
        </w:tabs>
        <w:rPr>
          <w:rFonts w:ascii="Times" w:hAnsi="Times"/>
          <w:szCs w:val="22"/>
        </w:rPr>
      </w:pPr>
      <w:r w:rsidRPr="004A58C2">
        <w:rPr>
          <w:rFonts w:ascii="Times" w:hAnsi="Times"/>
          <w:szCs w:val="22"/>
        </w:rPr>
        <w:tab/>
      </w:r>
      <w:r w:rsidRPr="004A58C2">
        <w:rPr>
          <w:rFonts w:ascii="Times" w:hAnsi="Times"/>
          <w:szCs w:val="22"/>
        </w:rPr>
        <w:tab/>
        <w:t xml:space="preserve">The Commission established the LPFM service </w:t>
      </w:r>
      <w:r w:rsidR="007E2582" w:rsidRPr="004A58C2">
        <w:rPr>
          <w:rFonts w:ascii="Times" w:hAnsi="Times"/>
          <w:szCs w:val="22"/>
        </w:rPr>
        <w:t>in 2000</w:t>
      </w:r>
      <w:r w:rsidR="00503E77" w:rsidRPr="004A58C2">
        <w:rPr>
          <w:rFonts w:ascii="Times" w:hAnsi="Times"/>
          <w:szCs w:val="22"/>
        </w:rPr>
        <w:t xml:space="preserve"> and more than 800 LPFM stations have been licensed from the initial 2000-</w:t>
      </w:r>
      <w:r w:rsidR="00AC3580">
        <w:rPr>
          <w:rFonts w:ascii="Times" w:hAnsi="Times"/>
          <w:szCs w:val="22"/>
        </w:rPr>
        <w:t>20</w:t>
      </w:r>
      <w:r w:rsidR="00503E77" w:rsidRPr="004A58C2">
        <w:rPr>
          <w:rFonts w:ascii="Times" w:hAnsi="Times"/>
          <w:szCs w:val="22"/>
        </w:rPr>
        <w:t>01 windows.  The Commission recently modified a number of LPFM licensing and service rules to implement the Local Community Radio Act</w:t>
      </w:r>
      <w:r w:rsidR="003F6CA9" w:rsidRPr="004A58C2">
        <w:rPr>
          <w:rStyle w:val="FootnoteReference"/>
          <w:rFonts w:ascii="Times" w:hAnsi="Times"/>
          <w:szCs w:val="22"/>
        </w:rPr>
        <w:footnoteReference w:id="2"/>
      </w:r>
      <w:r w:rsidR="007A2EA0" w:rsidRPr="004A58C2">
        <w:rPr>
          <w:rFonts w:ascii="Times" w:hAnsi="Times"/>
          <w:szCs w:val="22"/>
        </w:rPr>
        <w:t xml:space="preserve"> </w:t>
      </w:r>
      <w:r w:rsidR="00503E77" w:rsidRPr="004A58C2">
        <w:rPr>
          <w:rFonts w:ascii="Times" w:hAnsi="Times"/>
          <w:szCs w:val="22"/>
        </w:rPr>
        <w:t xml:space="preserve">and to otherwise promote a </w:t>
      </w:r>
      <w:r w:rsidR="003F6CA9" w:rsidRPr="004A58C2">
        <w:rPr>
          <w:rFonts w:ascii="Times" w:hAnsi="Times"/>
          <w:szCs w:val="22"/>
        </w:rPr>
        <w:t>robust</w:t>
      </w:r>
      <w:r w:rsidR="00503E77" w:rsidRPr="004A58C2">
        <w:rPr>
          <w:rFonts w:ascii="Times" w:hAnsi="Times"/>
          <w:szCs w:val="22"/>
        </w:rPr>
        <w:t xml:space="preserve"> and sustainable community radio service.</w:t>
      </w:r>
      <w:r w:rsidRPr="004A58C2">
        <w:rPr>
          <w:rFonts w:ascii="Times" w:hAnsi="Times"/>
          <w:szCs w:val="22"/>
        </w:rPr>
        <w:t xml:space="preserve"> </w:t>
      </w:r>
      <w:r w:rsidR="007E2582" w:rsidRPr="004A58C2">
        <w:rPr>
          <w:rFonts w:ascii="Times" w:hAnsi="Times"/>
          <w:szCs w:val="22"/>
        </w:rPr>
        <w:t xml:space="preserve"> Potential applicants are encouraged to review the</w:t>
      </w:r>
      <w:r w:rsidR="00503E77" w:rsidRPr="004A58C2">
        <w:rPr>
          <w:rFonts w:ascii="Times" w:hAnsi="Times"/>
          <w:szCs w:val="22"/>
        </w:rPr>
        <w:t>se</w:t>
      </w:r>
      <w:r w:rsidR="007E2582" w:rsidRPr="004A58C2">
        <w:rPr>
          <w:rFonts w:ascii="Times" w:hAnsi="Times"/>
          <w:szCs w:val="22"/>
        </w:rPr>
        <w:t xml:space="preserve"> recent Commission Orders.</w:t>
      </w:r>
      <w:r w:rsidR="003F6CA9" w:rsidRPr="004A58C2">
        <w:rPr>
          <w:rStyle w:val="FootnoteReference"/>
          <w:rFonts w:ascii="Times" w:hAnsi="Times"/>
          <w:szCs w:val="22"/>
        </w:rPr>
        <w:footnoteReference w:id="3"/>
      </w:r>
      <w:r w:rsidRPr="004A58C2">
        <w:rPr>
          <w:rFonts w:ascii="Times" w:hAnsi="Times"/>
          <w:szCs w:val="22"/>
        </w:rPr>
        <w:tab/>
        <w:t xml:space="preserve">  </w:t>
      </w:r>
    </w:p>
    <w:p w:rsidR="006F151E" w:rsidRPr="004A58C2" w:rsidRDefault="006F151E" w:rsidP="00643433">
      <w:pPr>
        <w:tabs>
          <w:tab w:val="left" w:pos="1"/>
          <w:tab w:val="left" w:pos="720"/>
          <w:tab w:val="left" w:pos="1440"/>
          <w:tab w:val="right" w:pos="9360"/>
        </w:tabs>
        <w:rPr>
          <w:rFonts w:ascii="Times" w:hAnsi="Times"/>
          <w:szCs w:val="22"/>
        </w:rPr>
      </w:pPr>
    </w:p>
    <w:p w:rsidR="006F151E" w:rsidRPr="004A58C2" w:rsidRDefault="006F151E" w:rsidP="006F151E">
      <w:pPr>
        <w:pStyle w:val="Normal12"/>
        <w:tabs>
          <w:tab w:val="left" w:pos="720"/>
          <w:tab w:val="left" w:pos="1440"/>
        </w:tabs>
        <w:rPr>
          <w:rFonts w:ascii="Times" w:hAnsi="Times"/>
          <w:sz w:val="22"/>
          <w:szCs w:val="22"/>
        </w:rPr>
      </w:pPr>
      <w:r w:rsidRPr="004A58C2">
        <w:rPr>
          <w:rFonts w:ascii="Times" w:hAnsi="Times"/>
          <w:b/>
          <w:sz w:val="22"/>
          <w:szCs w:val="22"/>
        </w:rPr>
        <w:t>Participation.</w:t>
      </w:r>
      <w:r w:rsidRPr="004A58C2">
        <w:rPr>
          <w:rFonts w:ascii="Times" w:hAnsi="Times"/>
          <w:sz w:val="22"/>
          <w:szCs w:val="22"/>
        </w:rPr>
        <w:t xml:space="preserve">  Each applicant must be a nonprofit educational organization, </w:t>
      </w:r>
      <w:r w:rsidR="00F13E48" w:rsidRPr="004A58C2">
        <w:rPr>
          <w:rFonts w:ascii="Times" w:hAnsi="Times"/>
          <w:sz w:val="22"/>
          <w:szCs w:val="22"/>
        </w:rPr>
        <w:t xml:space="preserve">or </w:t>
      </w:r>
      <w:r w:rsidRPr="004A58C2">
        <w:rPr>
          <w:rFonts w:ascii="Times" w:hAnsi="Times"/>
          <w:sz w:val="22"/>
          <w:szCs w:val="22"/>
        </w:rPr>
        <w:t>a Tribe or Tribal</w:t>
      </w:r>
      <w:r w:rsidR="00676689">
        <w:rPr>
          <w:rFonts w:ascii="Times" w:hAnsi="Times"/>
          <w:sz w:val="22"/>
          <w:szCs w:val="22"/>
        </w:rPr>
        <w:t>ly-controlled</w:t>
      </w:r>
      <w:r w:rsidRPr="004A58C2">
        <w:rPr>
          <w:rFonts w:ascii="Times" w:hAnsi="Times"/>
          <w:sz w:val="22"/>
          <w:szCs w:val="22"/>
        </w:rPr>
        <w:t xml:space="preserve"> organization, or a state or local government or a non-government entity that will provide a noncommercial public safety radio service to protect the safety of life, health, or property.</w:t>
      </w:r>
      <w:r w:rsidR="00AC3580">
        <w:rPr>
          <w:rStyle w:val="FootnoteReference"/>
          <w:rFonts w:ascii="Times" w:hAnsi="Times"/>
          <w:sz w:val="22"/>
          <w:szCs w:val="22"/>
        </w:rPr>
        <w:footnoteReference w:id="4"/>
      </w:r>
      <w:r w:rsidRPr="004A58C2">
        <w:rPr>
          <w:rFonts w:ascii="Times" w:hAnsi="Times"/>
          <w:sz w:val="22"/>
          <w:szCs w:val="22"/>
        </w:rPr>
        <w:t xml:space="preserve">  Each applicant will be required to document its </w:t>
      </w:r>
      <w:r w:rsidR="00503E77" w:rsidRPr="004A58C2">
        <w:rPr>
          <w:rFonts w:ascii="Times" w:hAnsi="Times"/>
          <w:sz w:val="22"/>
          <w:szCs w:val="22"/>
        </w:rPr>
        <w:t>eligibility.</w:t>
      </w:r>
      <w:r w:rsidR="00AC3580">
        <w:rPr>
          <w:rStyle w:val="FootnoteReference"/>
          <w:rFonts w:ascii="Times" w:hAnsi="Times"/>
          <w:sz w:val="22"/>
          <w:szCs w:val="22"/>
        </w:rPr>
        <w:footnoteReference w:id="5"/>
      </w:r>
      <w:r w:rsidRPr="004A58C2">
        <w:rPr>
          <w:rFonts w:ascii="Times" w:hAnsi="Times"/>
          <w:sz w:val="22"/>
          <w:szCs w:val="22"/>
        </w:rPr>
        <w:t xml:space="preserve">  Applicants also must be </w:t>
      </w:r>
      <w:r w:rsidR="00650C9D" w:rsidRPr="004A58C2">
        <w:rPr>
          <w:rFonts w:ascii="Times" w:hAnsi="Times"/>
          <w:sz w:val="22"/>
          <w:szCs w:val="22"/>
        </w:rPr>
        <w:t>“local” as that term is defined in the Commission’s Rules</w:t>
      </w:r>
      <w:r w:rsidRPr="004A58C2">
        <w:rPr>
          <w:rFonts w:ascii="Times" w:hAnsi="Times"/>
          <w:sz w:val="22"/>
          <w:szCs w:val="22"/>
        </w:rPr>
        <w:t>.</w:t>
      </w:r>
      <w:r w:rsidRPr="004A58C2">
        <w:rPr>
          <w:rStyle w:val="FootnoteReference"/>
          <w:rFonts w:ascii="Times" w:hAnsi="Times"/>
          <w:sz w:val="22"/>
          <w:szCs w:val="22"/>
        </w:rPr>
        <w:footnoteReference w:id="6"/>
      </w:r>
      <w:r w:rsidRPr="004A58C2">
        <w:rPr>
          <w:rFonts w:ascii="Times" w:hAnsi="Times"/>
          <w:sz w:val="22"/>
          <w:szCs w:val="22"/>
        </w:rPr>
        <w:t xml:space="preserve">  </w:t>
      </w:r>
    </w:p>
    <w:p w:rsidR="006F151E" w:rsidRPr="004A58C2" w:rsidRDefault="006F151E" w:rsidP="006F151E">
      <w:pPr>
        <w:pStyle w:val="Normal12"/>
        <w:tabs>
          <w:tab w:val="left" w:pos="720"/>
          <w:tab w:val="left" w:pos="1440"/>
        </w:tabs>
        <w:rPr>
          <w:rFonts w:ascii="Times" w:hAnsi="Times"/>
          <w:sz w:val="22"/>
          <w:szCs w:val="22"/>
        </w:rPr>
      </w:pPr>
    </w:p>
    <w:p w:rsidR="006F151E" w:rsidRPr="004A58C2" w:rsidRDefault="006F151E" w:rsidP="006F151E">
      <w:pPr>
        <w:pStyle w:val="Normal12"/>
        <w:tabs>
          <w:tab w:val="left" w:pos="720"/>
          <w:tab w:val="left" w:pos="1440"/>
        </w:tabs>
        <w:rPr>
          <w:rFonts w:ascii="Times" w:hAnsi="Times"/>
          <w:sz w:val="22"/>
          <w:szCs w:val="22"/>
        </w:rPr>
      </w:pPr>
      <w:r w:rsidRPr="004A58C2">
        <w:rPr>
          <w:rFonts w:ascii="Times" w:hAnsi="Times"/>
          <w:sz w:val="22"/>
          <w:szCs w:val="22"/>
        </w:rPr>
        <w:t>LPFM applications filed during this window must protect all FM, FM Translator, FM Booster</w:t>
      </w:r>
      <w:r w:rsidR="00832FA9" w:rsidRPr="004A58C2">
        <w:rPr>
          <w:rFonts w:ascii="Times" w:hAnsi="Times"/>
          <w:sz w:val="22"/>
          <w:szCs w:val="22"/>
        </w:rPr>
        <w:t xml:space="preserve"> </w:t>
      </w:r>
      <w:r w:rsidRPr="004A58C2">
        <w:rPr>
          <w:rFonts w:ascii="Times" w:hAnsi="Times"/>
          <w:sz w:val="22"/>
          <w:szCs w:val="22"/>
        </w:rPr>
        <w:t xml:space="preserve">and TV Channel 6 authorizations.  LPFM applications also must protect pending broadcast applications in these services that were filed prior to the date of this Notice.  Finally, LPFM applications must protect </w:t>
      </w:r>
      <w:r w:rsidRPr="004A58C2">
        <w:rPr>
          <w:rFonts w:ascii="Times" w:hAnsi="Times"/>
          <w:sz w:val="22"/>
          <w:szCs w:val="22"/>
        </w:rPr>
        <w:lastRenderedPageBreak/>
        <w:t>existing vacant FM allotments.</w:t>
      </w:r>
      <w:r w:rsidRPr="004A58C2">
        <w:rPr>
          <w:rStyle w:val="FootnoteReference"/>
          <w:rFonts w:ascii="Times" w:hAnsi="Times"/>
          <w:sz w:val="22"/>
          <w:szCs w:val="22"/>
        </w:rPr>
        <w:footnoteReference w:id="7"/>
      </w:r>
      <w:r w:rsidRPr="004A58C2">
        <w:rPr>
          <w:rFonts w:ascii="Times" w:hAnsi="Times"/>
          <w:sz w:val="22"/>
          <w:szCs w:val="22"/>
        </w:rPr>
        <w:t xml:space="preserve">  </w:t>
      </w:r>
      <w:r w:rsidR="00AC3580">
        <w:rPr>
          <w:rFonts w:ascii="Times" w:hAnsi="Times"/>
          <w:sz w:val="22"/>
          <w:szCs w:val="22"/>
        </w:rPr>
        <w:t>Consistent with established processing rules, a</w:t>
      </w:r>
      <w:r w:rsidRPr="004A58C2">
        <w:rPr>
          <w:rFonts w:ascii="Times" w:hAnsi="Times"/>
          <w:sz w:val="22"/>
          <w:szCs w:val="22"/>
        </w:rPr>
        <w:t>n LPFM application that fails to protect these authorizations, applications, and allotments will be dismissed with no opportunity to correct the deficiency.</w:t>
      </w:r>
      <w:r w:rsidR="00AC3580">
        <w:rPr>
          <w:rStyle w:val="FootnoteReference"/>
          <w:rFonts w:ascii="Times" w:hAnsi="Times"/>
          <w:sz w:val="22"/>
          <w:szCs w:val="22"/>
        </w:rPr>
        <w:footnoteReference w:id="8"/>
      </w:r>
      <w:r w:rsidRPr="004A58C2">
        <w:rPr>
          <w:rFonts w:ascii="Times" w:hAnsi="Times"/>
          <w:sz w:val="22"/>
          <w:szCs w:val="22"/>
        </w:rPr>
        <w:t xml:space="preserve">  </w:t>
      </w:r>
    </w:p>
    <w:p w:rsidR="00CB00AD" w:rsidRPr="004A58C2" w:rsidRDefault="00CB00AD" w:rsidP="006F151E">
      <w:pPr>
        <w:pStyle w:val="Normal12"/>
        <w:tabs>
          <w:tab w:val="left" w:pos="0"/>
          <w:tab w:val="left" w:pos="720"/>
          <w:tab w:val="left" w:pos="1440"/>
        </w:tabs>
        <w:rPr>
          <w:rFonts w:ascii="Times" w:hAnsi="Times"/>
          <w:sz w:val="22"/>
          <w:szCs w:val="22"/>
        </w:rPr>
      </w:pPr>
    </w:p>
    <w:p w:rsidR="00506E0A" w:rsidRPr="004A58C2" w:rsidRDefault="006946A8" w:rsidP="00506E0A">
      <w:pPr>
        <w:pStyle w:val="Normal12"/>
        <w:tabs>
          <w:tab w:val="left" w:pos="0"/>
          <w:tab w:val="left" w:pos="720"/>
          <w:tab w:val="left" w:pos="1440"/>
        </w:tabs>
        <w:rPr>
          <w:rFonts w:ascii="Times" w:hAnsi="Times"/>
          <w:sz w:val="22"/>
          <w:szCs w:val="22"/>
        </w:rPr>
      </w:pPr>
      <w:r w:rsidRPr="004A58C2">
        <w:rPr>
          <w:rFonts w:ascii="Times" w:hAnsi="Times"/>
          <w:b/>
          <w:sz w:val="22"/>
          <w:szCs w:val="22"/>
        </w:rPr>
        <w:t xml:space="preserve">Revised FCC Form 318.  </w:t>
      </w:r>
      <w:r w:rsidRPr="004A58C2">
        <w:rPr>
          <w:rFonts w:ascii="Times" w:hAnsi="Times"/>
          <w:sz w:val="22"/>
          <w:szCs w:val="22"/>
        </w:rPr>
        <w:t>By this Notice, the Bureau is also making available the revised FCC Form 318, Application for Construction Permit for a Low Power FM Broadcast Station</w:t>
      </w:r>
      <w:r w:rsidR="00BF5CB1" w:rsidRPr="004A58C2">
        <w:rPr>
          <w:rFonts w:ascii="Times" w:hAnsi="Times"/>
          <w:sz w:val="22"/>
          <w:szCs w:val="22"/>
        </w:rPr>
        <w:t xml:space="preserve"> (April 2013 version).  </w:t>
      </w:r>
      <w:r w:rsidRPr="004A58C2">
        <w:rPr>
          <w:rFonts w:ascii="Times" w:hAnsi="Times"/>
          <w:sz w:val="22"/>
          <w:szCs w:val="22"/>
        </w:rPr>
        <w:t>The revised form is effective immediately and must be used by all LPFM applicants.  All previous editions of the FCC Form 318 are obsolete and may not be used</w:t>
      </w:r>
      <w:r w:rsidR="003C4E0C" w:rsidRPr="004A58C2">
        <w:rPr>
          <w:rFonts w:ascii="Times" w:hAnsi="Times"/>
          <w:sz w:val="22"/>
          <w:szCs w:val="22"/>
        </w:rPr>
        <w:t xml:space="preserve"> in the October 15-October 29, 2013, filing window</w:t>
      </w:r>
      <w:r w:rsidRPr="004A58C2">
        <w:rPr>
          <w:rFonts w:ascii="Times" w:hAnsi="Times"/>
          <w:sz w:val="22"/>
          <w:szCs w:val="22"/>
        </w:rPr>
        <w:t>.</w:t>
      </w:r>
    </w:p>
    <w:p w:rsidR="00B34D43" w:rsidRPr="004A58C2" w:rsidRDefault="00B34D43" w:rsidP="00506E0A">
      <w:pPr>
        <w:pStyle w:val="Normal12"/>
        <w:tabs>
          <w:tab w:val="left" w:pos="0"/>
          <w:tab w:val="left" w:pos="720"/>
          <w:tab w:val="left" w:pos="1440"/>
        </w:tabs>
        <w:rPr>
          <w:rFonts w:ascii="Times" w:hAnsi="Times"/>
          <w:sz w:val="22"/>
          <w:szCs w:val="22"/>
        </w:rPr>
      </w:pPr>
    </w:p>
    <w:p w:rsidR="00506E0A" w:rsidRPr="004A58C2" w:rsidRDefault="006F151E" w:rsidP="00506E0A">
      <w:pPr>
        <w:pStyle w:val="Normal12"/>
        <w:tabs>
          <w:tab w:val="left" w:pos="0"/>
          <w:tab w:val="left" w:pos="720"/>
          <w:tab w:val="left" w:pos="1440"/>
        </w:tabs>
        <w:rPr>
          <w:rFonts w:ascii="Times" w:hAnsi="Times"/>
          <w:sz w:val="22"/>
          <w:szCs w:val="22"/>
        </w:rPr>
      </w:pPr>
      <w:r w:rsidRPr="004A58C2">
        <w:rPr>
          <w:rFonts w:ascii="Times" w:hAnsi="Times"/>
          <w:b/>
          <w:sz w:val="22"/>
          <w:szCs w:val="22"/>
        </w:rPr>
        <w:t>Filing Requirements.</w:t>
      </w:r>
      <w:r w:rsidRPr="004A58C2">
        <w:rPr>
          <w:rFonts w:ascii="Times" w:hAnsi="Times"/>
          <w:sz w:val="22"/>
          <w:szCs w:val="22"/>
        </w:rPr>
        <w:t xml:space="preserve">  </w:t>
      </w:r>
      <w:r w:rsidR="00506E0A" w:rsidRPr="004A58C2">
        <w:rPr>
          <w:rFonts w:ascii="Times" w:hAnsi="Times"/>
          <w:sz w:val="22"/>
          <w:szCs w:val="22"/>
        </w:rPr>
        <w:t xml:space="preserve">Those wishing to participate in this LPFM window </w:t>
      </w:r>
      <w:r w:rsidR="00506E0A" w:rsidRPr="004A58C2">
        <w:rPr>
          <w:rFonts w:ascii="Times" w:hAnsi="Times"/>
          <w:b/>
          <w:i/>
          <w:sz w:val="22"/>
          <w:szCs w:val="22"/>
        </w:rPr>
        <w:t xml:space="preserve">must </w:t>
      </w:r>
      <w:r w:rsidR="00506E0A" w:rsidRPr="004A58C2">
        <w:rPr>
          <w:rFonts w:ascii="Times" w:hAnsi="Times"/>
          <w:sz w:val="22"/>
          <w:szCs w:val="22"/>
        </w:rPr>
        <w:t xml:space="preserve">electronically complete and timely file FCC Form 318, Application for Construction Permit for a Low Power FM Broadcast Station.  No fee is required when filing FCC Form 318.  </w:t>
      </w:r>
    </w:p>
    <w:p w:rsidR="00506E0A" w:rsidRPr="004A58C2" w:rsidRDefault="00506E0A" w:rsidP="00506E0A">
      <w:pPr>
        <w:pStyle w:val="Normal12"/>
        <w:tabs>
          <w:tab w:val="left" w:pos="0"/>
          <w:tab w:val="left" w:pos="720"/>
          <w:tab w:val="left" w:pos="1440"/>
        </w:tabs>
        <w:rPr>
          <w:rFonts w:ascii="Times" w:hAnsi="Times"/>
          <w:sz w:val="22"/>
          <w:szCs w:val="22"/>
        </w:rPr>
      </w:pPr>
    </w:p>
    <w:p w:rsidR="006F151E" w:rsidRPr="004A58C2" w:rsidRDefault="006F151E" w:rsidP="006F151E">
      <w:pPr>
        <w:pStyle w:val="Normal12"/>
        <w:tabs>
          <w:tab w:val="left" w:pos="0"/>
          <w:tab w:val="left" w:pos="720"/>
          <w:tab w:val="left" w:pos="1440"/>
        </w:tabs>
        <w:rPr>
          <w:rFonts w:ascii="Times" w:hAnsi="Times"/>
          <w:sz w:val="22"/>
          <w:szCs w:val="22"/>
        </w:rPr>
      </w:pPr>
      <w:r w:rsidRPr="004A58C2">
        <w:rPr>
          <w:rFonts w:ascii="Times" w:hAnsi="Times"/>
          <w:sz w:val="22"/>
          <w:szCs w:val="22"/>
        </w:rPr>
        <w:t xml:space="preserve">Applications must be filed </w:t>
      </w:r>
      <w:r w:rsidR="00503E77" w:rsidRPr="004A58C2">
        <w:rPr>
          <w:rFonts w:ascii="Times" w:hAnsi="Times"/>
          <w:sz w:val="22"/>
          <w:szCs w:val="22"/>
        </w:rPr>
        <w:t xml:space="preserve">between October 15, 2013 and October 29, 2013.  </w:t>
      </w:r>
      <w:r w:rsidRPr="004A58C2">
        <w:rPr>
          <w:rFonts w:ascii="Times" w:hAnsi="Times"/>
          <w:sz w:val="22"/>
          <w:szCs w:val="22"/>
        </w:rPr>
        <w:t xml:space="preserve">Applications filed earlier in the window will not receive any preference over those filed later in the window.  Applications filed before October </w:t>
      </w:r>
      <w:r w:rsidR="00D20563" w:rsidRPr="004A58C2">
        <w:rPr>
          <w:rFonts w:ascii="Times" w:hAnsi="Times"/>
          <w:sz w:val="22"/>
          <w:szCs w:val="22"/>
        </w:rPr>
        <w:t>15</w:t>
      </w:r>
      <w:r w:rsidRPr="004A58C2">
        <w:rPr>
          <w:rFonts w:ascii="Times" w:hAnsi="Times"/>
          <w:sz w:val="22"/>
          <w:szCs w:val="22"/>
        </w:rPr>
        <w:t>, 2013</w:t>
      </w:r>
      <w:r w:rsidR="003C4E0C" w:rsidRPr="004A58C2">
        <w:rPr>
          <w:rFonts w:ascii="Times" w:hAnsi="Times"/>
          <w:sz w:val="22"/>
          <w:szCs w:val="22"/>
        </w:rPr>
        <w:t>,</w:t>
      </w:r>
      <w:r w:rsidRPr="004A58C2">
        <w:rPr>
          <w:rFonts w:ascii="Times" w:hAnsi="Times"/>
          <w:sz w:val="22"/>
          <w:szCs w:val="22"/>
        </w:rPr>
        <w:t xml:space="preserve"> or after October </w:t>
      </w:r>
      <w:r w:rsidR="00D20563" w:rsidRPr="004A58C2">
        <w:rPr>
          <w:rFonts w:ascii="Times" w:hAnsi="Times"/>
          <w:sz w:val="22"/>
          <w:szCs w:val="22"/>
        </w:rPr>
        <w:t>29</w:t>
      </w:r>
      <w:r w:rsidRPr="004A58C2">
        <w:rPr>
          <w:rFonts w:ascii="Times" w:hAnsi="Times"/>
          <w:sz w:val="22"/>
          <w:szCs w:val="22"/>
        </w:rPr>
        <w:t>, 2013</w:t>
      </w:r>
      <w:r w:rsidR="003C4E0C" w:rsidRPr="004A58C2">
        <w:rPr>
          <w:rFonts w:ascii="Times" w:hAnsi="Times"/>
          <w:sz w:val="22"/>
          <w:szCs w:val="22"/>
        </w:rPr>
        <w:t>,</w:t>
      </w:r>
      <w:r w:rsidRPr="004A58C2">
        <w:rPr>
          <w:rFonts w:ascii="Times" w:hAnsi="Times"/>
          <w:sz w:val="22"/>
          <w:szCs w:val="22"/>
        </w:rPr>
        <w:t xml:space="preserve"> will be returned.  Incomplete and patently defective applications will be dismissed without any opportunity to amend.</w:t>
      </w:r>
      <w:r w:rsidR="00AC3580">
        <w:rPr>
          <w:rStyle w:val="FootnoteReference"/>
          <w:rFonts w:ascii="Times" w:hAnsi="Times"/>
          <w:sz w:val="22"/>
          <w:szCs w:val="22"/>
        </w:rPr>
        <w:footnoteReference w:id="9"/>
      </w:r>
      <w:r w:rsidR="002F239C" w:rsidRPr="004A58C2">
        <w:rPr>
          <w:rFonts w:ascii="Times" w:hAnsi="Times"/>
          <w:sz w:val="22"/>
          <w:szCs w:val="22"/>
        </w:rPr>
        <w:t xml:space="preserve">  </w:t>
      </w:r>
    </w:p>
    <w:p w:rsidR="006F151E" w:rsidRPr="004A58C2" w:rsidRDefault="006F151E" w:rsidP="006F151E">
      <w:pPr>
        <w:pStyle w:val="Normal12"/>
        <w:tabs>
          <w:tab w:val="left" w:pos="0"/>
          <w:tab w:val="left" w:pos="720"/>
          <w:tab w:val="left" w:pos="1440"/>
        </w:tabs>
        <w:rPr>
          <w:rFonts w:ascii="Times" w:hAnsi="Times"/>
          <w:sz w:val="22"/>
          <w:szCs w:val="22"/>
        </w:rPr>
      </w:pPr>
    </w:p>
    <w:p w:rsidR="00983405" w:rsidRPr="004A58C2" w:rsidRDefault="00643433" w:rsidP="00983405">
      <w:pPr>
        <w:pStyle w:val="Normal12"/>
        <w:tabs>
          <w:tab w:val="left" w:pos="0"/>
          <w:tab w:val="left" w:pos="720"/>
          <w:tab w:val="left" w:pos="1440"/>
        </w:tabs>
        <w:ind w:firstLine="0"/>
        <w:rPr>
          <w:rFonts w:ascii="Times" w:hAnsi="Times"/>
          <w:sz w:val="22"/>
          <w:szCs w:val="22"/>
        </w:rPr>
      </w:pPr>
      <w:r w:rsidRPr="004A58C2">
        <w:rPr>
          <w:rFonts w:ascii="Times" w:hAnsi="Times"/>
          <w:sz w:val="22"/>
          <w:szCs w:val="22"/>
        </w:rPr>
        <w:tab/>
      </w:r>
      <w:r w:rsidRPr="004A58C2">
        <w:rPr>
          <w:rFonts w:ascii="Times" w:hAnsi="Times"/>
          <w:b/>
          <w:sz w:val="22"/>
          <w:szCs w:val="22"/>
        </w:rPr>
        <w:t>Electronic Filing</w:t>
      </w:r>
      <w:r w:rsidR="00506E0A" w:rsidRPr="004A58C2">
        <w:rPr>
          <w:rFonts w:ascii="Times" w:hAnsi="Times"/>
          <w:b/>
          <w:sz w:val="22"/>
          <w:szCs w:val="22"/>
        </w:rPr>
        <w:t xml:space="preserve"> Instructions</w:t>
      </w:r>
      <w:r w:rsidRPr="004A58C2">
        <w:rPr>
          <w:rFonts w:ascii="Times" w:hAnsi="Times"/>
          <w:b/>
          <w:sz w:val="22"/>
          <w:szCs w:val="22"/>
        </w:rPr>
        <w:t>.</w:t>
      </w:r>
      <w:r w:rsidRPr="004A58C2">
        <w:rPr>
          <w:rFonts w:ascii="Times" w:hAnsi="Times"/>
          <w:sz w:val="22"/>
          <w:szCs w:val="22"/>
        </w:rPr>
        <w:t xml:space="preserve">  </w:t>
      </w:r>
      <w:r w:rsidR="00676689">
        <w:rPr>
          <w:rFonts w:ascii="Times" w:hAnsi="Times"/>
          <w:sz w:val="22"/>
          <w:szCs w:val="22"/>
        </w:rPr>
        <w:t>Applications</w:t>
      </w:r>
      <w:r w:rsidRPr="004A58C2">
        <w:rPr>
          <w:rFonts w:ascii="Times" w:hAnsi="Times"/>
          <w:sz w:val="22"/>
          <w:szCs w:val="22"/>
        </w:rPr>
        <w:t xml:space="preserve"> must </w:t>
      </w:r>
      <w:r w:rsidR="00676689">
        <w:rPr>
          <w:rFonts w:ascii="Times" w:hAnsi="Times"/>
          <w:sz w:val="22"/>
          <w:szCs w:val="22"/>
        </w:rPr>
        <w:t xml:space="preserve">be </w:t>
      </w:r>
      <w:r w:rsidRPr="004A58C2">
        <w:rPr>
          <w:rFonts w:ascii="Times" w:hAnsi="Times"/>
          <w:sz w:val="22"/>
          <w:szCs w:val="22"/>
        </w:rPr>
        <w:t>file</w:t>
      </w:r>
      <w:r w:rsidR="00676689">
        <w:rPr>
          <w:rFonts w:ascii="Times" w:hAnsi="Times"/>
          <w:sz w:val="22"/>
          <w:szCs w:val="22"/>
        </w:rPr>
        <w:t>d</w:t>
      </w:r>
      <w:r w:rsidR="00506E0A" w:rsidRPr="004A58C2">
        <w:rPr>
          <w:rFonts w:ascii="Times" w:hAnsi="Times"/>
          <w:sz w:val="22"/>
          <w:szCs w:val="22"/>
        </w:rPr>
        <w:t xml:space="preserve"> through the Media Bureau’s Consolidated Database System (CDBS) online filing system.  The CDBS electronic filing system has numerous business rules and other edit checks </w:t>
      </w:r>
      <w:r w:rsidR="00650C9D" w:rsidRPr="004A58C2">
        <w:rPr>
          <w:rFonts w:ascii="Times" w:hAnsi="Times"/>
          <w:sz w:val="22"/>
          <w:szCs w:val="22"/>
        </w:rPr>
        <w:t>to help</w:t>
      </w:r>
      <w:r w:rsidR="00506E0A" w:rsidRPr="004A58C2">
        <w:rPr>
          <w:rFonts w:ascii="Times" w:hAnsi="Times"/>
          <w:sz w:val="22"/>
          <w:szCs w:val="22"/>
        </w:rPr>
        <w:t xml:space="preserve"> ensure that filings are substantially complete when filed.  When filing a new or major change proposal, applicants must select “New station” or “Major Change in licensed facility,” respectively, on the Pre-form for Form </w:t>
      </w:r>
      <w:r w:rsidR="00983405" w:rsidRPr="004A58C2">
        <w:rPr>
          <w:rFonts w:ascii="Times" w:hAnsi="Times"/>
          <w:sz w:val="22"/>
          <w:szCs w:val="22"/>
        </w:rPr>
        <w:t>318</w:t>
      </w:r>
      <w:r w:rsidR="00506E0A" w:rsidRPr="004A58C2">
        <w:rPr>
          <w:rFonts w:ascii="Times" w:hAnsi="Times"/>
          <w:sz w:val="22"/>
          <w:szCs w:val="22"/>
        </w:rPr>
        <w:t xml:space="preserve"> (Question 2 – Application Purpose).</w:t>
      </w:r>
      <w:r w:rsidR="00506E0A" w:rsidRPr="004A58C2">
        <w:rPr>
          <w:rFonts w:ascii="Times" w:hAnsi="Times"/>
          <w:sz w:val="22"/>
          <w:szCs w:val="22"/>
          <w:vertAlign w:val="superscript"/>
        </w:rPr>
        <w:footnoteReference w:id="10"/>
      </w:r>
      <w:r w:rsidR="00506E0A" w:rsidRPr="004A58C2">
        <w:rPr>
          <w:rFonts w:ascii="Times" w:hAnsi="Times"/>
          <w:sz w:val="22"/>
          <w:szCs w:val="22"/>
        </w:rPr>
        <w:t xml:space="preserve">  </w:t>
      </w:r>
      <w:r w:rsidR="00983405" w:rsidRPr="004A58C2">
        <w:rPr>
          <w:rFonts w:ascii="Times" w:hAnsi="Times"/>
          <w:sz w:val="22"/>
          <w:szCs w:val="22"/>
        </w:rPr>
        <w:t>Instructions for use of the electronic filing system are available in the CDBS User’s Guide, which can be accessed from the electronic filing website at:</w:t>
      </w:r>
    </w:p>
    <w:p w:rsidR="00983405" w:rsidRPr="004A58C2" w:rsidRDefault="00983405" w:rsidP="00983405">
      <w:pPr>
        <w:pStyle w:val="Normal12"/>
        <w:tabs>
          <w:tab w:val="left" w:pos="0"/>
          <w:tab w:val="left" w:pos="720"/>
          <w:tab w:val="left" w:pos="1440"/>
        </w:tabs>
        <w:ind w:firstLine="0"/>
        <w:rPr>
          <w:rFonts w:ascii="Times" w:hAnsi="Times"/>
          <w:sz w:val="22"/>
          <w:szCs w:val="22"/>
        </w:rPr>
      </w:pPr>
    </w:p>
    <w:p w:rsidR="00506E0A" w:rsidRPr="004A58C2" w:rsidRDefault="00454235" w:rsidP="00983405">
      <w:pPr>
        <w:ind w:left="720" w:firstLine="720"/>
        <w:rPr>
          <w:rFonts w:ascii="Times" w:hAnsi="Times"/>
          <w:szCs w:val="22"/>
        </w:rPr>
      </w:pPr>
      <w:hyperlink r:id="rId8" w:history="1">
        <w:r w:rsidR="00983405" w:rsidRPr="004A58C2">
          <w:rPr>
            <w:rStyle w:val="Hyperlink"/>
            <w:rFonts w:ascii="Times" w:hAnsi="Times"/>
            <w:szCs w:val="22"/>
          </w:rPr>
          <w:t>http://licensing.fcc.gov/prod/cdbs/forms/prod/cdbs_ug.htm</w:t>
        </w:r>
      </w:hyperlink>
    </w:p>
    <w:p w:rsidR="00983405" w:rsidRPr="004A58C2" w:rsidRDefault="00983405" w:rsidP="00506E0A">
      <w:pPr>
        <w:ind w:firstLine="720"/>
        <w:rPr>
          <w:rFonts w:ascii="Times" w:hAnsi="Times"/>
          <w:szCs w:val="22"/>
        </w:rPr>
      </w:pPr>
    </w:p>
    <w:p w:rsidR="00506E0A" w:rsidRPr="004A58C2" w:rsidRDefault="00506E0A" w:rsidP="00506E0A">
      <w:pPr>
        <w:rPr>
          <w:rFonts w:ascii="Times" w:hAnsi="Times"/>
          <w:szCs w:val="22"/>
        </w:rPr>
      </w:pPr>
      <w:r w:rsidRPr="004A58C2">
        <w:rPr>
          <w:rFonts w:ascii="Times" w:hAnsi="Times"/>
          <w:szCs w:val="22"/>
        </w:rPr>
        <w:t>For assistance with electronic filing, call the Audio Division Help Desk at (202) 418-2662.</w:t>
      </w:r>
    </w:p>
    <w:p w:rsidR="00506E0A" w:rsidRPr="004A58C2" w:rsidRDefault="00506E0A" w:rsidP="00506E0A">
      <w:pPr>
        <w:rPr>
          <w:rFonts w:ascii="Times" w:hAnsi="Times"/>
          <w:szCs w:val="22"/>
        </w:rPr>
      </w:pPr>
    </w:p>
    <w:p w:rsidR="00676689" w:rsidRDefault="00506E0A" w:rsidP="00522D6B">
      <w:pPr>
        <w:ind w:firstLine="720"/>
        <w:rPr>
          <w:rFonts w:ascii="Times" w:hAnsi="Times"/>
          <w:szCs w:val="22"/>
        </w:rPr>
      </w:pPr>
      <w:r w:rsidRPr="004A58C2">
        <w:rPr>
          <w:rFonts w:ascii="Times" w:hAnsi="Times"/>
          <w:szCs w:val="22"/>
        </w:rPr>
        <w:t xml:space="preserve">Applicants are encouraged to access the system and prepare their applications and amendments at their earliest convenience.  Applicants may begin to complete applications </w:t>
      </w:r>
      <w:r w:rsidRPr="004A58C2">
        <w:rPr>
          <w:rFonts w:ascii="Times" w:hAnsi="Times"/>
          <w:i/>
          <w:szCs w:val="22"/>
        </w:rPr>
        <w:t>immediately</w:t>
      </w:r>
      <w:r w:rsidRPr="004A58C2">
        <w:rPr>
          <w:rFonts w:ascii="Times" w:hAnsi="Times"/>
          <w:szCs w:val="22"/>
        </w:rPr>
        <w:t>.  Applicants are also encouraged to submit their applications early during the window to ensure proper submission.</w:t>
      </w:r>
      <w:r w:rsidR="00AC3580">
        <w:rPr>
          <w:rFonts w:ascii="Times" w:hAnsi="Times"/>
          <w:szCs w:val="22"/>
        </w:rPr>
        <w:t xml:space="preserve">  An applicant may amend a filed application without limitation during the window by checking the Section I, Question 3 box “Amendment to pending application.”</w:t>
      </w:r>
      <w:r w:rsidR="00AC3580">
        <w:rPr>
          <w:rStyle w:val="FootnoteReference"/>
          <w:rFonts w:ascii="Times" w:hAnsi="Times"/>
          <w:szCs w:val="22"/>
        </w:rPr>
        <w:footnoteReference w:id="11"/>
      </w:r>
      <w:r w:rsidRPr="004A58C2">
        <w:rPr>
          <w:rFonts w:ascii="Times" w:hAnsi="Times"/>
          <w:szCs w:val="22"/>
        </w:rPr>
        <w:t xml:space="preserve">  Applications and amendments filed during the </w:t>
      </w:r>
      <w:r w:rsidRPr="004A58C2">
        <w:rPr>
          <w:rFonts w:ascii="Times" w:hAnsi="Times"/>
          <w:szCs w:val="22"/>
        </w:rPr>
        <w:lastRenderedPageBreak/>
        <w:t xml:space="preserve">window will not be made available to the public until after the close of the filing window.  To ensure the security of its application, it is important that </w:t>
      </w:r>
      <w:r w:rsidR="00676689">
        <w:rPr>
          <w:rFonts w:ascii="Times" w:hAnsi="Times"/>
          <w:szCs w:val="22"/>
        </w:rPr>
        <w:t>an</w:t>
      </w:r>
      <w:r w:rsidRPr="004A58C2">
        <w:rPr>
          <w:rFonts w:ascii="Times" w:hAnsi="Times"/>
          <w:szCs w:val="22"/>
        </w:rPr>
        <w:t xml:space="preserve"> applicant shares its CDBS account passwords with only those individuals who are authorized to view and/or modify proposals in progress.</w:t>
      </w:r>
    </w:p>
    <w:p w:rsidR="00676689" w:rsidRDefault="00676689">
      <w:pPr>
        <w:rPr>
          <w:rFonts w:ascii="Times" w:hAnsi="Times"/>
          <w:szCs w:val="22"/>
        </w:rPr>
      </w:pPr>
    </w:p>
    <w:p w:rsidR="00506E0A" w:rsidRPr="0044311A" w:rsidRDefault="00506E0A" w:rsidP="00522D6B">
      <w:pPr>
        <w:ind w:firstLine="720"/>
        <w:rPr>
          <w:rFonts w:ascii="Times" w:hAnsi="Times"/>
          <w:szCs w:val="22"/>
        </w:rPr>
      </w:pPr>
      <w:r w:rsidRPr="0044311A">
        <w:rPr>
          <w:rFonts w:ascii="Times" w:hAnsi="Times"/>
          <w:szCs w:val="22"/>
        </w:rPr>
        <w:t>To complete the filing process, applicants must select the specific application under “Work in Progress” and then click on the “File Form” button.  Applicants that have successfully filed Form 318 will immediately receive a CDBS response similar to the following:</w:t>
      </w:r>
    </w:p>
    <w:p w:rsidR="00506E0A" w:rsidRPr="0044311A" w:rsidRDefault="00506E0A" w:rsidP="00506E0A">
      <w:pPr>
        <w:rPr>
          <w:rFonts w:ascii="Times" w:hAnsi="Times"/>
          <w:szCs w:val="22"/>
        </w:rPr>
      </w:pPr>
    </w:p>
    <w:p w:rsidR="00506E0A" w:rsidRPr="0044311A" w:rsidRDefault="00506E0A" w:rsidP="00506E0A">
      <w:pPr>
        <w:jc w:val="center"/>
        <w:rPr>
          <w:rFonts w:ascii="Times" w:hAnsi="Times"/>
          <w:b/>
          <w:bCs/>
          <w:szCs w:val="22"/>
        </w:rPr>
      </w:pPr>
      <w:r w:rsidRPr="0044311A">
        <w:rPr>
          <w:rFonts w:ascii="Times" w:hAnsi="Times"/>
          <w:b/>
          <w:bCs/>
          <w:szCs w:val="22"/>
        </w:rPr>
        <w:t>FCC MB – CDBS Electronic Filing</w:t>
      </w:r>
    </w:p>
    <w:p w:rsidR="00506E0A" w:rsidRPr="0044311A" w:rsidRDefault="00506E0A" w:rsidP="00506E0A">
      <w:pPr>
        <w:jc w:val="center"/>
        <w:rPr>
          <w:rFonts w:ascii="Times" w:hAnsi="Times"/>
          <w:b/>
          <w:bCs/>
          <w:szCs w:val="22"/>
        </w:rPr>
      </w:pPr>
      <w:r w:rsidRPr="0044311A">
        <w:rPr>
          <w:rFonts w:ascii="Times" w:hAnsi="Times"/>
          <w:b/>
          <w:bCs/>
          <w:szCs w:val="22"/>
        </w:rPr>
        <w:t>Application Reference Number:  20131018ABC</w:t>
      </w:r>
    </w:p>
    <w:p w:rsidR="00506E0A" w:rsidRPr="004A58C2" w:rsidRDefault="00506E0A" w:rsidP="00506E0A">
      <w:pPr>
        <w:jc w:val="center"/>
        <w:rPr>
          <w:rFonts w:ascii="Times" w:hAnsi="Times"/>
          <w:b/>
          <w:bCs/>
          <w:szCs w:val="22"/>
        </w:rPr>
      </w:pPr>
      <w:r w:rsidRPr="0044311A">
        <w:rPr>
          <w:rFonts w:ascii="Times" w:hAnsi="Times"/>
          <w:b/>
          <w:bCs/>
          <w:szCs w:val="22"/>
        </w:rPr>
        <w:t>Successfully filed at Oct 18 2013 12:01AM</w:t>
      </w:r>
    </w:p>
    <w:p w:rsidR="00506E0A" w:rsidRPr="004A58C2" w:rsidRDefault="00506E0A" w:rsidP="00506E0A">
      <w:pPr>
        <w:jc w:val="center"/>
        <w:rPr>
          <w:rFonts w:ascii="Times" w:hAnsi="Times"/>
          <w:b/>
          <w:bCs/>
          <w:szCs w:val="22"/>
        </w:rPr>
      </w:pPr>
    </w:p>
    <w:p w:rsidR="00506E0A" w:rsidRDefault="00506E0A" w:rsidP="00506E0A">
      <w:pPr>
        <w:rPr>
          <w:rFonts w:ascii="Times" w:hAnsi="Times"/>
          <w:szCs w:val="22"/>
        </w:rPr>
      </w:pPr>
      <w:r w:rsidRPr="004A58C2">
        <w:rPr>
          <w:rFonts w:ascii="Times" w:hAnsi="Times"/>
          <w:szCs w:val="22"/>
        </w:rPr>
        <w:t>Applicants that believe they have filed correctly and have not received such a message from the electronic filing system should log into their CDBS account and determine the status of the application.  If the status is other than “Ready” or “Filed,” the application has NOT been properly filed and will NOT be processed.</w:t>
      </w:r>
    </w:p>
    <w:p w:rsidR="002441AE" w:rsidRPr="004A58C2" w:rsidRDefault="002441AE" w:rsidP="00506E0A">
      <w:pPr>
        <w:rPr>
          <w:rFonts w:ascii="Times" w:hAnsi="Times"/>
          <w:szCs w:val="22"/>
        </w:rPr>
      </w:pPr>
    </w:p>
    <w:p w:rsidR="00506E0A" w:rsidRPr="004A58C2" w:rsidRDefault="0039163E" w:rsidP="00522D6B">
      <w:pPr>
        <w:ind w:firstLine="720"/>
        <w:rPr>
          <w:rFonts w:ascii="Times" w:hAnsi="Times"/>
          <w:color w:val="0000FF"/>
          <w:szCs w:val="22"/>
          <w:u w:val="single"/>
        </w:rPr>
      </w:pPr>
      <w:r>
        <w:rPr>
          <w:rFonts w:ascii="Times" w:hAnsi="Times"/>
          <w:b/>
          <w:bCs/>
          <w:szCs w:val="22"/>
        </w:rPr>
        <w:t>Following the close of the window, t</w:t>
      </w:r>
      <w:r w:rsidR="00506E0A" w:rsidRPr="004A58C2">
        <w:rPr>
          <w:rFonts w:ascii="Times" w:hAnsi="Times"/>
          <w:b/>
          <w:bCs/>
          <w:szCs w:val="22"/>
        </w:rPr>
        <w:t xml:space="preserve">he Commission staff will return </w:t>
      </w:r>
      <w:r>
        <w:rPr>
          <w:rFonts w:ascii="Times" w:hAnsi="Times"/>
          <w:b/>
          <w:bCs/>
          <w:szCs w:val="22"/>
        </w:rPr>
        <w:t xml:space="preserve">and/or dismiss </w:t>
      </w:r>
      <w:r w:rsidR="00506E0A" w:rsidRPr="004A58C2">
        <w:rPr>
          <w:rFonts w:ascii="Times" w:hAnsi="Times"/>
          <w:b/>
          <w:bCs/>
          <w:szCs w:val="22"/>
        </w:rPr>
        <w:t>applications and amendments not submitted in accordance with the procedures described in this Public Notice.</w:t>
      </w:r>
      <w:r w:rsidR="00A15C05">
        <w:rPr>
          <w:rFonts w:ascii="Times" w:hAnsi="Times"/>
          <w:b/>
          <w:bCs/>
          <w:szCs w:val="22"/>
        </w:rPr>
        <w:t xml:space="preserve">  No curative amendments </w:t>
      </w:r>
      <w:r w:rsidR="00F12726">
        <w:rPr>
          <w:rFonts w:ascii="Times" w:hAnsi="Times"/>
          <w:b/>
          <w:bCs/>
          <w:szCs w:val="22"/>
        </w:rPr>
        <w:t xml:space="preserve">for such applications and amendments </w:t>
      </w:r>
      <w:r w:rsidR="00A15C05">
        <w:rPr>
          <w:rFonts w:ascii="Times" w:hAnsi="Times"/>
          <w:b/>
          <w:bCs/>
          <w:szCs w:val="22"/>
        </w:rPr>
        <w:t>will be accepted after the close of the window.</w:t>
      </w:r>
      <w:r w:rsidR="00506E0A" w:rsidRPr="004A58C2">
        <w:rPr>
          <w:rFonts w:ascii="Times" w:hAnsi="Times"/>
          <w:b/>
          <w:bCs/>
          <w:szCs w:val="22"/>
        </w:rPr>
        <w:t xml:space="preserve">    </w:t>
      </w:r>
    </w:p>
    <w:p w:rsidR="00506E0A" w:rsidRPr="004A58C2" w:rsidRDefault="00506E0A" w:rsidP="00643433">
      <w:pPr>
        <w:pStyle w:val="Normal12"/>
        <w:tabs>
          <w:tab w:val="left" w:pos="0"/>
          <w:tab w:val="left" w:pos="720"/>
          <w:tab w:val="left" w:pos="1440"/>
        </w:tabs>
        <w:ind w:firstLine="0"/>
        <w:rPr>
          <w:rFonts w:ascii="Times" w:hAnsi="Times"/>
          <w:sz w:val="22"/>
          <w:szCs w:val="22"/>
        </w:rPr>
      </w:pPr>
    </w:p>
    <w:p w:rsidR="00643433" w:rsidRPr="004A58C2" w:rsidRDefault="00643433" w:rsidP="004633D0">
      <w:pPr>
        <w:autoSpaceDE w:val="0"/>
        <w:autoSpaceDN w:val="0"/>
        <w:adjustRightInd w:val="0"/>
        <w:ind w:firstLine="720"/>
        <w:rPr>
          <w:rFonts w:ascii="Times" w:hAnsi="Times"/>
          <w:szCs w:val="22"/>
        </w:rPr>
      </w:pPr>
      <w:r w:rsidRPr="004A58C2">
        <w:rPr>
          <w:rFonts w:ascii="Times" w:hAnsi="Times"/>
          <w:szCs w:val="22"/>
        </w:rPr>
        <w:t xml:space="preserve">The Commission must receive electronically filed applications no later than </w:t>
      </w:r>
      <w:r w:rsidR="00832FA9" w:rsidRPr="004A58C2">
        <w:rPr>
          <w:rFonts w:ascii="Times" w:hAnsi="Times"/>
          <w:szCs w:val="22"/>
        </w:rPr>
        <w:t>6:00</w:t>
      </w:r>
      <w:r w:rsidRPr="004A58C2">
        <w:rPr>
          <w:rFonts w:ascii="Times" w:hAnsi="Times"/>
          <w:szCs w:val="22"/>
        </w:rPr>
        <w:t xml:space="preserve"> PM EDT on </w:t>
      </w:r>
      <w:r w:rsidR="00167152" w:rsidRPr="004A58C2">
        <w:rPr>
          <w:rFonts w:ascii="Times" w:hAnsi="Times"/>
          <w:szCs w:val="22"/>
        </w:rPr>
        <w:t xml:space="preserve">October </w:t>
      </w:r>
      <w:r w:rsidR="00D20563" w:rsidRPr="004A58C2">
        <w:rPr>
          <w:rFonts w:ascii="Times" w:hAnsi="Times"/>
          <w:szCs w:val="22"/>
        </w:rPr>
        <w:t>29</w:t>
      </w:r>
      <w:r w:rsidR="00167152" w:rsidRPr="004A58C2">
        <w:rPr>
          <w:rFonts w:ascii="Times" w:hAnsi="Times"/>
          <w:szCs w:val="22"/>
        </w:rPr>
        <w:t>, 2013.</w:t>
      </w:r>
    </w:p>
    <w:p w:rsidR="00643433" w:rsidRPr="004A58C2" w:rsidRDefault="00643433" w:rsidP="00643433">
      <w:pPr>
        <w:pStyle w:val="Normal12"/>
        <w:tabs>
          <w:tab w:val="left" w:pos="0"/>
          <w:tab w:val="left" w:pos="720"/>
          <w:tab w:val="left" w:pos="1440"/>
        </w:tabs>
        <w:ind w:firstLine="0"/>
        <w:rPr>
          <w:rFonts w:ascii="Times" w:hAnsi="Times"/>
          <w:sz w:val="22"/>
          <w:szCs w:val="22"/>
        </w:rPr>
      </w:pPr>
    </w:p>
    <w:p w:rsidR="00983405" w:rsidRDefault="00643433" w:rsidP="00643433">
      <w:pPr>
        <w:pStyle w:val="Normal12"/>
        <w:tabs>
          <w:tab w:val="left" w:pos="0"/>
          <w:tab w:val="left" w:pos="720"/>
          <w:tab w:val="left" w:pos="1440"/>
        </w:tabs>
        <w:ind w:firstLine="0"/>
        <w:rPr>
          <w:rFonts w:ascii="Times" w:hAnsi="Times"/>
          <w:sz w:val="22"/>
          <w:szCs w:val="22"/>
        </w:rPr>
      </w:pPr>
      <w:r w:rsidRPr="004A58C2">
        <w:rPr>
          <w:rFonts w:ascii="Times" w:hAnsi="Times"/>
          <w:sz w:val="22"/>
          <w:szCs w:val="22"/>
        </w:rPr>
        <w:tab/>
      </w:r>
      <w:r w:rsidRPr="004A58C2">
        <w:rPr>
          <w:rFonts w:ascii="Times" w:hAnsi="Times"/>
          <w:b/>
          <w:sz w:val="22"/>
          <w:szCs w:val="22"/>
        </w:rPr>
        <w:t>Finding an LPFM Station Channel.</w:t>
      </w:r>
      <w:r w:rsidR="007D02DD" w:rsidRPr="004A58C2">
        <w:rPr>
          <w:rFonts w:ascii="Times" w:hAnsi="Times"/>
          <w:sz w:val="22"/>
          <w:szCs w:val="22"/>
        </w:rPr>
        <w:t xml:space="preserve">  Applicants may use the </w:t>
      </w:r>
      <w:r w:rsidR="00D20563" w:rsidRPr="004A58C2">
        <w:rPr>
          <w:rFonts w:ascii="Times" w:hAnsi="Times"/>
          <w:sz w:val="22"/>
          <w:szCs w:val="22"/>
        </w:rPr>
        <w:t xml:space="preserve">Bureau’s </w:t>
      </w:r>
      <w:r w:rsidRPr="004A58C2">
        <w:rPr>
          <w:rFonts w:ascii="Times" w:hAnsi="Times"/>
          <w:sz w:val="22"/>
          <w:szCs w:val="22"/>
        </w:rPr>
        <w:t xml:space="preserve">LPFM Channel Finder to help determine if a proposed transmitter site would meet minimum LPFM station spacing requirements.  This internet-based utility is available on the FCC web site at:  </w:t>
      </w:r>
      <w:hyperlink r:id="rId9" w:history="1">
        <w:r w:rsidR="00983405" w:rsidRPr="004A58C2">
          <w:rPr>
            <w:rStyle w:val="Hyperlink"/>
            <w:rFonts w:ascii="Times" w:hAnsi="Times"/>
            <w:sz w:val="22"/>
            <w:szCs w:val="22"/>
          </w:rPr>
          <w:t>http://www.fcc.gov/encyclopedia/low-power-fm-lpfm-channel-finder</w:t>
        </w:r>
      </w:hyperlink>
      <w:r w:rsidRPr="004A58C2">
        <w:rPr>
          <w:rFonts w:ascii="Times" w:hAnsi="Times"/>
          <w:sz w:val="22"/>
          <w:szCs w:val="22"/>
        </w:rPr>
        <w:t xml:space="preserve">.  The LPFM Channel Finder incorporates </w:t>
      </w:r>
      <w:r w:rsidR="00983405" w:rsidRPr="004A58C2">
        <w:rPr>
          <w:rFonts w:ascii="Times" w:hAnsi="Times"/>
          <w:sz w:val="22"/>
          <w:szCs w:val="22"/>
        </w:rPr>
        <w:t>certain</w:t>
      </w:r>
      <w:r w:rsidRPr="004A58C2">
        <w:rPr>
          <w:rFonts w:ascii="Times" w:hAnsi="Times"/>
          <w:sz w:val="22"/>
          <w:szCs w:val="22"/>
        </w:rPr>
        <w:t xml:space="preserve"> technical changes implemented by the LPFM </w:t>
      </w:r>
      <w:r w:rsidR="00F319B9" w:rsidRPr="004A58C2">
        <w:rPr>
          <w:rFonts w:ascii="Times" w:hAnsi="Times"/>
          <w:i/>
          <w:sz w:val="22"/>
          <w:szCs w:val="22"/>
        </w:rPr>
        <w:t>Sixth Report and Order</w:t>
      </w:r>
      <w:r w:rsidRPr="004A58C2">
        <w:rPr>
          <w:rFonts w:ascii="Times" w:hAnsi="Times"/>
          <w:sz w:val="22"/>
          <w:szCs w:val="22"/>
        </w:rPr>
        <w:t>.</w:t>
      </w:r>
      <w:r w:rsidR="0069382E" w:rsidRPr="004A58C2">
        <w:rPr>
          <w:rStyle w:val="FootnoteReference"/>
          <w:rFonts w:ascii="Times" w:hAnsi="Times"/>
          <w:sz w:val="22"/>
          <w:szCs w:val="22"/>
        </w:rPr>
        <w:footnoteReference w:id="12"/>
      </w:r>
      <w:r w:rsidRPr="004A58C2">
        <w:rPr>
          <w:rFonts w:ascii="Times" w:hAnsi="Times"/>
          <w:sz w:val="22"/>
          <w:szCs w:val="22"/>
        </w:rPr>
        <w:t xml:space="preserve">  The site also provides additional information on the LPFM service, including the text of the </w:t>
      </w:r>
      <w:r w:rsidR="00E00D94" w:rsidRPr="004A58C2">
        <w:rPr>
          <w:rFonts w:ascii="Times" w:hAnsi="Times"/>
          <w:i/>
          <w:sz w:val="22"/>
          <w:szCs w:val="22"/>
        </w:rPr>
        <w:t>Sixth</w:t>
      </w:r>
      <w:r w:rsidRPr="004A58C2">
        <w:rPr>
          <w:rFonts w:ascii="Times" w:hAnsi="Times"/>
          <w:i/>
          <w:sz w:val="22"/>
          <w:szCs w:val="22"/>
        </w:rPr>
        <w:t xml:space="preserve"> Report and Order</w:t>
      </w:r>
      <w:r w:rsidRPr="004A58C2">
        <w:rPr>
          <w:rFonts w:ascii="Times" w:hAnsi="Times"/>
          <w:sz w:val="22"/>
          <w:szCs w:val="22"/>
        </w:rPr>
        <w:t xml:space="preserve">, specific rule requirements for LPFM applicants, and methods to determine the coordinates of an applicant’s proposed transmitter site. </w:t>
      </w:r>
      <w:r w:rsidR="00650C9D" w:rsidRPr="004A58C2">
        <w:rPr>
          <w:rFonts w:ascii="Times" w:hAnsi="Times"/>
          <w:sz w:val="22"/>
          <w:szCs w:val="22"/>
        </w:rPr>
        <w:t xml:space="preserve"> Please note that the LPFM Channel Finder tool is intended solely to assist LPFM applicants in tentatively identifying available FM channels.</w:t>
      </w:r>
      <w:r w:rsidR="00607907">
        <w:rPr>
          <w:rStyle w:val="FootnoteReference"/>
          <w:rFonts w:ascii="Times" w:hAnsi="Times"/>
          <w:sz w:val="22"/>
          <w:szCs w:val="22"/>
        </w:rPr>
        <w:footnoteReference w:id="13"/>
      </w:r>
      <w:r w:rsidR="00650C9D" w:rsidRPr="004A58C2">
        <w:rPr>
          <w:rFonts w:ascii="Times" w:hAnsi="Times"/>
          <w:sz w:val="22"/>
          <w:szCs w:val="22"/>
        </w:rPr>
        <w:t xml:space="preserve">  There is no guarantee that channels</w:t>
      </w:r>
      <w:r w:rsidR="00983405" w:rsidRPr="004A58C2">
        <w:rPr>
          <w:rFonts w:ascii="Times" w:hAnsi="Times"/>
          <w:sz w:val="22"/>
          <w:szCs w:val="22"/>
        </w:rPr>
        <w:t xml:space="preserve"> </w:t>
      </w:r>
      <w:r w:rsidR="00832FA9" w:rsidRPr="004A58C2">
        <w:rPr>
          <w:rFonts w:ascii="Times" w:hAnsi="Times"/>
          <w:sz w:val="22"/>
          <w:szCs w:val="22"/>
        </w:rPr>
        <w:t>represented as “available” will be technically acceptable at the time an application is filed.</w:t>
      </w:r>
      <w:r w:rsidR="0039163E">
        <w:rPr>
          <w:rFonts w:ascii="Times" w:hAnsi="Times"/>
          <w:sz w:val="22"/>
          <w:szCs w:val="22"/>
        </w:rPr>
        <w:t xml:space="preserve">  An applicant should consider using a consulting engineer or a party familiar with the LPFM technical rules to determine the technical acceptability of its application, particularly if the applicant is requesting a second-adjacent channel spacing waiver.</w:t>
      </w:r>
      <w:r w:rsidR="00832FA9" w:rsidRPr="004A58C2">
        <w:rPr>
          <w:rFonts w:ascii="Times" w:hAnsi="Times"/>
          <w:sz w:val="22"/>
          <w:szCs w:val="22"/>
        </w:rPr>
        <w:t xml:space="preserve">  </w:t>
      </w:r>
      <w:r w:rsidR="00983405" w:rsidRPr="004A58C2">
        <w:rPr>
          <w:rFonts w:ascii="Times" w:hAnsi="Times"/>
          <w:sz w:val="22"/>
          <w:szCs w:val="22"/>
        </w:rPr>
        <w:t xml:space="preserve"> </w:t>
      </w:r>
    </w:p>
    <w:p w:rsidR="00607907" w:rsidRPr="004A58C2" w:rsidRDefault="00607907" w:rsidP="00643433">
      <w:pPr>
        <w:pStyle w:val="Normal12"/>
        <w:tabs>
          <w:tab w:val="left" w:pos="0"/>
          <w:tab w:val="left" w:pos="720"/>
          <w:tab w:val="left" w:pos="1440"/>
        </w:tabs>
        <w:ind w:firstLine="0"/>
        <w:rPr>
          <w:rFonts w:ascii="Times" w:hAnsi="Times"/>
          <w:sz w:val="22"/>
          <w:szCs w:val="22"/>
        </w:rPr>
      </w:pPr>
    </w:p>
    <w:p w:rsidR="00643433" w:rsidRPr="004A58C2" w:rsidRDefault="00643433" w:rsidP="00643433">
      <w:pPr>
        <w:pStyle w:val="Normal12"/>
        <w:tabs>
          <w:tab w:val="left" w:pos="0"/>
          <w:tab w:val="left" w:pos="720"/>
          <w:tab w:val="left" w:pos="1440"/>
        </w:tabs>
        <w:ind w:firstLine="0"/>
        <w:rPr>
          <w:rFonts w:ascii="Times" w:hAnsi="Times"/>
          <w:sz w:val="22"/>
          <w:szCs w:val="22"/>
        </w:rPr>
      </w:pPr>
      <w:r w:rsidRPr="004A58C2">
        <w:rPr>
          <w:rFonts w:ascii="Times" w:hAnsi="Times"/>
          <w:sz w:val="22"/>
          <w:szCs w:val="22"/>
        </w:rPr>
        <w:tab/>
      </w:r>
      <w:r w:rsidRPr="004A58C2">
        <w:rPr>
          <w:rFonts w:ascii="Times" w:hAnsi="Times"/>
          <w:b/>
          <w:sz w:val="22"/>
          <w:szCs w:val="22"/>
        </w:rPr>
        <w:t>Application Limitation.</w:t>
      </w:r>
      <w:r w:rsidRPr="004A58C2">
        <w:rPr>
          <w:rFonts w:ascii="Times" w:hAnsi="Times"/>
          <w:sz w:val="22"/>
          <w:szCs w:val="22"/>
        </w:rPr>
        <w:t xml:space="preserve">  Nonprofit educational organizations may not file more than one application in this window</w:t>
      </w:r>
      <w:r w:rsidR="0039163E">
        <w:rPr>
          <w:rFonts w:ascii="Times" w:hAnsi="Times"/>
          <w:sz w:val="22"/>
          <w:szCs w:val="22"/>
        </w:rPr>
        <w:t xml:space="preserve">.  </w:t>
      </w:r>
      <w:r w:rsidR="00C66BCA" w:rsidRPr="004A58C2">
        <w:rPr>
          <w:rFonts w:ascii="Times" w:hAnsi="Times"/>
          <w:sz w:val="22"/>
          <w:szCs w:val="22"/>
        </w:rPr>
        <w:t xml:space="preserve">Tribal applicants may not </w:t>
      </w:r>
      <w:r w:rsidR="00DB34CC" w:rsidRPr="004A58C2">
        <w:rPr>
          <w:rFonts w:ascii="Times" w:hAnsi="Times"/>
          <w:sz w:val="22"/>
          <w:szCs w:val="22"/>
        </w:rPr>
        <w:t xml:space="preserve">file </w:t>
      </w:r>
      <w:r w:rsidR="00C66BCA" w:rsidRPr="004A58C2">
        <w:rPr>
          <w:rFonts w:ascii="Times" w:hAnsi="Times"/>
          <w:sz w:val="22"/>
          <w:szCs w:val="22"/>
        </w:rPr>
        <w:t xml:space="preserve">more than two applications.  Not-for-profit organizations </w:t>
      </w:r>
      <w:r w:rsidR="00D138EF" w:rsidRPr="004A58C2">
        <w:rPr>
          <w:rFonts w:ascii="Times" w:hAnsi="Times"/>
          <w:sz w:val="22"/>
          <w:szCs w:val="22"/>
        </w:rPr>
        <w:t>or</w:t>
      </w:r>
      <w:r w:rsidR="00C66BCA" w:rsidRPr="004A58C2">
        <w:rPr>
          <w:rFonts w:ascii="Times" w:hAnsi="Times"/>
          <w:sz w:val="22"/>
          <w:szCs w:val="22"/>
        </w:rPr>
        <w:t xml:space="preserve"> g</w:t>
      </w:r>
      <w:r w:rsidRPr="004A58C2">
        <w:rPr>
          <w:rFonts w:ascii="Times" w:hAnsi="Times"/>
          <w:sz w:val="22"/>
          <w:szCs w:val="22"/>
        </w:rPr>
        <w:t>overnmental</w:t>
      </w:r>
      <w:r w:rsidR="00C66BCA" w:rsidRPr="004A58C2">
        <w:rPr>
          <w:rFonts w:ascii="Times" w:hAnsi="Times"/>
          <w:sz w:val="22"/>
          <w:szCs w:val="22"/>
        </w:rPr>
        <w:t xml:space="preserve"> entities </w:t>
      </w:r>
      <w:r w:rsidRPr="004A58C2">
        <w:rPr>
          <w:rFonts w:ascii="Times" w:hAnsi="Times"/>
          <w:sz w:val="22"/>
          <w:szCs w:val="22"/>
        </w:rPr>
        <w:t xml:space="preserve">proposing to operate public safety or emergency services may </w:t>
      </w:r>
      <w:r w:rsidR="0039163E">
        <w:rPr>
          <w:rFonts w:ascii="Times" w:hAnsi="Times"/>
          <w:sz w:val="22"/>
          <w:szCs w:val="22"/>
        </w:rPr>
        <w:t xml:space="preserve">file more than one application.  </w:t>
      </w:r>
      <w:r w:rsidRPr="004A58C2">
        <w:rPr>
          <w:rFonts w:ascii="Times" w:hAnsi="Times"/>
          <w:sz w:val="22"/>
          <w:szCs w:val="22"/>
        </w:rPr>
        <w:t xml:space="preserve">However, applicants </w:t>
      </w:r>
      <w:r w:rsidR="00C66BCA" w:rsidRPr="004A58C2">
        <w:rPr>
          <w:rFonts w:ascii="Times" w:hAnsi="Times"/>
          <w:sz w:val="22"/>
          <w:szCs w:val="22"/>
        </w:rPr>
        <w:t xml:space="preserve">proposing public safety or emergency services </w:t>
      </w:r>
      <w:r w:rsidRPr="004A58C2">
        <w:rPr>
          <w:rFonts w:ascii="Times" w:hAnsi="Times"/>
          <w:sz w:val="22"/>
          <w:szCs w:val="22"/>
        </w:rPr>
        <w:t xml:space="preserve">must designate a “priority” application if multiple applications are submitted.  Non-priority applications will be dismissed if competing applications are filed in the window.  </w:t>
      </w:r>
      <w:r w:rsidR="00650C9D" w:rsidRPr="004A58C2">
        <w:rPr>
          <w:rFonts w:ascii="Times" w:hAnsi="Times"/>
          <w:sz w:val="22"/>
          <w:szCs w:val="22"/>
        </w:rPr>
        <w:t>For applicant</w:t>
      </w:r>
      <w:r w:rsidR="0096779D" w:rsidRPr="004A58C2">
        <w:rPr>
          <w:rFonts w:ascii="Times" w:hAnsi="Times"/>
          <w:sz w:val="22"/>
          <w:szCs w:val="22"/>
        </w:rPr>
        <w:t>s</w:t>
      </w:r>
      <w:r w:rsidR="00650C9D" w:rsidRPr="004A58C2">
        <w:rPr>
          <w:rFonts w:ascii="Times" w:hAnsi="Times"/>
          <w:sz w:val="22"/>
          <w:szCs w:val="22"/>
        </w:rPr>
        <w:t xml:space="preserve"> subject to the one application filing limit</w:t>
      </w:r>
      <w:r w:rsidRPr="004A58C2">
        <w:rPr>
          <w:rFonts w:ascii="Times" w:hAnsi="Times"/>
          <w:sz w:val="22"/>
          <w:szCs w:val="22"/>
        </w:rPr>
        <w:t>, a second application filed by such an applicant in this window would be treated as a “conflicting” application subject to dismissal under Section 73.3518.</w:t>
      </w:r>
      <w:r w:rsidR="00C66BCA" w:rsidRPr="004A58C2">
        <w:rPr>
          <w:rStyle w:val="FootnoteReference"/>
          <w:rFonts w:ascii="Times" w:hAnsi="Times"/>
          <w:sz w:val="22"/>
          <w:szCs w:val="22"/>
        </w:rPr>
        <w:footnoteReference w:id="14"/>
      </w:r>
      <w:r w:rsidRPr="004A58C2">
        <w:rPr>
          <w:rFonts w:ascii="Times" w:hAnsi="Times"/>
          <w:sz w:val="22"/>
          <w:szCs w:val="22"/>
        </w:rPr>
        <w:t xml:space="preserve">  This restriction applies even where more than one frequency is available at its proposed transmitter site.</w:t>
      </w:r>
    </w:p>
    <w:p w:rsidR="00790B51" w:rsidRPr="004A58C2" w:rsidRDefault="00790B51" w:rsidP="00643433">
      <w:pPr>
        <w:pStyle w:val="Normal12"/>
        <w:tabs>
          <w:tab w:val="left" w:pos="0"/>
          <w:tab w:val="left" w:pos="720"/>
          <w:tab w:val="left" w:pos="1440"/>
        </w:tabs>
        <w:ind w:firstLine="0"/>
        <w:rPr>
          <w:rFonts w:ascii="Times" w:hAnsi="Times"/>
          <w:sz w:val="22"/>
          <w:szCs w:val="22"/>
        </w:rPr>
      </w:pPr>
    </w:p>
    <w:p w:rsidR="00790B51" w:rsidRPr="00F821C1" w:rsidRDefault="00790B51" w:rsidP="00643433">
      <w:pPr>
        <w:pStyle w:val="Normal12"/>
        <w:tabs>
          <w:tab w:val="left" w:pos="0"/>
          <w:tab w:val="left" w:pos="720"/>
          <w:tab w:val="left" w:pos="1440"/>
        </w:tabs>
        <w:ind w:firstLine="0"/>
        <w:rPr>
          <w:rFonts w:ascii="Times" w:hAnsi="Times"/>
          <w:sz w:val="22"/>
          <w:szCs w:val="22"/>
        </w:rPr>
      </w:pPr>
      <w:r w:rsidRPr="004A58C2">
        <w:rPr>
          <w:rFonts w:ascii="Times" w:hAnsi="Times"/>
          <w:sz w:val="22"/>
          <w:szCs w:val="22"/>
        </w:rPr>
        <w:tab/>
      </w:r>
      <w:r w:rsidRPr="004A58C2">
        <w:rPr>
          <w:rFonts w:ascii="Times" w:hAnsi="Times"/>
          <w:b/>
          <w:sz w:val="22"/>
          <w:szCs w:val="22"/>
        </w:rPr>
        <w:t xml:space="preserve">Conflicting Applications.  </w:t>
      </w:r>
      <w:r w:rsidR="00DC2FA5" w:rsidRPr="004A58C2">
        <w:rPr>
          <w:rFonts w:ascii="Times" w:hAnsi="Times"/>
          <w:b/>
          <w:sz w:val="22"/>
          <w:szCs w:val="22"/>
        </w:rPr>
        <w:t>After the close of the LPFM filin</w:t>
      </w:r>
      <w:r w:rsidR="00EA5E84" w:rsidRPr="004A58C2">
        <w:rPr>
          <w:rFonts w:ascii="Times" w:hAnsi="Times"/>
          <w:b/>
          <w:sz w:val="22"/>
          <w:szCs w:val="22"/>
        </w:rPr>
        <w:t>g</w:t>
      </w:r>
      <w:r w:rsidR="00DC2FA5" w:rsidRPr="004A58C2">
        <w:rPr>
          <w:rFonts w:ascii="Times" w:hAnsi="Times"/>
          <w:b/>
          <w:sz w:val="22"/>
          <w:szCs w:val="22"/>
        </w:rPr>
        <w:t xml:space="preserve"> window</w:t>
      </w:r>
      <w:r w:rsidR="00DC2FA5" w:rsidRPr="0046667A">
        <w:rPr>
          <w:rFonts w:ascii="Times" w:hAnsi="Times"/>
          <w:b/>
          <w:sz w:val="22"/>
          <w:szCs w:val="22"/>
        </w:rPr>
        <w:t xml:space="preserve">, </w:t>
      </w:r>
      <w:r w:rsidR="0046667A" w:rsidRPr="0046667A">
        <w:rPr>
          <w:rFonts w:ascii="Times" w:hAnsi="Times"/>
          <w:b/>
          <w:sz w:val="22"/>
          <w:szCs w:val="22"/>
        </w:rPr>
        <w:t xml:space="preserve">in cases of conflicting, </w:t>
      </w:r>
      <w:r w:rsidR="0046667A" w:rsidRPr="0046667A">
        <w:rPr>
          <w:rFonts w:ascii="Times" w:hAnsi="Times"/>
          <w:b/>
          <w:i/>
          <w:sz w:val="22"/>
          <w:szCs w:val="22"/>
        </w:rPr>
        <w:t>i.e.</w:t>
      </w:r>
      <w:r w:rsidR="0046667A" w:rsidRPr="0046667A">
        <w:rPr>
          <w:rFonts w:ascii="Times" w:hAnsi="Times"/>
          <w:b/>
          <w:sz w:val="22"/>
          <w:szCs w:val="22"/>
        </w:rPr>
        <w:t xml:space="preserve">, “mutually exclusive,” </w:t>
      </w:r>
      <w:r w:rsidR="00EB3419">
        <w:rPr>
          <w:rFonts w:ascii="Times" w:hAnsi="Times"/>
          <w:b/>
          <w:sz w:val="22"/>
          <w:szCs w:val="22"/>
        </w:rPr>
        <w:t xml:space="preserve">applications, </w:t>
      </w:r>
      <w:r w:rsidR="00EA5E84" w:rsidRPr="0046667A">
        <w:rPr>
          <w:rFonts w:ascii="Times" w:hAnsi="Times"/>
          <w:b/>
          <w:sz w:val="22"/>
          <w:szCs w:val="22"/>
        </w:rPr>
        <w:t>mutual exclusivity determinations will be made with regard</w:t>
      </w:r>
      <w:r w:rsidR="00EA5E84" w:rsidRPr="004A58C2">
        <w:rPr>
          <w:rFonts w:ascii="Times" w:hAnsi="Times"/>
          <w:b/>
          <w:sz w:val="22"/>
          <w:szCs w:val="22"/>
        </w:rPr>
        <w:t xml:space="preserve"> to all timely and complete filings.</w:t>
      </w:r>
      <w:r w:rsidR="00EA5E84" w:rsidRPr="004A58C2">
        <w:rPr>
          <w:rStyle w:val="FootnoteReference"/>
          <w:rFonts w:ascii="Times" w:hAnsi="Times"/>
          <w:b/>
          <w:sz w:val="22"/>
          <w:szCs w:val="22"/>
        </w:rPr>
        <w:footnoteReference w:id="15"/>
      </w:r>
      <w:r w:rsidR="00EA5E84" w:rsidRPr="004A58C2">
        <w:rPr>
          <w:rFonts w:ascii="Times" w:hAnsi="Times"/>
          <w:b/>
          <w:sz w:val="22"/>
          <w:szCs w:val="22"/>
        </w:rPr>
        <w:t xml:space="preserve">  </w:t>
      </w:r>
      <w:r w:rsidR="00EB3419">
        <w:rPr>
          <w:rFonts w:ascii="Times" w:hAnsi="Times"/>
          <w:sz w:val="22"/>
          <w:szCs w:val="22"/>
        </w:rPr>
        <w:t>Thus</w:t>
      </w:r>
      <w:r w:rsidRPr="004A58C2">
        <w:rPr>
          <w:rFonts w:ascii="Times" w:hAnsi="Times"/>
          <w:sz w:val="22"/>
          <w:szCs w:val="22"/>
        </w:rPr>
        <w:t xml:space="preserve">, </w:t>
      </w:r>
      <w:r w:rsidR="004633D0" w:rsidRPr="004A58C2">
        <w:rPr>
          <w:rFonts w:ascii="Times" w:hAnsi="Times"/>
          <w:sz w:val="22"/>
          <w:szCs w:val="22"/>
        </w:rPr>
        <w:t xml:space="preserve">unless the applicants propose a settlement, </w:t>
      </w:r>
      <w:r w:rsidRPr="004A58C2">
        <w:rPr>
          <w:rFonts w:ascii="Times" w:hAnsi="Times"/>
          <w:sz w:val="22"/>
          <w:szCs w:val="22"/>
        </w:rPr>
        <w:t>the Commission will use a point system to select among the mutually exclusive applications.</w:t>
      </w:r>
      <w:r w:rsidR="00EA5E84" w:rsidRPr="004A58C2">
        <w:rPr>
          <w:rStyle w:val="FootnoteReference"/>
          <w:rFonts w:ascii="Times" w:hAnsi="Times"/>
          <w:sz w:val="22"/>
          <w:szCs w:val="22"/>
        </w:rPr>
        <w:footnoteReference w:id="16"/>
      </w:r>
      <w:r w:rsidRPr="004A58C2">
        <w:rPr>
          <w:rFonts w:ascii="Times" w:hAnsi="Times"/>
          <w:sz w:val="22"/>
          <w:szCs w:val="22"/>
        </w:rPr>
        <w:t xml:space="preserve">  </w:t>
      </w:r>
      <w:r w:rsidR="00E872C0" w:rsidRPr="004A58C2">
        <w:rPr>
          <w:rFonts w:ascii="Times" w:hAnsi="Times"/>
          <w:sz w:val="22"/>
          <w:szCs w:val="22"/>
        </w:rPr>
        <w:t>A</w:t>
      </w:r>
      <w:r w:rsidR="00EE54F2" w:rsidRPr="004A58C2">
        <w:rPr>
          <w:rFonts w:ascii="Times" w:hAnsi="Times"/>
          <w:sz w:val="22"/>
          <w:szCs w:val="22"/>
        </w:rPr>
        <w:t>pplicant</w:t>
      </w:r>
      <w:r w:rsidR="00E872C0" w:rsidRPr="004A58C2">
        <w:rPr>
          <w:rFonts w:ascii="Times" w:hAnsi="Times"/>
          <w:sz w:val="22"/>
          <w:szCs w:val="22"/>
        </w:rPr>
        <w:t>s</w:t>
      </w:r>
      <w:r w:rsidR="00EE54F2" w:rsidRPr="004A58C2">
        <w:rPr>
          <w:rFonts w:ascii="Times" w:hAnsi="Times"/>
          <w:sz w:val="22"/>
          <w:szCs w:val="22"/>
        </w:rPr>
        <w:t xml:space="preserve"> </w:t>
      </w:r>
      <w:r w:rsidR="00650C9D" w:rsidRPr="004A58C2">
        <w:rPr>
          <w:rFonts w:ascii="Times" w:hAnsi="Times"/>
          <w:sz w:val="22"/>
          <w:szCs w:val="22"/>
        </w:rPr>
        <w:t>may</w:t>
      </w:r>
      <w:r w:rsidRPr="004A58C2">
        <w:rPr>
          <w:rFonts w:ascii="Times" w:hAnsi="Times"/>
          <w:sz w:val="22"/>
          <w:szCs w:val="22"/>
        </w:rPr>
        <w:t xml:space="preserve"> claim a point for the following criteria if the applicant: (1) has an established community presence of at least two years; (2) pledges to originate locally at least eight hours of programming per day; (3) pledges to maintain a </w:t>
      </w:r>
      <w:r w:rsidR="00EA5E84" w:rsidRPr="004A58C2">
        <w:rPr>
          <w:rFonts w:ascii="Times" w:hAnsi="Times"/>
          <w:sz w:val="22"/>
          <w:szCs w:val="22"/>
        </w:rPr>
        <w:t xml:space="preserve">publicly accessible </w:t>
      </w:r>
      <w:r w:rsidRPr="004A58C2">
        <w:rPr>
          <w:rFonts w:ascii="Times" w:hAnsi="Times"/>
          <w:sz w:val="22"/>
          <w:szCs w:val="22"/>
        </w:rPr>
        <w:t xml:space="preserve">main studio that has local program origination capability; (4) can certify that it qualifies for a point under both the local program origination and the main studio criteria; (5) can certify that </w:t>
      </w:r>
      <w:r w:rsidR="00845107">
        <w:rPr>
          <w:rFonts w:ascii="Times" w:hAnsi="Times"/>
          <w:sz w:val="22"/>
          <w:szCs w:val="22"/>
        </w:rPr>
        <w:t xml:space="preserve">neither </w:t>
      </w:r>
      <w:r w:rsidRPr="004A58C2">
        <w:rPr>
          <w:rFonts w:ascii="Times" w:hAnsi="Times"/>
          <w:sz w:val="22"/>
          <w:szCs w:val="22"/>
        </w:rPr>
        <w:t>it</w:t>
      </w:r>
      <w:r w:rsidR="001C6EDE" w:rsidRPr="004A58C2">
        <w:rPr>
          <w:rFonts w:ascii="Times" w:hAnsi="Times"/>
          <w:sz w:val="22"/>
          <w:szCs w:val="22"/>
        </w:rPr>
        <w:t xml:space="preserve"> </w:t>
      </w:r>
      <w:r w:rsidR="00845107">
        <w:rPr>
          <w:rFonts w:ascii="Times" w:hAnsi="Times"/>
          <w:sz w:val="22"/>
          <w:szCs w:val="22"/>
        </w:rPr>
        <w:t xml:space="preserve">nor any party to the application has </w:t>
      </w:r>
      <w:r w:rsidR="001C6EDE" w:rsidRPr="004A58C2">
        <w:rPr>
          <w:rFonts w:ascii="Times" w:hAnsi="Times"/>
          <w:sz w:val="22"/>
          <w:szCs w:val="22"/>
        </w:rPr>
        <w:t xml:space="preserve">an attributable interest in another broadcast station; and (6) is a Tribal </w:t>
      </w:r>
      <w:r w:rsidR="00EA5E84" w:rsidRPr="004A58C2">
        <w:rPr>
          <w:rFonts w:ascii="Times" w:hAnsi="Times"/>
          <w:sz w:val="22"/>
          <w:szCs w:val="22"/>
        </w:rPr>
        <w:t>A</w:t>
      </w:r>
      <w:r w:rsidR="001C6EDE" w:rsidRPr="004A58C2">
        <w:rPr>
          <w:rFonts w:ascii="Times" w:hAnsi="Times"/>
          <w:sz w:val="22"/>
          <w:szCs w:val="22"/>
        </w:rPr>
        <w:t xml:space="preserve">pplicant proposing to locate its transmitting antenna site on </w:t>
      </w:r>
      <w:r w:rsidR="00EA5E84" w:rsidRPr="004A58C2">
        <w:rPr>
          <w:rFonts w:ascii="Times" w:hAnsi="Times"/>
          <w:sz w:val="22"/>
          <w:szCs w:val="22"/>
        </w:rPr>
        <w:t xml:space="preserve"> that Tribal </w:t>
      </w:r>
      <w:r w:rsidR="006C0165" w:rsidRPr="004A58C2">
        <w:rPr>
          <w:rFonts w:ascii="Times" w:hAnsi="Times"/>
          <w:sz w:val="22"/>
          <w:szCs w:val="22"/>
        </w:rPr>
        <w:t>Applicant’s</w:t>
      </w:r>
      <w:r w:rsidR="001C6EDE" w:rsidRPr="004A58C2">
        <w:rPr>
          <w:rFonts w:ascii="Times" w:hAnsi="Times"/>
          <w:sz w:val="22"/>
          <w:szCs w:val="22"/>
        </w:rPr>
        <w:t xml:space="preserve"> </w:t>
      </w:r>
      <w:r w:rsidR="00D138EF" w:rsidRPr="004A58C2">
        <w:rPr>
          <w:rFonts w:ascii="Times" w:hAnsi="Times"/>
          <w:sz w:val="22"/>
          <w:szCs w:val="22"/>
        </w:rPr>
        <w:t>T</w:t>
      </w:r>
      <w:r w:rsidR="001C6EDE" w:rsidRPr="004A58C2">
        <w:rPr>
          <w:rFonts w:ascii="Times" w:hAnsi="Times"/>
          <w:sz w:val="22"/>
          <w:szCs w:val="22"/>
        </w:rPr>
        <w:t xml:space="preserve">ribal </w:t>
      </w:r>
      <w:r w:rsidR="006C0165" w:rsidRPr="004A58C2">
        <w:rPr>
          <w:rFonts w:ascii="Times" w:hAnsi="Times"/>
          <w:sz w:val="22"/>
          <w:szCs w:val="22"/>
        </w:rPr>
        <w:t>L</w:t>
      </w:r>
      <w:r w:rsidR="001C6EDE" w:rsidRPr="004A58C2">
        <w:rPr>
          <w:rFonts w:ascii="Times" w:hAnsi="Times"/>
          <w:sz w:val="22"/>
          <w:szCs w:val="22"/>
        </w:rPr>
        <w:t>and</w:t>
      </w:r>
      <w:r w:rsidR="006C0165" w:rsidRPr="004A58C2">
        <w:rPr>
          <w:rFonts w:ascii="Times" w:hAnsi="Times"/>
          <w:sz w:val="22"/>
          <w:szCs w:val="22"/>
        </w:rPr>
        <w:t>s</w:t>
      </w:r>
      <w:r w:rsidR="001C6EDE" w:rsidRPr="004A58C2">
        <w:rPr>
          <w:rFonts w:ascii="Times" w:hAnsi="Times"/>
          <w:sz w:val="22"/>
          <w:szCs w:val="22"/>
        </w:rPr>
        <w:t>.</w:t>
      </w:r>
      <w:r w:rsidR="00F821C1">
        <w:rPr>
          <w:rStyle w:val="FootnoteReference"/>
          <w:rFonts w:ascii="Times" w:hAnsi="Times"/>
          <w:sz w:val="22"/>
          <w:szCs w:val="22"/>
        </w:rPr>
        <w:footnoteReference w:id="17"/>
      </w:r>
    </w:p>
    <w:p w:rsidR="006C0165" w:rsidRPr="004A58C2" w:rsidRDefault="006C0165" w:rsidP="00643433">
      <w:pPr>
        <w:pStyle w:val="Normal12"/>
        <w:tabs>
          <w:tab w:val="left" w:pos="0"/>
          <w:tab w:val="left" w:pos="720"/>
          <w:tab w:val="left" w:pos="1440"/>
        </w:tabs>
        <w:ind w:firstLine="0"/>
        <w:rPr>
          <w:rFonts w:ascii="Times" w:hAnsi="Times"/>
          <w:sz w:val="22"/>
          <w:szCs w:val="22"/>
        </w:rPr>
      </w:pPr>
    </w:p>
    <w:p w:rsidR="006C0165" w:rsidRDefault="006C0165" w:rsidP="00643433">
      <w:pPr>
        <w:pStyle w:val="Normal12"/>
        <w:tabs>
          <w:tab w:val="left" w:pos="0"/>
          <w:tab w:val="left" w:pos="720"/>
          <w:tab w:val="left" w:pos="1440"/>
        </w:tabs>
        <w:ind w:firstLine="0"/>
        <w:rPr>
          <w:rFonts w:ascii="Times" w:hAnsi="Times"/>
          <w:sz w:val="22"/>
          <w:szCs w:val="22"/>
        </w:rPr>
      </w:pPr>
      <w:r w:rsidRPr="004A58C2">
        <w:rPr>
          <w:rFonts w:ascii="Times" w:hAnsi="Times"/>
          <w:sz w:val="22"/>
          <w:szCs w:val="22"/>
        </w:rPr>
        <w:tab/>
      </w:r>
      <w:r w:rsidR="00F821C1">
        <w:rPr>
          <w:rFonts w:ascii="Times" w:hAnsi="Times"/>
          <w:sz w:val="22"/>
          <w:szCs w:val="22"/>
        </w:rPr>
        <w:t xml:space="preserve">The comparative qualifications of applicants, </w:t>
      </w:r>
      <w:r w:rsidR="00F821C1" w:rsidRPr="0027566E">
        <w:rPr>
          <w:rFonts w:ascii="Times" w:hAnsi="Times"/>
          <w:i/>
          <w:sz w:val="22"/>
          <w:szCs w:val="22"/>
        </w:rPr>
        <w:t>i.e</w:t>
      </w:r>
      <w:r w:rsidR="00F821C1">
        <w:rPr>
          <w:rFonts w:ascii="Times" w:hAnsi="Times"/>
          <w:sz w:val="22"/>
          <w:szCs w:val="22"/>
        </w:rPr>
        <w:t xml:space="preserve">., maximum possible points awarded pursuant to Section 73.872, </w:t>
      </w:r>
      <w:r w:rsidRPr="004A58C2">
        <w:rPr>
          <w:rFonts w:ascii="Times" w:hAnsi="Times"/>
          <w:sz w:val="22"/>
          <w:szCs w:val="22"/>
        </w:rPr>
        <w:t xml:space="preserve">are established </w:t>
      </w:r>
      <w:r w:rsidR="00F821C1">
        <w:rPr>
          <w:rFonts w:ascii="Times" w:hAnsi="Times"/>
          <w:sz w:val="22"/>
          <w:szCs w:val="22"/>
        </w:rPr>
        <w:t xml:space="preserve">as of the close of the filing window.  </w:t>
      </w:r>
      <w:r w:rsidRPr="004A58C2">
        <w:rPr>
          <w:rFonts w:ascii="Times" w:hAnsi="Times"/>
          <w:sz w:val="22"/>
          <w:szCs w:val="22"/>
        </w:rPr>
        <w:t>While new and major change applications may be amended without limitation during the filing window,</w:t>
      </w:r>
      <w:r w:rsidRPr="004A58C2">
        <w:rPr>
          <w:rStyle w:val="FootnoteReference"/>
          <w:rFonts w:ascii="Times" w:hAnsi="Times"/>
          <w:sz w:val="22"/>
          <w:szCs w:val="22"/>
        </w:rPr>
        <w:footnoteReference w:id="18"/>
      </w:r>
      <w:r w:rsidRPr="004A58C2">
        <w:rPr>
          <w:rFonts w:ascii="Times" w:hAnsi="Times"/>
          <w:sz w:val="22"/>
          <w:szCs w:val="22"/>
        </w:rPr>
        <w:t xml:space="preserve"> amendment</w:t>
      </w:r>
      <w:r w:rsidR="00C205D1" w:rsidRPr="004A58C2">
        <w:rPr>
          <w:rFonts w:ascii="Times" w:hAnsi="Times"/>
          <w:sz w:val="22"/>
          <w:szCs w:val="22"/>
        </w:rPr>
        <w:t>s</w:t>
      </w:r>
      <w:r w:rsidRPr="004A58C2">
        <w:rPr>
          <w:rFonts w:ascii="Times" w:hAnsi="Times"/>
          <w:sz w:val="22"/>
          <w:szCs w:val="22"/>
        </w:rPr>
        <w:t xml:space="preserve"> that would improve the comparative position of </w:t>
      </w:r>
      <w:r w:rsidR="00C205D1" w:rsidRPr="004A58C2">
        <w:rPr>
          <w:rFonts w:ascii="Times" w:hAnsi="Times"/>
          <w:sz w:val="22"/>
          <w:szCs w:val="22"/>
        </w:rPr>
        <w:t xml:space="preserve">these </w:t>
      </w:r>
      <w:r w:rsidRPr="004A58C2">
        <w:rPr>
          <w:rFonts w:ascii="Times" w:hAnsi="Times"/>
          <w:sz w:val="22"/>
          <w:szCs w:val="22"/>
        </w:rPr>
        <w:t>new and major change applications will not be accepted after the close of the filing window.</w:t>
      </w:r>
      <w:r w:rsidR="00C205D1" w:rsidRPr="004A58C2">
        <w:rPr>
          <w:rStyle w:val="FootnoteReference"/>
          <w:rFonts w:ascii="Times" w:hAnsi="Times"/>
          <w:sz w:val="22"/>
          <w:szCs w:val="22"/>
        </w:rPr>
        <w:footnoteReference w:id="19"/>
      </w:r>
      <w:r w:rsidRPr="004A58C2">
        <w:rPr>
          <w:rFonts w:ascii="Times" w:hAnsi="Times"/>
          <w:sz w:val="22"/>
          <w:szCs w:val="22"/>
        </w:rPr>
        <w:t xml:space="preserve"> </w:t>
      </w:r>
    </w:p>
    <w:p w:rsidR="00CA291E" w:rsidRPr="00093FDC" w:rsidRDefault="00CA291E" w:rsidP="00643433">
      <w:pPr>
        <w:pStyle w:val="Normal12"/>
        <w:tabs>
          <w:tab w:val="left" w:pos="0"/>
          <w:tab w:val="left" w:pos="720"/>
          <w:tab w:val="left" w:pos="1440"/>
        </w:tabs>
        <w:ind w:firstLine="0"/>
        <w:rPr>
          <w:sz w:val="22"/>
          <w:szCs w:val="22"/>
        </w:rPr>
      </w:pPr>
    </w:p>
    <w:p w:rsidR="00CA291E" w:rsidRPr="00093FDC" w:rsidRDefault="00CA291E" w:rsidP="00643433">
      <w:pPr>
        <w:pStyle w:val="Normal12"/>
        <w:tabs>
          <w:tab w:val="left" w:pos="0"/>
          <w:tab w:val="left" w:pos="720"/>
          <w:tab w:val="left" w:pos="1440"/>
        </w:tabs>
        <w:ind w:firstLine="0"/>
        <w:rPr>
          <w:sz w:val="22"/>
          <w:szCs w:val="22"/>
        </w:rPr>
      </w:pPr>
      <w:r w:rsidRPr="00093FDC">
        <w:rPr>
          <w:sz w:val="22"/>
          <w:szCs w:val="22"/>
        </w:rPr>
        <w:tab/>
        <w:t xml:space="preserve">Additional information on the LPFM service and </w:t>
      </w:r>
      <w:r w:rsidR="00093FDC">
        <w:rPr>
          <w:sz w:val="22"/>
          <w:szCs w:val="22"/>
        </w:rPr>
        <w:t xml:space="preserve">LPFM station </w:t>
      </w:r>
      <w:r w:rsidRPr="00093FDC">
        <w:rPr>
          <w:sz w:val="22"/>
          <w:szCs w:val="22"/>
        </w:rPr>
        <w:t xml:space="preserve">licensing procedures may be found at: </w:t>
      </w:r>
      <w:r w:rsidR="00093FDC" w:rsidRPr="00093FDC">
        <w:rPr>
          <w:color w:val="1F497D"/>
          <w:sz w:val="22"/>
          <w:szCs w:val="22"/>
        </w:rPr>
        <w:t xml:space="preserve"> </w:t>
      </w:r>
      <w:hyperlink r:id="rId10" w:history="1">
        <w:r w:rsidR="00093FDC" w:rsidRPr="00093FDC">
          <w:rPr>
            <w:rStyle w:val="Hyperlink"/>
            <w:sz w:val="22"/>
            <w:szCs w:val="22"/>
          </w:rPr>
          <w:t>http://www.fcc.gov/encyclopedia/low-power-fm-broadcast-radio-stations-lpfm</w:t>
        </w:r>
      </w:hyperlink>
      <w:r w:rsidR="00093FDC">
        <w:rPr>
          <w:sz w:val="22"/>
          <w:szCs w:val="22"/>
        </w:rPr>
        <w:t>.</w:t>
      </w:r>
    </w:p>
    <w:p w:rsidR="007B7100" w:rsidRPr="004A58C2" w:rsidRDefault="00643433" w:rsidP="004633D0">
      <w:pPr>
        <w:rPr>
          <w:rFonts w:ascii="Times" w:hAnsi="Times"/>
          <w:b/>
          <w:szCs w:val="22"/>
        </w:rPr>
      </w:pPr>
      <w:r w:rsidRPr="004A58C2">
        <w:rPr>
          <w:rFonts w:ascii="Times" w:hAnsi="Times"/>
          <w:b/>
          <w:szCs w:val="22"/>
        </w:rPr>
        <w:tab/>
      </w:r>
    </w:p>
    <w:p w:rsidR="004633D0" w:rsidRPr="004A58C2" w:rsidRDefault="004633D0" w:rsidP="004633D0">
      <w:pPr>
        <w:rPr>
          <w:rFonts w:ascii="Times" w:hAnsi="Times"/>
          <w:szCs w:val="22"/>
        </w:rPr>
      </w:pPr>
      <w:r w:rsidRPr="004A58C2">
        <w:rPr>
          <w:rFonts w:ascii="Times" w:hAnsi="Times"/>
          <w:szCs w:val="22"/>
        </w:rPr>
        <w:t>For additional information, contact:</w:t>
      </w:r>
    </w:p>
    <w:p w:rsidR="007B7100" w:rsidRPr="004A58C2" w:rsidRDefault="007B7100" w:rsidP="004633D0">
      <w:pPr>
        <w:rPr>
          <w:rFonts w:ascii="Times" w:hAnsi="Times"/>
          <w:szCs w:val="22"/>
        </w:rPr>
      </w:pPr>
    </w:p>
    <w:p w:rsidR="004633D0" w:rsidRPr="004A58C2" w:rsidRDefault="004633D0" w:rsidP="004633D0">
      <w:pPr>
        <w:numPr>
          <w:ilvl w:val="0"/>
          <w:numId w:val="6"/>
        </w:numPr>
        <w:rPr>
          <w:rFonts w:ascii="Times" w:hAnsi="Times"/>
          <w:szCs w:val="22"/>
        </w:rPr>
      </w:pPr>
      <w:r w:rsidRPr="004A58C2">
        <w:rPr>
          <w:rFonts w:ascii="Times" w:hAnsi="Times"/>
          <w:szCs w:val="22"/>
        </w:rPr>
        <w:t>Assistance with FRN numbers and passwords:  FRN Help Desk 1-(877) 480-3201, Option 4</w:t>
      </w:r>
    </w:p>
    <w:p w:rsidR="004633D0" w:rsidRPr="004A58C2" w:rsidRDefault="004633D0" w:rsidP="004633D0">
      <w:pPr>
        <w:numPr>
          <w:ilvl w:val="0"/>
          <w:numId w:val="6"/>
        </w:numPr>
        <w:rPr>
          <w:rFonts w:ascii="Times" w:hAnsi="Times"/>
          <w:szCs w:val="22"/>
        </w:rPr>
      </w:pPr>
      <w:r w:rsidRPr="004A58C2">
        <w:rPr>
          <w:rFonts w:ascii="Times" w:hAnsi="Times"/>
          <w:szCs w:val="22"/>
        </w:rPr>
        <w:t>Electronic filing assistance:  Konrad Herling or David Trout</w:t>
      </w:r>
      <w:r w:rsidR="0073648E" w:rsidRPr="004A58C2">
        <w:rPr>
          <w:rFonts w:ascii="Times" w:hAnsi="Times"/>
          <w:szCs w:val="22"/>
        </w:rPr>
        <w:t>,</w:t>
      </w:r>
      <w:r w:rsidRPr="004A58C2">
        <w:rPr>
          <w:rFonts w:ascii="Times" w:hAnsi="Times"/>
          <w:szCs w:val="22"/>
        </w:rPr>
        <w:t xml:space="preserve"> (202) 418-2662</w:t>
      </w:r>
    </w:p>
    <w:p w:rsidR="004633D0" w:rsidRPr="004A58C2" w:rsidRDefault="00983405" w:rsidP="004633D0">
      <w:pPr>
        <w:numPr>
          <w:ilvl w:val="0"/>
          <w:numId w:val="6"/>
        </w:numPr>
        <w:rPr>
          <w:rFonts w:ascii="Times" w:hAnsi="Times"/>
          <w:szCs w:val="22"/>
        </w:rPr>
      </w:pPr>
      <w:r w:rsidRPr="004A58C2">
        <w:rPr>
          <w:rFonts w:ascii="Times" w:hAnsi="Times"/>
          <w:szCs w:val="22"/>
        </w:rPr>
        <w:t xml:space="preserve">Legal inquiries:  Tom Hutton or </w:t>
      </w:r>
      <w:r w:rsidR="004633D0" w:rsidRPr="004A58C2">
        <w:rPr>
          <w:rFonts w:ascii="Times" w:hAnsi="Times"/>
          <w:szCs w:val="22"/>
        </w:rPr>
        <w:t xml:space="preserve">Parul </w:t>
      </w:r>
      <w:r w:rsidR="00CB35C6">
        <w:rPr>
          <w:rFonts w:ascii="Times" w:hAnsi="Times"/>
          <w:szCs w:val="22"/>
        </w:rPr>
        <w:t xml:space="preserve">P. </w:t>
      </w:r>
      <w:r w:rsidR="004633D0" w:rsidRPr="004A58C2">
        <w:rPr>
          <w:rFonts w:ascii="Times" w:hAnsi="Times"/>
          <w:szCs w:val="22"/>
        </w:rPr>
        <w:t>Desai, (202) 418-2700</w:t>
      </w:r>
    </w:p>
    <w:p w:rsidR="007F2228" w:rsidRDefault="004633D0" w:rsidP="007F2228">
      <w:pPr>
        <w:numPr>
          <w:ilvl w:val="0"/>
          <w:numId w:val="6"/>
        </w:numPr>
        <w:rPr>
          <w:rFonts w:ascii="Times" w:hAnsi="Times"/>
          <w:szCs w:val="22"/>
        </w:rPr>
      </w:pPr>
      <w:r w:rsidRPr="004A58C2">
        <w:rPr>
          <w:rFonts w:ascii="Times" w:hAnsi="Times"/>
          <w:szCs w:val="22"/>
        </w:rPr>
        <w:t xml:space="preserve">Engineering inquiries:  James Bradshaw or </w:t>
      </w:r>
      <w:r w:rsidR="00983405" w:rsidRPr="004A58C2">
        <w:rPr>
          <w:rFonts w:ascii="Times" w:hAnsi="Times"/>
          <w:szCs w:val="22"/>
        </w:rPr>
        <w:t>Gary Loehrs</w:t>
      </w:r>
      <w:r w:rsidRPr="004A58C2">
        <w:rPr>
          <w:rFonts w:ascii="Times" w:hAnsi="Times"/>
          <w:szCs w:val="22"/>
        </w:rPr>
        <w:t>, (202) 418-2700</w:t>
      </w:r>
    </w:p>
    <w:p w:rsidR="00F821C1" w:rsidRPr="004A58C2" w:rsidRDefault="00F821C1" w:rsidP="007F2228">
      <w:pPr>
        <w:numPr>
          <w:ilvl w:val="0"/>
          <w:numId w:val="6"/>
        </w:numPr>
        <w:rPr>
          <w:rFonts w:ascii="Times" w:hAnsi="Times"/>
          <w:szCs w:val="22"/>
        </w:rPr>
      </w:pPr>
      <w:r>
        <w:rPr>
          <w:rFonts w:ascii="Times" w:hAnsi="Times"/>
          <w:szCs w:val="22"/>
        </w:rPr>
        <w:t>Press inquiries:</w:t>
      </w:r>
      <w:r w:rsidR="0027566E">
        <w:rPr>
          <w:rFonts w:ascii="Times" w:hAnsi="Times"/>
          <w:szCs w:val="22"/>
        </w:rPr>
        <w:t xml:space="preserve">  Janice Wise, (202) 418-8165</w:t>
      </w: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b/>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color w:val="000000"/>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w:hAnsi="Times"/>
          <w:b/>
          <w:szCs w:val="22"/>
        </w:rPr>
      </w:pPr>
      <w:r w:rsidRPr="004A58C2">
        <w:rPr>
          <w:rFonts w:ascii="Times" w:hAnsi="Times"/>
          <w:color w:val="000000"/>
          <w:szCs w:val="22"/>
        </w:rPr>
        <w:t>– FCC</w:t>
      </w:r>
      <w:r w:rsidRPr="004A58C2">
        <w:rPr>
          <w:rFonts w:ascii="Times" w:hAnsi="Times"/>
          <w:b/>
          <w:color w:val="000000"/>
          <w:szCs w:val="22"/>
        </w:rPr>
        <w:t xml:space="preserve"> </w:t>
      </w:r>
      <w:r w:rsidRPr="004A58C2">
        <w:rPr>
          <w:rFonts w:ascii="Times" w:hAnsi="Times"/>
          <w:color w:val="000000"/>
          <w:szCs w:val="22"/>
        </w:rPr>
        <w:t>–</w:t>
      </w:r>
    </w:p>
    <w:sectPr w:rsidR="006B61F6" w:rsidRPr="004A58C2" w:rsidSect="008F2EE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12" w:rsidRDefault="00AB4E12">
      <w:r>
        <w:separator/>
      </w:r>
    </w:p>
  </w:endnote>
  <w:endnote w:type="continuationSeparator" w:id="0">
    <w:p w:rsidR="00AB4E12" w:rsidRDefault="00AB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63" w:rsidRDefault="0064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F6" w:rsidRDefault="008A4159">
    <w:pPr>
      <w:pStyle w:val="Footer"/>
      <w:jc w:val="center"/>
    </w:pPr>
    <w:r>
      <w:rPr>
        <w:rStyle w:val="PageNumber"/>
      </w:rPr>
      <w:fldChar w:fldCharType="begin"/>
    </w:r>
    <w:r w:rsidR="006B61F6">
      <w:rPr>
        <w:rStyle w:val="PageNumber"/>
      </w:rPr>
      <w:instrText xml:space="preserve"> PAGE </w:instrText>
    </w:r>
    <w:r>
      <w:rPr>
        <w:rStyle w:val="PageNumber"/>
      </w:rPr>
      <w:fldChar w:fldCharType="separate"/>
    </w:r>
    <w:r w:rsidR="0045423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63" w:rsidRDefault="0064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12" w:rsidRDefault="00AB4E12">
      <w:r>
        <w:separator/>
      </w:r>
    </w:p>
  </w:footnote>
  <w:footnote w:type="continuationSeparator" w:id="0">
    <w:p w:rsidR="00AB4E12" w:rsidRDefault="00AB4E12">
      <w:r>
        <w:continuationSeparator/>
      </w:r>
    </w:p>
  </w:footnote>
  <w:footnote w:id="1">
    <w:p w:rsidR="00D20563" w:rsidRPr="00522D6B" w:rsidRDefault="00D20563"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w:t>
      </w:r>
      <w:r w:rsidRPr="00522D6B">
        <w:rPr>
          <w:rFonts w:ascii="Times" w:hAnsi="Times"/>
          <w:i/>
          <w:sz w:val="20"/>
        </w:rPr>
        <w:t>See Creation of a Low Power Radio Service</w:t>
      </w:r>
      <w:r w:rsidRPr="00522D6B">
        <w:rPr>
          <w:rFonts w:ascii="Times" w:hAnsi="Times"/>
          <w:sz w:val="20"/>
        </w:rPr>
        <w:t xml:space="preserve">, Fifth Order on Reconsideration and Sixth Report and Order, </w:t>
      </w:r>
      <w:r w:rsidR="00FA0DB9" w:rsidRPr="00522D6B">
        <w:rPr>
          <w:rFonts w:ascii="Times" w:hAnsi="Times"/>
          <w:sz w:val="20"/>
        </w:rPr>
        <w:t>27 FCC Rcd 15402</w:t>
      </w:r>
      <w:r w:rsidR="007C7FEB" w:rsidRPr="00522D6B">
        <w:rPr>
          <w:rFonts w:ascii="Times" w:hAnsi="Times"/>
          <w:sz w:val="20"/>
        </w:rPr>
        <w:t>, 15481</w:t>
      </w:r>
      <w:r w:rsidR="00FA0DB9" w:rsidRPr="00522D6B">
        <w:rPr>
          <w:rFonts w:ascii="Times" w:hAnsi="Times"/>
          <w:sz w:val="20"/>
        </w:rPr>
        <w:t xml:space="preserve"> (2012)</w:t>
      </w:r>
      <w:r w:rsidRPr="00522D6B">
        <w:rPr>
          <w:rFonts w:ascii="Times" w:hAnsi="Times"/>
          <w:sz w:val="20"/>
        </w:rPr>
        <w:t xml:space="preserve"> (“</w:t>
      </w:r>
      <w:r w:rsidR="00E86817" w:rsidRPr="00522D6B">
        <w:rPr>
          <w:rFonts w:ascii="Times" w:hAnsi="Times"/>
          <w:i/>
          <w:sz w:val="20"/>
        </w:rPr>
        <w:t>Sixth Report and Order</w:t>
      </w:r>
      <w:r w:rsidRPr="00522D6B">
        <w:rPr>
          <w:rFonts w:ascii="Times" w:hAnsi="Times"/>
          <w:sz w:val="20"/>
        </w:rPr>
        <w:t>”).</w:t>
      </w:r>
    </w:p>
  </w:footnote>
  <w:footnote w:id="2">
    <w:p w:rsidR="003F6CA9" w:rsidRPr="00522D6B" w:rsidRDefault="003F6CA9"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Pub. L. No. 111-371, 124 Stat. 4072 (2011).</w:t>
      </w:r>
    </w:p>
  </w:footnote>
  <w:footnote w:id="3">
    <w:p w:rsidR="003F6CA9" w:rsidRPr="00522D6B" w:rsidRDefault="003F6CA9"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w:t>
      </w:r>
      <w:r w:rsidR="007A2EA0" w:rsidRPr="00522D6B">
        <w:rPr>
          <w:rFonts w:ascii="Times" w:hAnsi="Times"/>
          <w:i/>
          <w:sz w:val="20"/>
        </w:rPr>
        <w:t>Sixth Report and Order</w:t>
      </w:r>
      <w:r w:rsidRPr="00522D6B">
        <w:rPr>
          <w:rFonts w:ascii="Times" w:hAnsi="Times"/>
          <w:sz w:val="20"/>
        </w:rPr>
        <w:t xml:space="preserve">, 27 FCC Rcd </w:t>
      </w:r>
      <w:r w:rsidR="007A2EA0">
        <w:rPr>
          <w:rFonts w:ascii="Times" w:hAnsi="Times"/>
          <w:sz w:val="20"/>
        </w:rPr>
        <w:t>at 15424-15482</w:t>
      </w:r>
      <w:r w:rsidRPr="00522D6B">
        <w:rPr>
          <w:rFonts w:ascii="Times" w:hAnsi="Times"/>
          <w:sz w:val="20"/>
        </w:rPr>
        <w:t xml:space="preserve">; </w:t>
      </w:r>
      <w:r w:rsidRPr="00522D6B">
        <w:rPr>
          <w:rFonts w:ascii="Times" w:hAnsi="Times"/>
          <w:i/>
          <w:sz w:val="20"/>
        </w:rPr>
        <w:t>Creation of a Low Power Radio Service</w:t>
      </w:r>
      <w:r w:rsidRPr="00522D6B">
        <w:rPr>
          <w:rFonts w:ascii="Times" w:hAnsi="Times"/>
          <w:sz w:val="20"/>
        </w:rPr>
        <w:t>, Fifth Report and Order, Fourth Further Notice of Proposed Rulemaking and Fourth Order on Reconsideration, 27 FCC Rcd 3315 (2012).</w:t>
      </w:r>
    </w:p>
  </w:footnote>
  <w:footnote w:id="4">
    <w:p w:rsidR="00AC3580" w:rsidRPr="0027566E" w:rsidRDefault="00AC3580">
      <w:pPr>
        <w:pStyle w:val="FootnoteText"/>
        <w:rPr>
          <w:sz w:val="20"/>
        </w:rPr>
      </w:pPr>
      <w:r w:rsidRPr="0027566E">
        <w:rPr>
          <w:rStyle w:val="FootnoteReference"/>
          <w:sz w:val="20"/>
        </w:rPr>
        <w:footnoteRef/>
      </w:r>
      <w:r w:rsidRPr="0027566E">
        <w:rPr>
          <w:sz w:val="20"/>
        </w:rPr>
        <w:t xml:space="preserve"> </w:t>
      </w:r>
      <w:r w:rsidRPr="0027566E">
        <w:rPr>
          <w:i/>
          <w:sz w:val="20"/>
        </w:rPr>
        <w:t xml:space="preserve">See </w:t>
      </w:r>
      <w:r w:rsidRPr="0027566E">
        <w:rPr>
          <w:sz w:val="20"/>
        </w:rPr>
        <w:t>47 C.F.R. § 73.853.</w:t>
      </w:r>
      <w:r w:rsidR="006C21F6">
        <w:rPr>
          <w:sz w:val="20"/>
        </w:rPr>
        <w:t xml:space="preserve">  </w:t>
      </w:r>
      <w:r w:rsidR="006C21F6" w:rsidRPr="006C21F6">
        <w:rPr>
          <w:sz w:val="20"/>
        </w:rPr>
        <w:t xml:space="preserve">See also </w:t>
      </w:r>
      <w:r w:rsidR="006C21F6" w:rsidRPr="006C21F6">
        <w:rPr>
          <w:i/>
          <w:sz w:val="20"/>
        </w:rPr>
        <w:t>Creation of a Low Power Radio Service</w:t>
      </w:r>
      <w:r w:rsidR="006C21F6" w:rsidRPr="006C21F6">
        <w:rPr>
          <w:sz w:val="20"/>
        </w:rPr>
        <w:t>, Report and Order, 15 FCC Rcd 2205, 2212</w:t>
      </w:r>
      <w:r w:rsidR="006C21F6">
        <w:rPr>
          <w:sz w:val="20"/>
        </w:rPr>
        <w:t>-</w:t>
      </w:r>
      <w:r w:rsidR="006C21F6" w:rsidRPr="006C21F6">
        <w:rPr>
          <w:sz w:val="20"/>
        </w:rPr>
        <w:t xml:space="preserve">15 (2000) (nonprofit and public safety </w:t>
      </w:r>
      <w:r w:rsidR="006C21F6">
        <w:rPr>
          <w:sz w:val="20"/>
        </w:rPr>
        <w:t xml:space="preserve">applicant </w:t>
      </w:r>
      <w:r w:rsidR="006C21F6" w:rsidRPr="006C21F6">
        <w:rPr>
          <w:sz w:val="20"/>
        </w:rPr>
        <w:t>eligibility)</w:t>
      </w:r>
      <w:r w:rsidR="006B78C1">
        <w:rPr>
          <w:sz w:val="20"/>
        </w:rPr>
        <w:t xml:space="preserve"> (“</w:t>
      </w:r>
      <w:r w:rsidR="006B78C1">
        <w:rPr>
          <w:i/>
          <w:sz w:val="20"/>
        </w:rPr>
        <w:t>Report and Order</w:t>
      </w:r>
      <w:r w:rsidR="006B78C1">
        <w:rPr>
          <w:sz w:val="20"/>
        </w:rPr>
        <w:t>”)</w:t>
      </w:r>
      <w:r w:rsidR="006C21F6" w:rsidRPr="006C21F6">
        <w:rPr>
          <w:sz w:val="20"/>
        </w:rPr>
        <w:t xml:space="preserve">; </w:t>
      </w:r>
      <w:r w:rsidR="006C21F6" w:rsidRPr="006C21F6">
        <w:rPr>
          <w:i/>
          <w:sz w:val="20"/>
        </w:rPr>
        <w:t xml:space="preserve">Creation of a Low Power Radio Service, </w:t>
      </w:r>
      <w:r w:rsidR="006C21F6" w:rsidRPr="006C21F6">
        <w:rPr>
          <w:sz w:val="20"/>
        </w:rPr>
        <w:t xml:space="preserve">Fifth Order on Reconsideration and Sixth Report and Order, 27 FCC Rcd 15402, 15454-57 (2012) (tribal </w:t>
      </w:r>
      <w:r w:rsidR="006C21F6">
        <w:rPr>
          <w:sz w:val="20"/>
        </w:rPr>
        <w:t xml:space="preserve">applicant </w:t>
      </w:r>
      <w:r w:rsidR="006C21F6" w:rsidRPr="006C21F6">
        <w:rPr>
          <w:sz w:val="20"/>
        </w:rPr>
        <w:t>eligibility).</w:t>
      </w:r>
    </w:p>
  </w:footnote>
  <w:footnote w:id="5">
    <w:p w:rsidR="00AC3580" w:rsidRPr="006C21F6" w:rsidRDefault="00AC3580">
      <w:pPr>
        <w:pStyle w:val="FootnoteText"/>
        <w:rPr>
          <w:sz w:val="20"/>
        </w:rPr>
      </w:pPr>
      <w:r w:rsidRPr="0027566E">
        <w:rPr>
          <w:rStyle w:val="FootnoteReference"/>
          <w:sz w:val="20"/>
        </w:rPr>
        <w:footnoteRef/>
      </w:r>
      <w:r w:rsidRPr="0027566E">
        <w:rPr>
          <w:sz w:val="20"/>
        </w:rPr>
        <w:t xml:space="preserve"> </w:t>
      </w:r>
      <w:r w:rsidRPr="006C21F6">
        <w:rPr>
          <w:i/>
          <w:sz w:val="20"/>
        </w:rPr>
        <w:t xml:space="preserve">See </w:t>
      </w:r>
      <w:r w:rsidRPr="006C21F6">
        <w:rPr>
          <w:sz w:val="20"/>
        </w:rPr>
        <w:t>FCC Form 318</w:t>
      </w:r>
      <w:r w:rsidR="006B78C1">
        <w:rPr>
          <w:sz w:val="20"/>
        </w:rPr>
        <w:t xml:space="preserve"> Instructions</w:t>
      </w:r>
      <w:r w:rsidRPr="006C21F6">
        <w:rPr>
          <w:sz w:val="20"/>
        </w:rPr>
        <w:t>, Section II, B. (April 2013).</w:t>
      </w:r>
      <w:r w:rsidR="006C21F6" w:rsidRPr="006C21F6">
        <w:rPr>
          <w:sz w:val="20"/>
        </w:rPr>
        <w:t xml:space="preserve">  </w:t>
      </w:r>
    </w:p>
  </w:footnote>
  <w:footnote w:id="6">
    <w:p w:rsidR="006F151E" w:rsidRPr="00522D6B" w:rsidRDefault="006F151E"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w:t>
      </w:r>
      <w:r w:rsidRPr="00522D6B">
        <w:rPr>
          <w:rFonts w:ascii="Times" w:hAnsi="Times"/>
          <w:i/>
          <w:sz w:val="20"/>
        </w:rPr>
        <w:t>See</w:t>
      </w:r>
      <w:r w:rsidRPr="00522D6B">
        <w:rPr>
          <w:rFonts w:ascii="Times" w:hAnsi="Times"/>
          <w:sz w:val="20"/>
        </w:rPr>
        <w:t xml:space="preserve"> 47 C.F.R. § 73.853</w:t>
      </w:r>
      <w:r w:rsidR="00650C9D" w:rsidRPr="00522D6B">
        <w:rPr>
          <w:rFonts w:ascii="Times" w:hAnsi="Times"/>
          <w:sz w:val="20"/>
        </w:rPr>
        <w:t>(b)</w:t>
      </w:r>
      <w:r w:rsidRPr="00522D6B">
        <w:rPr>
          <w:rFonts w:ascii="Times" w:hAnsi="Times"/>
          <w:sz w:val="20"/>
        </w:rPr>
        <w:t>.</w:t>
      </w:r>
    </w:p>
  </w:footnote>
  <w:footnote w:id="7">
    <w:p w:rsidR="006F151E" w:rsidRPr="00522D6B" w:rsidRDefault="006F151E"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w:t>
      </w:r>
      <w:r w:rsidRPr="00522D6B">
        <w:rPr>
          <w:rFonts w:ascii="Times" w:hAnsi="Times"/>
          <w:i/>
          <w:sz w:val="20"/>
        </w:rPr>
        <w:t>See</w:t>
      </w:r>
      <w:r w:rsidRPr="00522D6B">
        <w:rPr>
          <w:rFonts w:ascii="Times" w:hAnsi="Times"/>
          <w:sz w:val="20"/>
        </w:rPr>
        <w:t xml:space="preserve"> 47 C.F.R. §§ 73.807 and 73.825.  </w:t>
      </w:r>
      <w:r w:rsidR="00B43420" w:rsidRPr="00522D6B">
        <w:rPr>
          <w:rFonts w:ascii="Times" w:hAnsi="Times"/>
          <w:sz w:val="20"/>
        </w:rPr>
        <w:t xml:space="preserve">  </w:t>
      </w:r>
    </w:p>
  </w:footnote>
  <w:footnote w:id="8">
    <w:p w:rsidR="00AC3580" w:rsidRPr="0027566E" w:rsidRDefault="00AC3580">
      <w:pPr>
        <w:pStyle w:val="FootnoteText"/>
        <w:rPr>
          <w:sz w:val="20"/>
        </w:rPr>
      </w:pPr>
      <w:r w:rsidRPr="0027566E">
        <w:rPr>
          <w:rStyle w:val="FootnoteReference"/>
          <w:sz w:val="20"/>
        </w:rPr>
        <w:footnoteRef/>
      </w:r>
      <w:r w:rsidRPr="0027566E">
        <w:rPr>
          <w:sz w:val="20"/>
        </w:rPr>
        <w:t xml:space="preserve"> </w:t>
      </w:r>
      <w:r w:rsidRPr="0027566E">
        <w:rPr>
          <w:i/>
          <w:sz w:val="20"/>
        </w:rPr>
        <w:t>See, e.g., Low Power FM Filing Window</w:t>
      </w:r>
      <w:r w:rsidRPr="0027566E">
        <w:rPr>
          <w:sz w:val="20"/>
        </w:rPr>
        <w:t>, Public Notice, 15 FCC Rcd 24817, 24818 (MB 2000).</w:t>
      </w:r>
    </w:p>
  </w:footnote>
  <w:footnote w:id="9">
    <w:p w:rsidR="00AC3580" w:rsidRPr="006B78C1" w:rsidRDefault="00AC3580">
      <w:pPr>
        <w:pStyle w:val="FootnoteText"/>
        <w:rPr>
          <w:sz w:val="20"/>
        </w:rPr>
      </w:pPr>
      <w:r w:rsidRPr="0027566E">
        <w:rPr>
          <w:rStyle w:val="FootnoteReference"/>
          <w:sz w:val="20"/>
        </w:rPr>
        <w:footnoteRef/>
      </w:r>
      <w:r w:rsidRPr="0027566E">
        <w:rPr>
          <w:sz w:val="20"/>
        </w:rPr>
        <w:t xml:space="preserve"> </w:t>
      </w:r>
      <w:r w:rsidRPr="0027566E">
        <w:rPr>
          <w:i/>
          <w:sz w:val="20"/>
        </w:rPr>
        <w:t xml:space="preserve">See </w:t>
      </w:r>
      <w:r w:rsidRPr="0027566E">
        <w:rPr>
          <w:sz w:val="20"/>
        </w:rPr>
        <w:t>47 C.F.R. § 73.801 (incorporating § 73.3566 into Subpart G).</w:t>
      </w:r>
      <w:r w:rsidR="006B78C1">
        <w:rPr>
          <w:sz w:val="20"/>
        </w:rPr>
        <w:t xml:space="preserve">  </w:t>
      </w:r>
      <w:r w:rsidR="006B78C1">
        <w:rPr>
          <w:i/>
          <w:sz w:val="20"/>
        </w:rPr>
        <w:t>See also Report and Order</w:t>
      </w:r>
      <w:r w:rsidR="006B78C1">
        <w:rPr>
          <w:sz w:val="20"/>
        </w:rPr>
        <w:t>, 15 FCC Rcd at 2257.</w:t>
      </w:r>
    </w:p>
  </w:footnote>
  <w:footnote w:id="10">
    <w:p w:rsidR="00506E0A" w:rsidRPr="00522D6B" w:rsidRDefault="00506E0A" w:rsidP="00522D6B">
      <w:pPr>
        <w:spacing w:after="120"/>
        <w:rPr>
          <w:rFonts w:ascii="Times" w:hAnsi="Times"/>
          <w:sz w:val="20"/>
        </w:rPr>
      </w:pPr>
      <w:r w:rsidRPr="00522D6B">
        <w:rPr>
          <w:rFonts w:ascii="Times" w:hAnsi="Times"/>
          <w:sz w:val="20"/>
          <w:vertAlign w:val="superscript"/>
        </w:rPr>
        <w:footnoteRef/>
      </w:r>
      <w:r w:rsidRPr="00522D6B">
        <w:rPr>
          <w:rFonts w:ascii="Times" w:hAnsi="Times"/>
          <w:sz w:val="20"/>
        </w:rPr>
        <w:t xml:space="preserve">  Although </w:t>
      </w:r>
      <w:r w:rsidR="00C238CE">
        <w:rPr>
          <w:rFonts w:ascii="Times" w:hAnsi="Times"/>
          <w:sz w:val="20"/>
        </w:rPr>
        <w:t xml:space="preserve">LPFM permittees </w:t>
      </w:r>
      <w:r w:rsidRPr="00522D6B">
        <w:rPr>
          <w:rFonts w:ascii="Times" w:hAnsi="Times"/>
          <w:sz w:val="20"/>
        </w:rPr>
        <w:t xml:space="preserve">may file “major modification of construction permit” applications, the Bureau strongly discourages such filings.  They will be subject to competing proposals.  Such an applicant will have no assurance that its major modification proposal will be comparatively preferred to mutually exclusive filings or, assuming that it is, that the application will be granted prior to the expiration of the underlying construction permit.  The Bureau will automatically dismiss any major modification application upon expiration of the associated permit.    It is imperative that an applicant submitting a major modification of construction permit application have an alternate plan to complete station construction prior to the construction permit deadline. </w:t>
      </w:r>
    </w:p>
  </w:footnote>
  <w:footnote w:id="11">
    <w:p w:rsidR="00AC3580" w:rsidRPr="0027566E" w:rsidRDefault="00AC3580">
      <w:pPr>
        <w:pStyle w:val="FootnoteText"/>
        <w:rPr>
          <w:sz w:val="20"/>
        </w:rPr>
      </w:pPr>
      <w:r w:rsidRPr="0027566E">
        <w:rPr>
          <w:rStyle w:val="FootnoteReference"/>
          <w:sz w:val="20"/>
        </w:rPr>
        <w:footnoteRef/>
      </w:r>
      <w:r w:rsidRPr="0027566E">
        <w:rPr>
          <w:sz w:val="20"/>
        </w:rPr>
        <w:t xml:space="preserve"> Form 318, Section 1</w:t>
      </w:r>
      <w:r w:rsidR="0039163E" w:rsidRPr="0027566E">
        <w:rPr>
          <w:sz w:val="20"/>
        </w:rPr>
        <w:t>, Question 3 (April 2013); 47 C.F.R. § 73.871(a).</w:t>
      </w:r>
    </w:p>
  </w:footnote>
  <w:footnote w:id="12">
    <w:p w:rsidR="0069382E" w:rsidRPr="00345755" w:rsidRDefault="0069382E" w:rsidP="00522D6B">
      <w:pPr>
        <w:pStyle w:val="FootnoteText"/>
        <w:spacing w:after="120"/>
        <w:rPr>
          <w:rFonts w:ascii="Times" w:hAnsi="Times"/>
          <w:sz w:val="20"/>
        </w:rPr>
      </w:pPr>
      <w:r w:rsidRPr="00345755">
        <w:rPr>
          <w:rStyle w:val="FootnoteReference"/>
          <w:rFonts w:ascii="Times" w:hAnsi="Times"/>
          <w:sz w:val="20"/>
        </w:rPr>
        <w:footnoteRef/>
      </w:r>
      <w:r w:rsidRPr="00345755">
        <w:rPr>
          <w:rFonts w:ascii="Times" w:hAnsi="Times"/>
          <w:sz w:val="20"/>
        </w:rPr>
        <w:t xml:space="preserve"> </w:t>
      </w:r>
      <w:r w:rsidR="00522D6B" w:rsidRPr="00345755">
        <w:rPr>
          <w:rFonts w:ascii="Times" w:hAnsi="Times"/>
          <w:i/>
          <w:sz w:val="20"/>
        </w:rPr>
        <w:t>See</w:t>
      </w:r>
      <w:r w:rsidR="00884E98" w:rsidRPr="00345755">
        <w:rPr>
          <w:rFonts w:ascii="Times" w:hAnsi="Times"/>
          <w:i/>
          <w:sz w:val="20"/>
        </w:rPr>
        <w:t xml:space="preserve"> </w:t>
      </w:r>
      <w:r w:rsidR="00E77189" w:rsidRPr="00345755">
        <w:rPr>
          <w:rFonts w:ascii="Times" w:hAnsi="Times"/>
          <w:i/>
          <w:sz w:val="20"/>
        </w:rPr>
        <w:t xml:space="preserve">Sixth Report and </w:t>
      </w:r>
      <w:r w:rsidR="00884E98" w:rsidRPr="00345755">
        <w:rPr>
          <w:rFonts w:ascii="Times" w:hAnsi="Times"/>
          <w:i/>
          <w:sz w:val="20"/>
        </w:rPr>
        <w:t xml:space="preserve">Order, </w:t>
      </w:r>
      <w:r w:rsidRPr="00345755">
        <w:rPr>
          <w:rFonts w:ascii="Times" w:hAnsi="Times"/>
          <w:sz w:val="20"/>
        </w:rPr>
        <w:t xml:space="preserve">27 FCC Rcd </w:t>
      </w:r>
      <w:r w:rsidR="00884E98" w:rsidRPr="00345755">
        <w:rPr>
          <w:rFonts w:ascii="Times" w:hAnsi="Times"/>
          <w:sz w:val="20"/>
        </w:rPr>
        <w:t>at</w:t>
      </w:r>
      <w:r w:rsidR="00522D6B" w:rsidRPr="00345755">
        <w:rPr>
          <w:rFonts w:ascii="Times" w:hAnsi="Times"/>
          <w:sz w:val="20"/>
        </w:rPr>
        <w:t xml:space="preserve"> 15424-15449. </w:t>
      </w:r>
    </w:p>
  </w:footnote>
  <w:footnote w:id="13">
    <w:p w:rsidR="00607907" w:rsidRPr="00345755" w:rsidRDefault="00607907" w:rsidP="00345755">
      <w:pPr>
        <w:pStyle w:val="Normal12"/>
        <w:tabs>
          <w:tab w:val="left" w:pos="0"/>
          <w:tab w:val="left" w:pos="720"/>
          <w:tab w:val="left" w:pos="1440"/>
        </w:tabs>
        <w:spacing w:after="120"/>
        <w:ind w:firstLine="0"/>
        <w:rPr>
          <w:rFonts w:ascii="Times" w:hAnsi="Times"/>
          <w:sz w:val="20"/>
        </w:rPr>
      </w:pPr>
      <w:r w:rsidRPr="00345755">
        <w:rPr>
          <w:rStyle w:val="FootnoteReference"/>
          <w:rFonts w:ascii="Times" w:hAnsi="Times"/>
          <w:sz w:val="20"/>
        </w:rPr>
        <w:footnoteRef/>
      </w:r>
      <w:r w:rsidRPr="00345755">
        <w:rPr>
          <w:rFonts w:ascii="Times" w:hAnsi="Times"/>
          <w:sz w:val="20"/>
        </w:rPr>
        <w:t xml:space="preserve"> </w:t>
      </w:r>
      <w:r w:rsidR="00345755">
        <w:rPr>
          <w:rFonts w:ascii="Times" w:hAnsi="Times"/>
          <w:sz w:val="20"/>
        </w:rPr>
        <w:t>The Bureau will update</w:t>
      </w:r>
      <w:r w:rsidRPr="00345755">
        <w:rPr>
          <w:rFonts w:ascii="Times" w:hAnsi="Times"/>
          <w:sz w:val="20"/>
        </w:rPr>
        <w:t xml:space="preserve"> the Channel finder </w:t>
      </w:r>
      <w:r w:rsidR="00345755">
        <w:rPr>
          <w:rFonts w:ascii="Times" w:hAnsi="Times"/>
          <w:sz w:val="20"/>
        </w:rPr>
        <w:t xml:space="preserve">in the coming months </w:t>
      </w:r>
      <w:r w:rsidRPr="00345755">
        <w:rPr>
          <w:rFonts w:ascii="Times" w:hAnsi="Times"/>
          <w:sz w:val="20"/>
        </w:rPr>
        <w:t xml:space="preserve">to </w:t>
      </w:r>
      <w:r w:rsidR="00345755">
        <w:rPr>
          <w:rFonts w:ascii="Times" w:hAnsi="Times"/>
          <w:sz w:val="20"/>
        </w:rPr>
        <w:t>reflect</w:t>
      </w:r>
      <w:r w:rsidRPr="00345755">
        <w:rPr>
          <w:rFonts w:ascii="Times" w:hAnsi="Times"/>
          <w:sz w:val="20"/>
        </w:rPr>
        <w:t xml:space="preserve"> </w:t>
      </w:r>
      <w:r w:rsidR="00676689">
        <w:rPr>
          <w:rFonts w:ascii="Times" w:hAnsi="Times"/>
          <w:sz w:val="20"/>
        </w:rPr>
        <w:t>database changes</w:t>
      </w:r>
      <w:r w:rsidRPr="00345755">
        <w:rPr>
          <w:rFonts w:ascii="Times" w:hAnsi="Times"/>
          <w:sz w:val="20"/>
        </w:rPr>
        <w:t>.</w:t>
      </w:r>
    </w:p>
  </w:footnote>
  <w:footnote w:id="14">
    <w:p w:rsidR="00C66BCA" w:rsidRPr="00345755" w:rsidRDefault="00C66BCA" w:rsidP="00345755">
      <w:pPr>
        <w:pStyle w:val="FootnoteText"/>
        <w:spacing w:after="120"/>
        <w:rPr>
          <w:rFonts w:ascii="Times" w:hAnsi="Times"/>
          <w:sz w:val="20"/>
        </w:rPr>
      </w:pPr>
      <w:r w:rsidRPr="00345755">
        <w:rPr>
          <w:rStyle w:val="FootnoteReference"/>
          <w:rFonts w:ascii="Times" w:hAnsi="Times"/>
          <w:sz w:val="20"/>
        </w:rPr>
        <w:footnoteRef/>
      </w:r>
      <w:r w:rsidRPr="00345755">
        <w:rPr>
          <w:rFonts w:ascii="Times" w:hAnsi="Times"/>
          <w:sz w:val="20"/>
        </w:rPr>
        <w:t xml:space="preserve"> 47 C.F.R. § </w:t>
      </w:r>
      <w:r w:rsidR="00483353" w:rsidRPr="00345755">
        <w:rPr>
          <w:rFonts w:ascii="Times" w:hAnsi="Times"/>
          <w:sz w:val="20"/>
        </w:rPr>
        <w:t xml:space="preserve">73.3518.  </w:t>
      </w:r>
      <w:r w:rsidRPr="00345755">
        <w:rPr>
          <w:rFonts w:ascii="Times" w:hAnsi="Times"/>
          <w:i/>
          <w:sz w:val="20"/>
        </w:rPr>
        <w:t>See also</w:t>
      </w:r>
      <w:r w:rsidRPr="00345755">
        <w:rPr>
          <w:rFonts w:ascii="Times" w:hAnsi="Times"/>
          <w:sz w:val="20"/>
        </w:rPr>
        <w:t xml:space="preserve"> </w:t>
      </w:r>
      <w:r w:rsidR="00483353" w:rsidRPr="00345755">
        <w:rPr>
          <w:rFonts w:ascii="Times" w:hAnsi="Times"/>
          <w:sz w:val="20"/>
        </w:rPr>
        <w:t xml:space="preserve">47 C.F.R. § </w:t>
      </w:r>
      <w:r w:rsidRPr="00345755">
        <w:rPr>
          <w:rFonts w:ascii="Times" w:hAnsi="Times"/>
          <w:sz w:val="20"/>
        </w:rPr>
        <w:t xml:space="preserve">73.801 (making Section 73.3518 applicable to LPFM stations).  </w:t>
      </w:r>
    </w:p>
  </w:footnote>
  <w:footnote w:id="15">
    <w:p w:rsidR="00EA5E84" w:rsidRPr="00345755" w:rsidRDefault="00EA5E84" w:rsidP="00522D6B">
      <w:pPr>
        <w:pStyle w:val="FootnoteText"/>
        <w:spacing w:after="120"/>
        <w:rPr>
          <w:rFonts w:ascii="Times" w:hAnsi="Times"/>
          <w:sz w:val="20"/>
        </w:rPr>
      </w:pPr>
      <w:r w:rsidRPr="00345755">
        <w:rPr>
          <w:rStyle w:val="FootnoteReference"/>
          <w:rFonts w:ascii="Times" w:hAnsi="Times"/>
          <w:sz w:val="20"/>
        </w:rPr>
        <w:footnoteRef/>
      </w:r>
      <w:r w:rsidRPr="00345755">
        <w:rPr>
          <w:rFonts w:ascii="Times" w:hAnsi="Times"/>
          <w:sz w:val="20"/>
        </w:rPr>
        <w:t xml:space="preserve"> 47 C.F.R. § 73.870(d).</w:t>
      </w:r>
    </w:p>
  </w:footnote>
  <w:footnote w:id="16">
    <w:p w:rsidR="00EA5E84" w:rsidRPr="00522D6B" w:rsidRDefault="00EA5E84" w:rsidP="00522D6B">
      <w:pPr>
        <w:pStyle w:val="FootnoteText"/>
        <w:spacing w:after="120"/>
        <w:rPr>
          <w:rFonts w:ascii="Times" w:hAnsi="Times"/>
          <w:sz w:val="20"/>
        </w:rPr>
      </w:pPr>
      <w:r w:rsidRPr="00345755">
        <w:rPr>
          <w:rStyle w:val="FootnoteReference"/>
          <w:rFonts w:ascii="Times" w:hAnsi="Times"/>
          <w:sz w:val="20"/>
        </w:rPr>
        <w:footnoteRef/>
      </w:r>
      <w:r w:rsidRPr="00345755">
        <w:rPr>
          <w:rFonts w:ascii="Times" w:hAnsi="Times"/>
          <w:sz w:val="20"/>
        </w:rPr>
        <w:t xml:space="preserve"> 47 C.F.R. § 73</w:t>
      </w:r>
      <w:r w:rsidRPr="00522D6B">
        <w:rPr>
          <w:rFonts w:ascii="Times" w:hAnsi="Times"/>
          <w:sz w:val="20"/>
        </w:rPr>
        <w:t>.872.</w:t>
      </w:r>
    </w:p>
  </w:footnote>
  <w:footnote w:id="17">
    <w:p w:rsidR="00F821C1" w:rsidRPr="0027566E" w:rsidRDefault="00F821C1">
      <w:pPr>
        <w:pStyle w:val="FootnoteText"/>
        <w:rPr>
          <w:sz w:val="20"/>
        </w:rPr>
      </w:pPr>
      <w:r w:rsidRPr="0027566E">
        <w:rPr>
          <w:rStyle w:val="FootnoteReference"/>
          <w:sz w:val="20"/>
        </w:rPr>
        <w:footnoteRef/>
      </w:r>
      <w:r w:rsidRPr="0027566E">
        <w:rPr>
          <w:sz w:val="20"/>
        </w:rPr>
        <w:t xml:space="preserve"> </w:t>
      </w:r>
      <w:r w:rsidRPr="0027566E">
        <w:rPr>
          <w:i/>
          <w:sz w:val="20"/>
        </w:rPr>
        <w:t>Id</w:t>
      </w:r>
      <w:r w:rsidR="00845107" w:rsidRPr="00845107">
        <w:rPr>
          <w:i/>
          <w:sz w:val="20"/>
        </w:rPr>
        <w:t xml:space="preserve">.  See also </w:t>
      </w:r>
      <w:r w:rsidR="00845107" w:rsidRPr="00845107">
        <w:rPr>
          <w:sz w:val="20"/>
        </w:rPr>
        <w:t xml:space="preserve">Form 318 Instructions, Section III, A-G (April 2013) (providing detailed instructions to determine eligibility for point system factors).  </w:t>
      </w:r>
    </w:p>
  </w:footnote>
  <w:footnote w:id="18">
    <w:p w:rsidR="006C0165" w:rsidRPr="00522D6B" w:rsidRDefault="006C0165"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47 C.F.R. § 73.</w:t>
      </w:r>
      <w:r w:rsidR="00C205D1" w:rsidRPr="00522D6B">
        <w:rPr>
          <w:rFonts w:ascii="Times" w:hAnsi="Times"/>
          <w:sz w:val="20"/>
        </w:rPr>
        <w:t>871(a).</w:t>
      </w:r>
    </w:p>
  </w:footnote>
  <w:footnote w:id="19">
    <w:p w:rsidR="00C205D1" w:rsidRPr="00522D6B" w:rsidRDefault="00C205D1" w:rsidP="00522D6B">
      <w:pPr>
        <w:pStyle w:val="FootnoteText"/>
        <w:spacing w:after="120"/>
        <w:rPr>
          <w:rFonts w:ascii="Times" w:hAnsi="Times"/>
          <w:sz w:val="20"/>
        </w:rPr>
      </w:pPr>
      <w:r w:rsidRPr="00522D6B">
        <w:rPr>
          <w:rStyle w:val="FootnoteReference"/>
          <w:rFonts w:ascii="Times" w:hAnsi="Times"/>
          <w:sz w:val="20"/>
        </w:rPr>
        <w:footnoteRef/>
      </w:r>
      <w:r w:rsidRPr="00522D6B">
        <w:rPr>
          <w:rFonts w:ascii="Times" w:hAnsi="Times"/>
          <w:sz w:val="20"/>
        </w:rPr>
        <w:t xml:space="preserve"> 47 C.F.R. 73.871(b).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63" w:rsidRDefault="00645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63" w:rsidRDefault="00645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F6" w:rsidRPr="004A5145" w:rsidRDefault="00857431">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1F6" w:rsidRDefault="006B61F6">
                          <w:pPr>
                            <w:rPr>
                              <w:rFonts w:ascii="Arial" w:hAnsi="Arial"/>
                              <w:b/>
                            </w:rPr>
                          </w:pPr>
                          <w:r>
                            <w:rPr>
                              <w:rFonts w:ascii="Arial" w:hAnsi="Arial"/>
                              <w:b/>
                            </w:rPr>
                            <w:t>Federal Communications Commission</w:t>
                          </w:r>
                        </w:p>
                        <w:p w:rsidR="006B61F6" w:rsidRDefault="006B61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1F6" w:rsidRDefault="006B61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6B61F6" w:rsidRDefault="006B61F6">
                    <w:pPr>
                      <w:rPr>
                        <w:rFonts w:ascii="Arial" w:hAnsi="Arial"/>
                        <w:b/>
                      </w:rPr>
                    </w:pPr>
                    <w:r>
                      <w:rPr>
                        <w:rFonts w:ascii="Arial" w:hAnsi="Arial"/>
                        <w:b/>
                      </w:rPr>
                      <w:t>Federal Communications Commission</w:t>
                    </w:r>
                  </w:p>
                  <w:p w:rsidR="006B61F6" w:rsidRDefault="006B61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1F6" w:rsidRDefault="006B61F6">
                    <w:pPr>
                      <w:rPr>
                        <w:rFonts w:ascii="Arial" w:hAnsi="Arial"/>
                        <w:sz w:val="24"/>
                      </w:rPr>
                    </w:pPr>
                    <w:r>
                      <w:rPr>
                        <w:rFonts w:ascii="Arial" w:hAnsi="Arial"/>
                        <w:b/>
                      </w:rPr>
                      <w:t>Washington, D.C. 20554</w:t>
                    </w:r>
                  </w:p>
                </w:txbxContent>
              </v:textbox>
            </v:shape>
          </w:pict>
        </mc:Fallback>
      </mc:AlternateContent>
    </w:r>
    <w:r w:rsidR="00885566"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6B61F6" w:rsidRPr="004A5145">
      <w:rPr>
        <w:rFonts w:ascii="Arial" w:hAnsi="Arial" w:cs="Arial"/>
        <w:b/>
        <w:kern w:val="28"/>
        <w:sz w:val="96"/>
      </w:rPr>
      <w:t>PUBLIC NOTICE</w:t>
    </w:r>
  </w:p>
  <w:p w:rsidR="006B61F6" w:rsidRDefault="0085743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1F6" w:rsidRDefault="006B61F6">
                          <w:pPr>
                            <w:spacing w:before="40"/>
                            <w:jc w:val="right"/>
                            <w:rPr>
                              <w:rFonts w:ascii="Arial" w:hAnsi="Arial"/>
                              <w:b/>
                              <w:sz w:val="16"/>
                              <w:szCs w:val="16"/>
                            </w:rPr>
                          </w:pPr>
                          <w:r>
                            <w:rPr>
                              <w:rFonts w:ascii="Arial" w:hAnsi="Arial"/>
                              <w:b/>
                              <w:sz w:val="16"/>
                              <w:szCs w:val="16"/>
                            </w:rPr>
                            <w:t>News Media Information 202 / 418-0500</w:t>
                          </w:r>
                        </w:p>
                        <w:p w:rsidR="006B61F6" w:rsidRDefault="006B61F6">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B61F6" w:rsidRDefault="006B61F6">
                          <w:pPr>
                            <w:jc w:val="right"/>
                            <w:rPr>
                              <w:rFonts w:ascii="Arial" w:hAnsi="Arial"/>
                              <w:b/>
                              <w:szCs w:val="22"/>
                            </w:rPr>
                          </w:pPr>
                          <w:r>
                            <w:rPr>
                              <w:rFonts w:ascii="Arial" w:hAnsi="Arial"/>
                              <w:b/>
                              <w:sz w:val="16"/>
                              <w:szCs w:val="16"/>
                            </w:rPr>
                            <w:t>TTY: 1-888-835-5322</w:t>
                          </w:r>
                        </w:p>
                        <w:p w:rsidR="006B61F6" w:rsidRDefault="006B61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6B61F6" w:rsidRDefault="006B61F6">
                    <w:pPr>
                      <w:spacing w:before="40"/>
                      <w:jc w:val="right"/>
                      <w:rPr>
                        <w:rFonts w:ascii="Arial" w:hAnsi="Arial"/>
                        <w:b/>
                        <w:sz w:val="16"/>
                        <w:szCs w:val="16"/>
                      </w:rPr>
                    </w:pPr>
                    <w:r>
                      <w:rPr>
                        <w:rFonts w:ascii="Arial" w:hAnsi="Arial"/>
                        <w:b/>
                        <w:sz w:val="16"/>
                        <w:szCs w:val="16"/>
                      </w:rPr>
                      <w:t>News Media Information 202 / 418-0500</w:t>
                    </w:r>
                  </w:p>
                  <w:p w:rsidR="006B61F6" w:rsidRDefault="006B61F6">
                    <w:pPr>
                      <w:jc w:val="right"/>
                      <w:rPr>
                        <w:rFonts w:ascii="Arial" w:hAnsi="Arial"/>
                        <w:b/>
                        <w:sz w:val="16"/>
                        <w:szCs w:val="16"/>
                      </w:rPr>
                    </w:pPr>
                    <w:r>
                      <w:rPr>
                        <w:rFonts w:ascii="Arial" w:hAnsi="Arial"/>
                        <w:b/>
                        <w:sz w:val="16"/>
                        <w:szCs w:val="16"/>
                      </w:rPr>
                      <w:tab/>
                      <w:t xml:space="preserve">Internet: </w:t>
                    </w:r>
                    <w:bookmarkStart w:id="52" w:name="_Hlt233824"/>
                    <w:r>
                      <w:rPr>
                        <w:rFonts w:ascii="Arial" w:hAnsi="Arial"/>
                        <w:b/>
                        <w:sz w:val="16"/>
                        <w:szCs w:val="16"/>
                      </w:rPr>
                      <w:t>h</w:t>
                    </w:r>
                    <w:bookmarkEnd w:id="52"/>
                    <w:r>
                      <w:rPr>
                        <w:rFonts w:ascii="Arial" w:hAnsi="Arial"/>
                        <w:b/>
                        <w:sz w:val="16"/>
                        <w:szCs w:val="16"/>
                      </w:rPr>
                      <w:t>ttp://www.fcc.gov</w:t>
                    </w:r>
                  </w:p>
                  <w:p w:rsidR="006B61F6" w:rsidRDefault="006B61F6">
                    <w:pPr>
                      <w:jc w:val="right"/>
                      <w:rPr>
                        <w:rFonts w:ascii="Arial" w:hAnsi="Arial"/>
                        <w:b/>
                        <w:szCs w:val="22"/>
                      </w:rPr>
                    </w:pPr>
                    <w:r>
                      <w:rPr>
                        <w:rFonts w:ascii="Arial" w:hAnsi="Arial"/>
                        <w:b/>
                        <w:sz w:val="16"/>
                        <w:szCs w:val="16"/>
                      </w:rPr>
                      <w:t>TTY: 1-888-835-5322</w:t>
                    </w:r>
                  </w:p>
                  <w:p w:rsidR="006B61F6" w:rsidRDefault="006B61F6">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6B61F6" w:rsidRDefault="006B61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93FDC"/>
    <w:rsid w:val="0009692D"/>
    <w:rsid w:val="000B1129"/>
    <w:rsid w:val="000C4793"/>
    <w:rsid w:val="000E0EEC"/>
    <w:rsid w:val="00161186"/>
    <w:rsid w:val="00167152"/>
    <w:rsid w:val="001C6EDE"/>
    <w:rsid w:val="002441AE"/>
    <w:rsid w:val="002718DF"/>
    <w:rsid w:val="0027566E"/>
    <w:rsid w:val="002F138F"/>
    <w:rsid w:val="002F239C"/>
    <w:rsid w:val="00304C68"/>
    <w:rsid w:val="00337D09"/>
    <w:rsid w:val="00345755"/>
    <w:rsid w:val="003459D4"/>
    <w:rsid w:val="003773FF"/>
    <w:rsid w:val="0039163E"/>
    <w:rsid w:val="003A7564"/>
    <w:rsid w:val="003C0A2E"/>
    <w:rsid w:val="003C4E0C"/>
    <w:rsid w:val="003F6CA9"/>
    <w:rsid w:val="004367ED"/>
    <w:rsid w:val="0044311A"/>
    <w:rsid w:val="00454235"/>
    <w:rsid w:val="004633D0"/>
    <w:rsid w:val="0046667A"/>
    <w:rsid w:val="00483353"/>
    <w:rsid w:val="00485197"/>
    <w:rsid w:val="004867CB"/>
    <w:rsid w:val="004A198B"/>
    <w:rsid w:val="004A5145"/>
    <w:rsid w:val="004A58C2"/>
    <w:rsid w:val="004C1D94"/>
    <w:rsid w:val="00503195"/>
    <w:rsid w:val="00503E77"/>
    <w:rsid w:val="00506E0A"/>
    <w:rsid w:val="00511404"/>
    <w:rsid w:val="00522D6B"/>
    <w:rsid w:val="00607293"/>
    <w:rsid w:val="00607907"/>
    <w:rsid w:val="006158B8"/>
    <w:rsid w:val="006269B6"/>
    <w:rsid w:val="00641538"/>
    <w:rsid w:val="00643433"/>
    <w:rsid w:val="00645963"/>
    <w:rsid w:val="00650C9D"/>
    <w:rsid w:val="006671CF"/>
    <w:rsid w:val="006734A5"/>
    <w:rsid w:val="00676689"/>
    <w:rsid w:val="0069382E"/>
    <w:rsid w:val="006946A8"/>
    <w:rsid w:val="006A6637"/>
    <w:rsid w:val="006B61F6"/>
    <w:rsid w:val="006B78C1"/>
    <w:rsid w:val="006C0165"/>
    <w:rsid w:val="006C21F6"/>
    <w:rsid w:val="006E377C"/>
    <w:rsid w:val="006F151E"/>
    <w:rsid w:val="0073648E"/>
    <w:rsid w:val="00742DE5"/>
    <w:rsid w:val="00790B51"/>
    <w:rsid w:val="007A2EA0"/>
    <w:rsid w:val="007B0136"/>
    <w:rsid w:val="007B7100"/>
    <w:rsid w:val="007C7FEB"/>
    <w:rsid w:val="007D02DD"/>
    <w:rsid w:val="007E2582"/>
    <w:rsid w:val="007F2228"/>
    <w:rsid w:val="00832FA9"/>
    <w:rsid w:val="00845107"/>
    <w:rsid w:val="00857431"/>
    <w:rsid w:val="00863B17"/>
    <w:rsid w:val="00865256"/>
    <w:rsid w:val="00880590"/>
    <w:rsid w:val="00884E98"/>
    <w:rsid w:val="00885566"/>
    <w:rsid w:val="008A4159"/>
    <w:rsid w:val="008B40BB"/>
    <w:rsid w:val="008F2EEA"/>
    <w:rsid w:val="00915068"/>
    <w:rsid w:val="0096725E"/>
    <w:rsid w:val="0096779D"/>
    <w:rsid w:val="00983405"/>
    <w:rsid w:val="009D0920"/>
    <w:rsid w:val="009E29FD"/>
    <w:rsid w:val="00A15C05"/>
    <w:rsid w:val="00A47E3B"/>
    <w:rsid w:val="00A5069A"/>
    <w:rsid w:val="00AB4E12"/>
    <w:rsid w:val="00AC3580"/>
    <w:rsid w:val="00B34D43"/>
    <w:rsid w:val="00B40EBD"/>
    <w:rsid w:val="00B43420"/>
    <w:rsid w:val="00B66813"/>
    <w:rsid w:val="00BF5CB1"/>
    <w:rsid w:val="00C205D1"/>
    <w:rsid w:val="00C238CE"/>
    <w:rsid w:val="00C530DA"/>
    <w:rsid w:val="00C66BCA"/>
    <w:rsid w:val="00CA291E"/>
    <w:rsid w:val="00CB00AD"/>
    <w:rsid w:val="00CB35C6"/>
    <w:rsid w:val="00CD0C53"/>
    <w:rsid w:val="00CE3DB8"/>
    <w:rsid w:val="00D05C2F"/>
    <w:rsid w:val="00D05E28"/>
    <w:rsid w:val="00D072F9"/>
    <w:rsid w:val="00D138EF"/>
    <w:rsid w:val="00D20563"/>
    <w:rsid w:val="00D3236D"/>
    <w:rsid w:val="00D659C0"/>
    <w:rsid w:val="00D909D7"/>
    <w:rsid w:val="00DA4B53"/>
    <w:rsid w:val="00DB34CC"/>
    <w:rsid w:val="00DC2FA5"/>
    <w:rsid w:val="00DD01AD"/>
    <w:rsid w:val="00DF174E"/>
    <w:rsid w:val="00E006A0"/>
    <w:rsid w:val="00E00D94"/>
    <w:rsid w:val="00E54E1B"/>
    <w:rsid w:val="00E77189"/>
    <w:rsid w:val="00E84721"/>
    <w:rsid w:val="00E86817"/>
    <w:rsid w:val="00E872C0"/>
    <w:rsid w:val="00EA5E84"/>
    <w:rsid w:val="00EB3419"/>
    <w:rsid w:val="00EC0DF7"/>
    <w:rsid w:val="00EC5213"/>
    <w:rsid w:val="00EE54F2"/>
    <w:rsid w:val="00EF1DF7"/>
    <w:rsid w:val="00F12726"/>
    <w:rsid w:val="00F13E48"/>
    <w:rsid w:val="00F319B9"/>
    <w:rsid w:val="00F821C1"/>
    <w:rsid w:val="00FA0DB9"/>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prod/cdbs/forms/prod/cdbs_ug.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encyclopedia/low-power-fm-broadcast-radio-stations-lpfm" TargetMode="External"/><Relationship Id="rId4" Type="http://schemas.openxmlformats.org/officeDocument/2006/relationships/settings" Target="settings.xml"/><Relationship Id="rId9" Type="http://schemas.openxmlformats.org/officeDocument/2006/relationships/hyperlink" Target="http://www.fcc.gov/encyclopedia/low-power-fm-lpfm-channel-find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8367</Characters>
  <Application>Microsoft Office Word</Application>
  <DocSecurity>0</DocSecurity>
  <Lines>143</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9900</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2013-06-17T11:06:00Z</dcterms:created>
  <dcterms:modified xsi:type="dcterms:W3CDTF">2013-06-17T11:06:00Z</dcterms:modified>
  <cp:category> </cp:category>
  <cp:contentStatus> </cp:contentStatus>
</cp:coreProperties>
</file>