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4E" w:rsidRDefault="009E5CDC">
      <w:pPr>
        <w:jc w:val="right"/>
        <w:rPr>
          <w:b/>
        </w:rPr>
      </w:pPr>
      <w:bookmarkStart w:id="0" w:name="_GoBack"/>
      <w:bookmarkEnd w:id="0"/>
      <w:r>
        <w:rPr>
          <w:b/>
        </w:rPr>
        <w:t>DA</w:t>
      </w:r>
      <w:r w:rsidR="006B3F4E">
        <w:rPr>
          <w:b/>
        </w:rPr>
        <w:t xml:space="preserve"> 13-</w:t>
      </w:r>
      <w:r w:rsidR="00586A36">
        <w:rPr>
          <w:b/>
        </w:rPr>
        <w:t>1</w:t>
      </w:r>
      <w:r w:rsidR="00FD26FD">
        <w:rPr>
          <w:b/>
        </w:rPr>
        <w:t>38</w:t>
      </w:r>
      <w:r w:rsidR="00586A36">
        <w:rPr>
          <w:b/>
        </w:rPr>
        <w:t xml:space="preserve"> </w:t>
      </w:r>
    </w:p>
    <w:p w:rsidR="006B3F4E" w:rsidRDefault="006B3F4E">
      <w:pPr>
        <w:jc w:val="right"/>
        <w:rPr>
          <w:b/>
        </w:rPr>
      </w:pPr>
      <w:r>
        <w:rPr>
          <w:b/>
        </w:rPr>
        <w:t>Release</w:t>
      </w:r>
      <w:r w:rsidR="002107A8">
        <w:rPr>
          <w:b/>
        </w:rPr>
        <w:t xml:space="preserve"> Date</w:t>
      </w:r>
      <w:r>
        <w:rPr>
          <w:b/>
        </w:rPr>
        <w:t xml:space="preserve">:  </w:t>
      </w:r>
      <w:r w:rsidR="00FD26FD">
        <w:rPr>
          <w:b/>
        </w:rPr>
        <w:t>Feb</w:t>
      </w:r>
      <w:r w:rsidR="001E13F0">
        <w:rPr>
          <w:b/>
        </w:rPr>
        <w:t>ruary</w:t>
      </w:r>
      <w:r w:rsidR="00522665">
        <w:rPr>
          <w:b/>
        </w:rPr>
        <w:t xml:space="preserve"> 4</w:t>
      </w:r>
      <w:r>
        <w:rPr>
          <w:b/>
        </w:rPr>
        <w:t>, 2013</w:t>
      </w:r>
    </w:p>
    <w:p w:rsidR="006B3F4E" w:rsidRDefault="006B3F4E">
      <w:pPr>
        <w:spacing w:before="60"/>
        <w:jc w:val="right"/>
        <w:rPr>
          <w:b/>
        </w:rPr>
      </w:pPr>
    </w:p>
    <w:p w:rsidR="002D23AF" w:rsidRDefault="00BF121E" w:rsidP="006951C9">
      <w:pPr>
        <w:spacing w:before="31"/>
        <w:jc w:val="center"/>
        <w:rPr>
          <w:b/>
          <w:bCs/>
          <w:spacing w:val="-5"/>
        </w:rPr>
      </w:pPr>
      <w:r>
        <w:rPr>
          <w:b/>
          <w:bCs/>
          <w:spacing w:val="-5"/>
        </w:rPr>
        <w:t>OFFICE OF ENGINEE</w:t>
      </w:r>
      <w:r w:rsidR="00B364D4">
        <w:rPr>
          <w:b/>
          <w:bCs/>
          <w:spacing w:val="-5"/>
        </w:rPr>
        <w:t>R</w:t>
      </w:r>
      <w:r>
        <w:rPr>
          <w:b/>
          <w:bCs/>
          <w:spacing w:val="-5"/>
        </w:rPr>
        <w:t xml:space="preserve">ING </w:t>
      </w:r>
      <w:r w:rsidR="002D23AF">
        <w:rPr>
          <w:b/>
          <w:bCs/>
          <w:spacing w:val="-5"/>
        </w:rPr>
        <w:t>AND TECHNOLOGY</w:t>
      </w:r>
    </w:p>
    <w:p w:rsidR="002D6CDC" w:rsidRDefault="002D23AF" w:rsidP="006951C9">
      <w:pPr>
        <w:spacing w:before="31"/>
        <w:jc w:val="center"/>
        <w:rPr>
          <w:b/>
          <w:bCs/>
        </w:rPr>
      </w:pPr>
      <w:r>
        <w:rPr>
          <w:b/>
          <w:bCs/>
          <w:spacing w:val="-5"/>
        </w:rPr>
        <w:t>RELEASE</w:t>
      </w:r>
      <w:r w:rsidR="00A97BA5">
        <w:rPr>
          <w:b/>
          <w:bCs/>
          <w:spacing w:val="-5"/>
        </w:rPr>
        <w:t>S AND SEEKS COMMENT ON</w:t>
      </w:r>
      <w:r>
        <w:rPr>
          <w:b/>
          <w:bCs/>
          <w:spacing w:val="-5"/>
        </w:rPr>
        <w:t xml:space="preserve"> UPDATED OET</w:t>
      </w:r>
      <w:r w:rsidR="002D6CDC">
        <w:rPr>
          <w:b/>
          <w:bCs/>
          <w:spacing w:val="-5"/>
        </w:rPr>
        <w:t>-</w:t>
      </w:r>
      <w:r>
        <w:rPr>
          <w:b/>
          <w:bCs/>
          <w:spacing w:val="-5"/>
        </w:rPr>
        <w:t>69 SOFTWARE</w:t>
      </w:r>
      <w:r w:rsidR="006B3F4E" w:rsidRPr="006B3F4E">
        <w:rPr>
          <w:b/>
          <w:bCs/>
        </w:rPr>
        <w:t xml:space="preserve"> </w:t>
      </w:r>
    </w:p>
    <w:p w:rsidR="00D40788" w:rsidRDefault="00D40788" w:rsidP="006951C9">
      <w:pPr>
        <w:spacing w:before="31"/>
        <w:jc w:val="center"/>
        <w:rPr>
          <w:b/>
          <w:bCs/>
          <w:i/>
        </w:rPr>
      </w:pPr>
    </w:p>
    <w:p w:rsidR="002107A8" w:rsidRDefault="00240564" w:rsidP="006951C9">
      <w:pPr>
        <w:spacing w:before="31"/>
        <w:jc w:val="center"/>
        <w:rPr>
          <w:b/>
          <w:bCs/>
          <w:i/>
        </w:rPr>
      </w:pPr>
      <w:r>
        <w:rPr>
          <w:b/>
          <w:bCs/>
          <w:i/>
        </w:rPr>
        <w:t xml:space="preserve"> Comment</w:t>
      </w:r>
      <w:r w:rsidR="000C759F">
        <w:rPr>
          <w:b/>
          <w:bCs/>
          <w:i/>
        </w:rPr>
        <w:t xml:space="preserve"> </w:t>
      </w:r>
      <w:r w:rsidR="009273B4">
        <w:rPr>
          <w:b/>
          <w:bCs/>
          <w:i/>
        </w:rPr>
        <w:t>Sought on</w:t>
      </w:r>
      <w:r w:rsidR="009E5CDC">
        <w:rPr>
          <w:b/>
          <w:bCs/>
          <w:i/>
        </w:rPr>
        <w:t xml:space="preserve"> Software to be </w:t>
      </w:r>
      <w:r w:rsidR="00B9471C">
        <w:rPr>
          <w:b/>
          <w:bCs/>
          <w:i/>
        </w:rPr>
        <w:t>u</w:t>
      </w:r>
      <w:r w:rsidR="009E5CDC">
        <w:rPr>
          <w:b/>
          <w:bCs/>
          <w:i/>
        </w:rPr>
        <w:t>sed in Conjunction</w:t>
      </w:r>
    </w:p>
    <w:p w:rsidR="004B4D04" w:rsidRPr="00B944F0" w:rsidRDefault="002107A8" w:rsidP="006951C9">
      <w:pPr>
        <w:spacing w:before="31"/>
        <w:jc w:val="center"/>
        <w:rPr>
          <w:b/>
          <w:i/>
        </w:rPr>
      </w:pPr>
      <w:r>
        <w:rPr>
          <w:b/>
          <w:bCs/>
          <w:i/>
        </w:rPr>
        <w:t>W</w:t>
      </w:r>
      <w:r w:rsidR="009E5CDC">
        <w:rPr>
          <w:b/>
          <w:bCs/>
          <w:i/>
        </w:rPr>
        <w:t>ith Proposed Incentive Auction</w:t>
      </w:r>
      <w:r w:rsidR="000112AE">
        <w:rPr>
          <w:b/>
          <w:bCs/>
          <w:i/>
        </w:rPr>
        <w:t xml:space="preserve"> </w:t>
      </w:r>
    </w:p>
    <w:p w:rsidR="006B3F4E" w:rsidRDefault="006B3F4E" w:rsidP="006951C9">
      <w:pPr>
        <w:spacing w:before="13" w:line="240" w:lineRule="exact"/>
        <w:rPr>
          <w:sz w:val="24"/>
          <w:szCs w:val="24"/>
        </w:rPr>
      </w:pPr>
    </w:p>
    <w:p w:rsidR="00D40788" w:rsidRDefault="00FD26FD" w:rsidP="006951C9">
      <w:pPr>
        <w:spacing w:before="13" w:line="240" w:lineRule="exact"/>
        <w:jc w:val="center"/>
        <w:rPr>
          <w:b/>
        </w:rPr>
      </w:pPr>
      <w:r>
        <w:rPr>
          <w:b/>
        </w:rPr>
        <w:t>ET</w:t>
      </w:r>
      <w:r w:rsidR="0014350A">
        <w:rPr>
          <w:b/>
        </w:rPr>
        <w:t xml:space="preserve"> </w:t>
      </w:r>
      <w:r w:rsidR="002107A8">
        <w:rPr>
          <w:b/>
        </w:rPr>
        <w:t>Docket No. 13-</w:t>
      </w:r>
      <w:r w:rsidR="00586A36">
        <w:rPr>
          <w:b/>
        </w:rPr>
        <w:t>26</w:t>
      </w:r>
    </w:p>
    <w:p w:rsidR="002107A8" w:rsidRDefault="0014350A" w:rsidP="006951C9">
      <w:pPr>
        <w:spacing w:before="13" w:line="240" w:lineRule="exact"/>
        <w:jc w:val="center"/>
        <w:rPr>
          <w:b/>
        </w:rPr>
      </w:pPr>
      <w:r>
        <w:rPr>
          <w:b/>
        </w:rPr>
        <w:t xml:space="preserve">GN </w:t>
      </w:r>
      <w:r w:rsidR="002107A8">
        <w:rPr>
          <w:b/>
        </w:rPr>
        <w:t>Docket No. 12-268</w:t>
      </w:r>
    </w:p>
    <w:p w:rsidR="002107A8" w:rsidRDefault="002107A8" w:rsidP="006951C9">
      <w:pPr>
        <w:spacing w:before="13" w:line="240" w:lineRule="exact"/>
        <w:jc w:val="center"/>
        <w:rPr>
          <w:b/>
        </w:rPr>
      </w:pPr>
    </w:p>
    <w:p w:rsidR="002107A8" w:rsidRDefault="002107A8" w:rsidP="006951C9">
      <w:pPr>
        <w:spacing w:before="13" w:line="240" w:lineRule="exact"/>
        <w:rPr>
          <w:b/>
        </w:rPr>
      </w:pPr>
      <w:r w:rsidRPr="002107A8">
        <w:rPr>
          <w:b/>
        </w:rPr>
        <w:t xml:space="preserve">Comment Date:  </w:t>
      </w:r>
      <w:r w:rsidR="00D40788">
        <w:rPr>
          <w:b/>
        </w:rPr>
        <w:t xml:space="preserve">March </w:t>
      </w:r>
      <w:r w:rsidR="00614A09">
        <w:rPr>
          <w:b/>
        </w:rPr>
        <w:t>21</w:t>
      </w:r>
      <w:r w:rsidRPr="002107A8">
        <w:rPr>
          <w:b/>
        </w:rPr>
        <w:t>, 2013</w:t>
      </w:r>
    </w:p>
    <w:p w:rsidR="001E1805" w:rsidRPr="002107A8" w:rsidRDefault="001E1805" w:rsidP="006951C9">
      <w:pPr>
        <w:spacing w:before="13" w:line="240" w:lineRule="exact"/>
        <w:rPr>
          <w:b/>
        </w:rPr>
      </w:pPr>
      <w:r>
        <w:rPr>
          <w:b/>
        </w:rPr>
        <w:t xml:space="preserve">Reply Comment Date:  </w:t>
      </w:r>
      <w:r w:rsidR="00614A09">
        <w:rPr>
          <w:b/>
        </w:rPr>
        <w:t>April 5</w:t>
      </w:r>
      <w:r>
        <w:rPr>
          <w:b/>
        </w:rPr>
        <w:t>, 2013</w:t>
      </w:r>
    </w:p>
    <w:p w:rsidR="00D40788" w:rsidRDefault="00D40788" w:rsidP="006951C9">
      <w:pPr>
        <w:spacing w:before="13" w:line="240" w:lineRule="exact"/>
        <w:jc w:val="center"/>
        <w:rPr>
          <w:sz w:val="24"/>
          <w:szCs w:val="24"/>
        </w:rPr>
      </w:pPr>
    </w:p>
    <w:p w:rsidR="002D23AF" w:rsidRDefault="006B3F4E" w:rsidP="006951C9">
      <w:pPr>
        <w:spacing w:line="254" w:lineRule="exact"/>
        <w:ind w:firstLine="720"/>
        <w:jc w:val="both"/>
        <w:rPr>
          <w:spacing w:val="7"/>
        </w:rPr>
      </w:pPr>
      <w:r>
        <w:t xml:space="preserve">The </w:t>
      </w:r>
      <w:r w:rsidR="004B4D04">
        <w:t xml:space="preserve">FCC’s </w:t>
      </w:r>
      <w:r>
        <w:t>Office of Engineering and Technology (OET) announces t</w:t>
      </w:r>
      <w:r w:rsidR="004B4D04">
        <w:t>he</w:t>
      </w:r>
      <w:r>
        <w:t xml:space="preserve"> releas</w:t>
      </w:r>
      <w:r w:rsidR="004B4D04">
        <w:t>e</w:t>
      </w:r>
      <w:r>
        <w:t xml:space="preserve"> </w:t>
      </w:r>
      <w:r w:rsidR="004B4D04">
        <w:t xml:space="preserve">of </w:t>
      </w:r>
      <w:r w:rsidR="002D23AF">
        <w:t>new software to perform interference analyses using</w:t>
      </w:r>
      <w:r>
        <w:t xml:space="preserve"> the methodology described in its Bulletin No. 69</w:t>
      </w:r>
      <w:r>
        <w:rPr>
          <w:spacing w:val="2"/>
        </w:rPr>
        <w:t xml:space="preserve"> </w:t>
      </w:r>
      <w:r>
        <w:t>(OET-69).</w:t>
      </w:r>
      <w:r>
        <w:rPr>
          <w:rStyle w:val="FootnoteReference"/>
        </w:rPr>
        <w:footnoteReference w:id="1"/>
      </w:r>
      <w:r>
        <w:t xml:space="preserve"> </w:t>
      </w:r>
      <w:r>
        <w:rPr>
          <w:spacing w:val="7"/>
        </w:rPr>
        <w:t xml:space="preserve"> </w:t>
      </w:r>
      <w:r w:rsidR="0015603B">
        <w:t xml:space="preserve">This software, called </w:t>
      </w:r>
      <w:r w:rsidR="000C759F">
        <w:rPr>
          <w:i/>
        </w:rPr>
        <w:t>TVStudy</w:t>
      </w:r>
      <w:r w:rsidR="0015603B">
        <w:rPr>
          <w:i/>
        </w:rPr>
        <w:t>,</w:t>
      </w:r>
      <w:r w:rsidR="0015603B">
        <w:t xml:space="preserve"> provides analysis of coverage and interference of full-service digital and Class A television stations.  </w:t>
      </w:r>
      <w:r w:rsidR="000C759F">
        <w:t xml:space="preserve">The Commission </w:t>
      </w:r>
      <w:r w:rsidR="0015603B">
        <w:t xml:space="preserve">plans to use this </w:t>
      </w:r>
      <w:r w:rsidR="005F0257">
        <w:t xml:space="preserve">new </w:t>
      </w:r>
      <w:r w:rsidR="0015603B">
        <w:t xml:space="preserve">software in connection with the proposed </w:t>
      </w:r>
      <w:r w:rsidR="0015603B">
        <w:rPr>
          <w:rFonts w:ascii="TimesNewRoman" w:hAnsi="TimesNewRoman" w:cs="TimesNewRoman"/>
          <w:color w:val="010101"/>
          <w:szCs w:val="22"/>
        </w:rPr>
        <w:t>broadcast television spectrum incentive auction (</w:t>
      </w:r>
      <w:r w:rsidR="008C2F35">
        <w:t>i</w:t>
      </w:r>
      <w:r w:rsidR="0015603B">
        <w:t xml:space="preserve">ncentive </w:t>
      </w:r>
      <w:r w:rsidR="008C2F35">
        <w:t>a</w:t>
      </w:r>
      <w:r w:rsidR="0015603B">
        <w:t>uction).</w:t>
      </w:r>
      <w:r w:rsidR="0015603B">
        <w:rPr>
          <w:rStyle w:val="FootnoteReference"/>
        </w:rPr>
        <w:footnoteReference w:id="2"/>
      </w:r>
      <w:r w:rsidR="0015603B">
        <w:t xml:space="preserve"> </w:t>
      </w:r>
      <w:r w:rsidR="0015603B">
        <w:rPr>
          <w:spacing w:val="7"/>
        </w:rPr>
        <w:t xml:space="preserve"> </w:t>
      </w:r>
      <w:r w:rsidR="0015603B">
        <w:t xml:space="preserve">OET seeks comment on the software generally, </w:t>
      </w:r>
      <w:r w:rsidR="002D6CDC">
        <w:t xml:space="preserve">as well as the </w:t>
      </w:r>
      <w:r w:rsidR="0015603B">
        <w:t>identifi</w:t>
      </w:r>
      <w:r w:rsidR="002D6CDC">
        <w:t>cation of</w:t>
      </w:r>
      <w:r w:rsidR="0015603B">
        <w:t xml:space="preserve"> any errors, unexpected behaviors, or anomalous results</w:t>
      </w:r>
      <w:r w:rsidR="002D6CDC">
        <w:t xml:space="preserve"> produced in running the software</w:t>
      </w:r>
      <w:r w:rsidR="0015603B">
        <w:rPr>
          <w:spacing w:val="7"/>
        </w:rPr>
        <w:t xml:space="preserve">.  In addition, OET solicits comment </w:t>
      </w:r>
      <w:r w:rsidR="0079463E">
        <w:rPr>
          <w:spacing w:val="7"/>
        </w:rPr>
        <w:t xml:space="preserve">on </w:t>
      </w:r>
      <w:r w:rsidR="008C2F35">
        <w:rPr>
          <w:spacing w:val="7"/>
        </w:rPr>
        <w:t>the</w:t>
      </w:r>
      <w:r w:rsidR="0015603B">
        <w:rPr>
          <w:spacing w:val="7"/>
        </w:rPr>
        <w:t xml:space="preserve"> </w:t>
      </w:r>
      <w:r w:rsidR="008C2F35">
        <w:rPr>
          <w:spacing w:val="7"/>
        </w:rPr>
        <w:t>implementation of</w:t>
      </w:r>
      <w:r w:rsidR="0015603B">
        <w:rPr>
          <w:spacing w:val="7"/>
        </w:rPr>
        <w:t xml:space="preserve"> various analytical elements in the software that are not specifically </w:t>
      </w:r>
      <w:r w:rsidR="00332C80">
        <w:rPr>
          <w:spacing w:val="7"/>
        </w:rPr>
        <w:t>addressed</w:t>
      </w:r>
      <w:r w:rsidR="0015603B">
        <w:rPr>
          <w:spacing w:val="7"/>
        </w:rPr>
        <w:t xml:space="preserve"> in OET</w:t>
      </w:r>
      <w:r w:rsidR="002D6CDC">
        <w:rPr>
          <w:spacing w:val="7"/>
        </w:rPr>
        <w:t>-</w:t>
      </w:r>
      <w:r w:rsidR="0015603B">
        <w:rPr>
          <w:spacing w:val="7"/>
        </w:rPr>
        <w:t xml:space="preserve">69. </w:t>
      </w:r>
    </w:p>
    <w:p w:rsidR="002D23AF" w:rsidRDefault="002D23AF" w:rsidP="006951C9">
      <w:pPr>
        <w:spacing w:line="254" w:lineRule="exact"/>
        <w:ind w:firstLine="720"/>
        <w:jc w:val="both"/>
        <w:rPr>
          <w:spacing w:val="7"/>
        </w:rPr>
      </w:pPr>
    </w:p>
    <w:p w:rsidR="006B3F4E" w:rsidRDefault="006B3F4E" w:rsidP="006951C9">
      <w:r>
        <w:rPr>
          <w:b/>
          <w:bCs/>
        </w:rPr>
        <w:t>Background</w:t>
      </w:r>
    </w:p>
    <w:p w:rsidR="006B3F4E" w:rsidRDefault="006B3F4E" w:rsidP="006951C9">
      <w:pPr>
        <w:spacing w:before="13" w:line="240" w:lineRule="exact"/>
        <w:rPr>
          <w:sz w:val="24"/>
          <w:szCs w:val="24"/>
        </w:rPr>
      </w:pPr>
    </w:p>
    <w:p w:rsidR="00FF2ED9" w:rsidRDefault="00FF2ED9" w:rsidP="006951C9">
      <w:pPr>
        <w:spacing w:line="254" w:lineRule="exact"/>
        <w:ind w:firstLine="720"/>
        <w:jc w:val="both"/>
      </w:pPr>
      <w:r>
        <w:t xml:space="preserve">The Commission developed the </w:t>
      </w:r>
      <w:r>
        <w:rPr>
          <w:spacing w:val="7"/>
        </w:rPr>
        <w:t xml:space="preserve">software that is currently used to implement OET-69 to support the DTV transition, </w:t>
      </w:r>
      <w:r>
        <w:t xml:space="preserve">and we have subsequently used it to analyze applications to modify the DTV Table of Channel </w:t>
      </w:r>
      <w:r w:rsidR="0079463E">
        <w:t>A</w:t>
      </w:r>
      <w:r>
        <w:t xml:space="preserve">llotments.  As such, the software programs developed by the FCC for those purposes are based fundamentally on source code and data from the 1990s and earlier.  Since that time, some of the underlying datasets have evolved or have been replaced.  In addition, parties have gained sufficient experience to have offered FCC staff informal feedback on the existing programs’ relative strengths and weaknesses.  </w:t>
      </w:r>
    </w:p>
    <w:p w:rsidR="00FF2ED9" w:rsidRDefault="00FF2ED9" w:rsidP="006951C9">
      <w:pPr>
        <w:spacing w:line="254" w:lineRule="exact"/>
        <w:ind w:firstLine="720"/>
        <w:jc w:val="both"/>
      </w:pPr>
    </w:p>
    <w:p w:rsidR="00FF2ED9" w:rsidRDefault="00FF2ED9" w:rsidP="006951C9">
      <w:pPr>
        <w:spacing w:line="254" w:lineRule="exact"/>
        <w:ind w:firstLine="720"/>
        <w:jc w:val="both"/>
      </w:pPr>
      <w:r>
        <w:t xml:space="preserve">It is with these matters in mind that we have developed the </w:t>
      </w:r>
      <w:r>
        <w:rPr>
          <w:i/>
        </w:rPr>
        <w:t>TVStudy</w:t>
      </w:r>
      <w:r>
        <w:t xml:space="preserve"> software.</w:t>
      </w:r>
      <w:r>
        <w:rPr>
          <w:spacing w:val="7"/>
        </w:rPr>
        <w:t xml:space="preserve">  The new software operates on modern computer systems, and it runs much faster, </w:t>
      </w:r>
      <w:r w:rsidR="00D24306">
        <w:rPr>
          <w:spacing w:val="7"/>
        </w:rPr>
        <w:t>provides greater</w:t>
      </w:r>
      <w:r>
        <w:rPr>
          <w:spacing w:val="7"/>
        </w:rPr>
        <w:t xml:space="preserve"> accura</w:t>
      </w:r>
      <w:r w:rsidR="00D24306">
        <w:rPr>
          <w:spacing w:val="7"/>
        </w:rPr>
        <w:t>cy in modeling and analysis</w:t>
      </w:r>
      <w:r>
        <w:rPr>
          <w:spacing w:val="7"/>
        </w:rPr>
        <w:t xml:space="preserve">, and is easier to use and more versatile than the existing software.  In </w:t>
      </w:r>
      <w:r>
        <w:rPr>
          <w:spacing w:val="7"/>
        </w:rPr>
        <w:lastRenderedPageBreak/>
        <w:t xml:space="preserve">addition, the </w:t>
      </w:r>
      <w:r w:rsidRPr="00E7655C">
        <w:rPr>
          <w:i/>
          <w:spacing w:val="7"/>
        </w:rPr>
        <w:t>TVStudy</w:t>
      </w:r>
      <w:r>
        <w:rPr>
          <w:spacing w:val="7"/>
        </w:rPr>
        <w:t xml:space="preserve"> software will allow us to perform the types of analyses that are needed to support the </w:t>
      </w:r>
      <w:r w:rsidR="00011C3C">
        <w:rPr>
          <w:spacing w:val="7"/>
        </w:rPr>
        <w:t xml:space="preserve">proposed </w:t>
      </w:r>
      <w:r w:rsidR="00A449C6">
        <w:rPr>
          <w:spacing w:val="7"/>
        </w:rPr>
        <w:t>i</w:t>
      </w:r>
      <w:r>
        <w:rPr>
          <w:spacing w:val="7"/>
        </w:rPr>
        <w:t xml:space="preserve">ncentive </w:t>
      </w:r>
      <w:r w:rsidR="00A449C6">
        <w:rPr>
          <w:spacing w:val="7"/>
        </w:rPr>
        <w:t>a</w:t>
      </w:r>
      <w:r>
        <w:rPr>
          <w:spacing w:val="7"/>
        </w:rPr>
        <w:t>uction.</w:t>
      </w:r>
      <w:r>
        <w:rPr>
          <w:rStyle w:val="FootnoteReference"/>
          <w:spacing w:val="7"/>
        </w:rPr>
        <w:footnoteReference w:id="3"/>
      </w:r>
      <w:r>
        <w:rPr>
          <w:spacing w:val="7"/>
        </w:rPr>
        <w:t xml:space="preserve"> </w:t>
      </w:r>
    </w:p>
    <w:p w:rsidR="00FF2ED9" w:rsidRDefault="00FF2ED9" w:rsidP="006951C9">
      <w:pPr>
        <w:spacing w:before="13" w:line="240" w:lineRule="exact"/>
        <w:rPr>
          <w:sz w:val="24"/>
          <w:szCs w:val="24"/>
        </w:rPr>
      </w:pPr>
    </w:p>
    <w:p w:rsidR="006B3F4E" w:rsidRDefault="00F71BFD" w:rsidP="006951C9">
      <w:pPr>
        <w:spacing w:line="238" w:lineRule="auto"/>
        <w:ind w:firstLine="720"/>
        <w:jc w:val="both"/>
      </w:pPr>
      <w:r>
        <w:t xml:space="preserve">An important component of the proposed </w:t>
      </w:r>
      <w:r w:rsidR="00A449C6">
        <w:t>i</w:t>
      </w:r>
      <w:r>
        <w:t xml:space="preserve">ncentive </w:t>
      </w:r>
      <w:r w:rsidR="00A449C6">
        <w:t>a</w:t>
      </w:r>
      <w:r>
        <w:t xml:space="preserve">uction is </w:t>
      </w:r>
      <w:r w:rsidR="009E5CDC">
        <w:t xml:space="preserve">the </w:t>
      </w:r>
      <w:r w:rsidR="005A1161">
        <w:t xml:space="preserve">repacking </w:t>
      </w:r>
      <w:r w:rsidR="009E5CDC">
        <w:t xml:space="preserve">of </w:t>
      </w:r>
      <w:r>
        <w:t>broadcast television station</w:t>
      </w:r>
      <w:r w:rsidR="009E5CDC">
        <w:t>s</w:t>
      </w:r>
      <w:r w:rsidR="005F0257">
        <w:t>, including the potential reassignment of stations</w:t>
      </w:r>
      <w:r>
        <w:t xml:space="preserve"> </w:t>
      </w:r>
      <w:r w:rsidR="009E5CDC">
        <w:t xml:space="preserve">to </w:t>
      </w:r>
      <w:r>
        <w:t xml:space="preserve">new </w:t>
      </w:r>
      <w:r w:rsidR="004F4AEB">
        <w:t xml:space="preserve">operating </w:t>
      </w:r>
      <w:r>
        <w:t>channel</w:t>
      </w:r>
      <w:r w:rsidR="004F4AEB">
        <w:t>s</w:t>
      </w:r>
      <w:r>
        <w:t xml:space="preserve">.  </w:t>
      </w:r>
      <w:r w:rsidR="006B3F4E">
        <w:t xml:space="preserve">The </w:t>
      </w:r>
      <w:r w:rsidR="004B4D04" w:rsidRPr="004B4D04">
        <w:t>Middle Class Tax Relief and Job Creation Act of 2012</w:t>
      </w:r>
      <w:r w:rsidR="006B3F4E">
        <w:t xml:space="preserve"> </w:t>
      </w:r>
      <w:r w:rsidR="00575E5C">
        <w:t xml:space="preserve">(Spectrum Act) </w:t>
      </w:r>
      <w:r w:rsidR="006B3F4E">
        <w:t>requires the Commission to “make all reasonable efforts to preserve, as of the date of the enactment of this Act, the coverage area and population served of each broadcast television licensee, as determined using the methodology described in OET Bulletin 69 of the Office of Engineering and Technology.”</w:t>
      </w:r>
      <w:r w:rsidR="00B83264">
        <w:rPr>
          <w:rStyle w:val="FootnoteReference"/>
        </w:rPr>
        <w:footnoteReference w:id="4"/>
      </w:r>
      <w:r w:rsidR="006B3F4E">
        <w:t xml:space="preserve">  OET</w:t>
      </w:r>
      <w:r w:rsidR="00B83264">
        <w:t>-</w:t>
      </w:r>
      <w:r w:rsidR="006B3F4E">
        <w:t xml:space="preserve">69 describes a methodology </w:t>
      </w:r>
      <w:r w:rsidR="00B83264">
        <w:t>that divides</w:t>
      </w:r>
      <w:r w:rsidR="006B3F4E">
        <w:t xml:space="preserve"> the area within a digital television station’s noise-limited coverage contour into approximately rectangular “grid cells,” </w:t>
      </w:r>
      <w:r w:rsidR="00B83264">
        <w:t xml:space="preserve">and </w:t>
      </w:r>
      <w:r w:rsidR="006B3F4E">
        <w:t>then evaluate</w:t>
      </w:r>
      <w:r w:rsidR="00B83264">
        <w:t>s these cells</w:t>
      </w:r>
      <w:r w:rsidR="006B3F4E">
        <w:t xml:space="preserve"> for coverage and, </w:t>
      </w:r>
      <w:r w:rsidR="006F6F81">
        <w:t>where present</w:t>
      </w:r>
      <w:r w:rsidR="007969E5">
        <w:t>,</w:t>
      </w:r>
      <w:r w:rsidR="006B3F4E">
        <w:t xml:space="preserve"> interference.  The Commission’s </w:t>
      </w:r>
      <w:r w:rsidR="00B83264" w:rsidRPr="00034575">
        <w:rPr>
          <w:i/>
        </w:rPr>
        <w:t xml:space="preserve">Incentive Auction </w:t>
      </w:r>
      <w:r w:rsidR="00B83264" w:rsidRPr="00D10877">
        <w:rPr>
          <w:i/>
        </w:rPr>
        <w:t>NPRM</w:t>
      </w:r>
      <w:r w:rsidR="006B3F4E">
        <w:t xml:space="preserve"> proposes to define </w:t>
      </w:r>
      <w:r w:rsidR="006F6F81">
        <w:t xml:space="preserve">the </w:t>
      </w:r>
      <w:r w:rsidR="006B3F4E">
        <w:t xml:space="preserve">“coverage area” </w:t>
      </w:r>
      <w:r w:rsidR="006F6F81">
        <w:t>of</w:t>
      </w:r>
      <w:r w:rsidR="006B3F4E">
        <w:t xml:space="preserve"> full-power stations as the geographic area within a station’s noise-limited contour where its signal strength is predicted to exceed the noise-limited service level, both </w:t>
      </w:r>
      <w:r w:rsidR="00801D44">
        <w:t xml:space="preserve">levels </w:t>
      </w:r>
      <w:r w:rsidR="006B3F4E">
        <w:t>calculated on an F(50,90) basis.</w:t>
      </w:r>
      <w:r w:rsidR="00B83264">
        <w:rPr>
          <w:rStyle w:val="FootnoteReference"/>
        </w:rPr>
        <w:footnoteReference w:id="5"/>
      </w:r>
      <w:r w:rsidR="006B3F4E">
        <w:t xml:space="preserve">  Similarly, the </w:t>
      </w:r>
      <w:r w:rsidR="00B83264" w:rsidRPr="00034575">
        <w:rPr>
          <w:i/>
        </w:rPr>
        <w:t>Incentive Auction</w:t>
      </w:r>
      <w:r w:rsidR="00B83264" w:rsidRPr="00B83264">
        <w:t xml:space="preserve"> </w:t>
      </w:r>
      <w:r w:rsidR="00B83264" w:rsidRPr="00FF3E3D">
        <w:rPr>
          <w:i/>
        </w:rPr>
        <w:t>NPRM</w:t>
      </w:r>
      <w:r w:rsidR="00B83264" w:rsidDel="00B83264">
        <w:t xml:space="preserve"> </w:t>
      </w:r>
      <w:r w:rsidR="006B3F4E">
        <w:t xml:space="preserve">proposes to define the “coverage area” for Class A stations as the geographic area within a station’s protected contour where its signal strength is predicted to exceed the protected service level, both </w:t>
      </w:r>
      <w:r w:rsidR="00801D44">
        <w:t xml:space="preserve">levels </w:t>
      </w:r>
      <w:r w:rsidR="006B3F4E">
        <w:t>calculated on an F(50,90) basis.</w:t>
      </w:r>
      <w:r w:rsidR="00B83264">
        <w:rPr>
          <w:rStyle w:val="FootnoteReference"/>
        </w:rPr>
        <w:footnoteReference w:id="6"/>
      </w:r>
    </w:p>
    <w:p w:rsidR="006B3F4E" w:rsidRDefault="006B3F4E" w:rsidP="006951C9">
      <w:pPr>
        <w:spacing w:line="238" w:lineRule="auto"/>
        <w:ind w:firstLine="720"/>
        <w:jc w:val="both"/>
      </w:pPr>
    </w:p>
    <w:p w:rsidR="006B3F4E" w:rsidRDefault="006B3F4E" w:rsidP="006951C9">
      <w:pPr>
        <w:spacing w:line="238" w:lineRule="auto"/>
        <w:ind w:firstLine="720"/>
        <w:jc w:val="both"/>
      </w:pPr>
      <w:r>
        <w:t xml:space="preserve">The </w:t>
      </w:r>
      <w:r w:rsidR="00B83264" w:rsidRPr="00034575">
        <w:rPr>
          <w:i/>
        </w:rPr>
        <w:t>Incentive Auction</w:t>
      </w:r>
      <w:r w:rsidR="00B83264" w:rsidRPr="00B83264">
        <w:t xml:space="preserve"> </w:t>
      </w:r>
      <w:r w:rsidR="00B83264" w:rsidRPr="00FF3E3D">
        <w:rPr>
          <w:i/>
        </w:rPr>
        <w:t>NPRM</w:t>
      </w:r>
      <w:r w:rsidR="00B83264" w:rsidDel="00B83264">
        <w:t xml:space="preserve"> </w:t>
      </w:r>
      <w:r>
        <w:t xml:space="preserve">also proposes to define </w:t>
      </w:r>
      <w:r w:rsidR="00801D44">
        <w:t xml:space="preserve">the </w:t>
      </w:r>
      <w:r>
        <w:t xml:space="preserve">“population served” by full-power stations as the population within a station’s noise-limited contour where its signal strength is predicted to exceed the noise-limited service level on an F(50,90) basis and </w:t>
      </w:r>
      <w:r w:rsidR="005F0257">
        <w:t xml:space="preserve">is </w:t>
      </w:r>
      <w:r>
        <w:t>not subject to predicted interference from other stations, using the protection ratios specified in OET</w:t>
      </w:r>
      <w:r w:rsidR="00B83264">
        <w:t>-</w:t>
      </w:r>
      <w:r>
        <w:t>69 and the rules.</w:t>
      </w:r>
      <w:r w:rsidR="00B83264">
        <w:rPr>
          <w:rStyle w:val="FootnoteReference"/>
        </w:rPr>
        <w:footnoteReference w:id="7"/>
      </w:r>
      <w:r>
        <w:t xml:space="preserve">  Similarly, the </w:t>
      </w:r>
      <w:r w:rsidR="009E5CDC" w:rsidRPr="00034575">
        <w:rPr>
          <w:i/>
        </w:rPr>
        <w:t>Incentive Auction</w:t>
      </w:r>
      <w:r w:rsidR="009E5CDC" w:rsidRPr="00B83264">
        <w:t xml:space="preserve"> </w:t>
      </w:r>
      <w:r w:rsidR="009E5CDC" w:rsidRPr="00FF3E3D">
        <w:rPr>
          <w:i/>
        </w:rPr>
        <w:t>NPRM</w:t>
      </w:r>
      <w:r w:rsidR="009E5CDC" w:rsidDel="00B83264">
        <w:t xml:space="preserve"> </w:t>
      </w:r>
      <w:r>
        <w:t xml:space="preserve">proposes to define the “population served” by Class A stations as the population within a station’s protected contour where its signal strength is predicted to exceed the protected service level on an F(50,90) basis and </w:t>
      </w:r>
      <w:r w:rsidR="005F0257">
        <w:t xml:space="preserve">is </w:t>
      </w:r>
      <w:r>
        <w:t>not subject to predicted interference from other stations, using the protection ratios specified in OET</w:t>
      </w:r>
      <w:r w:rsidR="00B83264">
        <w:t>-</w:t>
      </w:r>
      <w:r>
        <w:t>69 and the rules.</w:t>
      </w:r>
      <w:r w:rsidR="00B83264">
        <w:rPr>
          <w:rStyle w:val="FootnoteReference"/>
        </w:rPr>
        <w:footnoteReference w:id="8"/>
      </w:r>
      <w:r w:rsidR="00A449C6">
        <w:t xml:space="preserve">  </w:t>
      </w:r>
    </w:p>
    <w:p w:rsidR="006B3F4E" w:rsidRDefault="006B3F4E" w:rsidP="006951C9">
      <w:pPr>
        <w:spacing w:line="238" w:lineRule="auto"/>
        <w:ind w:firstLine="720"/>
        <w:jc w:val="both"/>
      </w:pPr>
    </w:p>
    <w:p w:rsidR="006B3F4E" w:rsidRDefault="006B3F4E" w:rsidP="006951C9">
      <w:pPr>
        <w:spacing w:line="238" w:lineRule="auto"/>
        <w:ind w:firstLine="720"/>
        <w:jc w:val="both"/>
      </w:pPr>
      <w:r>
        <w:t>OET</w:t>
      </w:r>
      <w:r w:rsidR="00B83264">
        <w:t>-</w:t>
      </w:r>
      <w:r>
        <w:t xml:space="preserve">69 defines </w:t>
      </w:r>
      <w:r w:rsidR="00AD2738">
        <w:t>certain</w:t>
      </w:r>
      <w:r>
        <w:t xml:space="preserve"> parameter values </w:t>
      </w:r>
      <w:r w:rsidR="00AD2738">
        <w:t>for</w:t>
      </w:r>
      <w:r>
        <w:t xml:space="preserve"> </w:t>
      </w:r>
      <w:r w:rsidR="00AD2738">
        <w:t xml:space="preserve">programmers to use when developing the </w:t>
      </w:r>
      <w:r>
        <w:t xml:space="preserve">software </w:t>
      </w:r>
      <w:r w:rsidR="00AD2738">
        <w:t xml:space="preserve">to </w:t>
      </w:r>
      <w:r>
        <w:t xml:space="preserve">implement </w:t>
      </w:r>
      <w:r w:rsidR="00AD2738">
        <w:t>OET-69’s</w:t>
      </w:r>
      <w:r>
        <w:t xml:space="preserve"> methodology.  In particular, Table 4 </w:t>
      </w:r>
      <w:r w:rsidR="005F0257">
        <w:t xml:space="preserve">of OET-69 </w:t>
      </w:r>
      <w:r>
        <w:t>lists parameter values used by the Fortran Code</w:t>
      </w:r>
      <w:r w:rsidR="00F72633">
        <w:t xml:space="preserve"> for the Longley-Rice (L-R) radio signal propagation model used in the </w:t>
      </w:r>
      <w:r w:rsidR="005F0257">
        <w:t xml:space="preserve">implementing </w:t>
      </w:r>
      <w:r w:rsidR="00F72633">
        <w:t>software</w:t>
      </w:r>
      <w:r>
        <w:t xml:space="preserve">, Tables 5A and 5B list the D/U ratios to be used in predicting interference, Table 6 describes the performance of the assumed receiving antennas, and Table 8 describes the elevation-plane performance of the assumed transmitting antennas.  The foregoing is not an exhaustive list; </w:t>
      </w:r>
      <w:r w:rsidR="00B83264">
        <w:t xml:space="preserve">OET-69 provides </w:t>
      </w:r>
      <w:r>
        <w:t>additional definitions and guidance.  OET</w:t>
      </w:r>
      <w:r w:rsidR="00B83264">
        <w:t>-</w:t>
      </w:r>
      <w:r>
        <w:t xml:space="preserve">69 does not, however, specify all of the parameters and methods required </w:t>
      </w:r>
      <w:r w:rsidR="0084011E">
        <w:t>when developing software to implement OET-69’s methodology</w:t>
      </w:r>
      <w:r>
        <w:t xml:space="preserve">.  </w:t>
      </w:r>
      <w:r w:rsidR="00B83264">
        <w:t xml:space="preserve">The choices </w:t>
      </w:r>
      <w:r w:rsidR="005A1161">
        <w:t xml:space="preserve">made </w:t>
      </w:r>
      <w:r>
        <w:t>in implementing the method</w:t>
      </w:r>
      <w:r w:rsidR="00F71BFD">
        <w:t>ology</w:t>
      </w:r>
      <w:r>
        <w:t xml:space="preserve"> of OET</w:t>
      </w:r>
      <w:r w:rsidR="00F71BFD">
        <w:t>-</w:t>
      </w:r>
      <w:r>
        <w:t xml:space="preserve">69 can produce different results, and such differences can affect </w:t>
      </w:r>
      <w:r w:rsidR="0079463E">
        <w:t xml:space="preserve">a </w:t>
      </w:r>
      <w:r>
        <w:t xml:space="preserve">station’s coverage area and population served.  </w:t>
      </w:r>
      <w:r w:rsidR="00D24306">
        <w:t xml:space="preserve">By making the new </w:t>
      </w:r>
      <w:r w:rsidR="00D24306">
        <w:rPr>
          <w:i/>
        </w:rPr>
        <w:t>TVStudy</w:t>
      </w:r>
      <w:r w:rsidR="00D24306">
        <w:t xml:space="preserve"> software </w:t>
      </w:r>
      <w:r w:rsidR="00AD2738">
        <w:t>as well as</w:t>
      </w:r>
      <w:r>
        <w:t xml:space="preserve"> reference copies of the various databases necessary to run that software</w:t>
      </w:r>
      <w:r w:rsidR="00D24306">
        <w:t xml:space="preserve"> available to the public, we provide a means for implementing the OET-69 methodology that </w:t>
      </w:r>
      <w:r w:rsidR="0079463E">
        <w:t>ensures</w:t>
      </w:r>
      <w:r w:rsidR="00D24306">
        <w:t xml:space="preserve"> consistency in the results obtained by the Commission and interested parties</w:t>
      </w:r>
      <w:r>
        <w:t xml:space="preserve">.  </w:t>
      </w:r>
    </w:p>
    <w:p w:rsidR="006B3F4E" w:rsidRDefault="006B3F4E" w:rsidP="006951C9">
      <w:pPr>
        <w:spacing w:line="238" w:lineRule="auto"/>
        <w:ind w:firstLine="720"/>
        <w:jc w:val="both"/>
      </w:pPr>
    </w:p>
    <w:p w:rsidR="006B3F4E" w:rsidRDefault="000C759F" w:rsidP="006951C9">
      <w:pPr>
        <w:spacing w:before="66"/>
        <w:ind w:firstLine="810"/>
      </w:pPr>
      <w:r>
        <w:rPr>
          <w:b/>
          <w:bCs/>
          <w:i/>
        </w:rPr>
        <w:t>TVStudy</w:t>
      </w:r>
      <w:r w:rsidR="006B3F4E">
        <w:rPr>
          <w:b/>
          <w:bCs/>
        </w:rPr>
        <w:t xml:space="preserve"> Software</w:t>
      </w:r>
    </w:p>
    <w:p w:rsidR="006B3F4E" w:rsidRDefault="006B3F4E" w:rsidP="006951C9">
      <w:pPr>
        <w:spacing w:before="12" w:line="240" w:lineRule="exact"/>
        <w:rPr>
          <w:sz w:val="24"/>
          <w:szCs w:val="24"/>
        </w:rPr>
      </w:pPr>
    </w:p>
    <w:p w:rsidR="006B3F4E" w:rsidRDefault="006B3F4E" w:rsidP="006951C9">
      <w:pPr>
        <w:spacing w:line="238" w:lineRule="auto"/>
        <w:ind w:firstLine="720"/>
        <w:jc w:val="both"/>
      </w:pPr>
      <w:r>
        <w:t>The</w:t>
      </w:r>
      <w:r w:rsidR="00132633">
        <w:t xml:space="preserve"> new</w:t>
      </w:r>
      <w:r>
        <w:t xml:space="preserve"> </w:t>
      </w:r>
      <w:r w:rsidR="000C759F">
        <w:rPr>
          <w:i/>
        </w:rPr>
        <w:t>TVStudy</w:t>
      </w:r>
      <w:r>
        <w:t xml:space="preserve"> software is </w:t>
      </w:r>
      <w:r w:rsidR="000E76A4">
        <w:t xml:space="preserve">designed </w:t>
      </w:r>
      <w:r w:rsidR="00132633">
        <w:t>for making rapid coverage and interference calculations involving many stations and provides highly-detailed outputs.  It is</w:t>
      </w:r>
      <w:r>
        <w:t xml:space="preserve"> intuitive in its operation and rapidly produce</w:t>
      </w:r>
      <w:r w:rsidR="00132633">
        <w:t>s</w:t>
      </w:r>
      <w:r>
        <w:t xml:space="preserve"> useful results.  It has been developed</w:t>
      </w:r>
      <w:r w:rsidR="000E76A4">
        <w:t xml:space="preserve"> in two parts:</w:t>
      </w:r>
      <w:r>
        <w:t xml:space="preserve"> </w:t>
      </w:r>
      <w:r w:rsidR="00FD472F">
        <w:t xml:space="preserve"> </w:t>
      </w:r>
      <w:r w:rsidR="00816BB5">
        <w:t xml:space="preserve">1) </w:t>
      </w:r>
      <w:r>
        <w:t xml:space="preserve">a graphical user interface (implemented in </w:t>
      </w:r>
      <w:r w:rsidR="00D442AD" w:rsidRPr="007F0520">
        <w:t>J</w:t>
      </w:r>
      <w:r w:rsidRPr="005978C6">
        <w:t>ava</w:t>
      </w:r>
      <w:r>
        <w:t xml:space="preserve">), used to </w:t>
      </w:r>
      <w:r w:rsidR="000E76A4">
        <w:t>establish</w:t>
      </w:r>
      <w:r>
        <w:t xml:space="preserve"> the parameters of the study and which draws data from appropriate databases</w:t>
      </w:r>
      <w:r w:rsidR="009A3DDA">
        <w:t>;</w:t>
      </w:r>
      <w:r>
        <w:t xml:space="preserve"> and </w:t>
      </w:r>
      <w:r w:rsidR="00816BB5">
        <w:t xml:space="preserve">2) </w:t>
      </w:r>
      <w:r>
        <w:t xml:space="preserve">an analysis engine (implemented in </w:t>
      </w:r>
      <w:r w:rsidRPr="00034575">
        <w:t>C</w:t>
      </w:r>
      <w:r>
        <w:t>), which makes the necessary calculations to establish coverage and i</w:t>
      </w:r>
      <w:r w:rsidR="000C759F">
        <w:t>nterference</w:t>
      </w:r>
      <w:r>
        <w:t xml:space="preserve">.  The outputs include both summaries of area and population by station, and detailed signal level predictions by cell. </w:t>
      </w:r>
    </w:p>
    <w:p w:rsidR="00A449C6" w:rsidRDefault="00A449C6" w:rsidP="006951C9">
      <w:pPr>
        <w:spacing w:line="238" w:lineRule="auto"/>
        <w:ind w:firstLine="720"/>
        <w:jc w:val="both"/>
      </w:pPr>
    </w:p>
    <w:p w:rsidR="00A449C6" w:rsidRDefault="00A449C6" w:rsidP="006951C9">
      <w:pPr>
        <w:spacing w:line="238" w:lineRule="auto"/>
        <w:ind w:firstLine="720"/>
        <w:jc w:val="both"/>
      </w:pPr>
      <w:r>
        <w:t xml:space="preserve">We are interested in feedback that discusses the capabilities of the </w:t>
      </w:r>
      <w:r>
        <w:rPr>
          <w:i/>
        </w:rPr>
        <w:t>TVStudy</w:t>
      </w:r>
      <w:r>
        <w:t xml:space="preserve"> software to support the incentive auction and to implement whatever decisions are made in the rulemaking proceeding.  For example, one of the options discussed in the </w:t>
      </w:r>
      <w:r w:rsidRPr="00034575">
        <w:rPr>
          <w:i/>
        </w:rPr>
        <w:t>Incentive Auction NPRM</w:t>
      </w:r>
      <w:r>
        <w:t xml:space="preserve"> requires identifying specific populations presently subject to interference so that new interference is not created.</w:t>
      </w:r>
      <w:r>
        <w:rPr>
          <w:rStyle w:val="FootnoteReference"/>
        </w:rPr>
        <w:footnoteReference w:id="9"/>
      </w:r>
      <w:r>
        <w:t xml:space="preserve">  As a practical matter, such an approach requires maintaining a database of interference status at the cell level.  The present software implementing OET-69 that the Commission uses for processing applications for new TV stations and modifications to existing stations does not support creation of such a database.  The present software was designed for processing individual applications rather than the concurrent study of complete, nationwide assignments.  We also seek comment on the new software generally as a tool for analyzing the service area coverage, population served, and interference received by broadcast television stations</w:t>
      </w:r>
      <w:r w:rsidR="00220D92">
        <w:t>.</w:t>
      </w:r>
      <w:r>
        <w:t xml:space="preserve"> </w:t>
      </w:r>
    </w:p>
    <w:p w:rsidR="006B3F4E" w:rsidRDefault="006B3F4E" w:rsidP="006951C9">
      <w:pPr>
        <w:spacing w:line="238" w:lineRule="auto"/>
        <w:ind w:firstLine="720"/>
        <w:jc w:val="both"/>
      </w:pPr>
    </w:p>
    <w:p w:rsidR="00B03C7F" w:rsidRDefault="006B3F4E" w:rsidP="006951C9">
      <w:pPr>
        <w:spacing w:line="238" w:lineRule="auto"/>
        <w:ind w:firstLine="720"/>
        <w:jc w:val="both"/>
      </w:pPr>
      <w:r>
        <w:t xml:space="preserve">In developing </w:t>
      </w:r>
      <w:r w:rsidR="00FD472F">
        <w:t xml:space="preserve">the </w:t>
      </w:r>
      <w:r w:rsidR="000C759F">
        <w:rPr>
          <w:i/>
        </w:rPr>
        <w:t>TVStudy</w:t>
      </w:r>
      <w:r w:rsidR="009A3DDA">
        <w:t xml:space="preserve"> software</w:t>
      </w:r>
      <w:r>
        <w:t xml:space="preserve">, </w:t>
      </w:r>
      <w:r w:rsidR="00B03C7F">
        <w:t xml:space="preserve">we </w:t>
      </w:r>
      <w:r w:rsidR="0084011E">
        <w:t xml:space="preserve">have </w:t>
      </w:r>
      <w:r w:rsidR="00B03C7F">
        <w:t xml:space="preserve">identified </w:t>
      </w:r>
      <w:r w:rsidR="00365BF3">
        <w:t xml:space="preserve">various </w:t>
      </w:r>
      <w:r w:rsidR="00B03C7F">
        <w:t xml:space="preserve">parameter choices </w:t>
      </w:r>
      <w:r w:rsidR="002347CA">
        <w:t xml:space="preserve">consistent with but </w:t>
      </w:r>
      <w:r w:rsidR="00B03C7F">
        <w:t xml:space="preserve">not specified in OET-69 that we believe </w:t>
      </w:r>
      <w:r w:rsidR="002347CA">
        <w:t xml:space="preserve">are necessary for </w:t>
      </w:r>
      <w:r w:rsidR="00B03C7F">
        <w:t xml:space="preserve">improved accuracy in </w:t>
      </w:r>
      <w:r w:rsidR="00112464">
        <w:t xml:space="preserve">our modeling and analysis.  </w:t>
      </w:r>
      <w:r w:rsidR="0084011E">
        <w:t>W</w:t>
      </w:r>
      <w:r w:rsidR="00B03C7F">
        <w:t>e incorporated</w:t>
      </w:r>
      <w:r>
        <w:t xml:space="preserve"> “soft-switches” </w:t>
      </w:r>
      <w:r w:rsidR="00B03C7F">
        <w:t xml:space="preserve">into the </w:t>
      </w:r>
      <w:r w:rsidR="000C759F">
        <w:rPr>
          <w:i/>
        </w:rPr>
        <w:t>TVStudy</w:t>
      </w:r>
      <w:r w:rsidR="00B03C7F">
        <w:rPr>
          <w:i/>
        </w:rPr>
        <w:t xml:space="preserve"> </w:t>
      </w:r>
      <w:r w:rsidR="00B03C7F">
        <w:t>software</w:t>
      </w:r>
      <w:r>
        <w:t xml:space="preserve"> to permit the user to </w:t>
      </w:r>
      <w:r w:rsidR="00B03C7F">
        <w:t>evaluate</w:t>
      </w:r>
      <w:r>
        <w:t xml:space="preserve"> the effect</w:t>
      </w:r>
      <w:r w:rsidR="00B03C7F">
        <w:t>s</w:t>
      </w:r>
      <w:r>
        <w:t xml:space="preserve"> of </w:t>
      </w:r>
      <w:r w:rsidR="00B03C7F">
        <w:t xml:space="preserve">the different </w:t>
      </w:r>
      <w:r w:rsidR="0084011E">
        <w:t>choices</w:t>
      </w:r>
      <w:r>
        <w:t xml:space="preserve">.  </w:t>
      </w:r>
      <w:r w:rsidR="00B03C7F">
        <w:t>We note that the d</w:t>
      </w:r>
      <w:r>
        <w:t xml:space="preserve">ifferent parameter choices may yield results for both coverage and interference different from legacy versions of software </w:t>
      </w:r>
      <w:r w:rsidR="00B03C7F">
        <w:t xml:space="preserve">that have been </w:t>
      </w:r>
      <w:r>
        <w:t xml:space="preserve">used </w:t>
      </w:r>
      <w:r w:rsidR="00B03C7F">
        <w:t>in the past.</w:t>
      </w:r>
    </w:p>
    <w:p w:rsidR="00B03C7F" w:rsidRDefault="00B03C7F" w:rsidP="006951C9">
      <w:pPr>
        <w:spacing w:line="238" w:lineRule="auto"/>
        <w:ind w:firstLine="720"/>
        <w:jc w:val="both"/>
      </w:pPr>
    </w:p>
    <w:p w:rsidR="006B3F4E" w:rsidRDefault="00B03C7F" w:rsidP="006951C9">
      <w:pPr>
        <w:spacing w:line="238" w:lineRule="auto"/>
        <w:ind w:firstLine="720"/>
        <w:jc w:val="both"/>
      </w:pPr>
      <w:r w:rsidRPr="00B03C7F">
        <w:t xml:space="preserve"> </w:t>
      </w:r>
      <w:r>
        <w:t xml:space="preserve">In conducting the </w:t>
      </w:r>
      <w:r w:rsidR="00D24306">
        <w:t>proposed i</w:t>
      </w:r>
      <w:r>
        <w:t xml:space="preserve">ncentive </w:t>
      </w:r>
      <w:r w:rsidR="00D24306">
        <w:t>a</w:t>
      </w:r>
      <w:r>
        <w:t xml:space="preserve">uction, </w:t>
      </w:r>
      <w:r w:rsidR="00D45E8D">
        <w:t>an important objective is that we</w:t>
      </w:r>
      <w:r>
        <w:t xml:space="preserve"> use software with improved accuracy and that makes use of the best available data</w:t>
      </w:r>
      <w:r w:rsidR="00816BB5">
        <w:t xml:space="preserve"> to compute estimates of </w:t>
      </w:r>
      <w:r w:rsidR="005804A8" w:rsidRPr="005804A8">
        <w:t>the coverage area and population served of each broadcast television licensee</w:t>
      </w:r>
      <w:r w:rsidR="00575E5C">
        <w:t xml:space="preserve"> consistent with the provisions of the Spectrum Act</w:t>
      </w:r>
      <w:r>
        <w:t xml:space="preserve">.  To that end, we solicit feedback from stakeholders, experts, and others </w:t>
      </w:r>
      <w:r w:rsidR="008C2F35">
        <w:t>on the</w:t>
      </w:r>
      <w:r>
        <w:t xml:space="preserve"> implement</w:t>
      </w:r>
      <w:r w:rsidR="008C2F35">
        <w:t>ation of</w:t>
      </w:r>
      <w:r>
        <w:t xml:space="preserve"> the </w:t>
      </w:r>
      <w:r w:rsidR="000C759F">
        <w:rPr>
          <w:i/>
        </w:rPr>
        <w:t>TVStudy</w:t>
      </w:r>
      <w:r w:rsidR="00586773">
        <w:t xml:space="preserve"> software</w:t>
      </w:r>
      <w:r w:rsidR="006B3F4E">
        <w:t xml:space="preserve">.  </w:t>
      </w:r>
      <w:r w:rsidR="00365BF3">
        <w:t xml:space="preserve">Specifically, we discuss below </w:t>
      </w:r>
      <w:r w:rsidR="00011562">
        <w:t xml:space="preserve">and invite comment </w:t>
      </w:r>
      <w:r w:rsidR="00365BF3">
        <w:t>in the following areas</w:t>
      </w:r>
      <w:r w:rsidR="006B3F4E">
        <w:t>:</w:t>
      </w:r>
    </w:p>
    <w:p w:rsidR="00CF44AB" w:rsidRDefault="00CF44AB" w:rsidP="006951C9">
      <w:pPr>
        <w:spacing w:line="238" w:lineRule="auto"/>
        <w:ind w:firstLine="720"/>
        <w:jc w:val="both"/>
      </w:pPr>
    </w:p>
    <w:p w:rsidR="006B3F4E" w:rsidRDefault="006B3F4E" w:rsidP="009C5816">
      <w:pPr>
        <w:pStyle w:val="MediumGrid1-Accent21"/>
        <w:widowControl w:val="0"/>
        <w:numPr>
          <w:ilvl w:val="0"/>
          <w:numId w:val="14"/>
        </w:numPr>
        <w:spacing w:line="238" w:lineRule="auto"/>
        <w:ind w:left="-270" w:firstLine="1080"/>
        <w:contextualSpacing/>
        <w:jc w:val="both"/>
      </w:pPr>
      <w:r>
        <w:t xml:space="preserve">Population data </w:t>
      </w:r>
    </w:p>
    <w:p w:rsidR="006B3F4E" w:rsidRDefault="006B3F4E" w:rsidP="009C5816">
      <w:pPr>
        <w:pStyle w:val="MediumGrid1-Accent21"/>
        <w:widowControl w:val="0"/>
        <w:numPr>
          <w:ilvl w:val="0"/>
          <w:numId w:val="14"/>
        </w:numPr>
        <w:spacing w:line="238" w:lineRule="auto"/>
        <w:ind w:left="-270" w:firstLine="1080"/>
        <w:contextualSpacing/>
        <w:jc w:val="both"/>
      </w:pPr>
      <w:r>
        <w:t>Terrain data</w:t>
      </w:r>
    </w:p>
    <w:p w:rsidR="006B3F4E" w:rsidRDefault="006B3F4E" w:rsidP="009C5816">
      <w:pPr>
        <w:pStyle w:val="MediumGrid1-Accent21"/>
        <w:widowControl w:val="0"/>
        <w:numPr>
          <w:ilvl w:val="0"/>
          <w:numId w:val="14"/>
        </w:numPr>
        <w:spacing w:line="238" w:lineRule="auto"/>
        <w:ind w:left="-270" w:firstLine="1080"/>
        <w:contextualSpacing/>
        <w:jc w:val="both"/>
      </w:pPr>
      <w:r>
        <w:t xml:space="preserve">Treatment of </w:t>
      </w:r>
      <w:r w:rsidR="00CF44AB">
        <w:t>inaccurate</w:t>
      </w:r>
      <w:r>
        <w:t xml:space="preserve"> data in FCC database</w:t>
      </w:r>
    </w:p>
    <w:p w:rsidR="006B3F4E" w:rsidRDefault="006B3F4E" w:rsidP="009C5816">
      <w:pPr>
        <w:pStyle w:val="MediumGrid1-Accent21"/>
        <w:widowControl w:val="0"/>
        <w:numPr>
          <w:ilvl w:val="0"/>
          <w:numId w:val="14"/>
        </w:numPr>
        <w:spacing w:line="238" w:lineRule="auto"/>
        <w:ind w:left="-270" w:firstLine="1080"/>
        <w:contextualSpacing/>
        <w:jc w:val="both"/>
      </w:pPr>
      <w:r>
        <w:t>Treatment of antenna beam tilt</w:t>
      </w:r>
    </w:p>
    <w:p w:rsidR="006B3F4E" w:rsidRDefault="006B3F4E" w:rsidP="009C5816">
      <w:pPr>
        <w:pStyle w:val="MediumGrid1-Accent21"/>
        <w:widowControl w:val="0"/>
        <w:numPr>
          <w:ilvl w:val="0"/>
          <w:numId w:val="14"/>
        </w:numPr>
        <w:spacing w:line="238" w:lineRule="auto"/>
        <w:ind w:left="-270" w:firstLine="1080"/>
        <w:contextualSpacing/>
        <w:jc w:val="both"/>
      </w:pPr>
      <w:r>
        <w:t>Calculation of depression angles</w:t>
      </w:r>
    </w:p>
    <w:p w:rsidR="006B3F4E" w:rsidRDefault="00A773BD" w:rsidP="009C5816">
      <w:pPr>
        <w:pStyle w:val="MediumGrid1-Accent21"/>
        <w:widowControl w:val="0"/>
        <w:numPr>
          <w:ilvl w:val="0"/>
          <w:numId w:val="14"/>
        </w:numPr>
        <w:spacing w:line="238" w:lineRule="auto"/>
        <w:ind w:left="-270" w:firstLine="1080"/>
        <w:contextualSpacing/>
        <w:jc w:val="both"/>
      </w:pPr>
      <w:r>
        <w:t>Level of p</w:t>
      </w:r>
      <w:r w:rsidR="006B3F4E">
        <w:t>recision of geographic coordinates</w:t>
      </w:r>
    </w:p>
    <w:p w:rsidR="006B3F4E" w:rsidRDefault="006B3F4E" w:rsidP="009C5816">
      <w:pPr>
        <w:pStyle w:val="MediumGrid1-Accent21"/>
        <w:widowControl w:val="0"/>
        <w:numPr>
          <w:ilvl w:val="0"/>
          <w:numId w:val="14"/>
        </w:numPr>
        <w:spacing w:line="238" w:lineRule="auto"/>
        <w:ind w:left="-270" w:firstLine="1080"/>
        <w:contextualSpacing/>
        <w:jc w:val="both"/>
      </w:pPr>
      <w:r>
        <w:t>Establishment of calculation (cell) grid</w:t>
      </w:r>
    </w:p>
    <w:p w:rsidR="006B3F4E" w:rsidRDefault="006B3F4E" w:rsidP="009C5816">
      <w:pPr>
        <w:pStyle w:val="MediumGrid1-Accent21"/>
        <w:widowControl w:val="0"/>
        <w:numPr>
          <w:ilvl w:val="0"/>
          <w:numId w:val="14"/>
        </w:numPr>
        <w:spacing w:line="238" w:lineRule="auto"/>
        <w:ind w:left="-270" w:firstLine="1080"/>
        <w:contextualSpacing/>
        <w:jc w:val="both"/>
      </w:pPr>
      <w:r>
        <w:t>Treatment of internal (Longley-Rice) warnings</w:t>
      </w:r>
    </w:p>
    <w:p w:rsidR="006B3F4E" w:rsidRDefault="006B3F4E" w:rsidP="006951C9">
      <w:pPr>
        <w:spacing w:line="238" w:lineRule="auto"/>
        <w:jc w:val="both"/>
      </w:pPr>
    </w:p>
    <w:p w:rsidR="006B3F4E" w:rsidRDefault="006B3F4E" w:rsidP="006951C9">
      <w:pPr>
        <w:spacing w:line="238" w:lineRule="auto"/>
        <w:ind w:firstLine="720"/>
        <w:jc w:val="both"/>
      </w:pPr>
      <w:r w:rsidRPr="00B173D6">
        <w:rPr>
          <w:b/>
        </w:rPr>
        <w:t>Population Data</w:t>
      </w:r>
      <w:r>
        <w:t>.  Population coverage in the original DTV Table of Allotments was calculated using data from the 1990 U.S. Census.  According to the U.S. Census, the population of the United States increased by about 24</w:t>
      </w:r>
      <w:r w:rsidR="00473D7C">
        <w:t xml:space="preserve"> percent</w:t>
      </w:r>
      <w:r>
        <w:t xml:space="preserve"> between 1990 and 2010, and the distribution of population has also changed.  </w:t>
      </w:r>
      <w:r w:rsidR="00C85924">
        <w:t>Because</w:t>
      </w:r>
      <w:r>
        <w:t xml:space="preserve"> </w:t>
      </w:r>
      <w:r w:rsidR="0084011E">
        <w:t xml:space="preserve">the </w:t>
      </w:r>
      <w:r>
        <w:t xml:space="preserve">use of 1990 Census data </w:t>
      </w:r>
      <w:r w:rsidR="0084011E">
        <w:t xml:space="preserve">in the present OET-69 software </w:t>
      </w:r>
      <w:r>
        <w:t xml:space="preserve">is unlikely to produce an accurate depiction of present-day DTV station population coverage, </w:t>
      </w:r>
      <w:r w:rsidR="009A3DDA">
        <w:t xml:space="preserve">the </w:t>
      </w:r>
      <w:r w:rsidR="000C759F">
        <w:rPr>
          <w:i/>
        </w:rPr>
        <w:t>TVStudy</w:t>
      </w:r>
      <w:r>
        <w:t xml:space="preserve"> </w:t>
      </w:r>
      <w:r w:rsidR="009A3DDA">
        <w:t xml:space="preserve">software </w:t>
      </w:r>
      <w:r w:rsidR="0084011E">
        <w:t xml:space="preserve">is designed to </w:t>
      </w:r>
      <w:r>
        <w:t xml:space="preserve">use 2010 U.S. Census data.  </w:t>
      </w:r>
    </w:p>
    <w:p w:rsidR="006B3F4E" w:rsidRDefault="006B3F4E" w:rsidP="006951C9">
      <w:pPr>
        <w:spacing w:line="238" w:lineRule="auto"/>
        <w:ind w:firstLine="720"/>
        <w:jc w:val="both"/>
      </w:pPr>
    </w:p>
    <w:p w:rsidR="006B3F4E" w:rsidRDefault="006B3F4E" w:rsidP="006951C9">
      <w:pPr>
        <w:spacing w:line="238" w:lineRule="auto"/>
        <w:ind w:firstLine="720"/>
        <w:jc w:val="both"/>
      </w:pPr>
      <w:r w:rsidRPr="00B173D6">
        <w:rPr>
          <w:b/>
        </w:rPr>
        <w:t>Terrain Data</w:t>
      </w:r>
      <w:r>
        <w:t xml:space="preserve">.  Three-arcsecond digital terrain data </w:t>
      </w:r>
      <w:r w:rsidR="0084011E">
        <w:t xml:space="preserve">are </w:t>
      </w:r>
      <w:r>
        <w:t xml:space="preserve">used in </w:t>
      </w:r>
      <w:r w:rsidR="0084011E">
        <w:t xml:space="preserve">the present OET-69 software that we used to </w:t>
      </w:r>
      <w:r>
        <w:t>develop the original DTV Table of Allotments</w:t>
      </w:r>
      <w:r w:rsidR="00C85924">
        <w:t>.  This</w:t>
      </w:r>
      <w:r>
        <w:t xml:space="preserve"> mean</w:t>
      </w:r>
      <w:r w:rsidR="00C85924">
        <w:t>s</w:t>
      </w:r>
      <w:r>
        <w:t xml:space="preserve"> that land elevations are reported every three seconds of geographic latitude and longitude (about every 300 feet).  The three-arcsecond database was produced primarily by automatically scanning and interpolating large-scale (such as 1:250,000) paper maps, which often used relatively coarse elevation contours.  A number of versions of the three-arcsecond terrain database were released by various agencies, some of which contained errors.  </w:t>
      </w:r>
      <w:r w:rsidR="00C85924">
        <w:t>Moreover, t</w:t>
      </w:r>
      <w:r>
        <w:t xml:space="preserve">he three-arcsecond terrain database is no longer being revised, maintained, or supported by the U.S. Geological Survey.  </w:t>
      </w:r>
      <w:r w:rsidR="00C85924">
        <w:t>A</w:t>
      </w:r>
      <w:r>
        <w:t xml:space="preserve"> new one-arcsecond terrain database, which has greater resolution (elevation points </w:t>
      </w:r>
      <w:r w:rsidR="00A633A2">
        <w:t xml:space="preserve">are </w:t>
      </w:r>
      <w:r>
        <w:t>spaced about every 100 feet)</w:t>
      </w:r>
      <w:r w:rsidR="00C85924">
        <w:t>, has replaced the old three-arcsecond terrain database</w:t>
      </w:r>
      <w:r>
        <w:t>.  Additionally, the one-arcsecond terrain database is derived from smaller-scale (</w:t>
      </w:r>
      <w:r w:rsidR="00C85924">
        <w:rPr>
          <w:i/>
        </w:rPr>
        <w:t>e.g.</w:t>
      </w:r>
      <w:r>
        <w:t xml:space="preserve"> 1:24,000) topographic maps with more granular elevation data, and the method for extracting elevation data from those maps has been improved.  </w:t>
      </w:r>
      <w:r w:rsidR="00C85924">
        <w:t>Because</w:t>
      </w:r>
      <w:r>
        <w:t xml:space="preserve"> continued use of an unsupported terrain database is likely to lead to </w:t>
      </w:r>
      <w:r w:rsidR="001A6D66">
        <w:t>obsolescence and potentially inaccurate results</w:t>
      </w:r>
      <w:r w:rsidR="00A773BD">
        <w:t>,</w:t>
      </w:r>
      <w:r>
        <w:t xml:space="preserve"> </w:t>
      </w:r>
      <w:r w:rsidR="009A3DDA">
        <w:t xml:space="preserve">the </w:t>
      </w:r>
      <w:r w:rsidR="000C759F">
        <w:rPr>
          <w:i/>
        </w:rPr>
        <w:t>TVStudy</w:t>
      </w:r>
      <w:r>
        <w:t xml:space="preserve"> </w:t>
      </w:r>
      <w:r w:rsidR="009A3DDA">
        <w:t xml:space="preserve">software </w:t>
      </w:r>
      <w:r w:rsidR="0084011E">
        <w:t>is designed to</w:t>
      </w:r>
      <w:r>
        <w:t xml:space="preserve"> use one-arcsecond terrain data</w:t>
      </w:r>
      <w:r w:rsidR="005C5E1A">
        <w:t>.</w:t>
      </w:r>
      <w:r>
        <w:t xml:space="preserve"> </w:t>
      </w:r>
    </w:p>
    <w:p w:rsidR="006B3F4E" w:rsidRDefault="006B3F4E" w:rsidP="006951C9">
      <w:pPr>
        <w:spacing w:line="238" w:lineRule="auto"/>
        <w:ind w:firstLine="720"/>
        <w:jc w:val="both"/>
      </w:pPr>
    </w:p>
    <w:p w:rsidR="006B3F4E" w:rsidRDefault="006B3F4E" w:rsidP="006951C9">
      <w:pPr>
        <w:spacing w:line="238" w:lineRule="auto"/>
        <w:ind w:firstLine="720"/>
        <w:jc w:val="both"/>
      </w:pPr>
      <w:r>
        <w:rPr>
          <w:b/>
        </w:rPr>
        <w:t xml:space="preserve">Treatment of </w:t>
      </w:r>
      <w:r w:rsidR="008917A5">
        <w:rPr>
          <w:b/>
        </w:rPr>
        <w:t>Inaccurate</w:t>
      </w:r>
      <w:r>
        <w:rPr>
          <w:b/>
        </w:rPr>
        <w:t xml:space="preserve"> Data in FCC Database</w:t>
      </w:r>
      <w:r>
        <w:t>.  W</w:t>
      </w:r>
      <w:r w:rsidR="009E5CDC">
        <w:t>e recognize that there</w:t>
      </w:r>
      <w:r>
        <w:t xml:space="preserve"> </w:t>
      </w:r>
      <w:r w:rsidR="00004ED4">
        <w:t>may be instances where the information</w:t>
      </w:r>
      <w:r>
        <w:t xml:space="preserve"> </w:t>
      </w:r>
      <w:r w:rsidR="00004ED4">
        <w:t xml:space="preserve">entered </w:t>
      </w:r>
      <w:r>
        <w:t>in</w:t>
      </w:r>
      <w:r w:rsidR="00004ED4">
        <w:t>to</w:t>
      </w:r>
      <w:r>
        <w:t xml:space="preserve"> the FCC’s broadcast station database (CDBS)</w:t>
      </w:r>
      <w:r w:rsidR="009E5CDC">
        <w:t xml:space="preserve"> </w:t>
      </w:r>
      <w:r w:rsidR="00004ED4">
        <w:t xml:space="preserve">may not be fully accurate.  </w:t>
      </w:r>
      <w:r w:rsidR="001676A7">
        <w:t xml:space="preserve"> </w:t>
      </w:r>
      <w:r w:rsidR="00004ED4">
        <w:t>Examples may include:</w:t>
      </w:r>
    </w:p>
    <w:p w:rsidR="006B3F4E" w:rsidRDefault="006B3F4E" w:rsidP="006951C9">
      <w:pPr>
        <w:spacing w:line="238" w:lineRule="auto"/>
        <w:ind w:firstLine="720"/>
        <w:jc w:val="both"/>
      </w:pPr>
    </w:p>
    <w:p w:rsidR="006B3F4E" w:rsidRDefault="006B3F4E" w:rsidP="00C73BDB">
      <w:pPr>
        <w:pStyle w:val="MediumGrid1-Accent21"/>
        <w:widowControl w:val="0"/>
        <w:numPr>
          <w:ilvl w:val="0"/>
          <w:numId w:val="15"/>
        </w:numPr>
        <w:spacing w:line="238" w:lineRule="auto"/>
        <w:ind w:left="0" w:firstLine="720"/>
        <w:contextualSpacing/>
        <w:jc w:val="both"/>
      </w:pPr>
      <w:r>
        <w:t>Negative values for beam tilt</w:t>
      </w:r>
    </w:p>
    <w:p w:rsidR="006B3F4E" w:rsidRDefault="006B3F4E" w:rsidP="00C73BDB">
      <w:pPr>
        <w:pStyle w:val="MediumGrid1-Accent21"/>
        <w:widowControl w:val="0"/>
        <w:numPr>
          <w:ilvl w:val="0"/>
          <w:numId w:val="15"/>
        </w:numPr>
        <w:spacing w:line="238" w:lineRule="auto"/>
        <w:ind w:left="0" w:firstLine="720"/>
        <w:contextualSpacing/>
        <w:jc w:val="both"/>
      </w:pPr>
      <w:r>
        <w:t>Swapped values for mechanical beam tilt and orientation</w:t>
      </w:r>
    </w:p>
    <w:p w:rsidR="006B3F4E" w:rsidRDefault="006B3F4E" w:rsidP="00C73BDB">
      <w:pPr>
        <w:pStyle w:val="MediumGrid1-Accent21"/>
        <w:widowControl w:val="0"/>
        <w:numPr>
          <w:ilvl w:val="0"/>
          <w:numId w:val="15"/>
        </w:numPr>
        <w:spacing w:line="238" w:lineRule="auto"/>
        <w:ind w:left="0" w:firstLine="720"/>
        <w:contextualSpacing/>
        <w:jc w:val="both"/>
      </w:pPr>
      <w:r>
        <w:t xml:space="preserve">Missing maximum values for </w:t>
      </w:r>
      <w:r w:rsidR="005963A1">
        <w:t>directional antenna</w:t>
      </w:r>
      <w:r w:rsidR="00F72964">
        <w:t xml:space="preserve"> </w:t>
      </w:r>
      <w:r>
        <w:t>patterns</w:t>
      </w:r>
    </w:p>
    <w:p w:rsidR="006B3F4E" w:rsidRDefault="006B3F4E" w:rsidP="00C73BDB">
      <w:pPr>
        <w:pStyle w:val="MediumGrid1-Accent21"/>
        <w:widowControl w:val="0"/>
        <w:numPr>
          <w:ilvl w:val="0"/>
          <w:numId w:val="15"/>
        </w:numPr>
        <w:spacing w:line="238" w:lineRule="auto"/>
        <w:ind w:left="0" w:firstLine="720"/>
        <w:contextualSpacing/>
        <w:jc w:val="both"/>
      </w:pPr>
      <w:r>
        <w:t xml:space="preserve">Missing or incorrect </w:t>
      </w:r>
      <w:r w:rsidR="005963A1">
        <w:t>directional</w:t>
      </w:r>
      <w:r>
        <w:t xml:space="preserve"> antenna flags</w:t>
      </w:r>
    </w:p>
    <w:p w:rsidR="00D442AD" w:rsidRPr="004A2C2E" w:rsidRDefault="00D442AD" w:rsidP="00C73BDB">
      <w:pPr>
        <w:pStyle w:val="MediumGrid1-Accent21"/>
        <w:widowControl w:val="0"/>
        <w:numPr>
          <w:ilvl w:val="0"/>
          <w:numId w:val="15"/>
        </w:numPr>
        <w:spacing w:line="238" w:lineRule="auto"/>
        <w:ind w:left="0" w:firstLine="720"/>
        <w:contextualSpacing/>
        <w:jc w:val="both"/>
      </w:pPr>
      <w:r>
        <w:t>ERP value entered in dBk instead of kilowatts</w:t>
      </w:r>
    </w:p>
    <w:p w:rsidR="009E5CDC" w:rsidRDefault="009E5CDC" w:rsidP="006951C9">
      <w:pPr>
        <w:pStyle w:val="MediumGrid1-Accent21"/>
        <w:widowControl w:val="0"/>
        <w:spacing w:line="238" w:lineRule="auto"/>
        <w:ind w:left="0"/>
        <w:contextualSpacing/>
        <w:jc w:val="both"/>
      </w:pPr>
    </w:p>
    <w:p w:rsidR="009E5CDC" w:rsidRPr="00A633A2" w:rsidRDefault="000339B0" w:rsidP="006951C9">
      <w:pPr>
        <w:pStyle w:val="MediumGrid1-Accent21"/>
        <w:widowControl w:val="0"/>
        <w:spacing w:line="238" w:lineRule="auto"/>
        <w:ind w:left="0" w:firstLine="720"/>
        <w:contextualSpacing/>
        <w:jc w:val="both"/>
      </w:pPr>
      <w:r>
        <w:t>These sorts of inaccuracies</w:t>
      </w:r>
      <w:r w:rsidR="00FD472F">
        <w:t xml:space="preserve"> </w:t>
      </w:r>
      <w:r>
        <w:t xml:space="preserve">can lead to incorrect or nonsensical results when used in a computer program to predict coverage and interference.  We are not proposing to modify the </w:t>
      </w:r>
      <w:r w:rsidR="00FD472F">
        <w:t xml:space="preserve">information in the </w:t>
      </w:r>
      <w:r>
        <w:t>underlying CBDS database.</w:t>
      </w:r>
      <w:r w:rsidR="00FD472F">
        <w:t xml:space="preserve"> </w:t>
      </w:r>
      <w:r>
        <w:t xml:space="preserve"> However, w</w:t>
      </w:r>
      <w:r w:rsidR="009E5CDC">
        <w:t xml:space="preserve">e seek comment </w:t>
      </w:r>
      <w:r w:rsidR="004D4220">
        <w:t xml:space="preserve">on what </w:t>
      </w:r>
      <w:r>
        <w:t xml:space="preserve">methods we </w:t>
      </w:r>
      <w:r w:rsidR="004D4220">
        <w:t xml:space="preserve">should </w:t>
      </w:r>
      <w:r>
        <w:t>use to detect information that may be in</w:t>
      </w:r>
      <w:r w:rsidR="00CC2F15">
        <w:t>accurate</w:t>
      </w:r>
      <w:r w:rsidR="004D4220">
        <w:t xml:space="preserve"> and </w:t>
      </w:r>
      <w:r w:rsidR="009273B4">
        <w:t>what</w:t>
      </w:r>
      <w:r w:rsidR="004D4220">
        <w:t xml:space="preserve"> correction methods </w:t>
      </w:r>
      <w:r w:rsidR="009273B4">
        <w:t xml:space="preserve">we should incorporate </w:t>
      </w:r>
      <w:r w:rsidR="004D4220">
        <w:t>in</w:t>
      </w:r>
      <w:r w:rsidR="009273B4">
        <w:t>t</w:t>
      </w:r>
      <w:r w:rsidR="004D4220">
        <w:t xml:space="preserve">o our </w:t>
      </w:r>
      <w:r w:rsidR="00FD472F">
        <w:t>use of that information</w:t>
      </w:r>
      <w:r w:rsidR="004D4220">
        <w:t xml:space="preserve">. </w:t>
      </w:r>
    </w:p>
    <w:p w:rsidR="006B3F4E" w:rsidRDefault="006B3F4E" w:rsidP="006951C9">
      <w:pPr>
        <w:spacing w:line="238" w:lineRule="auto"/>
        <w:ind w:firstLine="720"/>
        <w:jc w:val="both"/>
      </w:pPr>
    </w:p>
    <w:p w:rsidR="006B3F4E" w:rsidRDefault="006B3F4E" w:rsidP="00C73BDB">
      <w:pPr>
        <w:ind w:firstLine="720"/>
        <w:jc w:val="both"/>
      </w:pPr>
      <w:r w:rsidRPr="00460D1D">
        <w:rPr>
          <w:b/>
        </w:rPr>
        <w:t>Treatment of Antenna Beam Tilt</w:t>
      </w:r>
      <w:r w:rsidRPr="00460D1D">
        <w:t>.</w:t>
      </w:r>
      <w:r>
        <w:t xml:space="preserve">  All DTV stations operate directionally in the elevation plane.  That is, the transmitting antenna is engineered to focus energy toward populated areas while minimiz</w:t>
      </w:r>
      <w:r w:rsidR="00575E5C">
        <w:t>ing</w:t>
      </w:r>
      <w:r>
        <w:t xml:space="preserve"> energy radiated skyward.  To accomplish this, most transmitting antennas are tilted downward, usually uniformly (electrically) but sometimes non-uniformly (mechanically), or both.  The actual amount of tilt, if any, is contained in the CDBS record for each station.  </w:t>
      </w:r>
      <w:r w:rsidR="0084011E">
        <w:t xml:space="preserve">The present software used to implement </w:t>
      </w:r>
      <w:r w:rsidR="00460D1D">
        <w:t>OET-</w:t>
      </w:r>
      <w:r>
        <w:t xml:space="preserve">69 </w:t>
      </w:r>
      <w:r w:rsidR="0084011E">
        <w:t>uses</w:t>
      </w:r>
      <w:r>
        <w:t xml:space="preserve"> elevation patterns </w:t>
      </w:r>
      <w:r w:rsidR="0084011E">
        <w:t>with</w:t>
      </w:r>
      <w:r>
        <w:t xml:space="preserve"> </w:t>
      </w:r>
      <w:r w:rsidR="0084011E">
        <w:t xml:space="preserve">a </w:t>
      </w:r>
      <w:r>
        <w:t>fixed electrical beam tilt (</w:t>
      </w:r>
      <w:r w:rsidRPr="004A2C2E">
        <w:rPr>
          <w:i/>
        </w:rPr>
        <w:t>e.g</w:t>
      </w:r>
      <w:r>
        <w:t xml:space="preserve">., 0.75° for full-power stations operating on UHF channels), and in the development of the original DTV Table of Allotments, the actual amount of tilt </w:t>
      </w:r>
      <w:r w:rsidR="00F055A7">
        <w:t xml:space="preserve">given in CDBS </w:t>
      </w:r>
      <w:r>
        <w:t xml:space="preserve">was ignored.  </w:t>
      </w:r>
      <w:r w:rsidR="00510629">
        <w:t xml:space="preserve">As a result of </w:t>
      </w:r>
      <w:r>
        <w:t xml:space="preserve">ignoring the actual beam tilt, the direction of main beam radiation </w:t>
      </w:r>
      <w:r w:rsidR="00F055A7">
        <w:t xml:space="preserve">used to project coverage </w:t>
      </w:r>
      <w:r w:rsidR="00510629">
        <w:t xml:space="preserve">in the present software </w:t>
      </w:r>
      <w:r>
        <w:t xml:space="preserve">may be incorrect, which can effectively cause it to “miss” the population being served.  </w:t>
      </w:r>
      <w:r w:rsidR="00460D1D">
        <w:t xml:space="preserve">We </w:t>
      </w:r>
      <w:r w:rsidR="00A320A9">
        <w:t>believe that</w:t>
      </w:r>
      <w:r w:rsidR="00460D1D">
        <w:t xml:space="preserve"> a </w:t>
      </w:r>
      <w:r>
        <w:t xml:space="preserve">better practice </w:t>
      </w:r>
      <w:r w:rsidR="00510629">
        <w:t xml:space="preserve">in implementing OET-69 </w:t>
      </w:r>
      <w:r>
        <w:t>would be to use the value for electric</w:t>
      </w:r>
      <w:r w:rsidR="004F4AEB">
        <w:t>al</w:t>
      </w:r>
      <w:r>
        <w:t xml:space="preserve"> downtilt specified in CDBS to correct the generic elevation pattern such that the main beam is at the angle specified in CDBS rather than using a fixed value.  Because sufficient information is typically not available to correctly project the antenna patterns of stations having mechanical beam tilt, we do not propose to use mechanical beam tilt</w:t>
      </w:r>
      <w:r w:rsidR="00F055A7">
        <w:t xml:space="preserve"> in OET</w:t>
      </w:r>
      <w:r w:rsidR="00460D1D">
        <w:t>-</w:t>
      </w:r>
      <w:r w:rsidR="00F055A7">
        <w:t>69 calculations</w:t>
      </w:r>
      <w:r>
        <w:t xml:space="preserve">.       </w:t>
      </w:r>
    </w:p>
    <w:p w:rsidR="006B3F4E" w:rsidRDefault="006B3F4E" w:rsidP="00C73BDB">
      <w:pPr>
        <w:spacing w:line="238" w:lineRule="auto"/>
        <w:ind w:firstLine="720"/>
        <w:jc w:val="both"/>
      </w:pPr>
    </w:p>
    <w:p w:rsidR="006B3F4E" w:rsidRDefault="006B3F4E" w:rsidP="00C73BDB">
      <w:pPr>
        <w:ind w:firstLine="720"/>
        <w:jc w:val="both"/>
      </w:pPr>
      <w:r w:rsidRPr="00460D1D">
        <w:rPr>
          <w:b/>
        </w:rPr>
        <w:t>Calculation of Depression Angles</w:t>
      </w:r>
      <w:r w:rsidRPr="00460D1D">
        <w:t>.</w:t>
      </w:r>
      <w:r>
        <w:t xml:space="preserve">  The depression angle is the vertical angle between the horizontal (at the location of the DTV transmitting antenna) and the location of the receive site under study (cell centroid).  An error in the </w:t>
      </w:r>
      <w:r w:rsidR="006077F0">
        <w:t xml:space="preserve">present </w:t>
      </w:r>
      <w:r>
        <w:t xml:space="preserve">software used to </w:t>
      </w:r>
      <w:r w:rsidR="006077F0">
        <w:t>implement OET-69</w:t>
      </w:r>
      <w:r>
        <w:t xml:space="preserve"> </w:t>
      </w:r>
      <w:r w:rsidR="006077F0">
        <w:t xml:space="preserve">and to develop the original DTV Table of Allotments </w:t>
      </w:r>
      <w:r>
        <w:t xml:space="preserve">caused this angle to be incorrectly calculated based on the antenna height above ground, rather than the height above mean sea level.  This error can cause the radiated power toward the cell under study to be incorrectly calculated, particularly for stations that have antennas atop tall mountains (as opposed to tall towers).  </w:t>
      </w:r>
      <w:r w:rsidR="00460D1D">
        <w:t xml:space="preserve">The </w:t>
      </w:r>
      <w:r w:rsidR="000C759F">
        <w:rPr>
          <w:i/>
        </w:rPr>
        <w:t>TVStudy</w:t>
      </w:r>
      <w:r w:rsidR="00460D1D">
        <w:rPr>
          <w:i/>
        </w:rPr>
        <w:t xml:space="preserve"> </w:t>
      </w:r>
      <w:r w:rsidR="00460D1D">
        <w:t>software</w:t>
      </w:r>
      <w:r w:rsidR="006077F0">
        <w:t xml:space="preserve"> is designed to avoid causing </w:t>
      </w:r>
      <w:r w:rsidR="00460D1D">
        <w:t>this error</w:t>
      </w:r>
      <w:r>
        <w:t>.</w:t>
      </w:r>
    </w:p>
    <w:p w:rsidR="006B3F4E" w:rsidRDefault="006B3F4E" w:rsidP="00C73BDB">
      <w:pPr>
        <w:ind w:firstLine="720"/>
        <w:jc w:val="both"/>
      </w:pPr>
    </w:p>
    <w:p w:rsidR="006B3F4E" w:rsidRDefault="006B3F4E" w:rsidP="00C73BDB">
      <w:pPr>
        <w:ind w:firstLine="720"/>
        <w:jc w:val="both"/>
      </w:pPr>
      <w:r w:rsidRPr="00460D1D">
        <w:rPr>
          <w:b/>
        </w:rPr>
        <w:t>Precision of Geographic Coordinates</w:t>
      </w:r>
      <w:r w:rsidRPr="00460D1D">
        <w:t>.</w:t>
      </w:r>
      <w:r>
        <w:t xml:space="preserve">  The fundamental unit of the U.S. Census is the Census Block, which specifies locations to a precision of 0.000</w:t>
      </w:r>
      <w:r w:rsidR="00D442AD">
        <w:t>0</w:t>
      </w:r>
      <w:r>
        <w:t>001° (about 0.0</w:t>
      </w:r>
      <w:r w:rsidR="00D442AD">
        <w:t>0</w:t>
      </w:r>
      <w:r>
        <w:t xml:space="preserve">04 seconds) of latitude </w:t>
      </w:r>
      <w:r w:rsidR="004F4AEB">
        <w:t>and l</w:t>
      </w:r>
      <w:r>
        <w:t xml:space="preserve">ongitude.  </w:t>
      </w:r>
      <w:r w:rsidR="00460D1D">
        <w:t>E</w:t>
      </w:r>
      <w:r>
        <w:t>arlier versions of software implementing OET</w:t>
      </w:r>
      <w:r w:rsidR="00460D1D">
        <w:t>-</w:t>
      </w:r>
      <w:r>
        <w:t xml:space="preserve">69 rounded or truncated </w:t>
      </w:r>
      <w:r w:rsidR="00460D1D">
        <w:t xml:space="preserve">this location data </w:t>
      </w:r>
      <w:r>
        <w:t xml:space="preserve">to the nearest second, discarding some </w:t>
      </w:r>
      <w:r w:rsidR="004F4AEB">
        <w:t xml:space="preserve">three </w:t>
      </w:r>
      <w:r>
        <w:t xml:space="preserve">orders of precision.  This action often causes the centroid locations of cells under study to be shifted.  While the </w:t>
      </w:r>
      <w:r w:rsidR="001676A7">
        <w:t xml:space="preserve">original </w:t>
      </w:r>
      <w:r>
        <w:t xml:space="preserve">reason for this reduction in precision are unknown, </w:t>
      </w:r>
      <w:r w:rsidR="00F055A7">
        <w:t xml:space="preserve">we believe that </w:t>
      </w:r>
      <w:r w:rsidR="001676A7">
        <w:t xml:space="preserve">it </w:t>
      </w:r>
      <w:r>
        <w:t xml:space="preserve">may have been related to computational limitations at the time of development.  At this time, there appears to be no reason to intentionally reduce numerical precision and </w:t>
      </w:r>
      <w:r w:rsidR="00460D1D">
        <w:t xml:space="preserve">we </w:t>
      </w:r>
      <w:r>
        <w:t>believe that full-precision location data should be used in</w:t>
      </w:r>
      <w:r w:rsidR="009A3DDA">
        <w:t xml:space="preserve"> the</w:t>
      </w:r>
      <w:r>
        <w:t xml:space="preserve"> </w:t>
      </w:r>
      <w:r w:rsidR="000C759F">
        <w:rPr>
          <w:i/>
        </w:rPr>
        <w:t>TVStudy</w:t>
      </w:r>
      <w:r w:rsidR="009A3DDA">
        <w:t xml:space="preserve"> software</w:t>
      </w:r>
      <w:r>
        <w:t>.</w:t>
      </w:r>
    </w:p>
    <w:p w:rsidR="006B3F4E" w:rsidRDefault="006B3F4E" w:rsidP="00C73BDB">
      <w:pPr>
        <w:ind w:firstLine="720"/>
        <w:jc w:val="both"/>
      </w:pPr>
    </w:p>
    <w:p w:rsidR="006B3F4E" w:rsidRDefault="006B3F4E" w:rsidP="00C73BDB">
      <w:pPr>
        <w:ind w:firstLine="720"/>
        <w:jc w:val="both"/>
      </w:pPr>
      <w:r w:rsidRPr="00460D1D">
        <w:rPr>
          <w:b/>
        </w:rPr>
        <w:t>Establishment of Calculation (cell) Grid</w:t>
      </w:r>
      <w:r w:rsidRPr="00460D1D">
        <w:t>.</w:t>
      </w:r>
      <w:r>
        <w:t xml:space="preserve">  The </w:t>
      </w:r>
      <w:r w:rsidR="006077F0">
        <w:t xml:space="preserve">present OET-69 </w:t>
      </w:r>
      <w:r>
        <w:t>softwar</w:t>
      </w:r>
      <w:r w:rsidR="006077F0">
        <w:t>e</w:t>
      </w:r>
      <w:r>
        <w:t xml:space="preserve"> </w:t>
      </w:r>
      <w:r w:rsidR="006077F0">
        <w:t>is designed to establish</w:t>
      </w:r>
      <w:r>
        <w:t xml:space="preserve"> calculation grids </w:t>
      </w:r>
      <w:r w:rsidR="006077F0">
        <w:t xml:space="preserve">that are for the most part </w:t>
      </w:r>
      <w:r>
        <w:t xml:space="preserve">unique to each station considered.  This approach requires that all desired and undesired signal levels be calculated for each </w:t>
      </w:r>
      <w:r w:rsidR="00DD60C8">
        <w:t xml:space="preserve">cell of each </w:t>
      </w:r>
      <w:r>
        <w:t xml:space="preserve">station studied and results in </w:t>
      </w:r>
      <w:r w:rsidR="00F055A7">
        <w:t xml:space="preserve">cell-level </w:t>
      </w:r>
      <w:r>
        <w:t xml:space="preserve">data that cannot be directly compared between </w:t>
      </w:r>
      <w:r w:rsidR="00B37146">
        <w:t xml:space="preserve">different potential channel allotments and/or </w:t>
      </w:r>
      <w:r>
        <w:t xml:space="preserve">stations.  Another approach </w:t>
      </w:r>
      <w:r w:rsidR="006077F0">
        <w:t xml:space="preserve">is </w:t>
      </w:r>
      <w:r>
        <w:t xml:space="preserve">to establish a single, global calculation grid, common to all stations.  </w:t>
      </w:r>
      <w:r w:rsidR="006077F0">
        <w:t>Such a</w:t>
      </w:r>
      <w:r>
        <w:t xml:space="preserve"> global approach results in data that can be used to directly compare interference impacts at the cell level, and also speeds calculations since </w:t>
      </w:r>
      <w:r w:rsidR="00F055A7">
        <w:t xml:space="preserve">the study grid </w:t>
      </w:r>
      <w:r w:rsidR="006077F0">
        <w:t xml:space="preserve">only </w:t>
      </w:r>
      <w:r w:rsidR="00F055A7">
        <w:t>need</w:t>
      </w:r>
      <w:r w:rsidR="006077F0">
        <w:t>s</w:t>
      </w:r>
      <w:r w:rsidR="00F055A7">
        <w:t xml:space="preserve"> </w:t>
      </w:r>
      <w:r w:rsidR="006077F0">
        <w:t>to</w:t>
      </w:r>
      <w:r w:rsidR="00F055A7">
        <w:t xml:space="preserve"> </w:t>
      </w:r>
      <w:r w:rsidR="006077F0">
        <w:t>be established</w:t>
      </w:r>
      <w:r>
        <w:t xml:space="preserve"> one</w:t>
      </w:r>
      <w:r w:rsidR="006077F0">
        <w:t xml:space="preserve"> time</w:t>
      </w:r>
      <w:r>
        <w:t xml:space="preserve">.  </w:t>
      </w:r>
      <w:r w:rsidR="009A3DDA">
        <w:t xml:space="preserve">The </w:t>
      </w:r>
      <w:r w:rsidR="005963A1">
        <w:rPr>
          <w:i/>
        </w:rPr>
        <w:t xml:space="preserve">TVStudy </w:t>
      </w:r>
      <w:r w:rsidR="009A3DDA">
        <w:t xml:space="preserve">software </w:t>
      </w:r>
      <w:r w:rsidR="005963A1">
        <w:t>is designed to generate and use a global calculation grid</w:t>
      </w:r>
      <w:r>
        <w:t>.</w:t>
      </w:r>
    </w:p>
    <w:p w:rsidR="006B3F4E" w:rsidRDefault="006B3F4E" w:rsidP="00C73BDB">
      <w:pPr>
        <w:ind w:firstLine="720"/>
        <w:jc w:val="both"/>
      </w:pPr>
    </w:p>
    <w:p w:rsidR="00B37146" w:rsidRDefault="006B3F4E" w:rsidP="00C73BDB">
      <w:pPr>
        <w:ind w:firstLine="720"/>
        <w:jc w:val="both"/>
      </w:pPr>
      <w:r>
        <w:rPr>
          <w:b/>
        </w:rPr>
        <w:t>Treatment of Internal (Longley-Rice) Warnings.</w:t>
      </w:r>
      <w:r>
        <w:t xml:space="preserve">  The propagation algorithm underlying OET</w:t>
      </w:r>
      <w:r w:rsidR="00CB692D">
        <w:t>-</w:t>
      </w:r>
      <w:r>
        <w:t>69 is the Irregular Terrain Model (ITM), also known as Longley-Rice</w:t>
      </w:r>
      <w:r w:rsidR="000C759F">
        <w:t xml:space="preserve"> (or simply L-R).</w:t>
      </w:r>
      <w:r>
        <w:t xml:space="preserve">  It is based in part on actual measurements of path loss made by the Department of Commerce over different terrain profiles.  Although the measurement data collected were used to create generalized computational models of different types of terrain profiles, not every single terrain profile possible was represented.  In particular, terrain profiles lying outside the range of collected data still produce results, but those results are “flagged” as being “unusable or dubious.”  </w:t>
      </w:r>
    </w:p>
    <w:p w:rsidR="00B37146" w:rsidRDefault="00B37146" w:rsidP="00C73BDB">
      <w:pPr>
        <w:ind w:firstLine="720"/>
        <w:jc w:val="both"/>
      </w:pPr>
    </w:p>
    <w:p w:rsidR="00F72633" w:rsidRDefault="006B3F4E" w:rsidP="00C73BDB">
      <w:pPr>
        <w:ind w:firstLine="720"/>
        <w:jc w:val="both"/>
      </w:pPr>
      <w:r>
        <w:t xml:space="preserve">The software used to develop the original DTV Table of Allotments treated cells having such “flags” (whether from desired or interfering stations) as </w:t>
      </w:r>
      <w:r w:rsidR="000C759F">
        <w:t xml:space="preserve">having </w:t>
      </w:r>
      <w:r>
        <w:t xml:space="preserve">coverage.  </w:t>
      </w:r>
      <w:r w:rsidR="00D13D26">
        <w:t xml:space="preserve">This determination results in areas where we have no real information about predicted coverage or interference.  Such cells </w:t>
      </w:r>
      <w:r w:rsidR="005C5E1A">
        <w:t xml:space="preserve">are </w:t>
      </w:r>
      <w:r w:rsidR="00925423">
        <w:t xml:space="preserve">assumed </w:t>
      </w:r>
      <w:r w:rsidR="00D13D26">
        <w:t xml:space="preserve">to have coverage, even if neighboring cells </w:t>
      </w:r>
      <w:r w:rsidR="005C5E1A">
        <w:t xml:space="preserve">do </w:t>
      </w:r>
      <w:r w:rsidR="00D13D26">
        <w:t xml:space="preserve">not.  </w:t>
      </w:r>
      <w:r w:rsidR="00DD60C8">
        <w:t xml:space="preserve">This treatment </w:t>
      </w:r>
      <w:r w:rsidR="00D13D26">
        <w:t>of “flagged” results</w:t>
      </w:r>
      <w:r w:rsidR="005C5E1A">
        <w:t xml:space="preserve"> implemented the Commission’s </w:t>
      </w:r>
      <w:r w:rsidR="00DD60C8">
        <w:t xml:space="preserve">decision that </w:t>
      </w:r>
      <w:r w:rsidR="00884B83" w:rsidRPr="00884B83">
        <w:t xml:space="preserve">assumption of service is appropriate where the Longley-Rice propagation model indicates that service calculations </w:t>
      </w:r>
      <w:r w:rsidR="005963A1">
        <w:t>may be dubious or</w:t>
      </w:r>
      <w:r w:rsidR="005963A1" w:rsidRPr="00884B83">
        <w:t xml:space="preserve"> </w:t>
      </w:r>
      <w:r w:rsidR="00884B83" w:rsidRPr="00884B83">
        <w:t>unreliable</w:t>
      </w:r>
      <w:r w:rsidR="00D13D26">
        <w:t>.</w:t>
      </w:r>
      <w:r w:rsidR="00884B83">
        <w:rPr>
          <w:rStyle w:val="FootnoteReference"/>
        </w:rPr>
        <w:footnoteReference w:id="10"/>
      </w:r>
      <w:r w:rsidR="00D13D26">
        <w:t xml:space="preserve">  </w:t>
      </w:r>
      <w:r w:rsidR="00B37146">
        <w:t>Comparisons with other propagation models suggest that</w:t>
      </w:r>
      <w:r w:rsidR="00F72633">
        <w:t xml:space="preserve"> </w:t>
      </w:r>
      <w:r w:rsidR="00B37146">
        <w:t>the “flagged” results are</w:t>
      </w:r>
      <w:r w:rsidR="00F72633">
        <w:t xml:space="preserve"> typically not unreasonable.</w:t>
      </w:r>
    </w:p>
    <w:p w:rsidR="00B37146" w:rsidRDefault="00B37146" w:rsidP="006951C9">
      <w:pPr>
        <w:spacing w:before="66"/>
        <w:ind w:firstLine="720"/>
        <w:jc w:val="both"/>
      </w:pPr>
    </w:p>
    <w:p w:rsidR="00B37146" w:rsidRDefault="009D04A1" w:rsidP="00C73BDB">
      <w:pPr>
        <w:ind w:firstLine="720"/>
        <w:jc w:val="both"/>
      </w:pPr>
      <w:r>
        <w:t xml:space="preserve">We note that while this approach was taken for purposes of </w:t>
      </w:r>
      <w:r w:rsidR="0019637C">
        <w:t xml:space="preserve">implementing </w:t>
      </w:r>
      <w:r>
        <w:t>OET</w:t>
      </w:r>
      <w:r w:rsidR="00F40445">
        <w:t>-</w:t>
      </w:r>
      <w:r>
        <w:t xml:space="preserve">69, a different approach was taken in </w:t>
      </w:r>
      <w:r w:rsidR="0019637C">
        <w:t xml:space="preserve">implementing </w:t>
      </w:r>
      <w:r>
        <w:t xml:space="preserve">OET Bulletins 72 </w:t>
      </w:r>
      <w:r w:rsidR="0019637C">
        <w:t>and</w:t>
      </w:r>
      <w:r>
        <w:t xml:space="preserve"> 73 </w:t>
      </w:r>
      <w:r w:rsidR="004E1644">
        <w:t>(OET</w:t>
      </w:r>
      <w:r w:rsidR="0019637C">
        <w:t>-</w:t>
      </w:r>
      <w:r w:rsidR="004E1644">
        <w:t xml:space="preserve">72 </w:t>
      </w:r>
      <w:r w:rsidR="0019637C">
        <w:t>and</w:t>
      </w:r>
      <w:r w:rsidR="004E1644">
        <w:t xml:space="preserve"> </w:t>
      </w:r>
      <w:r w:rsidR="0019637C">
        <w:t>OET-</w:t>
      </w:r>
      <w:r w:rsidR="004E1644">
        <w:t>73</w:t>
      </w:r>
      <w:r w:rsidR="0019637C">
        <w:t>, respectively</w:t>
      </w:r>
      <w:r w:rsidR="004E1644">
        <w:t xml:space="preserve">) </w:t>
      </w:r>
      <w:r>
        <w:t xml:space="preserve">dealing with </w:t>
      </w:r>
      <w:r w:rsidR="00303CA7">
        <w:t>the availability of TV service</w:t>
      </w:r>
      <w:r>
        <w:t xml:space="preserve"> </w:t>
      </w:r>
      <w:r w:rsidR="00F72964">
        <w:t>for purposes of</w:t>
      </w:r>
      <w:r>
        <w:t xml:space="preserve"> the Satellite Home </w:t>
      </w:r>
      <w:r w:rsidR="000C759F">
        <w:t>Viewer Act and subsequent legislation</w:t>
      </w:r>
      <w:r>
        <w:t>.</w:t>
      </w:r>
      <w:r w:rsidR="004E1644">
        <w:rPr>
          <w:rStyle w:val="FootnoteReference"/>
        </w:rPr>
        <w:footnoteReference w:id="11"/>
      </w:r>
      <w:r>
        <w:t xml:space="preserve">  In those cases</w:t>
      </w:r>
      <w:r w:rsidR="00F72633">
        <w:t>, the L-R propagation m</w:t>
      </w:r>
      <w:r w:rsidR="004E1644">
        <w:t>odel</w:t>
      </w:r>
      <w:r w:rsidR="00F72633">
        <w:t xml:space="preserve"> is used differently</w:t>
      </w:r>
      <w:r w:rsidR="00303CA7">
        <w:t xml:space="preserve"> and for different purposes</w:t>
      </w:r>
      <w:r w:rsidR="00F72633">
        <w:t>.  Specifically, OET</w:t>
      </w:r>
      <w:r w:rsidR="0019637C">
        <w:t>-72 and OET-</w:t>
      </w:r>
      <w:r w:rsidR="00F72633">
        <w:t xml:space="preserve">73 </w:t>
      </w:r>
      <w:r w:rsidR="004E1644">
        <w:t xml:space="preserve">use </w:t>
      </w:r>
      <w:r w:rsidR="00F72633">
        <w:t xml:space="preserve">the L-R model to estimate whether </w:t>
      </w:r>
      <w:r w:rsidR="00E92BD9">
        <w:t xml:space="preserve">a </w:t>
      </w:r>
      <w:r w:rsidR="00F72633">
        <w:t>TV station</w:t>
      </w:r>
      <w:r w:rsidR="00303CA7">
        <w:t>’s</w:t>
      </w:r>
      <w:r w:rsidR="00F72633">
        <w:t xml:space="preserve"> </w:t>
      </w:r>
      <w:r w:rsidR="00303CA7">
        <w:t xml:space="preserve">signal </w:t>
      </w:r>
      <w:r w:rsidR="00F72633">
        <w:t xml:space="preserve">is </w:t>
      </w:r>
      <w:r w:rsidR="00303CA7">
        <w:t>receivable</w:t>
      </w:r>
      <w:r w:rsidR="00F72633">
        <w:t xml:space="preserve"> at an individual location (a viewer’s home)</w:t>
      </w:r>
      <w:r w:rsidR="004E1644">
        <w:t>, whereas OET</w:t>
      </w:r>
      <w:r w:rsidR="00F40445">
        <w:t>-</w:t>
      </w:r>
      <w:r w:rsidR="00E92BD9">
        <w:t xml:space="preserve">69 </w:t>
      </w:r>
      <w:r w:rsidR="00303CA7">
        <w:t>estimates a station’s signal coverage, population served and interference received over the entire geographic area it serves.</w:t>
      </w:r>
      <w:r>
        <w:t xml:space="preserve">  </w:t>
      </w:r>
      <w:r w:rsidR="0019637C">
        <w:t>With regard to OET-72 and OET-73, t</w:t>
      </w:r>
      <w:r w:rsidR="008A1DC5">
        <w:t>he Commission found that ignoring the appearance of so-called “error codes” and accepting the calculated field strength value was appropriate for determining eligibility for satellite delivery of network programming at individual locations.</w:t>
      </w:r>
      <w:r w:rsidR="008A1DC5">
        <w:rPr>
          <w:rStyle w:val="FootnoteReference"/>
        </w:rPr>
        <w:footnoteReference w:id="12"/>
      </w:r>
    </w:p>
    <w:p w:rsidR="000C759F" w:rsidRDefault="000C759F" w:rsidP="00C73BDB">
      <w:pPr>
        <w:ind w:firstLine="720"/>
        <w:jc w:val="both"/>
      </w:pPr>
    </w:p>
    <w:p w:rsidR="006B3F4E" w:rsidRDefault="00B37146" w:rsidP="00C73BDB">
      <w:pPr>
        <w:ind w:firstLine="720"/>
        <w:jc w:val="both"/>
      </w:pPr>
      <w:r>
        <w:t>We</w:t>
      </w:r>
      <w:r w:rsidR="00D13D26">
        <w:t xml:space="preserve"> </w:t>
      </w:r>
      <w:r w:rsidR="00147AD9">
        <w:t xml:space="preserve">ask whether </w:t>
      </w:r>
      <w:r w:rsidR="0031044E">
        <w:t>we should</w:t>
      </w:r>
      <w:r w:rsidR="00D13D26">
        <w:t xml:space="preserve"> to continue to </w:t>
      </w:r>
      <w:r w:rsidR="00E92BD9">
        <w:t>assume coverage in areas that have</w:t>
      </w:r>
      <w:r w:rsidR="00D13D26">
        <w:t xml:space="preserve"> flagged results</w:t>
      </w:r>
      <w:r w:rsidR="0019637C">
        <w:t xml:space="preserve"> in implementing </w:t>
      </w:r>
      <w:r w:rsidR="0031044E">
        <w:t>the Commisison’s decision</w:t>
      </w:r>
      <w:r w:rsidR="00D40788">
        <w:t xml:space="preserve"> </w:t>
      </w:r>
      <w:r w:rsidR="0031044E">
        <w:t>that assumption of service is appropriate wher</w:t>
      </w:r>
      <w:r w:rsidR="00D40788">
        <w:t>e</w:t>
      </w:r>
      <w:r w:rsidR="0031044E">
        <w:t xml:space="preserve"> the Longley-Rice propagation model indicates that service calculations may be dubious or unreliable.  I</w:t>
      </w:r>
      <w:r w:rsidR="00011562">
        <w:t>f not,</w:t>
      </w:r>
      <w:r w:rsidR="0031044E">
        <w:t xml:space="preserve"> we ask</w:t>
      </w:r>
      <w:r w:rsidR="00011562">
        <w:t xml:space="preserve"> what assumptions should be made relative to coverage and population served under such conditions</w:t>
      </w:r>
      <w:r w:rsidR="0031044E">
        <w:t xml:space="preserve"> to more effectively </w:t>
      </w:r>
      <w:r w:rsidR="00D40788">
        <w:t>implement</w:t>
      </w:r>
      <w:r w:rsidR="0031044E">
        <w:t xml:space="preserve"> the </w:t>
      </w:r>
      <w:r w:rsidR="00D40788">
        <w:t>Commission’s</w:t>
      </w:r>
      <w:r w:rsidR="0031044E">
        <w:t xml:space="preserve"> decision</w:t>
      </w:r>
      <w:r w:rsidR="00011562">
        <w:t>.</w:t>
      </w:r>
      <w:r w:rsidR="006B3F4E">
        <w:t xml:space="preserve"> </w:t>
      </w:r>
    </w:p>
    <w:p w:rsidR="006B3F4E" w:rsidRDefault="006B3F4E" w:rsidP="006951C9">
      <w:pPr>
        <w:spacing w:line="238" w:lineRule="auto"/>
        <w:ind w:firstLine="720"/>
        <w:jc w:val="both"/>
      </w:pPr>
    </w:p>
    <w:p w:rsidR="006B3F4E" w:rsidRDefault="006B3F4E" w:rsidP="00C73BDB">
      <w:pPr>
        <w:ind w:firstLine="810"/>
      </w:pPr>
      <w:r>
        <w:rPr>
          <w:b/>
          <w:bCs/>
        </w:rPr>
        <w:t>Availability of Developmental Software and Data</w:t>
      </w:r>
    </w:p>
    <w:p w:rsidR="006B3F4E" w:rsidRDefault="006B3F4E" w:rsidP="00C73BDB">
      <w:pPr>
        <w:spacing w:line="238" w:lineRule="auto"/>
        <w:ind w:firstLine="720"/>
        <w:jc w:val="both"/>
      </w:pPr>
    </w:p>
    <w:p w:rsidR="002418D4" w:rsidRDefault="006B3F4E" w:rsidP="00C73BDB">
      <w:pPr>
        <w:ind w:firstLine="720"/>
      </w:pPr>
      <w:r>
        <w:t>The Commission is making available its developmental</w:t>
      </w:r>
      <w:r w:rsidRPr="0039001B">
        <w:rPr>
          <w:i/>
        </w:rPr>
        <w:t xml:space="preserve"> </w:t>
      </w:r>
      <w:r w:rsidR="000C759F">
        <w:rPr>
          <w:i/>
        </w:rPr>
        <w:t>TVStudy</w:t>
      </w:r>
      <w:r w:rsidR="001676A7">
        <w:t xml:space="preserve"> </w:t>
      </w:r>
      <w:r>
        <w:t>software and the data required to run it on its website at:</w:t>
      </w:r>
    </w:p>
    <w:p w:rsidR="00FA525F" w:rsidRDefault="00FA525F" w:rsidP="00C73BDB">
      <w:pPr>
        <w:ind w:firstLine="720"/>
      </w:pPr>
    </w:p>
    <w:p w:rsidR="006B3F4E" w:rsidRDefault="00B37F68" w:rsidP="00C73BDB">
      <w:pPr>
        <w:ind w:firstLine="720"/>
      </w:pPr>
      <w:hyperlink r:id="rId8" w:history="1">
        <w:r w:rsidR="00FA525F" w:rsidRPr="00555C2F">
          <w:rPr>
            <w:rStyle w:val="Hyperlink"/>
          </w:rPr>
          <w:t>http://data.fcc.gov/download/incentive-auctions/OET-69/</w:t>
        </w:r>
      </w:hyperlink>
      <w:r w:rsidR="00FA525F">
        <w:t xml:space="preserve"> </w:t>
      </w:r>
    </w:p>
    <w:p w:rsidR="006B3F4E" w:rsidRDefault="006B3F4E" w:rsidP="00C73BDB">
      <w:pPr>
        <w:ind w:firstLine="720"/>
        <w:jc w:val="both"/>
      </w:pPr>
    </w:p>
    <w:p w:rsidR="006B3F4E" w:rsidRDefault="006B3F4E" w:rsidP="00C73BDB">
      <w:pPr>
        <w:ind w:firstLine="720"/>
        <w:jc w:val="both"/>
      </w:pPr>
      <w:r>
        <w:t xml:space="preserve">Installation and operating instructions are included as separate files.  </w:t>
      </w:r>
    </w:p>
    <w:p w:rsidR="006B3F4E" w:rsidRDefault="006B3F4E" w:rsidP="00C73BDB">
      <w:pPr>
        <w:ind w:firstLine="720"/>
        <w:jc w:val="both"/>
      </w:pPr>
    </w:p>
    <w:p w:rsidR="006B3F4E" w:rsidRDefault="006B3F4E" w:rsidP="00C73BDB">
      <w:pPr>
        <w:ind w:firstLine="720"/>
        <w:jc w:val="both"/>
      </w:pPr>
      <w:r>
        <w:t>The software was developed on an Apple iMac, but it is expected that the source code can be compiled on other Unix-</w:t>
      </w:r>
      <w:r w:rsidR="00D442AD">
        <w:t>like</w:t>
      </w:r>
      <w:r>
        <w:t xml:space="preserve"> platforms</w:t>
      </w:r>
      <w:r w:rsidR="00D442AD">
        <w:t xml:space="preserve"> (</w:t>
      </w:r>
      <w:r w:rsidR="00D442AD">
        <w:rPr>
          <w:i/>
        </w:rPr>
        <w:t>e.g.</w:t>
      </w:r>
      <w:r w:rsidR="00D442AD">
        <w:t xml:space="preserve"> Linux)</w:t>
      </w:r>
      <w:r>
        <w:t xml:space="preserve">.  Compatibility of the C source-code with Microsoft Windows-based compilers is not guaranteed, but only </w:t>
      </w:r>
      <w:r w:rsidR="001676A7">
        <w:t>minor</w:t>
      </w:r>
      <w:r>
        <w:t xml:space="preserve"> modification would be expected.  The Java code</w:t>
      </w:r>
      <w:r w:rsidR="00D442AD">
        <w:t xml:space="preserve">, which was developed </w:t>
      </w:r>
      <w:r w:rsidR="004F4AEB">
        <w:t>i</w:t>
      </w:r>
      <w:r w:rsidR="00D442AD">
        <w:t>n Java version 1.6,</w:t>
      </w:r>
      <w:r>
        <w:t xml:space="preserve"> is expected to be platform independent.  In addition to the source code, a fully-compiled version of the software is supplied for use on Apple computers </w:t>
      </w:r>
      <w:r w:rsidR="005963A1">
        <w:t>running OS10.6 or higher</w:t>
      </w:r>
      <w:r>
        <w:t xml:space="preserve">.  The software also requires certain MySQL client libraries, which can be obtained by installing MySQL Community Server (available at no cost from Oracle).  To ensure compatibility, MySQL Community Server version </w:t>
      </w:r>
      <w:r w:rsidRPr="004E3867">
        <w:t>5.529</w:t>
      </w:r>
      <w:r>
        <w:t xml:space="preserve"> is </w:t>
      </w:r>
      <w:r w:rsidR="008A1DC5">
        <w:t>recommended</w:t>
      </w:r>
      <w:r>
        <w:t>.</w:t>
      </w:r>
    </w:p>
    <w:p w:rsidR="006B3F4E" w:rsidRDefault="006B3F4E" w:rsidP="00C73BDB">
      <w:pPr>
        <w:ind w:firstLine="720"/>
        <w:jc w:val="both"/>
      </w:pPr>
    </w:p>
    <w:p w:rsidR="00A633A2" w:rsidRDefault="008A1DC5" w:rsidP="00C73BDB">
      <w:pPr>
        <w:ind w:firstLine="720"/>
        <w:jc w:val="both"/>
      </w:pPr>
      <w:r>
        <w:t xml:space="preserve">Parties seeking to evaluate the </w:t>
      </w:r>
      <w:r>
        <w:rPr>
          <w:i/>
        </w:rPr>
        <w:t xml:space="preserve">TVStudy </w:t>
      </w:r>
      <w:r>
        <w:t>software will also need various data files for terrain and population.  Some of the necessary data files are quite large and so have been archived using TAR and GZip (collectively TGZ)</w:t>
      </w:r>
      <w:r>
        <w:rPr>
          <w:rStyle w:val="FootnoteReference"/>
        </w:rPr>
        <w:footnoteReference w:id="13"/>
      </w:r>
      <w:r>
        <w:t xml:space="preserve"> and encoded using PAR2</w:t>
      </w:r>
      <w:r>
        <w:rPr>
          <w:rStyle w:val="FootnoteReference"/>
        </w:rPr>
        <w:footnoteReference w:id="14"/>
      </w:r>
      <w:r>
        <w:t xml:space="preserve"> to facilitate error detection and correction.   The necessary data files for population and terrain are supplied at the URL given above, together with a reference copy of CDBS for television stations as of February 22, 2012.</w:t>
      </w:r>
    </w:p>
    <w:p w:rsidR="00241857" w:rsidRDefault="00241857" w:rsidP="00C73BDB">
      <w:pPr>
        <w:ind w:firstLine="720"/>
        <w:jc w:val="both"/>
      </w:pPr>
    </w:p>
    <w:p w:rsidR="00841D1A" w:rsidRDefault="00841D1A">
      <w:pPr>
        <w:rPr>
          <w:b/>
          <w:bCs/>
        </w:rPr>
      </w:pPr>
      <w:r>
        <w:rPr>
          <w:b/>
          <w:bCs/>
        </w:rPr>
        <w:br w:type="page"/>
      </w:r>
    </w:p>
    <w:p w:rsidR="00A633A2" w:rsidRDefault="00A633A2" w:rsidP="00841D1A">
      <w:pPr>
        <w:ind w:firstLine="810"/>
        <w:rPr>
          <w:b/>
          <w:bCs/>
        </w:rPr>
      </w:pPr>
      <w:r>
        <w:rPr>
          <w:b/>
          <w:bCs/>
        </w:rPr>
        <w:t xml:space="preserve">How to </w:t>
      </w:r>
      <w:r w:rsidR="00240564">
        <w:rPr>
          <w:b/>
          <w:bCs/>
        </w:rPr>
        <w:t>Comment</w:t>
      </w:r>
    </w:p>
    <w:p w:rsidR="00A633A2" w:rsidRDefault="00A633A2" w:rsidP="00841D1A">
      <w:pPr>
        <w:ind w:firstLine="810"/>
        <w:rPr>
          <w:b/>
          <w:bCs/>
        </w:rPr>
      </w:pPr>
    </w:p>
    <w:p w:rsidR="00F83ACE" w:rsidRDefault="005B4D01" w:rsidP="00841D1A">
      <w:pPr>
        <w:ind w:firstLine="810"/>
        <w:jc w:val="both"/>
      </w:pPr>
      <w:r>
        <w:t>C</w:t>
      </w:r>
      <w:r w:rsidR="00240564">
        <w:t>omment</w:t>
      </w:r>
      <w:r>
        <w:t>s</w:t>
      </w:r>
      <w:r w:rsidR="00240564">
        <w:t xml:space="preserve"> </w:t>
      </w:r>
      <w:r w:rsidR="00A633A2" w:rsidRPr="00B944F0">
        <w:t xml:space="preserve">on the </w:t>
      </w:r>
      <w:r w:rsidR="00AE22C1">
        <w:t>matters discussed in this Public Notice</w:t>
      </w:r>
      <w:r>
        <w:t xml:space="preserve"> should be filed in </w:t>
      </w:r>
      <w:r w:rsidR="002107A8">
        <w:t>Dockets 13-</w:t>
      </w:r>
      <w:r w:rsidR="00D40788">
        <w:t>26</w:t>
      </w:r>
      <w:r w:rsidR="002107A8">
        <w:t xml:space="preserve"> and</w:t>
      </w:r>
      <w:r>
        <w:t xml:space="preserve"> 12-268</w:t>
      </w:r>
      <w:r w:rsidR="00A633A2" w:rsidRPr="00B944F0">
        <w:t xml:space="preserve">.  </w:t>
      </w:r>
      <w:r w:rsidRPr="00EB5FC4">
        <w:t xml:space="preserve">Pursuant to sections 1.415 and 1.419 of the Commission’s rules, 47 CFR §§ 1.415, 1.419, interested parties may file comments </w:t>
      </w:r>
      <w:r w:rsidR="002107A8">
        <w:t xml:space="preserve">and reply comments </w:t>
      </w:r>
      <w:r w:rsidRPr="00EB5FC4">
        <w:t>on or before the dates indicated on the first page of this document.</w:t>
      </w:r>
      <w:r>
        <w:t xml:space="preserve">  We encourage parties to </w:t>
      </w:r>
      <w:r w:rsidR="00A633A2" w:rsidRPr="00D442AD">
        <w:t xml:space="preserve">bring reports of </w:t>
      </w:r>
      <w:r w:rsidR="001676A7">
        <w:t>errors</w:t>
      </w:r>
      <w:r w:rsidR="00A633A2" w:rsidRPr="00D442AD">
        <w:t xml:space="preserve"> or anomalous results </w:t>
      </w:r>
      <w:r>
        <w:t xml:space="preserve">in the running of the </w:t>
      </w:r>
      <w:r>
        <w:rPr>
          <w:i/>
        </w:rPr>
        <w:t xml:space="preserve">TVStudy </w:t>
      </w:r>
      <w:r>
        <w:t xml:space="preserve">software </w:t>
      </w:r>
      <w:r w:rsidR="00A633A2" w:rsidRPr="00D442AD">
        <w:t xml:space="preserve">to our attention as soon as </w:t>
      </w:r>
      <w:r>
        <w:t>they are identified</w:t>
      </w:r>
      <w:r w:rsidR="00A633A2" w:rsidRPr="00D442AD">
        <w:t>.</w:t>
      </w:r>
    </w:p>
    <w:p w:rsidR="00F83ACE" w:rsidRDefault="00F83ACE" w:rsidP="00C73BDB">
      <w:pPr>
        <w:spacing w:before="120"/>
        <w:ind w:firstLine="810"/>
        <w:jc w:val="both"/>
      </w:pPr>
      <w:r w:rsidRPr="00A90A3B">
        <w:t>Comments may be filed using the Commission’s Electronic Comment Filing System (ECFS). See Electronic Filing of Documents in Rulemaking Proceedings, 63 FR 24121 (1998).</w:t>
      </w:r>
    </w:p>
    <w:p w:rsidR="00F83ACE" w:rsidRDefault="00F83ACE" w:rsidP="00C73BDB">
      <w:pPr>
        <w:numPr>
          <w:ilvl w:val="0"/>
          <w:numId w:val="24"/>
        </w:numPr>
        <w:spacing w:before="120"/>
        <w:ind w:left="0" w:firstLine="810"/>
        <w:jc w:val="both"/>
      </w:pPr>
      <w:r w:rsidRPr="00A90A3B">
        <w:t xml:space="preserve">Electronic Filers: Comments may be filed electronically using the Internet by accessing the ECFS: </w:t>
      </w:r>
      <w:hyperlink r:id="rId9" w:history="1">
        <w:r w:rsidRPr="00A90A3B">
          <w:rPr>
            <w:rStyle w:val="Hyperlink"/>
          </w:rPr>
          <w:t>http://fjallfoss.fcc.gov/ecfs2/</w:t>
        </w:r>
      </w:hyperlink>
      <w:r w:rsidRPr="00A90A3B">
        <w:t xml:space="preserve">. </w:t>
      </w:r>
    </w:p>
    <w:p w:rsidR="00F83ACE" w:rsidRDefault="00F83ACE" w:rsidP="00841D1A">
      <w:pPr>
        <w:numPr>
          <w:ilvl w:val="0"/>
          <w:numId w:val="24"/>
        </w:numPr>
        <w:ind w:left="0" w:firstLine="810"/>
        <w:jc w:val="both"/>
      </w:pPr>
      <w:r w:rsidRPr="00A90A3B">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CF44AB" w:rsidRDefault="00CF44AB" w:rsidP="00841D1A">
      <w:pPr>
        <w:jc w:val="both"/>
      </w:pPr>
    </w:p>
    <w:p w:rsidR="00F83ACE" w:rsidRDefault="00F83ACE" w:rsidP="00841D1A">
      <w:pPr>
        <w:ind w:firstLine="810"/>
        <w:jc w:val="both"/>
      </w:pPr>
      <w:r w:rsidRPr="00A90A3B">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00CF44AB" w:rsidRDefault="00CF44AB" w:rsidP="00841D1A">
      <w:pPr>
        <w:ind w:firstLine="810"/>
        <w:jc w:val="both"/>
      </w:pPr>
    </w:p>
    <w:p w:rsidR="00F83ACE" w:rsidRDefault="00F83ACE" w:rsidP="00841D1A">
      <w:pPr>
        <w:numPr>
          <w:ilvl w:val="0"/>
          <w:numId w:val="23"/>
        </w:numPr>
        <w:ind w:left="0" w:firstLine="810"/>
        <w:jc w:val="both"/>
      </w:pPr>
      <w:r w:rsidRPr="00A90A3B">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F83ACE" w:rsidRDefault="00F83ACE" w:rsidP="00841D1A">
      <w:pPr>
        <w:numPr>
          <w:ilvl w:val="0"/>
          <w:numId w:val="23"/>
        </w:numPr>
        <w:spacing w:before="120"/>
        <w:ind w:left="0" w:firstLine="810"/>
        <w:jc w:val="both"/>
      </w:pPr>
      <w:r w:rsidRPr="00A90A3B">
        <w:t xml:space="preserve">Commercial overnight mail (other than U.S. Postal Service Express Mail and Priority Mail) must be sent to 9300 East Hampton Drive, Capitol Heights, MD 20743. </w:t>
      </w:r>
    </w:p>
    <w:p w:rsidR="00F83ACE" w:rsidRDefault="00F83ACE" w:rsidP="00841D1A">
      <w:pPr>
        <w:numPr>
          <w:ilvl w:val="0"/>
          <w:numId w:val="23"/>
        </w:numPr>
        <w:spacing w:before="120"/>
        <w:ind w:left="0" w:firstLine="810"/>
        <w:jc w:val="both"/>
      </w:pPr>
      <w:r w:rsidRPr="00A90A3B">
        <w:t xml:space="preserve">U.S. Postal Service first-class, Express, and Priority mail must be addressed to 445 12th Street, SW, Washington DC 20554. </w:t>
      </w:r>
    </w:p>
    <w:p w:rsidR="00CF44AB" w:rsidRDefault="00CF44AB" w:rsidP="00841D1A">
      <w:pPr>
        <w:jc w:val="both"/>
      </w:pPr>
    </w:p>
    <w:p w:rsidR="00F83ACE" w:rsidRDefault="00F83ACE" w:rsidP="00841D1A">
      <w:pPr>
        <w:ind w:firstLine="720"/>
        <w:jc w:val="both"/>
      </w:pPr>
      <w:r w:rsidRPr="00560537">
        <w:t xml:space="preserve">People with Disabilities: To request materials in accessible formats for people with disabilities (braille, large print, electronic files, audio format), send an e-mail to fcc504@fcc.gov or call the Consumer &amp; Governmental Affairs Bureau at 202-418-0530 (voice), 202-418-0432 (tty). </w:t>
      </w:r>
    </w:p>
    <w:p w:rsidR="00D40788" w:rsidRDefault="00D40788" w:rsidP="00841D1A">
      <w:pPr>
        <w:ind w:firstLine="720"/>
        <w:jc w:val="both"/>
      </w:pPr>
    </w:p>
    <w:p w:rsidR="00D40788" w:rsidRDefault="00D40788" w:rsidP="00841D1A">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sidR="00CF44AB">
        <w:rPr>
          <w:rStyle w:val="FootnoteReference"/>
          <w:szCs w:val="22"/>
        </w:rPr>
        <w:footnoteReference w:id="15"/>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D40788" w:rsidRDefault="00D40788" w:rsidP="006951C9">
      <w:pPr>
        <w:tabs>
          <w:tab w:val="left" w:pos="8550"/>
        </w:tabs>
        <w:spacing w:before="65" w:line="241" w:lineRule="auto"/>
        <w:ind w:firstLine="720"/>
      </w:pPr>
    </w:p>
    <w:p w:rsidR="006B3F4E" w:rsidRDefault="006B3F4E" w:rsidP="006951C9">
      <w:pPr>
        <w:tabs>
          <w:tab w:val="left" w:pos="8550"/>
        </w:tabs>
        <w:spacing w:before="65" w:line="241" w:lineRule="auto"/>
        <w:ind w:firstLine="720"/>
      </w:pPr>
      <w:r>
        <w:t>For</w:t>
      </w:r>
      <w:r>
        <w:rPr>
          <w:spacing w:val="-3"/>
        </w:rPr>
        <w:t xml:space="preserve"> </w:t>
      </w:r>
      <w:r>
        <w:t>further</w:t>
      </w:r>
      <w:r>
        <w:rPr>
          <w:spacing w:val="-6"/>
        </w:rPr>
        <w:t xml:space="preserve"> </w:t>
      </w:r>
      <w:r>
        <w:t>i</w:t>
      </w:r>
      <w:r>
        <w:rPr>
          <w:spacing w:val="-1"/>
        </w:rPr>
        <w:t>n</w:t>
      </w:r>
      <w:r>
        <w:t>formation, contact</w:t>
      </w:r>
      <w:r>
        <w:rPr>
          <w:spacing w:val="-6"/>
        </w:rPr>
        <w:t xml:space="preserve"> </w:t>
      </w:r>
      <w:r>
        <w:t xml:space="preserve">Robert Weller at </w:t>
      </w:r>
      <w:hyperlink r:id="rId10" w:history="1">
        <w:r w:rsidRPr="003371C2">
          <w:rPr>
            <w:rStyle w:val="Hyperlink"/>
          </w:rPr>
          <w:t>robert.weller@fcc.gov</w:t>
        </w:r>
      </w:hyperlink>
      <w:r w:rsidR="004B588F">
        <w:t>.</w:t>
      </w:r>
    </w:p>
    <w:p w:rsidR="006B3F4E" w:rsidRDefault="006B3F4E" w:rsidP="006951C9">
      <w:pPr>
        <w:spacing w:before="18" w:line="200" w:lineRule="exact"/>
        <w:rPr>
          <w:sz w:val="20"/>
        </w:rPr>
      </w:pPr>
    </w:p>
    <w:p w:rsidR="006B3F4E" w:rsidRDefault="006B3F4E" w:rsidP="006951C9">
      <w:pPr>
        <w:jc w:val="center"/>
      </w:pPr>
      <w:r>
        <w:rPr>
          <w:b/>
          <w:bCs/>
        </w:rPr>
        <w:t>–</w:t>
      </w:r>
      <w:r>
        <w:rPr>
          <w:b/>
          <w:bCs/>
          <w:spacing w:val="-1"/>
        </w:rPr>
        <w:t xml:space="preserve"> </w:t>
      </w:r>
      <w:r>
        <w:rPr>
          <w:b/>
          <w:bCs/>
        </w:rPr>
        <w:t>FCC</w:t>
      </w:r>
      <w:r>
        <w:rPr>
          <w:b/>
          <w:bCs/>
          <w:spacing w:val="-5"/>
        </w:rPr>
        <w:t xml:space="preserve"> </w:t>
      </w:r>
      <w:r>
        <w:rPr>
          <w:b/>
          <w:bCs/>
          <w:w w:val="99"/>
        </w:rPr>
        <w:t>–</w:t>
      </w:r>
    </w:p>
    <w:p w:rsidR="006B3F4E" w:rsidRDefault="006B3F4E" w:rsidP="006B3F4E">
      <w:pPr>
        <w:spacing w:before="60"/>
        <w:jc w:val="center"/>
        <w:rPr>
          <w:sz w:val="24"/>
        </w:rPr>
      </w:pPr>
    </w:p>
    <w:sectPr w:rsidR="006B3F4E" w:rsidSect="00841D1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CE" w:rsidRDefault="003E3CCE">
      <w:r>
        <w:separator/>
      </w:r>
    </w:p>
  </w:endnote>
  <w:endnote w:type="continuationSeparator" w:id="0">
    <w:p w:rsidR="003E3CCE" w:rsidRDefault="003E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4E" w:rsidRDefault="006B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F4E" w:rsidRDefault="006B3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4E" w:rsidRDefault="006B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669">
      <w:rPr>
        <w:rStyle w:val="PageNumber"/>
        <w:noProof/>
      </w:rPr>
      <w:t>8</w:t>
    </w:r>
    <w:r>
      <w:rPr>
        <w:rStyle w:val="PageNumber"/>
      </w:rPr>
      <w:fldChar w:fldCharType="end"/>
    </w:r>
  </w:p>
  <w:p w:rsidR="006B3F4E" w:rsidRDefault="006B3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79" w:rsidRDefault="00B2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CE" w:rsidRDefault="003E3CCE">
      <w:r>
        <w:separator/>
      </w:r>
    </w:p>
  </w:footnote>
  <w:footnote w:type="continuationSeparator" w:id="0">
    <w:p w:rsidR="003E3CCE" w:rsidRDefault="003E3CCE">
      <w:r>
        <w:continuationSeparator/>
      </w:r>
    </w:p>
  </w:footnote>
  <w:footnote w:id="1">
    <w:p w:rsidR="006B3F4E" w:rsidRPr="006B3F4E" w:rsidRDefault="006B3F4E" w:rsidP="006951C9">
      <w:pPr>
        <w:pStyle w:val="FootnoteText"/>
        <w:spacing w:after="0"/>
        <w:ind w:left="270" w:hanging="270"/>
        <w:rPr>
          <w:sz w:val="18"/>
          <w:szCs w:val="18"/>
        </w:rPr>
      </w:pPr>
      <w:r w:rsidRPr="006B3F4E">
        <w:rPr>
          <w:rStyle w:val="FootnoteReference"/>
          <w:sz w:val="18"/>
          <w:szCs w:val="18"/>
        </w:rPr>
        <w:footnoteRef/>
      </w:r>
      <w:r w:rsidRPr="006B3F4E">
        <w:rPr>
          <w:sz w:val="18"/>
          <w:szCs w:val="18"/>
        </w:rPr>
        <w:t xml:space="preserve"> </w:t>
      </w:r>
      <w:r w:rsidRPr="006B3F4E">
        <w:rPr>
          <w:sz w:val="18"/>
          <w:szCs w:val="18"/>
        </w:rPr>
        <w:tab/>
      </w:r>
      <w:r w:rsidR="004B4D04">
        <w:rPr>
          <w:sz w:val="18"/>
          <w:szCs w:val="18"/>
        </w:rPr>
        <w:t xml:space="preserve">OET Bulletin No. 69, </w:t>
      </w:r>
      <w:r w:rsidRPr="006B3F4E">
        <w:rPr>
          <w:sz w:val="18"/>
          <w:szCs w:val="18"/>
        </w:rPr>
        <w:t>“Longley-Rice Methodology for Evaluating TV Coverage and Interference</w:t>
      </w:r>
      <w:r w:rsidR="004B4D04">
        <w:rPr>
          <w:sz w:val="18"/>
          <w:szCs w:val="18"/>
        </w:rPr>
        <w:t>,</w:t>
      </w:r>
      <w:r w:rsidRPr="006B3F4E">
        <w:rPr>
          <w:sz w:val="18"/>
          <w:szCs w:val="18"/>
        </w:rPr>
        <w:t xml:space="preserve">” </w:t>
      </w:r>
      <w:r w:rsidR="004B4D04" w:rsidRPr="006B3F4E">
        <w:rPr>
          <w:sz w:val="18"/>
          <w:szCs w:val="18"/>
        </w:rPr>
        <w:t>Feb</w:t>
      </w:r>
      <w:r w:rsidR="004B4D04">
        <w:rPr>
          <w:sz w:val="18"/>
          <w:szCs w:val="18"/>
        </w:rPr>
        <w:t>.</w:t>
      </w:r>
      <w:r w:rsidRPr="006B3F4E">
        <w:rPr>
          <w:sz w:val="18"/>
          <w:szCs w:val="18"/>
        </w:rPr>
        <w:t xml:space="preserve"> 6, 2004</w:t>
      </w:r>
      <w:r w:rsidR="004B4D04">
        <w:rPr>
          <w:sz w:val="18"/>
          <w:szCs w:val="18"/>
        </w:rPr>
        <w:t>.  A</w:t>
      </w:r>
      <w:r w:rsidRPr="006B3F4E">
        <w:rPr>
          <w:sz w:val="18"/>
          <w:szCs w:val="18"/>
        </w:rPr>
        <w:t xml:space="preserve">vailable at </w:t>
      </w:r>
      <w:hyperlink r:id="rId1" w:history="1">
        <w:r w:rsidRPr="006B3F4E">
          <w:rPr>
            <w:rStyle w:val="Hyperlink"/>
            <w:sz w:val="18"/>
            <w:szCs w:val="18"/>
          </w:rPr>
          <w:t>http://transition.fcc.gov/Bureaus/Engineering_Technology/Documents/bulletins/oet69/oet69.pdf</w:t>
        </w:r>
      </w:hyperlink>
      <w:r w:rsidR="004B4D04">
        <w:rPr>
          <w:rStyle w:val="Hyperlink"/>
          <w:sz w:val="18"/>
          <w:szCs w:val="18"/>
        </w:rPr>
        <w:t>.</w:t>
      </w:r>
    </w:p>
  </w:footnote>
  <w:footnote w:id="2">
    <w:p w:rsidR="00FF2ED9" w:rsidRPr="00560537" w:rsidRDefault="0015603B" w:rsidP="006951C9">
      <w:pPr>
        <w:pStyle w:val="FootnoteText"/>
        <w:spacing w:after="0"/>
        <w:ind w:left="270" w:hanging="270"/>
        <w:rPr>
          <w:sz w:val="18"/>
          <w:szCs w:val="18"/>
          <w:lang w:val="en-US"/>
        </w:rPr>
      </w:pPr>
      <w:r w:rsidRPr="006B3F4E">
        <w:rPr>
          <w:rStyle w:val="FootnoteReference"/>
          <w:sz w:val="18"/>
          <w:szCs w:val="18"/>
        </w:rPr>
        <w:footnoteRef/>
      </w:r>
      <w:r w:rsidRPr="006B3F4E">
        <w:rPr>
          <w:sz w:val="18"/>
          <w:szCs w:val="18"/>
        </w:rPr>
        <w:t xml:space="preserve"> </w:t>
      </w:r>
      <w:r w:rsidRPr="006B3F4E">
        <w:rPr>
          <w:sz w:val="18"/>
          <w:szCs w:val="18"/>
        </w:rPr>
        <w:tab/>
      </w:r>
      <w:r>
        <w:rPr>
          <w:i/>
          <w:sz w:val="18"/>
          <w:szCs w:val="18"/>
        </w:rPr>
        <w:t xml:space="preserve">See </w:t>
      </w:r>
      <w:r w:rsidRPr="006B3F4E">
        <w:rPr>
          <w:sz w:val="18"/>
          <w:szCs w:val="18"/>
        </w:rPr>
        <w:t xml:space="preserve">Expanding the Economic and Innovation Opportunities of Spectrum Through Incentive Auctions, </w:t>
      </w:r>
      <w:r w:rsidRPr="00B944F0">
        <w:rPr>
          <w:i/>
          <w:sz w:val="18"/>
          <w:szCs w:val="18"/>
        </w:rPr>
        <w:t>Notice of Proposed Rulemaking</w:t>
      </w:r>
      <w:r w:rsidRPr="006B3F4E">
        <w:rPr>
          <w:sz w:val="18"/>
          <w:szCs w:val="18"/>
        </w:rPr>
        <w:t xml:space="preserve">, </w:t>
      </w:r>
      <w:r>
        <w:rPr>
          <w:sz w:val="18"/>
          <w:szCs w:val="18"/>
        </w:rPr>
        <w:t xml:space="preserve">FCC 12-118, </w:t>
      </w:r>
      <w:r w:rsidRPr="006B3F4E">
        <w:rPr>
          <w:sz w:val="18"/>
          <w:szCs w:val="18"/>
        </w:rPr>
        <w:t xml:space="preserve">Docket No. 12-268, </w:t>
      </w:r>
      <w:r>
        <w:rPr>
          <w:sz w:val="18"/>
          <w:szCs w:val="18"/>
        </w:rPr>
        <w:t>27 FCC Rcd. 12357 (</w:t>
      </w:r>
      <w:r w:rsidRPr="006B3F4E">
        <w:rPr>
          <w:sz w:val="18"/>
          <w:szCs w:val="18"/>
        </w:rPr>
        <w:t>2012</w:t>
      </w:r>
      <w:r>
        <w:rPr>
          <w:sz w:val="18"/>
          <w:szCs w:val="18"/>
        </w:rPr>
        <w:t>)</w:t>
      </w:r>
      <w:r w:rsidRPr="006B3F4E">
        <w:rPr>
          <w:sz w:val="18"/>
          <w:szCs w:val="18"/>
        </w:rPr>
        <w:t xml:space="preserve"> </w:t>
      </w:r>
      <w:r>
        <w:rPr>
          <w:sz w:val="18"/>
          <w:szCs w:val="18"/>
        </w:rPr>
        <w:t xml:space="preserve"> (</w:t>
      </w:r>
      <w:r w:rsidRPr="00A90A3B">
        <w:rPr>
          <w:i/>
          <w:sz w:val="18"/>
          <w:szCs w:val="18"/>
        </w:rPr>
        <w:t>Incentive Auction</w:t>
      </w:r>
      <w:r>
        <w:rPr>
          <w:sz w:val="18"/>
          <w:szCs w:val="18"/>
        </w:rPr>
        <w:t xml:space="preserve"> </w:t>
      </w:r>
      <w:r w:rsidRPr="00B83264">
        <w:rPr>
          <w:i/>
          <w:sz w:val="18"/>
          <w:szCs w:val="18"/>
        </w:rPr>
        <w:t>NPRM</w:t>
      </w:r>
      <w:r>
        <w:rPr>
          <w:sz w:val="18"/>
          <w:szCs w:val="18"/>
        </w:rPr>
        <w:t xml:space="preserve">).  </w:t>
      </w:r>
      <w:r w:rsidRPr="00B83264">
        <w:rPr>
          <w:sz w:val="18"/>
          <w:szCs w:val="18"/>
        </w:rPr>
        <w:t>Available</w:t>
      </w:r>
      <w:r w:rsidRPr="006B3F4E">
        <w:rPr>
          <w:sz w:val="18"/>
          <w:szCs w:val="18"/>
        </w:rPr>
        <w:t xml:space="preserve"> at </w:t>
      </w:r>
      <w:hyperlink r:id="rId2" w:history="1">
        <w:r w:rsidRPr="006B3F4E">
          <w:rPr>
            <w:rStyle w:val="Hyperlink"/>
            <w:sz w:val="18"/>
            <w:szCs w:val="18"/>
          </w:rPr>
          <w:t>http://transition.fcc.gov/Daily_Releases/Daily_Business/2012/db1002/FCC-12-118A1.pdf</w:t>
        </w:r>
      </w:hyperlink>
      <w:r w:rsidR="002D6CDC">
        <w:rPr>
          <w:rStyle w:val="Hyperlink"/>
          <w:sz w:val="18"/>
          <w:szCs w:val="18"/>
          <w:lang w:val="en-US"/>
        </w:rPr>
        <w:t>.</w:t>
      </w:r>
      <w:r w:rsidRPr="006B3F4E">
        <w:rPr>
          <w:sz w:val="18"/>
          <w:szCs w:val="18"/>
        </w:rPr>
        <w:t xml:space="preserve"> </w:t>
      </w:r>
    </w:p>
  </w:footnote>
  <w:footnote w:id="3">
    <w:p w:rsidR="00FF2ED9" w:rsidRPr="007865AC" w:rsidRDefault="00FF2ED9" w:rsidP="00614A09">
      <w:pPr>
        <w:pStyle w:val="FootnoteText"/>
        <w:spacing w:after="0"/>
        <w:ind w:left="360" w:hanging="360"/>
        <w:rPr>
          <w:lang w:val="en-US"/>
        </w:rPr>
      </w:pPr>
      <w:r w:rsidRPr="005445AB">
        <w:rPr>
          <w:rStyle w:val="FootnoteReference"/>
          <w:sz w:val="18"/>
          <w:szCs w:val="18"/>
        </w:rPr>
        <w:footnoteRef/>
      </w:r>
      <w:r>
        <w:tab/>
      </w:r>
      <w:r>
        <w:rPr>
          <w:sz w:val="18"/>
          <w:szCs w:val="18"/>
        </w:rPr>
        <w:t>T</w:t>
      </w:r>
      <w:r w:rsidR="003754E5">
        <w:rPr>
          <w:sz w:val="18"/>
          <w:szCs w:val="18"/>
          <w:lang w:val="en-US"/>
        </w:rPr>
        <w:t xml:space="preserve">he </w:t>
      </w:r>
      <w:r w:rsidR="003754E5">
        <w:rPr>
          <w:i/>
          <w:sz w:val="18"/>
          <w:szCs w:val="18"/>
          <w:lang w:val="en-US"/>
        </w:rPr>
        <w:t xml:space="preserve">TVStudy </w:t>
      </w:r>
      <w:r w:rsidR="003754E5">
        <w:rPr>
          <w:sz w:val="18"/>
          <w:szCs w:val="18"/>
          <w:lang w:val="en-US"/>
        </w:rPr>
        <w:t xml:space="preserve">software will allow us to produce </w:t>
      </w:r>
      <w:r w:rsidR="003754E5">
        <w:rPr>
          <w:sz w:val="18"/>
          <w:szCs w:val="18"/>
        </w:rPr>
        <w:t>television</w:t>
      </w:r>
      <w:r>
        <w:rPr>
          <w:sz w:val="18"/>
          <w:szCs w:val="18"/>
        </w:rPr>
        <w:t xml:space="preserve"> station service and interference data</w:t>
      </w:r>
      <w:r w:rsidR="003754E5">
        <w:rPr>
          <w:sz w:val="18"/>
          <w:szCs w:val="18"/>
          <w:lang w:val="en-US"/>
        </w:rPr>
        <w:t xml:space="preserve"> that, under the proposals in the </w:t>
      </w:r>
      <w:r w:rsidR="003754E5" w:rsidRPr="00560537">
        <w:rPr>
          <w:i/>
          <w:sz w:val="18"/>
          <w:szCs w:val="18"/>
        </w:rPr>
        <w:t>Incentive Auction</w:t>
      </w:r>
      <w:r w:rsidR="003754E5">
        <w:rPr>
          <w:sz w:val="18"/>
          <w:szCs w:val="18"/>
        </w:rPr>
        <w:t xml:space="preserve"> </w:t>
      </w:r>
      <w:r w:rsidR="003754E5" w:rsidRPr="00B83264">
        <w:rPr>
          <w:i/>
          <w:sz w:val="18"/>
          <w:szCs w:val="18"/>
        </w:rPr>
        <w:t>NPRM</w:t>
      </w:r>
      <w:r w:rsidR="003754E5">
        <w:rPr>
          <w:sz w:val="18"/>
          <w:szCs w:val="18"/>
          <w:lang w:val="en-US"/>
        </w:rPr>
        <w:t xml:space="preserve">, will </w:t>
      </w:r>
      <w:r w:rsidR="003754E5">
        <w:rPr>
          <w:sz w:val="18"/>
          <w:szCs w:val="18"/>
        </w:rPr>
        <w:t xml:space="preserve">serve as an input to the algorithms that will be used </w:t>
      </w:r>
      <w:r w:rsidR="003754E5">
        <w:rPr>
          <w:sz w:val="18"/>
          <w:szCs w:val="18"/>
          <w:lang w:val="en-US"/>
        </w:rPr>
        <w:t>to select operating channels</w:t>
      </w:r>
      <w:r>
        <w:rPr>
          <w:sz w:val="18"/>
          <w:szCs w:val="18"/>
        </w:rPr>
        <w:t>.</w:t>
      </w:r>
      <w:r>
        <w:t xml:space="preserve"> </w:t>
      </w:r>
    </w:p>
  </w:footnote>
  <w:footnote w:id="4">
    <w:p w:rsidR="00B83264" w:rsidRPr="006B3F4E" w:rsidRDefault="00B83264" w:rsidP="00841D1A">
      <w:pPr>
        <w:autoSpaceDE w:val="0"/>
        <w:autoSpaceDN w:val="0"/>
        <w:adjustRightInd w:val="0"/>
        <w:ind w:left="360" w:hanging="360"/>
        <w:rPr>
          <w:rFonts w:ascii="TimesNewRoman" w:hAnsi="TimesNewRoman" w:cs="TimesNewRoman"/>
          <w:color w:val="010101"/>
          <w:sz w:val="18"/>
          <w:szCs w:val="18"/>
        </w:rPr>
      </w:pPr>
      <w:r w:rsidRPr="006B3F4E">
        <w:rPr>
          <w:rStyle w:val="FootnoteReference"/>
          <w:sz w:val="18"/>
          <w:szCs w:val="18"/>
        </w:rPr>
        <w:footnoteRef/>
      </w:r>
      <w:r w:rsidRPr="006B3F4E">
        <w:rPr>
          <w:sz w:val="18"/>
          <w:szCs w:val="18"/>
        </w:rPr>
        <w:t xml:space="preserve"> </w:t>
      </w:r>
      <w:r w:rsidRPr="006B3F4E">
        <w:rPr>
          <w:sz w:val="18"/>
          <w:szCs w:val="18"/>
        </w:rPr>
        <w:tab/>
      </w:r>
      <w:r w:rsidRPr="006B3F4E">
        <w:rPr>
          <w:rFonts w:ascii="TimesNewRoman" w:hAnsi="TimesNewRoman" w:cs="TimesNewRoman"/>
          <w:color w:val="010101"/>
          <w:sz w:val="18"/>
          <w:szCs w:val="18"/>
        </w:rPr>
        <w:t>Middle Class Tax Relief and Job Creation Act of 2012, Pub. L. No. 112-96, §§ 6402, 6403, 125 Stat. 156 (2012).</w:t>
      </w:r>
    </w:p>
  </w:footnote>
  <w:footnote w:id="5">
    <w:p w:rsidR="00B83264" w:rsidRPr="006B3F4E" w:rsidRDefault="00B83264" w:rsidP="00841D1A">
      <w:pPr>
        <w:pStyle w:val="FootnoteText"/>
        <w:spacing w:after="0"/>
        <w:ind w:left="360" w:hanging="360"/>
        <w:rPr>
          <w:sz w:val="18"/>
          <w:szCs w:val="18"/>
        </w:rPr>
      </w:pPr>
      <w:r w:rsidRPr="006B3F4E">
        <w:rPr>
          <w:rStyle w:val="FootnoteReference"/>
          <w:sz w:val="18"/>
          <w:szCs w:val="18"/>
        </w:rPr>
        <w:footnoteRef/>
      </w:r>
      <w:r w:rsidRPr="006B3F4E">
        <w:rPr>
          <w:sz w:val="18"/>
          <w:szCs w:val="18"/>
        </w:rPr>
        <w:t xml:space="preserve"> </w:t>
      </w:r>
      <w:r w:rsidRPr="006B3F4E">
        <w:rPr>
          <w:sz w:val="18"/>
          <w:szCs w:val="18"/>
        </w:rPr>
        <w:tab/>
      </w:r>
      <w:r w:rsidR="006F4F45" w:rsidRPr="00A90A3B">
        <w:rPr>
          <w:i/>
          <w:sz w:val="18"/>
          <w:szCs w:val="18"/>
        </w:rPr>
        <w:t>Incentive Auction</w:t>
      </w:r>
      <w:r w:rsidR="006F4F45">
        <w:rPr>
          <w:sz w:val="18"/>
          <w:szCs w:val="18"/>
        </w:rPr>
        <w:t xml:space="preserve"> </w:t>
      </w:r>
      <w:r w:rsidR="006F4F45" w:rsidRPr="00B83264">
        <w:rPr>
          <w:i/>
          <w:sz w:val="18"/>
          <w:szCs w:val="18"/>
        </w:rPr>
        <w:t>NPRM</w:t>
      </w:r>
      <w:r w:rsidR="006F4F45">
        <w:rPr>
          <w:sz w:val="18"/>
          <w:szCs w:val="18"/>
        </w:rPr>
        <w:t xml:space="preserve">, 27 FCC Rcd at 12390 ¶ 99. </w:t>
      </w:r>
    </w:p>
  </w:footnote>
  <w:footnote w:id="6">
    <w:p w:rsidR="00B83264" w:rsidRPr="006B3F4E" w:rsidRDefault="00B83264" w:rsidP="00841D1A">
      <w:pPr>
        <w:pStyle w:val="FootnoteText"/>
        <w:spacing w:after="0"/>
        <w:ind w:left="360" w:hanging="360"/>
        <w:rPr>
          <w:sz w:val="18"/>
          <w:szCs w:val="18"/>
        </w:rPr>
      </w:pPr>
      <w:r w:rsidRPr="006B3F4E">
        <w:rPr>
          <w:rStyle w:val="FootnoteReference"/>
          <w:sz w:val="18"/>
          <w:szCs w:val="18"/>
        </w:rPr>
        <w:footnoteRef/>
      </w:r>
      <w:r w:rsidRPr="006B3F4E">
        <w:rPr>
          <w:sz w:val="18"/>
          <w:szCs w:val="18"/>
        </w:rPr>
        <w:t xml:space="preserve"> </w:t>
      </w:r>
      <w:r w:rsidRPr="006B3F4E">
        <w:rPr>
          <w:sz w:val="18"/>
          <w:szCs w:val="18"/>
        </w:rPr>
        <w:tab/>
      </w:r>
      <w:r>
        <w:rPr>
          <w:i/>
          <w:sz w:val="18"/>
          <w:szCs w:val="18"/>
        </w:rPr>
        <w:t>Id.</w:t>
      </w:r>
    </w:p>
  </w:footnote>
  <w:footnote w:id="7">
    <w:p w:rsidR="00B83264" w:rsidRPr="006B3F4E" w:rsidRDefault="00B83264" w:rsidP="00841D1A">
      <w:pPr>
        <w:pStyle w:val="FootnoteText"/>
        <w:spacing w:after="0"/>
        <w:ind w:left="360" w:hanging="360"/>
        <w:rPr>
          <w:sz w:val="18"/>
          <w:szCs w:val="18"/>
        </w:rPr>
      </w:pPr>
      <w:r w:rsidRPr="006B3F4E">
        <w:rPr>
          <w:rStyle w:val="FootnoteReference"/>
          <w:sz w:val="18"/>
          <w:szCs w:val="18"/>
        </w:rPr>
        <w:footnoteRef/>
      </w:r>
      <w:r w:rsidRPr="006B3F4E">
        <w:rPr>
          <w:sz w:val="18"/>
          <w:szCs w:val="18"/>
        </w:rPr>
        <w:t xml:space="preserve"> </w:t>
      </w:r>
      <w:r w:rsidRPr="006B3F4E">
        <w:rPr>
          <w:sz w:val="18"/>
          <w:szCs w:val="18"/>
        </w:rPr>
        <w:tab/>
      </w:r>
      <w:r w:rsidR="006C38D3" w:rsidRPr="00864705">
        <w:rPr>
          <w:i/>
          <w:sz w:val="18"/>
          <w:szCs w:val="18"/>
        </w:rPr>
        <w:t>See id</w:t>
      </w:r>
      <w:r w:rsidR="006C38D3">
        <w:rPr>
          <w:sz w:val="18"/>
          <w:szCs w:val="18"/>
        </w:rPr>
        <w:t>., 27 FCC Rcd at 12388 ¶ 94.</w:t>
      </w:r>
    </w:p>
  </w:footnote>
  <w:footnote w:id="8">
    <w:p w:rsidR="00B83264" w:rsidRPr="00D40788" w:rsidRDefault="00B83264" w:rsidP="00841D1A">
      <w:pPr>
        <w:pStyle w:val="FootnoteText"/>
        <w:spacing w:after="0"/>
        <w:ind w:left="360" w:hanging="360"/>
        <w:rPr>
          <w:sz w:val="18"/>
          <w:szCs w:val="18"/>
          <w:lang w:val="en-US"/>
        </w:rPr>
      </w:pPr>
      <w:r w:rsidRPr="006B3F4E">
        <w:rPr>
          <w:rStyle w:val="FootnoteReference"/>
          <w:sz w:val="18"/>
          <w:szCs w:val="18"/>
        </w:rPr>
        <w:footnoteRef/>
      </w:r>
      <w:r w:rsidRPr="006B3F4E">
        <w:rPr>
          <w:sz w:val="18"/>
          <w:szCs w:val="18"/>
        </w:rPr>
        <w:t xml:space="preserve"> </w:t>
      </w:r>
      <w:r w:rsidRPr="006B3F4E">
        <w:rPr>
          <w:sz w:val="18"/>
          <w:szCs w:val="18"/>
        </w:rPr>
        <w:tab/>
      </w:r>
      <w:r w:rsidR="006C38D3">
        <w:rPr>
          <w:i/>
          <w:sz w:val="18"/>
          <w:szCs w:val="18"/>
        </w:rPr>
        <w:t>Id.</w:t>
      </w:r>
      <w:r w:rsidR="00586A36">
        <w:rPr>
          <w:i/>
          <w:sz w:val="18"/>
          <w:szCs w:val="18"/>
          <w:lang w:val="en-US"/>
        </w:rPr>
        <w:t xml:space="preserve"> </w:t>
      </w:r>
      <w:r w:rsidR="00586A36" w:rsidRPr="00D40788">
        <w:rPr>
          <w:sz w:val="18"/>
          <w:szCs w:val="18"/>
        </w:rPr>
        <w:t xml:space="preserve">We note that the </w:t>
      </w:r>
      <w:r w:rsidR="00586A36" w:rsidRPr="00034575">
        <w:rPr>
          <w:i/>
          <w:sz w:val="18"/>
          <w:szCs w:val="18"/>
        </w:rPr>
        <w:t>Incentive Auction NPRM</w:t>
      </w:r>
      <w:r w:rsidR="00586A36" w:rsidRPr="00D40788" w:rsidDel="00B83264">
        <w:rPr>
          <w:sz w:val="18"/>
          <w:szCs w:val="18"/>
        </w:rPr>
        <w:t xml:space="preserve"> </w:t>
      </w:r>
      <w:r w:rsidR="00586A36" w:rsidRPr="00D40788">
        <w:rPr>
          <w:sz w:val="18"/>
          <w:szCs w:val="18"/>
        </w:rPr>
        <w:t>asks for comment on a number of possible options for maintaining the population served as stations transition from existing to new channels.  However, it is not the purpose of this Public Notice to solicit comment on those options.</w:t>
      </w:r>
    </w:p>
  </w:footnote>
  <w:footnote w:id="9">
    <w:p w:rsidR="00A449C6" w:rsidRPr="006B3F4E" w:rsidRDefault="00A449C6" w:rsidP="00A449C6">
      <w:pPr>
        <w:pStyle w:val="FootnoteText"/>
        <w:tabs>
          <w:tab w:val="clear" w:pos="720"/>
        </w:tabs>
        <w:ind w:left="360" w:hanging="360"/>
        <w:rPr>
          <w:sz w:val="18"/>
          <w:szCs w:val="18"/>
        </w:rPr>
      </w:pPr>
      <w:r w:rsidRPr="006B3F4E">
        <w:rPr>
          <w:rStyle w:val="FootnoteReference"/>
          <w:sz w:val="18"/>
          <w:szCs w:val="18"/>
        </w:rPr>
        <w:footnoteRef/>
      </w:r>
      <w:r w:rsidRPr="006B3F4E">
        <w:rPr>
          <w:sz w:val="18"/>
          <w:szCs w:val="18"/>
        </w:rPr>
        <w:t xml:space="preserve"> </w:t>
      </w:r>
      <w:r w:rsidRPr="006B3F4E">
        <w:rPr>
          <w:sz w:val="18"/>
          <w:szCs w:val="18"/>
        </w:rPr>
        <w:tab/>
      </w:r>
      <w:r w:rsidR="00CF44AB" w:rsidRPr="00560537">
        <w:rPr>
          <w:i/>
          <w:sz w:val="18"/>
          <w:szCs w:val="18"/>
        </w:rPr>
        <w:t>Incentive Auction</w:t>
      </w:r>
      <w:r w:rsidR="00CF44AB">
        <w:rPr>
          <w:sz w:val="18"/>
          <w:szCs w:val="18"/>
        </w:rPr>
        <w:t xml:space="preserve"> </w:t>
      </w:r>
      <w:r w:rsidR="00CF44AB" w:rsidRPr="00B83264">
        <w:rPr>
          <w:i/>
          <w:sz w:val="18"/>
          <w:szCs w:val="18"/>
        </w:rPr>
        <w:t>NPRM</w:t>
      </w:r>
      <w:r>
        <w:rPr>
          <w:sz w:val="18"/>
          <w:szCs w:val="18"/>
        </w:rPr>
        <w:t>,</w:t>
      </w:r>
      <w:r w:rsidRPr="006B3F4E">
        <w:rPr>
          <w:sz w:val="18"/>
          <w:szCs w:val="18"/>
        </w:rPr>
        <w:t xml:space="preserve"> </w:t>
      </w:r>
      <w:r>
        <w:rPr>
          <w:sz w:val="18"/>
          <w:szCs w:val="18"/>
        </w:rPr>
        <w:t>27 FCC Rcd at 12394 ¶ 106.</w:t>
      </w:r>
    </w:p>
  </w:footnote>
  <w:footnote w:id="10">
    <w:p w:rsidR="00884B83" w:rsidRPr="00A90A3B" w:rsidRDefault="00884B83" w:rsidP="007865AC">
      <w:pPr>
        <w:pStyle w:val="FootnoteText"/>
        <w:ind w:left="360" w:hanging="360"/>
        <w:rPr>
          <w:i/>
          <w:sz w:val="18"/>
          <w:szCs w:val="18"/>
          <w:lang w:val="en-US"/>
        </w:rPr>
      </w:pPr>
      <w:r w:rsidRPr="0039001B">
        <w:rPr>
          <w:rStyle w:val="FootnoteReference"/>
          <w:sz w:val="18"/>
          <w:szCs w:val="18"/>
        </w:rPr>
        <w:footnoteRef/>
      </w:r>
      <w:r w:rsidRPr="0039001B">
        <w:rPr>
          <w:sz w:val="18"/>
          <w:szCs w:val="18"/>
        </w:rPr>
        <w:t xml:space="preserve"> </w:t>
      </w:r>
      <w:r w:rsidR="007865AC">
        <w:rPr>
          <w:sz w:val="18"/>
          <w:szCs w:val="18"/>
        </w:rPr>
        <w:tab/>
      </w:r>
      <w:r w:rsidRPr="0039001B">
        <w:rPr>
          <w:i/>
          <w:sz w:val="18"/>
          <w:szCs w:val="18"/>
        </w:rPr>
        <w:t>See</w:t>
      </w:r>
      <w:r w:rsidRPr="0039001B">
        <w:rPr>
          <w:sz w:val="18"/>
          <w:szCs w:val="18"/>
        </w:rPr>
        <w:t xml:space="preserve"> </w:t>
      </w:r>
      <w:r w:rsidRPr="00A90A3B">
        <w:rPr>
          <w:sz w:val="18"/>
          <w:szCs w:val="18"/>
        </w:rPr>
        <w:t>Advanced Television Systems and Their Impact upon the Existing</w:t>
      </w:r>
      <w:r w:rsidR="00F77F03">
        <w:rPr>
          <w:sz w:val="18"/>
          <w:szCs w:val="18"/>
          <w:lang w:val="en-US"/>
        </w:rPr>
        <w:t xml:space="preserve"> Television Broadcast Service</w:t>
      </w:r>
      <w:r>
        <w:rPr>
          <w:sz w:val="18"/>
          <w:szCs w:val="18"/>
        </w:rPr>
        <w:t xml:space="preserve">, </w:t>
      </w:r>
      <w:r w:rsidRPr="00A90A3B">
        <w:rPr>
          <w:i/>
          <w:sz w:val="18"/>
          <w:szCs w:val="18"/>
        </w:rPr>
        <w:t>Memorandum Opinion and Order on Reconsideration of the Sixth Report and Order</w:t>
      </w:r>
      <w:r>
        <w:rPr>
          <w:i/>
          <w:sz w:val="18"/>
          <w:szCs w:val="18"/>
        </w:rPr>
        <w:t>,</w:t>
      </w:r>
      <w:r w:rsidRPr="0039001B">
        <w:rPr>
          <w:sz w:val="18"/>
          <w:szCs w:val="18"/>
        </w:rPr>
        <w:t xml:space="preserve"> ET </w:t>
      </w:r>
      <w:r>
        <w:rPr>
          <w:sz w:val="18"/>
          <w:szCs w:val="18"/>
        </w:rPr>
        <w:t>Docket No. 87</w:t>
      </w:r>
      <w:r w:rsidR="00D13D26">
        <w:rPr>
          <w:sz w:val="18"/>
          <w:szCs w:val="18"/>
        </w:rPr>
        <w:t>-</w:t>
      </w:r>
      <w:r>
        <w:rPr>
          <w:sz w:val="18"/>
          <w:szCs w:val="18"/>
        </w:rPr>
        <w:t xml:space="preserve">268, </w:t>
      </w:r>
      <w:r w:rsidR="00D13D26">
        <w:rPr>
          <w:sz w:val="18"/>
          <w:szCs w:val="18"/>
        </w:rPr>
        <w:t xml:space="preserve">13 FCC Rcd 7418, 7489 at </w:t>
      </w:r>
      <w:r>
        <w:rPr>
          <w:sz w:val="18"/>
          <w:szCs w:val="18"/>
        </w:rPr>
        <w:t>para. 18</w:t>
      </w:r>
      <w:r w:rsidR="00D81933">
        <w:rPr>
          <w:sz w:val="18"/>
          <w:szCs w:val="18"/>
          <w:lang w:val="en-US"/>
        </w:rPr>
        <w:t>1</w:t>
      </w:r>
      <w:r w:rsidR="00D13D26">
        <w:rPr>
          <w:sz w:val="18"/>
          <w:szCs w:val="18"/>
        </w:rPr>
        <w:t xml:space="preserve"> (1998)</w:t>
      </w:r>
      <w:r w:rsidR="00D81933">
        <w:rPr>
          <w:sz w:val="18"/>
          <w:szCs w:val="18"/>
          <w:lang w:val="en-US"/>
        </w:rPr>
        <w:t xml:space="preserve">; Review of the Commission’s Rules and Policies Affecting the Conversion to Digital Television, </w:t>
      </w:r>
      <w:r w:rsidR="00D81933">
        <w:rPr>
          <w:i/>
          <w:sz w:val="18"/>
          <w:szCs w:val="18"/>
          <w:lang w:val="en-US"/>
        </w:rPr>
        <w:t>Report and Order and Further Notice of Proposed Rulemaking</w:t>
      </w:r>
      <w:r w:rsidR="00D81933">
        <w:rPr>
          <w:sz w:val="18"/>
          <w:szCs w:val="18"/>
          <w:lang w:val="en-US"/>
        </w:rPr>
        <w:t>, MM Docket No. 00-39, 16 FCC Rcd 5946, 5971-72 at paras. 64-66 (2001).</w:t>
      </w:r>
    </w:p>
  </w:footnote>
  <w:footnote w:id="11">
    <w:p w:rsidR="004E1644" w:rsidRPr="007865AC" w:rsidRDefault="004E1644" w:rsidP="00841D1A">
      <w:pPr>
        <w:ind w:left="360" w:hanging="360"/>
        <w:rPr>
          <w:sz w:val="20"/>
          <w:lang w:val="en"/>
        </w:rPr>
      </w:pPr>
      <w:r>
        <w:rPr>
          <w:rStyle w:val="FootnoteReference"/>
        </w:rPr>
        <w:footnoteRef/>
      </w:r>
      <w:r>
        <w:t xml:space="preserve"> </w:t>
      </w:r>
      <w:r w:rsidR="007865AC">
        <w:tab/>
      </w:r>
      <w:r w:rsidRPr="000C759F">
        <w:rPr>
          <w:i/>
          <w:sz w:val="18"/>
          <w:szCs w:val="18"/>
        </w:rPr>
        <w:t>See</w:t>
      </w:r>
      <w:r w:rsidRPr="000C759F">
        <w:rPr>
          <w:sz w:val="18"/>
          <w:szCs w:val="18"/>
        </w:rPr>
        <w:t xml:space="preserve"> </w:t>
      </w:r>
      <w:r w:rsidRPr="00A90A3B">
        <w:rPr>
          <w:sz w:val="18"/>
          <w:szCs w:val="18"/>
        </w:rPr>
        <w:t>OET Bulletin N</w:t>
      </w:r>
      <w:r w:rsidR="00303CA7" w:rsidRPr="00A90A3B">
        <w:rPr>
          <w:sz w:val="18"/>
          <w:szCs w:val="18"/>
        </w:rPr>
        <w:t>o</w:t>
      </w:r>
      <w:r w:rsidRPr="00A90A3B">
        <w:rPr>
          <w:sz w:val="18"/>
          <w:szCs w:val="18"/>
        </w:rPr>
        <w:t>. 7</w:t>
      </w:r>
      <w:r w:rsidR="00303CA7" w:rsidRPr="00A90A3B">
        <w:rPr>
          <w:sz w:val="18"/>
          <w:szCs w:val="18"/>
        </w:rPr>
        <w:t>3</w:t>
      </w:r>
      <w:r w:rsidRPr="00A90A3B">
        <w:rPr>
          <w:sz w:val="18"/>
          <w:szCs w:val="18"/>
        </w:rPr>
        <w:t>, “</w:t>
      </w:r>
      <w:r w:rsidRPr="00A90A3B">
        <w:rPr>
          <w:iCs/>
          <w:sz w:val="18"/>
          <w:szCs w:val="18"/>
          <w:lang w:val="en"/>
        </w:rPr>
        <w:t>The ILLR Computer Program for Predicting Digital Television Signal Strengths at Individual Locations</w:t>
      </w:r>
      <w:r w:rsidR="00F77F03">
        <w:rPr>
          <w:iCs/>
          <w:sz w:val="18"/>
          <w:szCs w:val="18"/>
          <w:lang w:val="en"/>
        </w:rPr>
        <w:t>,</w:t>
      </w:r>
      <w:r w:rsidR="00303CA7" w:rsidRPr="00A90A3B">
        <w:rPr>
          <w:iCs/>
          <w:sz w:val="18"/>
          <w:szCs w:val="18"/>
          <w:lang w:val="en"/>
        </w:rPr>
        <w:t>”</w:t>
      </w:r>
      <w:r w:rsidRPr="007F0520">
        <w:rPr>
          <w:iCs/>
          <w:sz w:val="18"/>
          <w:szCs w:val="18"/>
          <w:lang w:val="en"/>
        </w:rPr>
        <w:t xml:space="preserve"> </w:t>
      </w:r>
      <w:r w:rsidR="00F77F03">
        <w:rPr>
          <w:iCs/>
          <w:sz w:val="18"/>
          <w:szCs w:val="18"/>
          <w:lang w:val="en"/>
        </w:rPr>
        <w:t xml:space="preserve">Nov. 23, </w:t>
      </w:r>
      <w:r w:rsidRPr="007F0520">
        <w:rPr>
          <w:iCs/>
          <w:sz w:val="18"/>
          <w:szCs w:val="18"/>
          <w:lang w:val="en"/>
        </w:rPr>
        <w:t>2010</w:t>
      </w:r>
      <w:r>
        <w:rPr>
          <w:iCs/>
          <w:sz w:val="18"/>
          <w:szCs w:val="18"/>
          <w:lang w:val="en"/>
        </w:rPr>
        <w:t xml:space="preserve">, </w:t>
      </w:r>
      <w:r w:rsidR="00303CA7">
        <w:rPr>
          <w:iCs/>
          <w:sz w:val="18"/>
          <w:szCs w:val="18"/>
          <w:lang w:val="en"/>
        </w:rPr>
        <w:t xml:space="preserve">and </w:t>
      </w:r>
      <w:r w:rsidR="00303CA7" w:rsidRPr="00A90A3B">
        <w:rPr>
          <w:iCs/>
          <w:sz w:val="18"/>
          <w:szCs w:val="18"/>
          <w:lang w:val="en"/>
        </w:rPr>
        <w:t xml:space="preserve">OET Bulletin No. 72, </w:t>
      </w:r>
      <w:r w:rsidR="00303CA7" w:rsidRPr="007F0520">
        <w:rPr>
          <w:iCs/>
          <w:sz w:val="18"/>
          <w:szCs w:val="18"/>
          <w:lang w:val="en"/>
        </w:rPr>
        <w:t>“</w:t>
      </w:r>
      <w:r w:rsidR="00303CA7" w:rsidRPr="00A90A3B">
        <w:rPr>
          <w:iCs/>
          <w:sz w:val="18"/>
          <w:szCs w:val="18"/>
          <w:lang w:val="en"/>
        </w:rPr>
        <w:t>The ILLR Computer Program</w:t>
      </w:r>
      <w:r w:rsidR="00F77F03">
        <w:rPr>
          <w:iCs/>
          <w:sz w:val="18"/>
          <w:szCs w:val="18"/>
          <w:lang w:val="en"/>
        </w:rPr>
        <w:t>,</w:t>
      </w:r>
      <w:r w:rsidR="00303CA7" w:rsidRPr="007F0520">
        <w:rPr>
          <w:iCs/>
          <w:sz w:val="18"/>
          <w:szCs w:val="18"/>
          <w:lang w:val="en"/>
        </w:rPr>
        <w:t>”</w:t>
      </w:r>
      <w:r w:rsidR="00303CA7">
        <w:rPr>
          <w:iCs/>
          <w:sz w:val="18"/>
          <w:szCs w:val="18"/>
          <w:lang w:val="en"/>
        </w:rPr>
        <w:t xml:space="preserve"> </w:t>
      </w:r>
      <w:r w:rsidR="00F77F03">
        <w:rPr>
          <w:iCs/>
          <w:sz w:val="18"/>
          <w:szCs w:val="18"/>
          <w:lang w:val="en"/>
        </w:rPr>
        <w:t xml:space="preserve">July 2, </w:t>
      </w:r>
      <w:r w:rsidR="00303CA7">
        <w:rPr>
          <w:iCs/>
          <w:sz w:val="18"/>
          <w:szCs w:val="18"/>
          <w:lang w:val="en"/>
        </w:rPr>
        <w:t>200</w:t>
      </w:r>
      <w:r w:rsidR="00F77F03">
        <w:rPr>
          <w:iCs/>
          <w:sz w:val="18"/>
          <w:szCs w:val="18"/>
          <w:lang w:val="en"/>
        </w:rPr>
        <w:t>2</w:t>
      </w:r>
      <w:r w:rsidR="00303CA7">
        <w:rPr>
          <w:iCs/>
          <w:sz w:val="18"/>
          <w:szCs w:val="18"/>
          <w:lang w:val="en"/>
        </w:rPr>
        <w:t xml:space="preserve">.  These OET Bulletins are available at </w:t>
      </w:r>
      <w:hyperlink r:id="rId3" w:history="1">
        <w:r w:rsidR="00303CA7" w:rsidRPr="00E01BE4">
          <w:rPr>
            <w:rStyle w:val="Hyperlink"/>
            <w:iCs/>
            <w:sz w:val="18"/>
            <w:szCs w:val="18"/>
            <w:lang w:val="en"/>
          </w:rPr>
          <w:t>http://www.fcc.gov/encyclopedia/oet-bulletins-line</w:t>
        </w:r>
      </w:hyperlink>
      <w:r w:rsidR="00303CA7">
        <w:rPr>
          <w:iCs/>
          <w:sz w:val="18"/>
          <w:szCs w:val="18"/>
          <w:lang w:val="en"/>
        </w:rPr>
        <w:t>.</w:t>
      </w:r>
    </w:p>
  </w:footnote>
  <w:footnote w:id="12">
    <w:p w:rsidR="008A1DC5" w:rsidRDefault="008A1DC5" w:rsidP="00841D1A">
      <w:pPr>
        <w:pStyle w:val="FootnoteText"/>
        <w:spacing w:after="0"/>
        <w:ind w:left="360" w:hanging="360"/>
      </w:pPr>
      <w:r>
        <w:rPr>
          <w:rStyle w:val="FootnoteReference"/>
        </w:rPr>
        <w:footnoteRef/>
      </w:r>
      <w:r>
        <w:t xml:space="preserve"> </w:t>
      </w:r>
      <w:r>
        <w:tab/>
      </w:r>
      <w:r w:rsidRPr="00A90A3B">
        <w:rPr>
          <w:i/>
          <w:sz w:val="18"/>
          <w:szCs w:val="18"/>
        </w:rPr>
        <w:t>See</w:t>
      </w:r>
      <w:r w:rsidRPr="00067D0B">
        <w:rPr>
          <w:sz w:val="18"/>
          <w:szCs w:val="18"/>
        </w:rPr>
        <w:t xml:space="preserve"> </w:t>
      </w:r>
      <w:r w:rsidRPr="00A90A3B">
        <w:rPr>
          <w:sz w:val="18"/>
          <w:szCs w:val="18"/>
        </w:rPr>
        <w:t>Satellite Delivery of Network Signals to Unserved Households for Purposes of the Satellite Home Viewer Act</w:t>
      </w:r>
      <w:r w:rsidR="007865AC" w:rsidRPr="007F0520">
        <w:rPr>
          <w:sz w:val="18"/>
          <w:szCs w:val="18"/>
        </w:rPr>
        <w:t>,</w:t>
      </w:r>
      <w:r w:rsidR="007865AC">
        <w:rPr>
          <w:sz w:val="18"/>
          <w:szCs w:val="18"/>
        </w:rPr>
        <w:t xml:space="preserve"> </w:t>
      </w:r>
      <w:r w:rsidR="002D6CDC" w:rsidRPr="00A90A3B">
        <w:rPr>
          <w:i/>
          <w:sz w:val="18"/>
          <w:szCs w:val="18"/>
        </w:rPr>
        <w:t>Report and Order</w:t>
      </w:r>
      <w:r w:rsidR="002D6CDC">
        <w:rPr>
          <w:sz w:val="18"/>
          <w:szCs w:val="18"/>
          <w:lang w:val="en-US"/>
        </w:rPr>
        <w:t>,</w:t>
      </w:r>
      <w:r w:rsidR="002D6CDC">
        <w:rPr>
          <w:sz w:val="18"/>
          <w:szCs w:val="18"/>
        </w:rPr>
        <w:t xml:space="preserve"> </w:t>
      </w:r>
      <w:r w:rsidR="007865AC">
        <w:rPr>
          <w:sz w:val="18"/>
          <w:szCs w:val="18"/>
        </w:rPr>
        <w:t xml:space="preserve">CS </w:t>
      </w:r>
      <w:r w:rsidRPr="00067D0B">
        <w:rPr>
          <w:sz w:val="18"/>
          <w:szCs w:val="18"/>
        </w:rPr>
        <w:t>Docket No. 98-201</w:t>
      </w:r>
      <w:r w:rsidR="00F77F03">
        <w:rPr>
          <w:sz w:val="18"/>
          <w:szCs w:val="18"/>
          <w:lang w:val="en-US"/>
        </w:rPr>
        <w:t>,</w:t>
      </w:r>
      <w:r w:rsidRPr="00067D0B">
        <w:rPr>
          <w:sz w:val="18"/>
          <w:szCs w:val="18"/>
        </w:rPr>
        <w:t xml:space="preserve"> </w:t>
      </w:r>
      <w:r w:rsidR="002D6CDC">
        <w:rPr>
          <w:sz w:val="18"/>
          <w:szCs w:val="18"/>
          <w:lang w:val="en-US"/>
        </w:rPr>
        <w:t>1</w:t>
      </w:r>
      <w:r w:rsidR="00F77F03">
        <w:rPr>
          <w:sz w:val="18"/>
          <w:szCs w:val="18"/>
          <w:lang w:val="en-US"/>
        </w:rPr>
        <w:t>4</w:t>
      </w:r>
      <w:r w:rsidR="002D6CDC">
        <w:rPr>
          <w:sz w:val="18"/>
          <w:szCs w:val="18"/>
          <w:lang w:val="en-US"/>
        </w:rPr>
        <w:t xml:space="preserve"> FCC Rcd 2</w:t>
      </w:r>
      <w:r w:rsidR="00F77F03">
        <w:rPr>
          <w:sz w:val="18"/>
          <w:szCs w:val="18"/>
          <w:lang w:val="en-US"/>
        </w:rPr>
        <w:t>654</w:t>
      </w:r>
      <w:r w:rsidR="002D6CDC">
        <w:rPr>
          <w:sz w:val="18"/>
          <w:szCs w:val="18"/>
          <w:lang w:val="en-US"/>
        </w:rPr>
        <w:t xml:space="preserve"> (</w:t>
      </w:r>
      <w:r w:rsidRPr="00067D0B">
        <w:rPr>
          <w:sz w:val="18"/>
          <w:szCs w:val="18"/>
        </w:rPr>
        <w:t>1999</w:t>
      </w:r>
      <w:r w:rsidR="00F77F03">
        <w:rPr>
          <w:sz w:val="18"/>
          <w:szCs w:val="18"/>
          <w:lang w:val="en-US"/>
        </w:rPr>
        <w:t>).</w:t>
      </w:r>
    </w:p>
  </w:footnote>
  <w:footnote w:id="13">
    <w:p w:rsidR="008A1DC5" w:rsidRPr="00067D0B" w:rsidRDefault="008A1DC5" w:rsidP="00841D1A">
      <w:pPr>
        <w:pStyle w:val="FootnoteText"/>
        <w:spacing w:after="0"/>
        <w:ind w:left="360" w:hanging="360"/>
        <w:rPr>
          <w:sz w:val="18"/>
          <w:szCs w:val="18"/>
        </w:rPr>
      </w:pPr>
      <w:r>
        <w:rPr>
          <w:rStyle w:val="FootnoteReference"/>
        </w:rPr>
        <w:footnoteRef/>
      </w:r>
      <w:r>
        <w:t xml:space="preserve"> </w:t>
      </w:r>
      <w:r>
        <w:tab/>
      </w:r>
      <w:r w:rsidRPr="00067D0B">
        <w:rPr>
          <w:sz w:val="18"/>
          <w:szCs w:val="18"/>
        </w:rPr>
        <w:t xml:space="preserve">“Tarball” format combines tar archives with the open-source gnu-zip file-based compression scheme.  See </w:t>
      </w:r>
      <w:hyperlink r:id="rId4" w:history="1">
        <w:r w:rsidRPr="00067D0B">
          <w:rPr>
            <w:rStyle w:val="Hyperlink"/>
            <w:sz w:val="18"/>
            <w:szCs w:val="18"/>
          </w:rPr>
          <w:t>http://en.wikipedia.org/wiki/.tgz</w:t>
        </w:r>
      </w:hyperlink>
      <w:r w:rsidRPr="00067D0B">
        <w:rPr>
          <w:sz w:val="18"/>
          <w:szCs w:val="18"/>
        </w:rPr>
        <w:t xml:space="preserve"> for more information.  </w:t>
      </w:r>
    </w:p>
  </w:footnote>
  <w:footnote w:id="14">
    <w:p w:rsidR="008A1DC5" w:rsidRDefault="008A1DC5" w:rsidP="00841D1A">
      <w:pPr>
        <w:pStyle w:val="FootnoteText"/>
        <w:spacing w:after="0"/>
        <w:ind w:left="360" w:hanging="360"/>
      </w:pPr>
      <w:r w:rsidRPr="00067D0B">
        <w:rPr>
          <w:rStyle w:val="FootnoteReference"/>
          <w:sz w:val="18"/>
          <w:szCs w:val="18"/>
        </w:rPr>
        <w:footnoteRef/>
      </w:r>
      <w:r w:rsidRPr="00067D0B">
        <w:rPr>
          <w:sz w:val="18"/>
          <w:szCs w:val="18"/>
        </w:rPr>
        <w:t xml:space="preserve"> </w:t>
      </w:r>
      <w:r w:rsidRPr="00067D0B">
        <w:rPr>
          <w:sz w:val="18"/>
          <w:szCs w:val="18"/>
        </w:rPr>
        <w:tab/>
        <w:t xml:space="preserve">PAR2 (Parity archive volume set, version 2) provides checksum verification and can repair corrupted or missing data.  See </w:t>
      </w:r>
      <w:hyperlink r:id="rId5" w:history="1">
        <w:r w:rsidRPr="00067D0B">
          <w:rPr>
            <w:rStyle w:val="Hyperlink"/>
            <w:sz w:val="18"/>
            <w:szCs w:val="18"/>
          </w:rPr>
          <w:t>http://en.wikipedia.org/wiki/Parchive</w:t>
        </w:r>
      </w:hyperlink>
      <w:r w:rsidRPr="00067D0B">
        <w:rPr>
          <w:sz w:val="18"/>
          <w:szCs w:val="18"/>
        </w:rPr>
        <w:t xml:space="preserve"> for more information.</w:t>
      </w:r>
      <w:r>
        <w:t xml:space="preserve">  </w:t>
      </w:r>
    </w:p>
  </w:footnote>
  <w:footnote w:id="15">
    <w:p w:rsidR="00CF44AB" w:rsidRPr="00CF44AB" w:rsidRDefault="00CF44AB">
      <w:pPr>
        <w:pStyle w:val="FootnoteText"/>
        <w:rPr>
          <w:lang w:val="en-US"/>
        </w:rPr>
      </w:pPr>
      <w:r>
        <w:rPr>
          <w:rStyle w:val="FootnoteReference"/>
        </w:rPr>
        <w:footnoteRef/>
      </w:r>
      <w:r>
        <w:t xml:space="preserve"> </w:t>
      </w:r>
      <w:r w:rsidRPr="00CF44AB">
        <w:rPr>
          <w:sz w:val="18"/>
          <w:szCs w:val="18"/>
        </w:rPr>
        <w:t xml:space="preserve">47 C.F.R. §§ 1.1200 </w:t>
      </w:r>
      <w:r w:rsidRPr="00CF44AB">
        <w:rPr>
          <w:i/>
          <w:sz w:val="18"/>
          <w:szCs w:val="18"/>
        </w:rPr>
        <w:t>et seq</w:t>
      </w:r>
      <w:r w:rsidRPr="00CF44A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79" w:rsidRDefault="00B23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79" w:rsidRDefault="00B23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4E" w:rsidRDefault="0049507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1355A02" wp14:editId="26CAF018">
          <wp:simplePos x="0" y="0"/>
          <wp:positionH relativeFrom="column">
            <wp:posOffset>30480</wp:posOffset>
          </wp:positionH>
          <wp:positionV relativeFrom="paragraph">
            <wp:posOffset>0</wp:posOffset>
          </wp:positionV>
          <wp:extent cx="530225" cy="530225"/>
          <wp:effectExtent l="0" t="0" r="0" b="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2699BD0" wp14:editId="388B6543">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F4E" w:rsidRDefault="006B3F4E">
                          <w:pPr>
                            <w:rPr>
                              <w:rFonts w:ascii="Arial" w:hAnsi="Arial"/>
                              <w:b/>
                            </w:rPr>
                          </w:pPr>
                          <w:r>
                            <w:rPr>
                              <w:rFonts w:ascii="Arial" w:hAnsi="Arial"/>
                              <w:b/>
                            </w:rPr>
                            <w:t>Federal Communications Commission</w:t>
                          </w:r>
                        </w:p>
                        <w:p w:rsidR="006B3F4E" w:rsidRDefault="006B3F4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3F4E" w:rsidRDefault="006B3F4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B3F4E" w:rsidRDefault="006B3F4E">
                    <w:pPr>
                      <w:rPr>
                        <w:rFonts w:ascii="Arial" w:hAnsi="Arial"/>
                        <w:b/>
                      </w:rPr>
                    </w:pPr>
                    <w:r>
                      <w:rPr>
                        <w:rFonts w:ascii="Arial" w:hAnsi="Arial"/>
                        <w:b/>
                      </w:rPr>
                      <w:t>Federal Communications Commission</w:t>
                    </w:r>
                  </w:p>
                  <w:p w:rsidR="006B3F4E" w:rsidRDefault="006B3F4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3F4E" w:rsidRDefault="006B3F4E">
                    <w:pPr>
                      <w:rPr>
                        <w:rFonts w:ascii="Arial" w:hAnsi="Arial"/>
                        <w:sz w:val="24"/>
                      </w:rPr>
                    </w:pPr>
                    <w:r>
                      <w:rPr>
                        <w:rFonts w:ascii="Arial" w:hAnsi="Arial"/>
                        <w:b/>
                      </w:rPr>
                      <w:t>Washington, D.C. 20554</w:t>
                    </w:r>
                  </w:p>
                </w:txbxContent>
              </v:textbox>
            </v:shape>
          </w:pict>
        </mc:Fallback>
      </mc:AlternateContent>
    </w:r>
    <w:r w:rsidR="006B3F4E">
      <w:rPr>
        <w:rFonts w:ascii="News Gothic MT" w:hAnsi="News Gothic MT"/>
        <w:b/>
        <w:kern w:val="28"/>
        <w:sz w:val="96"/>
      </w:rPr>
      <w:t>PUBLIC NOTICE</w:t>
    </w:r>
  </w:p>
  <w:p w:rsidR="006B3F4E" w:rsidRDefault="0049507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56B887FE" wp14:editId="0045EE26">
              <wp:simplePos x="0" y="0"/>
              <wp:positionH relativeFrom="column">
                <wp:posOffset>3992245</wp:posOffset>
              </wp:positionH>
              <wp:positionV relativeFrom="paragraph">
                <wp:posOffset>76200</wp:posOffset>
              </wp:positionV>
              <wp:extent cx="223774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F4E" w:rsidRDefault="006B3F4E">
                          <w:pPr>
                            <w:spacing w:before="40"/>
                            <w:jc w:val="right"/>
                            <w:rPr>
                              <w:rFonts w:ascii="Arial" w:hAnsi="Arial"/>
                              <w:b/>
                              <w:sz w:val="16"/>
                            </w:rPr>
                          </w:pPr>
                          <w:r>
                            <w:rPr>
                              <w:rFonts w:ascii="Arial" w:hAnsi="Arial"/>
                              <w:b/>
                              <w:sz w:val="16"/>
                            </w:rPr>
                            <w:t>News Media Information 202 / 418-0500</w:t>
                          </w:r>
                        </w:p>
                        <w:p w:rsidR="006B3F4E" w:rsidRDefault="006B3F4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B3F4E" w:rsidRDefault="006B3F4E">
                          <w:pPr>
                            <w:jc w:val="right"/>
                            <w:rPr>
                              <w:rFonts w:ascii="Arial" w:hAnsi="Arial"/>
                              <w:b/>
                              <w:sz w:val="16"/>
                            </w:rPr>
                          </w:pPr>
                          <w:r>
                            <w:rPr>
                              <w:rFonts w:ascii="Arial" w:hAnsi="Arial"/>
                              <w:b/>
                              <w:sz w:val="16"/>
                            </w:rPr>
                            <w:t>TTY: 1-888-835-5322</w:t>
                          </w:r>
                        </w:p>
                        <w:p w:rsidR="006B3F4E" w:rsidRDefault="006B3F4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4.35pt;margin-top:6pt;width:176.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ffwIAAA4FAAAOAAAAZHJzL2Uyb0RvYy54bWysVNuO2yAQfa/Uf0C8Z31Z52JrndVemqrS&#10;9iLt9gMI4BgVAwUSe7vqv3fASTbbi1RV9QMehuEwM+fAxeXQSbTj1gmtapydpRhxRTUTalPjzw+r&#10;yQIj54liRGrFa/zIHb5cvn510ZuK57rVknGLAES5qjc1br03VZI42vKOuDNtuILFRtuOeJjaTcIs&#10;6QG9k0meprOk15YZqyl3Dry34yJeRvym4dR/bBrHPZI1htx8HG0c12FMlhek2lhiWkH3aZB/yKIj&#10;QsGhR6hb4gnaWvELVCeo1U43/ozqLtFNIyiPNUA1WfpTNfctMTzWAs1x5tgm9/9g6YfdJ4sEq3GO&#10;kSIdUPTAB4+u9YDOQ3d64yoIujcQ5gdwA8uxUmfuNP3ikNI3LVEbfmWt7ltOGGSXhZ3JydYRxwWQ&#10;df9eMziGbL2OQENju9A6aAYCdGDp8chMSIWCM8/P5/MCliisTYvFDOxwBKkOu411/i3XHQpGjS0w&#10;H9HJ7s75MfQQEg5zWgq2ElLGid2sb6RFOwIqWcVvj/4iTKoQrHTYNiKOHkgSzghrId3I+lOZ5UV6&#10;nZeT1WwxnxSrYjop5+likmbldTlLi7K4XX0PCWZF1QrGuLoTih8UmBV/x/D+LozaiRpEfY3LaT4d&#10;KfpjkWn8fldkJzxcSCm6Gi+OQaQKxL5RDMomlSdCjnbyMv1ICPTg8I9diTIIzI8a8MN6iHqLGgkS&#10;WWv2CLqwGmgDhuExAaPV9htGPVzMGruvW2I5RvKdAm2VWRGE4OMEDHvqXR+8RFGAqLHHaDRv/Hjr&#10;t8aKTQsnjCpW+gp02Igokeds9uqFSxdr2T8Q4VafzmPU8zO2/AEAAP//AwBQSwMEFAAGAAgAAAAh&#10;ABJGmmjeAAAACQEAAA8AAABkcnMvZG93bnJldi54bWxMj8FOwzAQRO9I/IO1lbhRJ1FVQohToQoO&#10;nBAtl96ceEnSxuvIdtvQr2d7orcdzdPsTLma7CBO6EPvSEE6T0AgNc701Cr43r4/5iBC1GT04AgV&#10;/GKAVXV/V+rCuDN94WkTW8EhFAqtoItxLKQMTYdWh7kbkdj7cd7qyNK30nh95nA7yCxJltLqnvhD&#10;p0dcd9gcNker4GPnP992Ibm4rI7rfXNw24tcKPUwm15fQESc4j8M1/pcHSruVLsjmSAGBcssf2KU&#10;jYw3MfCcpymI+nosQFalvF1Q/QEAAP//AwBQSwECLQAUAAYACAAAACEAtoM4kv4AAADhAQAAEwAA&#10;AAAAAAAAAAAAAAAAAAAAW0NvbnRlbnRfVHlwZXNdLnhtbFBLAQItABQABgAIAAAAIQA4/SH/1gAA&#10;AJQBAAALAAAAAAAAAAAAAAAAAC8BAABfcmVscy8ucmVsc1BLAQItABQABgAIAAAAIQBNYeHffwIA&#10;AA4FAAAOAAAAAAAAAAAAAAAAAC4CAABkcnMvZTJvRG9jLnhtbFBLAQItABQABgAIAAAAIQASRppo&#10;3gAAAAkBAAAPAAAAAAAAAAAAAAAAANkEAABkcnMvZG93bnJldi54bWxQSwUGAAAAAAQABADzAAAA&#10;5AUAAAAA&#10;" stroked="f">
              <v:textbox inset=",0,,0">
                <w:txbxContent>
                  <w:p w:rsidR="006B3F4E" w:rsidRDefault="006B3F4E">
                    <w:pPr>
                      <w:spacing w:before="40"/>
                      <w:jc w:val="right"/>
                      <w:rPr>
                        <w:rFonts w:ascii="Arial" w:hAnsi="Arial"/>
                        <w:b/>
                        <w:sz w:val="16"/>
                      </w:rPr>
                    </w:pPr>
                    <w:r>
                      <w:rPr>
                        <w:rFonts w:ascii="Arial" w:hAnsi="Arial"/>
                        <w:b/>
                        <w:sz w:val="16"/>
                      </w:rPr>
                      <w:t>News Media Information 202 / 418-0500</w:t>
                    </w:r>
                  </w:p>
                  <w:p w:rsidR="006B3F4E" w:rsidRDefault="006B3F4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B3F4E" w:rsidRDefault="006B3F4E">
                    <w:pPr>
                      <w:jc w:val="right"/>
                      <w:rPr>
                        <w:rFonts w:ascii="Arial" w:hAnsi="Arial"/>
                        <w:b/>
                        <w:sz w:val="16"/>
                      </w:rPr>
                    </w:pPr>
                    <w:r>
                      <w:rPr>
                        <w:rFonts w:ascii="Arial" w:hAnsi="Arial"/>
                        <w:b/>
                        <w:sz w:val="16"/>
                      </w:rPr>
                      <w:t>TTY: 1-888-835-5322</w:t>
                    </w:r>
                  </w:p>
                  <w:p w:rsidR="006B3F4E" w:rsidRDefault="006B3F4E">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5CDD73D" wp14:editId="14C6F1D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B3F4E" w:rsidRDefault="006B3F4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FA0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81FAC"/>
    <w:multiLevelType w:val="hybridMultilevel"/>
    <w:tmpl w:val="A7F2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D174A3"/>
    <w:multiLevelType w:val="hybridMultilevel"/>
    <w:tmpl w:val="E8325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E00723"/>
    <w:multiLevelType w:val="hybridMultilevel"/>
    <w:tmpl w:val="E7B479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22B4100B"/>
    <w:multiLevelType w:val="multilevel"/>
    <w:tmpl w:val="713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DED2B5B"/>
    <w:multiLevelType w:val="multilevel"/>
    <w:tmpl w:val="FAA2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384C02"/>
    <w:multiLevelType w:val="multilevel"/>
    <w:tmpl w:val="4E9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F3239"/>
    <w:multiLevelType w:val="multilevel"/>
    <w:tmpl w:val="07F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A70E6"/>
    <w:multiLevelType w:val="hybridMultilevel"/>
    <w:tmpl w:val="EDF8DB10"/>
    <w:lvl w:ilvl="0" w:tplc="04090001">
      <w:start w:val="1"/>
      <w:numFmt w:val="bullet"/>
      <w:lvlText w:val=""/>
      <w:lvlJc w:val="left"/>
      <w:pPr>
        <w:ind w:left="843" w:hanging="360"/>
      </w:pPr>
      <w:rPr>
        <w:rFonts w:ascii="Symbol" w:hAnsi="Symbol" w:hint="default"/>
      </w:rPr>
    </w:lvl>
    <w:lvl w:ilvl="1" w:tplc="04090003">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002687"/>
    <w:multiLevelType w:val="multilevel"/>
    <w:tmpl w:val="A7E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FAB6570"/>
    <w:multiLevelType w:val="multilevel"/>
    <w:tmpl w:val="4A7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60578"/>
    <w:multiLevelType w:val="hybridMultilevel"/>
    <w:tmpl w:val="1F1CEF4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4"/>
  </w:num>
  <w:num w:numId="2">
    <w:abstractNumId w:val="12"/>
  </w:num>
  <w:num w:numId="3">
    <w:abstractNumId w:val="15"/>
  </w:num>
  <w:num w:numId="4">
    <w:abstractNumId w:val="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7"/>
  </w:num>
  <w:num w:numId="13">
    <w:abstractNumId w:val="10"/>
  </w:num>
  <w:num w:numId="14">
    <w:abstractNumId w:val="17"/>
  </w:num>
  <w:num w:numId="15">
    <w:abstractNumId w:val="3"/>
  </w:num>
  <w:num w:numId="16">
    <w:abstractNumId w:val="16"/>
  </w:num>
  <w:num w:numId="17">
    <w:abstractNumId w:val="0"/>
  </w:num>
  <w:num w:numId="18">
    <w:abstractNumId w:val="9"/>
  </w:num>
  <w:num w:numId="19">
    <w:abstractNumId w:val="6"/>
  </w:num>
  <w:num w:numId="20">
    <w:abstractNumId w:val="13"/>
  </w:num>
  <w:num w:numId="21">
    <w:abstractNumId w:val="4"/>
  </w:num>
  <w:num w:numId="22">
    <w:abstractNumId w:val="8"/>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B3"/>
    <w:rsid w:val="00004ED4"/>
    <w:rsid w:val="000112AE"/>
    <w:rsid w:val="00011562"/>
    <w:rsid w:val="00011C3C"/>
    <w:rsid w:val="000339B0"/>
    <w:rsid w:val="00034575"/>
    <w:rsid w:val="000469A3"/>
    <w:rsid w:val="000A0EEF"/>
    <w:rsid w:val="000C0385"/>
    <w:rsid w:val="000C6DE3"/>
    <w:rsid w:val="000C759F"/>
    <w:rsid w:val="000E76A4"/>
    <w:rsid w:val="000F1F0F"/>
    <w:rsid w:val="00112464"/>
    <w:rsid w:val="00113344"/>
    <w:rsid w:val="0011688D"/>
    <w:rsid w:val="00120D11"/>
    <w:rsid w:val="001224F5"/>
    <w:rsid w:val="00126E62"/>
    <w:rsid w:val="00132633"/>
    <w:rsid w:val="0014350A"/>
    <w:rsid w:val="00147AD9"/>
    <w:rsid w:val="0015603B"/>
    <w:rsid w:val="001676A7"/>
    <w:rsid w:val="0019637C"/>
    <w:rsid w:val="001A6D66"/>
    <w:rsid w:val="001E13F0"/>
    <w:rsid w:val="001E1805"/>
    <w:rsid w:val="00202097"/>
    <w:rsid w:val="002026BD"/>
    <w:rsid w:val="002107A8"/>
    <w:rsid w:val="00220D92"/>
    <w:rsid w:val="002347CA"/>
    <w:rsid w:val="0023548F"/>
    <w:rsid w:val="00240564"/>
    <w:rsid w:val="00241857"/>
    <w:rsid w:val="002418D4"/>
    <w:rsid w:val="002445BE"/>
    <w:rsid w:val="00265543"/>
    <w:rsid w:val="002904FE"/>
    <w:rsid w:val="002A5DE1"/>
    <w:rsid w:val="002B26ED"/>
    <w:rsid w:val="002C6618"/>
    <w:rsid w:val="002D23AF"/>
    <w:rsid w:val="002D2FFF"/>
    <w:rsid w:val="002D6CDC"/>
    <w:rsid w:val="002E528F"/>
    <w:rsid w:val="00301327"/>
    <w:rsid w:val="00303CA7"/>
    <w:rsid w:val="0031044E"/>
    <w:rsid w:val="00331729"/>
    <w:rsid w:val="00331798"/>
    <w:rsid w:val="00332C80"/>
    <w:rsid w:val="00365BF3"/>
    <w:rsid w:val="00371869"/>
    <w:rsid w:val="0037438A"/>
    <w:rsid w:val="003754E5"/>
    <w:rsid w:val="0039001B"/>
    <w:rsid w:val="003A4F0F"/>
    <w:rsid w:val="003B4885"/>
    <w:rsid w:val="003D4B1D"/>
    <w:rsid w:val="003E3CCE"/>
    <w:rsid w:val="00425311"/>
    <w:rsid w:val="004308E0"/>
    <w:rsid w:val="00460D1D"/>
    <w:rsid w:val="004716BC"/>
    <w:rsid w:val="00473D7C"/>
    <w:rsid w:val="0047404B"/>
    <w:rsid w:val="0048546B"/>
    <w:rsid w:val="0049507F"/>
    <w:rsid w:val="004A33BB"/>
    <w:rsid w:val="004B4D04"/>
    <w:rsid w:val="004B588F"/>
    <w:rsid w:val="004D4220"/>
    <w:rsid w:val="004E1644"/>
    <w:rsid w:val="004E2B17"/>
    <w:rsid w:val="004E3867"/>
    <w:rsid w:val="004F4AEB"/>
    <w:rsid w:val="00501D79"/>
    <w:rsid w:val="00510629"/>
    <w:rsid w:val="00522665"/>
    <w:rsid w:val="005445AB"/>
    <w:rsid w:val="005658FE"/>
    <w:rsid w:val="00575E5C"/>
    <w:rsid w:val="005804A8"/>
    <w:rsid w:val="00584091"/>
    <w:rsid w:val="00586773"/>
    <w:rsid w:val="00586A36"/>
    <w:rsid w:val="00586FCA"/>
    <w:rsid w:val="005963A1"/>
    <w:rsid w:val="005978C6"/>
    <w:rsid w:val="005A1161"/>
    <w:rsid w:val="005B4D01"/>
    <w:rsid w:val="005C5E1A"/>
    <w:rsid w:val="005C7EA9"/>
    <w:rsid w:val="005D4C15"/>
    <w:rsid w:val="005E1E7E"/>
    <w:rsid w:val="005F0257"/>
    <w:rsid w:val="006077F0"/>
    <w:rsid w:val="00614A09"/>
    <w:rsid w:val="00652269"/>
    <w:rsid w:val="006535F2"/>
    <w:rsid w:val="00656A0D"/>
    <w:rsid w:val="006703A1"/>
    <w:rsid w:val="00676256"/>
    <w:rsid w:val="006951C9"/>
    <w:rsid w:val="006A7FBF"/>
    <w:rsid w:val="006B2FD7"/>
    <w:rsid w:val="006B3F4E"/>
    <w:rsid w:val="006C38D3"/>
    <w:rsid w:val="006C40DF"/>
    <w:rsid w:val="006F4F45"/>
    <w:rsid w:val="006F6F81"/>
    <w:rsid w:val="006F6F98"/>
    <w:rsid w:val="0074001E"/>
    <w:rsid w:val="00785145"/>
    <w:rsid w:val="007865AC"/>
    <w:rsid w:val="0079463E"/>
    <w:rsid w:val="007969E5"/>
    <w:rsid w:val="007D3464"/>
    <w:rsid w:val="007F0520"/>
    <w:rsid w:val="00801D44"/>
    <w:rsid w:val="00806453"/>
    <w:rsid w:val="00812DCC"/>
    <w:rsid w:val="00816BB5"/>
    <w:rsid w:val="00823883"/>
    <w:rsid w:val="00831443"/>
    <w:rsid w:val="0084011E"/>
    <w:rsid w:val="00841D1A"/>
    <w:rsid w:val="00864705"/>
    <w:rsid w:val="008657B3"/>
    <w:rsid w:val="00884B83"/>
    <w:rsid w:val="008917A5"/>
    <w:rsid w:val="00892FBC"/>
    <w:rsid w:val="008A1DC5"/>
    <w:rsid w:val="008C2F35"/>
    <w:rsid w:val="008E3C61"/>
    <w:rsid w:val="00925423"/>
    <w:rsid w:val="00925C21"/>
    <w:rsid w:val="009273B4"/>
    <w:rsid w:val="009309AA"/>
    <w:rsid w:val="00964A5D"/>
    <w:rsid w:val="009A3DDA"/>
    <w:rsid w:val="009B586F"/>
    <w:rsid w:val="009C5816"/>
    <w:rsid w:val="009C74AD"/>
    <w:rsid w:val="009D04A1"/>
    <w:rsid w:val="009E0B8A"/>
    <w:rsid w:val="009E5CDC"/>
    <w:rsid w:val="00A027F3"/>
    <w:rsid w:val="00A242C8"/>
    <w:rsid w:val="00A320A9"/>
    <w:rsid w:val="00A36FF7"/>
    <w:rsid w:val="00A449C6"/>
    <w:rsid w:val="00A57545"/>
    <w:rsid w:val="00A633A2"/>
    <w:rsid w:val="00A76583"/>
    <w:rsid w:val="00A7739A"/>
    <w:rsid w:val="00A773BD"/>
    <w:rsid w:val="00A85071"/>
    <w:rsid w:val="00A90657"/>
    <w:rsid w:val="00A90A3B"/>
    <w:rsid w:val="00A9115A"/>
    <w:rsid w:val="00A97BA5"/>
    <w:rsid w:val="00AB43F2"/>
    <w:rsid w:val="00AB4A56"/>
    <w:rsid w:val="00AC4B7D"/>
    <w:rsid w:val="00AD2738"/>
    <w:rsid w:val="00AE176A"/>
    <w:rsid w:val="00AE22C1"/>
    <w:rsid w:val="00AF07BF"/>
    <w:rsid w:val="00B03C7F"/>
    <w:rsid w:val="00B23879"/>
    <w:rsid w:val="00B364D4"/>
    <w:rsid w:val="00B37146"/>
    <w:rsid w:val="00B37F68"/>
    <w:rsid w:val="00B465E4"/>
    <w:rsid w:val="00B46904"/>
    <w:rsid w:val="00B83264"/>
    <w:rsid w:val="00B85240"/>
    <w:rsid w:val="00B944F0"/>
    <w:rsid w:val="00B9471C"/>
    <w:rsid w:val="00BC7018"/>
    <w:rsid w:val="00BE440F"/>
    <w:rsid w:val="00BF121E"/>
    <w:rsid w:val="00C63923"/>
    <w:rsid w:val="00C65775"/>
    <w:rsid w:val="00C73BDB"/>
    <w:rsid w:val="00C85924"/>
    <w:rsid w:val="00C94C3D"/>
    <w:rsid w:val="00CB692D"/>
    <w:rsid w:val="00CC2F15"/>
    <w:rsid w:val="00CD77EB"/>
    <w:rsid w:val="00CE1013"/>
    <w:rsid w:val="00CF44AB"/>
    <w:rsid w:val="00D10877"/>
    <w:rsid w:val="00D13D26"/>
    <w:rsid w:val="00D1596E"/>
    <w:rsid w:val="00D24306"/>
    <w:rsid w:val="00D32B5D"/>
    <w:rsid w:val="00D33669"/>
    <w:rsid w:val="00D40788"/>
    <w:rsid w:val="00D442AD"/>
    <w:rsid w:val="00D45E8D"/>
    <w:rsid w:val="00D81933"/>
    <w:rsid w:val="00DA6FA6"/>
    <w:rsid w:val="00DB1353"/>
    <w:rsid w:val="00DB6952"/>
    <w:rsid w:val="00DC1A7A"/>
    <w:rsid w:val="00DC3B98"/>
    <w:rsid w:val="00DD16C9"/>
    <w:rsid w:val="00DD60C8"/>
    <w:rsid w:val="00DF0995"/>
    <w:rsid w:val="00E17E35"/>
    <w:rsid w:val="00E6698B"/>
    <w:rsid w:val="00E86100"/>
    <w:rsid w:val="00E92BD9"/>
    <w:rsid w:val="00F055A7"/>
    <w:rsid w:val="00F40445"/>
    <w:rsid w:val="00F71BFD"/>
    <w:rsid w:val="00F72633"/>
    <w:rsid w:val="00F72964"/>
    <w:rsid w:val="00F77F03"/>
    <w:rsid w:val="00F83ACE"/>
    <w:rsid w:val="00FA525F"/>
    <w:rsid w:val="00FC1941"/>
    <w:rsid w:val="00FC3CB8"/>
    <w:rsid w:val="00FD26FD"/>
    <w:rsid w:val="00FD472F"/>
    <w:rsid w:val="00FF2ED9"/>
    <w:rsid w:val="00FF5C60"/>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customStyle="1" w:styleId="MediumGrid1-Accent21">
    <w:name w:val="Medium Grid 1 - Accent 21"/>
    <w:basedOn w:val="Normal"/>
    <w:uiPriority w:val="34"/>
    <w:qFormat/>
    <w:pPr>
      <w:ind w:left="720"/>
    </w:p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link w:val="FootnoteText"/>
    <w:uiPriority w:val="99"/>
    <w:semiHidden/>
    <w:rsid w:val="006B3F4E"/>
    <w:rPr>
      <w:sz w:val="22"/>
    </w:rPr>
  </w:style>
  <w:style w:type="character" w:styleId="CommentReference">
    <w:name w:val="annotation reference"/>
    <w:rsid w:val="00B83264"/>
    <w:rPr>
      <w:sz w:val="16"/>
      <w:szCs w:val="16"/>
    </w:rPr>
  </w:style>
  <w:style w:type="paragraph" w:styleId="CommentText">
    <w:name w:val="annotation text"/>
    <w:basedOn w:val="Normal"/>
    <w:link w:val="CommentTextChar"/>
    <w:rsid w:val="00B83264"/>
    <w:rPr>
      <w:sz w:val="20"/>
    </w:rPr>
  </w:style>
  <w:style w:type="character" w:customStyle="1" w:styleId="CommentTextChar">
    <w:name w:val="Comment Text Char"/>
    <w:basedOn w:val="DefaultParagraphFont"/>
    <w:link w:val="CommentText"/>
    <w:rsid w:val="00B83264"/>
  </w:style>
  <w:style w:type="paragraph" w:styleId="CommentSubject">
    <w:name w:val="annotation subject"/>
    <w:basedOn w:val="CommentText"/>
    <w:next w:val="CommentText"/>
    <w:link w:val="CommentSubjectChar"/>
    <w:rsid w:val="00B83264"/>
    <w:rPr>
      <w:b/>
      <w:bCs/>
      <w:lang w:val="x-none" w:eastAsia="x-none"/>
    </w:rPr>
  </w:style>
  <w:style w:type="character" w:customStyle="1" w:styleId="CommentSubjectChar">
    <w:name w:val="Comment Subject Char"/>
    <w:link w:val="CommentSubject"/>
    <w:rsid w:val="00B83264"/>
    <w:rPr>
      <w:b/>
      <w:bCs/>
    </w:rPr>
  </w:style>
  <w:style w:type="character" w:styleId="Emphasis">
    <w:name w:val="Emphasis"/>
    <w:uiPriority w:val="20"/>
    <w:qFormat/>
    <w:rsid w:val="004E1644"/>
    <w:rPr>
      <w:i/>
      <w:i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D40788"/>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customStyle="1" w:styleId="MediumGrid1-Accent21">
    <w:name w:val="Medium Grid 1 - Accent 21"/>
    <w:basedOn w:val="Normal"/>
    <w:uiPriority w:val="34"/>
    <w:qFormat/>
    <w:pPr>
      <w:ind w:left="720"/>
    </w:p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link w:val="FootnoteText"/>
    <w:uiPriority w:val="99"/>
    <w:semiHidden/>
    <w:rsid w:val="006B3F4E"/>
    <w:rPr>
      <w:sz w:val="22"/>
    </w:rPr>
  </w:style>
  <w:style w:type="character" w:styleId="CommentReference">
    <w:name w:val="annotation reference"/>
    <w:rsid w:val="00B83264"/>
    <w:rPr>
      <w:sz w:val="16"/>
      <w:szCs w:val="16"/>
    </w:rPr>
  </w:style>
  <w:style w:type="paragraph" w:styleId="CommentText">
    <w:name w:val="annotation text"/>
    <w:basedOn w:val="Normal"/>
    <w:link w:val="CommentTextChar"/>
    <w:rsid w:val="00B83264"/>
    <w:rPr>
      <w:sz w:val="20"/>
    </w:rPr>
  </w:style>
  <w:style w:type="character" w:customStyle="1" w:styleId="CommentTextChar">
    <w:name w:val="Comment Text Char"/>
    <w:basedOn w:val="DefaultParagraphFont"/>
    <w:link w:val="CommentText"/>
    <w:rsid w:val="00B83264"/>
  </w:style>
  <w:style w:type="paragraph" w:styleId="CommentSubject">
    <w:name w:val="annotation subject"/>
    <w:basedOn w:val="CommentText"/>
    <w:next w:val="CommentText"/>
    <w:link w:val="CommentSubjectChar"/>
    <w:rsid w:val="00B83264"/>
    <w:rPr>
      <w:b/>
      <w:bCs/>
      <w:lang w:val="x-none" w:eastAsia="x-none"/>
    </w:rPr>
  </w:style>
  <w:style w:type="character" w:customStyle="1" w:styleId="CommentSubjectChar">
    <w:name w:val="Comment Subject Char"/>
    <w:link w:val="CommentSubject"/>
    <w:rsid w:val="00B83264"/>
    <w:rPr>
      <w:b/>
      <w:bCs/>
    </w:rPr>
  </w:style>
  <w:style w:type="character" w:styleId="Emphasis">
    <w:name w:val="Emphasis"/>
    <w:uiPriority w:val="20"/>
    <w:qFormat/>
    <w:rsid w:val="004E1644"/>
    <w:rPr>
      <w:i/>
      <w:i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D40788"/>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333">
      <w:bodyDiv w:val="1"/>
      <w:marLeft w:val="0"/>
      <w:marRight w:val="0"/>
      <w:marTop w:val="0"/>
      <w:marBottom w:val="0"/>
      <w:divBdr>
        <w:top w:val="none" w:sz="0" w:space="0" w:color="auto"/>
        <w:left w:val="none" w:sz="0" w:space="0" w:color="auto"/>
        <w:bottom w:val="none" w:sz="0" w:space="0" w:color="auto"/>
        <w:right w:val="none" w:sz="0" w:space="0" w:color="auto"/>
      </w:divBdr>
    </w:div>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271086538">
      <w:bodyDiv w:val="1"/>
      <w:marLeft w:val="0"/>
      <w:marRight w:val="0"/>
      <w:marTop w:val="0"/>
      <w:marBottom w:val="0"/>
      <w:divBdr>
        <w:top w:val="none" w:sz="0" w:space="0" w:color="auto"/>
        <w:left w:val="none" w:sz="0" w:space="0" w:color="auto"/>
        <w:bottom w:val="none" w:sz="0" w:space="0" w:color="auto"/>
        <w:right w:val="none" w:sz="0" w:space="0" w:color="auto"/>
      </w:divBdr>
    </w:div>
    <w:div w:id="470364684">
      <w:bodyDiv w:val="1"/>
      <w:marLeft w:val="0"/>
      <w:marRight w:val="0"/>
      <w:marTop w:val="0"/>
      <w:marBottom w:val="0"/>
      <w:divBdr>
        <w:top w:val="none" w:sz="0" w:space="0" w:color="auto"/>
        <w:left w:val="none" w:sz="0" w:space="0" w:color="auto"/>
        <w:bottom w:val="none" w:sz="0" w:space="0" w:color="auto"/>
        <w:right w:val="none" w:sz="0" w:space="0" w:color="auto"/>
      </w:divBdr>
      <w:divsChild>
        <w:div w:id="1955745695">
          <w:marLeft w:val="0"/>
          <w:marRight w:val="0"/>
          <w:marTop w:val="0"/>
          <w:marBottom w:val="0"/>
          <w:divBdr>
            <w:top w:val="none" w:sz="0" w:space="0" w:color="auto"/>
            <w:left w:val="none" w:sz="0" w:space="0" w:color="auto"/>
            <w:bottom w:val="none" w:sz="0" w:space="0" w:color="auto"/>
            <w:right w:val="none" w:sz="0" w:space="0" w:color="auto"/>
          </w:divBdr>
          <w:divsChild>
            <w:div w:id="935287781">
              <w:marLeft w:val="0"/>
              <w:marRight w:val="0"/>
              <w:marTop w:val="0"/>
              <w:marBottom w:val="0"/>
              <w:divBdr>
                <w:top w:val="none" w:sz="0" w:space="0" w:color="auto"/>
                <w:left w:val="none" w:sz="0" w:space="0" w:color="auto"/>
                <w:bottom w:val="none" w:sz="0" w:space="0" w:color="auto"/>
                <w:right w:val="none" w:sz="0" w:space="0" w:color="auto"/>
              </w:divBdr>
              <w:divsChild>
                <w:div w:id="175048569">
                  <w:marLeft w:val="0"/>
                  <w:marRight w:val="0"/>
                  <w:marTop w:val="0"/>
                  <w:marBottom w:val="0"/>
                  <w:divBdr>
                    <w:top w:val="none" w:sz="0" w:space="0" w:color="auto"/>
                    <w:left w:val="none" w:sz="0" w:space="0" w:color="auto"/>
                    <w:bottom w:val="none" w:sz="0" w:space="0" w:color="auto"/>
                    <w:right w:val="none" w:sz="0" w:space="0" w:color="auto"/>
                  </w:divBdr>
                  <w:divsChild>
                    <w:div w:id="1052995805">
                      <w:marLeft w:val="0"/>
                      <w:marRight w:val="0"/>
                      <w:marTop w:val="0"/>
                      <w:marBottom w:val="0"/>
                      <w:divBdr>
                        <w:top w:val="none" w:sz="0" w:space="0" w:color="auto"/>
                        <w:left w:val="none" w:sz="0" w:space="0" w:color="auto"/>
                        <w:bottom w:val="none" w:sz="0" w:space="0" w:color="auto"/>
                        <w:right w:val="none" w:sz="0" w:space="0" w:color="auto"/>
                      </w:divBdr>
                      <w:divsChild>
                        <w:div w:id="981930357">
                          <w:marLeft w:val="0"/>
                          <w:marRight w:val="0"/>
                          <w:marTop w:val="0"/>
                          <w:marBottom w:val="0"/>
                          <w:divBdr>
                            <w:top w:val="none" w:sz="0" w:space="0" w:color="auto"/>
                            <w:left w:val="none" w:sz="0" w:space="0" w:color="auto"/>
                            <w:bottom w:val="none" w:sz="0" w:space="0" w:color="auto"/>
                            <w:right w:val="none" w:sz="0" w:space="0" w:color="auto"/>
                          </w:divBdr>
                          <w:divsChild>
                            <w:div w:id="18438375">
                              <w:marLeft w:val="0"/>
                              <w:marRight w:val="0"/>
                              <w:marTop w:val="0"/>
                              <w:marBottom w:val="0"/>
                              <w:divBdr>
                                <w:top w:val="none" w:sz="0" w:space="0" w:color="auto"/>
                                <w:left w:val="none" w:sz="0" w:space="0" w:color="auto"/>
                                <w:bottom w:val="none" w:sz="0" w:space="0" w:color="auto"/>
                                <w:right w:val="none" w:sz="0" w:space="0" w:color="auto"/>
                              </w:divBdr>
                              <w:divsChild>
                                <w:div w:id="1512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15842">
      <w:bodyDiv w:val="1"/>
      <w:marLeft w:val="0"/>
      <w:marRight w:val="0"/>
      <w:marTop w:val="0"/>
      <w:marBottom w:val="0"/>
      <w:divBdr>
        <w:top w:val="none" w:sz="0" w:space="0" w:color="auto"/>
        <w:left w:val="none" w:sz="0" w:space="0" w:color="auto"/>
        <w:bottom w:val="none" w:sz="0" w:space="0" w:color="auto"/>
        <w:right w:val="none" w:sz="0" w:space="0" w:color="auto"/>
      </w:divBdr>
    </w:div>
    <w:div w:id="817384186">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 w:id="1944917279">
      <w:bodyDiv w:val="1"/>
      <w:marLeft w:val="0"/>
      <w:marRight w:val="0"/>
      <w:marTop w:val="0"/>
      <w:marBottom w:val="0"/>
      <w:divBdr>
        <w:top w:val="none" w:sz="0" w:space="0" w:color="auto"/>
        <w:left w:val="none" w:sz="0" w:space="0" w:color="auto"/>
        <w:bottom w:val="none" w:sz="0" w:space="0" w:color="auto"/>
        <w:right w:val="none" w:sz="0" w:space="0" w:color="auto"/>
      </w:divBdr>
      <w:divsChild>
        <w:div w:id="671105939">
          <w:marLeft w:val="0"/>
          <w:marRight w:val="0"/>
          <w:marTop w:val="0"/>
          <w:marBottom w:val="0"/>
          <w:divBdr>
            <w:top w:val="none" w:sz="0" w:space="0" w:color="auto"/>
            <w:left w:val="none" w:sz="0" w:space="0" w:color="auto"/>
            <w:bottom w:val="none" w:sz="0" w:space="0" w:color="auto"/>
            <w:right w:val="none" w:sz="0" w:space="0" w:color="auto"/>
          </w:divBdr>
          <w:divsChild>
            <w:div w:id="1665275987">
              <w:marLeft w:val="0"/>
              <w:marRight w:val="0"/>
              <w:marTop w:val="0"/>
              <w:marBottom w:val="0"/>
              <w:divBdr>
                <w:top w:val="none" w:sz="0" w:space="0" w:color="auto"/>
                <w:left w:val="none" w:sz="0" w:space="0" w:color="auto"/>
                <w:bottom w:val="none" w:sz="0" w:space="0" w:color="auto"/>
                <w:right w:val="none" w:sz="0" w:space="0" w:color="auto"/>
              </w:divBdr>
              <w:divsChild>
                <w:div w:id="544947440">
                  <w:marLeft w:val="0"/>
                  <w:marRight w:val="0"/>
                  <w:marTop w:val="0"/>
                  <w:marBottom w:val="0"/>
                  <w:divBdr>
                    <w:top w:val="none" w:sz="0" w:space="0" w:color="auto"/>
                    <w:left w:val="none" w:sz="0" w:space="0" w:color="auto"/>
                    <w:bottom w:val="none" w:sz="0" w:space="0" w:color="auto"/>
                    <w:right w:val="none" w:sz="0" w:space="0" w:color="auto"/>
                  </w:divBdr>
                  <w:divsChild>
                    <w:div w:id="1713116569">
                      <w:marLeft w:val="0"/>
                      <w:marRight w:val="0"/>
                      <w:marTop w:val="0"/>
                      <w:marBottom w:val="0"/>
                      <w:divBdr>
                        <w:top w:val="none" w:sz="0" w:space="0" w:color="auto"/>
                        <w:left w:val="none" w:sz="0" w:space="0" w:color="auto"/>
                        <w:bottom w:val="none" w:sz="0" w:space="0" w:color="auto"/>
                        <w:right w:val="none" w:sz="0" w:space="0" w:color="auto"/>
                      </w:divBdr>
                      <w:divsChild>
                        <w:div w:id="552616754">
                          <w:marLeft w:val="0"/>
                          <w:marRight w:val="0"/>
                          <w:marTop w:val="0"/>
                          <w:marBottom w:val="0"/>
                          <w:divBdr>
                            <w:top w:val="none" w:sz="0" w:space="0" w:color="auto"/>
                            <w:left w:val="none" w:sz="0" w:space="0" w:color="auto"/>
                            <w:bottom w:val="none" w:sz="0" w:space="0" w:color="auto"/>
                            <w:right w:val="none" w:sz="0" w:space="0" w:color="auto"/>
                          </w:divBdr>
                          <w:divsChild>
                            <w:div w:id="1319771486">
                              <w:marLeft w:val="0"/>
                              <w:marRight w:val="0"/>
                              <w:marTop w:val="0"/>
                              <w:marBottom w:val="0"/>
                              <w:divBdr>
                                <w:top w:val="none" w:sz="0" w:space="0" w:color="auto"/>
                                <w:left w:val="none" w:sz="0" w:space="0" w:color="auto"/>
                                <w:bottom w:val="none" w:sz="0" w:space="0" w:color="auto"/>
                                <w:right w:val="none" w:sz="0" w:space="0" w:color="auto"/>
                              </w:divBdr>
                              <w:divsChild>
                                <w:div w:id="9554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92258">
      <w:bodyDiv w:val="1"/>
      <w:marLeft w:val="0"/>
      <w:marRight w:val="0"/>
      <w:marTop w:val="0"/>
      <w:marBottom w:val="0"/>
      <w:divBdr>
        <w:top w:val="none" w:sz="0" w:space="0" w:color="auto"/>
        <w:left w:val="none" w:sz="0" w:space="0" w:color="auto"/>
        <w:bottom w:val="none" w:sz="0" w:space="0" w:color="auto"/>
        <w:right w:val="none" w:sz="0" w:space="0" w:color="auto"/>
      </w:divBdr>
    </w:div>
    <w:div w:id="2068406396">
      <w:bodyDiv w:val="1"/>
      <w:marLeft w:val="0"/>
      <w:marRight w:val="0"/>
      <w:marTop w:val="0"/>
      <w:marBottom w:val="0"/>
      <w:divBdr>
        <w:top w:val="none" w:sz="0" w:space="0" w:color="auto"/>
        <w:left w:val="none" w:sz="0" w:space="0" w:color="auto"/>
        <w:bottom w:val="none" w:sz="0" w:space="0" w:color="auto"/>
        <w:right w:val="none" w:sz="0" w:space="0" w:color="auto"/>
      </w:divBdr>
    </w:div>
    <w:div w:id="21193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fcc.gov/download/incentive-auctions/OET-69/"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bert.weller@fcc.gov" TargetMode="Externa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ncyclopedia/oet-bulletins-line" TargetMode="External"/><Relationship Id="rId2" Type="http://schemas.openxmlformats.org/officeDocument/2006/relationships/hyperlink" Target="http://transition.fcc.gov/Daily_Releases/Daily_Business/2012/db1002/FCC-12-118A1.pdf" TargetMode="External"/><Relationship Id="rId1" Type="http://schemas.openxmlformats.org/officeDocument/2006/relationships/hyperlink" Target="http://transition.fcc.gov/Bureaus/Engineering_Technology/Documents/bulletins/oet69/oet69.pdf" TargetMode="External"/><Relationship Id="rId5" Type="http://schemas.openxmlformats.org/officeDocument/2006/relationships/hyperlink" Target="http://en.wikipedia.org/wiki/Parchive" TargetMode="External"/><Relationship Id="rId4" Type="http://schemas.openxmlformats.org/officeDocument/2006/relationships/hyperlink" Target="http://en.wikipedia.org/wiki/.tg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Brooks\AppData\Local\Microsoft\Windows\Temporary%20Internet%20Files\Content.MSO\AFC3DE8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AFC3DE8C</Template>
  <TotalTime>0</TotalTime>
  <Pages>2</Pages>
  <Words>3520</Words>
  <Characters>19909</Characters>
  <Application>Microsoft Office Word</Application>
  <DocSecurity>0</DocSecurity>
  <Lines>314</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23524</CharactersWithSpaces>
  <SharedDoc>false</SharedDoc>
  <HyperlinkBase> </HyperlinkBase>
  <HLinks>
    <vt:vector size="48" baseType="variant">
      <vt:variant>
        <vt:i4>4259880</vt:i4>
      </vt:variant>
      <vt:variant>
        <vt:i4>6</vt:i4>
      </vt:variant>
      <vt:variant>
        <vt:i4>0</vt:i4>
      </vt:variant>
      <vt:variant>
        <vt:i4>5</vt:i4>
      </vt:variant>
      <vt:variant>
        <vt:lpwstr>mailto:robert.weller@fcc.gov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2162744</vt:i4>
      </vt:variant>
      <vt:variant>
        <vt:i4>0</vt:i4>
      </vt:variant>
      <vt:variant>
        <vt:i4>0</vt:i4>
      </vt:variant>
      <vt:variant>
        <vt:i4>5</vt:i4>
      </vt:variant>
      <vt:variant>
        <vt:lpwstr>http://data.fcc.gov/download/incentive-auctions/OET-69/</vt:lpwstr>
      </vt:variant>
      <vt:variant>
        <vt:lpwstr/>
      </vt:variant>
      <vt:variant>
        <vt:i4>196702</vt:i4>
      </vt:variant>
      <vt:variant>
        <vt:i4>12</vt:i4>
      </vt:variant>
      <vt:variant>
        <vt:i4>0</vt:i4>
      </vt:variant>
      <vt:variant>
        <vt:i4>5</vt:i4>
      </vt:variant>
      <vt:variant>
        <vt:lpwstr>http://en.wikipedia.org/wiki/Parchive</vt:lpwstr>
      </vt:variant>
      <vt:variant>
        <vt:lpwstr/>
      </vt:variant>
      <vt:variant>
        <vt:i4>5636161</vt:i4>
      </vt:variant>
      <vt:variant>
        <vt:i4>9</vt:i4>
      </vt:variant>
      <vt:variant>
        <vt:i4>0</vt:i4>
      </vt:variant>
      <vt:variant>
        <vt:i4>5</vt:i4>
      </vt:variant>
      <vt:variant>
        <vt:lpwstr>http://en.wikipedia.org/wiki/.tgz</vt:lpwstr>
      </vt:variant>
      <vt:variant>
        <vt:lpwstr/>
      </vt:variant>
      <vt:variant>
        <vt:i4>8126523</vt:i4>
      </vt:variant>
      <vt:variant>
        <vt:i4>6</vt:i4>
      </vt:variant>
      <vt:variant>
        <vt:i4>0</vt:i4>
      </vt:variant>
      <vt:variant>
        <vt:i4>5</vt:i4>
      </vt:variant>
      <vt:variant>
        <vt:lpwstr>http://www.fcc.gov/encyclopedia/oet-bulletins-line</vt:lpwstr>
      </vt:variant>
      <vt:variant>
        <vt:lpwstr/>
      </vt:variant>
      <vt:variant>
        <vt:i4>6946873</vt:i4>
      </vt:variant>
      <vt:variant>
        <vt:i4>3</vt:i4>
      </vt:variant>
      <vt:variant>
        <vt:i4>0</vt:i4>
      </vt:variant>
      <vt:variant>
        <vt:i4>5</vt:i4>
      </vt:variant>
      <vt:variant>
        <vt:lpwstr>http://transition.fcc.gov/Daily_Releases/Daily_Business/2012/db1002/FCC-12-118A1.pdf</vt:lpwstr>
      </vt:variant>
      <vt:variant>
        <vt:lpwstr/>
      </vt:variant>
      <vt:variant>
        <vt:i4>7995482</vt:i4>
      </vt:variant>
      <vt:variant>
        <vt:i4>0</vt:i4>
      </vt:variant>
      <vt:variant>
        <vt:i4>0</vt:i4>
      </vt:variant>
      <vt:variant>
        <vt:i4>5</vt:i4>
      </vt:variant>
      <vt:variant>
        <vt:lpwstr>http://transition.fcc.gov/Bureaus/Engineering_Technology/Documents/bulletins/oet69/oet69.pdf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2012-08-02T18:41:00Z</cp:lastPrinted>
  <dcterms:created xsi:type="dcterms:W3CDTF">2013-02-05T14:58:00Z</dcterms:created>
  <dcterms:modified xsi:type="dcterms:W3CDTF">2013-02-05T14:58:00Z</dcterms:modified>
  <cp:category> </cp:category>
  <cp:contentStatus> </cp:contentStatus>
</cp:coreProperties>
</file>