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2B" w:rsidRPr="00C50FD7" w:rsidRDefault="00DD5F2B" w:rsidP="006036FB">
      <w:pPr>
        <w:jc w:val="center"/>
        <w:rPr>
          <w:b/>
        </w:rPr>
      </w:pPr>
      <w:bookmarkStart w:id="0" w:name="_GoBack"/>
      <w:bookmarkEnd w:id="0"/>
      <w:r w:rsidRPr="00C50FD7">
        <w:rPr>
          <w:b/>
        </w:rPr>
        <w:t>Before the</w:t>
      </w:r>
    </w:p>
    <w:p w:rsidR="00DD5F2B" w:rsidRPr="00C50FD7" w:rsidRDefault="00DD5F2B" w:rsidP="006036FB">
      <w:pPr>
        <w:jc w:val="center"/>
        <w:rPr>
          <w:b/>
        </w:rPr>
      </w:pPr>
      <w:r w:rsidRPr="00C50FD7">
        <w:rPr>
          <w:b/>
        </w:rPr>
        <w:t>Federal Communications Commission</w:t>
      </w:r>
    </w:p>
    <w:p w:rsidR="00DD5F2B" w:rsidRPr="00C50FD7" w:rsidRDefault="00DD5F2B" w:rsidP="006036FB">
      <w:pPr>
        <w:jc w:val="center"/>
        <w:rPr>
          <w:b/>
        </w:rPr>
      </w:pPr>
      <w:r w:rsidRPr="00C50FD7">
        <w:rPr>
          <w:b/>
        </w:rPr>
        <w:t>Washington, D.C. 20554</w:t>
      </w:r>
    </w:p>
    <w:p w:rsidR="00DD5F2B" w:rsidRDefault="00DD5F2B" w:rsidP="006036FB"/>
    <w:p w:rsidR="00DD5F2B" w:rsidRDefault="00DD5F2B" w:rsidP="006036FB"/>
    <w:tbl>
      <w:tblPr>
        <w:tblW w:w="9648" w:type="dxa"/>
        <w:tblLayout w:type="fixed"/>
        <w:tblLook w:val="0000" w:firstRow="0" w:lastRow="0" w:firstColumn="0" w:lastColumn="0" w:noHBand="0" w:noVBand="0"/>
      </w:tblPr>
      <w:tblGrid>
        <w:gridCol w:w="4698"/>
        <w:gridCol w:w="720"/>
        <w:gridCol w:w="4230"/>
      </w:tblGrid>
      <w:tr w:rsidR="00F60EFE" w:rsidRPr="00A1739F" w:rsidTr="00F60EFE">
        <w:trPr>
          <w:trHeight w:val="5940"/>
        </w:trPr>
        <w:tc>
          <w:tcPr>
            <w:tcW w:w="4698" w:type="dxa"/>
          </w:tcPr>
          <w:p w:rsidR="00F60EFE" w:rsidRDefault="00F60EFE" w:rsidP="006036FB">
            <w:r w:rsidRPr="003C2F5E">
              <w:t>In the Matter of</w:t>
            </w:r>
          </w:p>
          <w:p w:rsidR="00F60EFE" w:rsidRDefault="00F60EFE" w:rsidP="006036FB"/>
          <w:p w:rsidR="00F60EFE" w:rsidRPr="003C2F5E" w:rsidRDefault="00F60EFE" w:rsidP="006036FB">
            <w:r w:rsidRPr="003C2F5E">
              <w:t>Numbering Policies for Modern Communications</w:t>
            </w:r>
          </w:p>
          <w:p w:rsidR="00F60EFE" w:rsidRPr="003C2F5E" w:rsidRDefault="00F60EFE" w:rsidP="006036FB"/>
          <w:p w:rsidR="00F60EFE" w:rsidRPr="003C2F5E" w:rsidRDefault="00F60EFE" w:rsidP="006036FB">
            <w:r w:rsidRPr="003C2F5E">
              <w:t xml:space="preserve">IP-Enabled Services </w:t>
            </w:r>
          </w:p>
          <w:p w:rsidR="00F60EFE" w:rsidRPr="003C2F5E" w:rsidRDefault="00F60EFE" w:rsidP="006036FB"/>
          <w:p w:rsidR="00F60EFE" w:rsidRPr="003C2F5E" w:rsidRDefault="00F60EFE" w:rsidP="006036FB">
            <w:pPr>
              <w:tabs>
                <w:tab w:val="center" w:pos="4680"/>
              </w:tabs>
              <w:suppressAutoHyphens/>
            </w:pPr>
            <w:r w:rsidRPr="003C2F5E">
              <w:t>Telephone Number Requirements for IP-Enabled</w:t>
            </w:r>
          </w:p>
          <w:p w:rsidR="00F60EFE" w:rsidRPr="003C2F5E" w:rsidRDefault="00F60EFE" w:rsidP="006036FB">
            <w:pPr>
              <w:tabs>
                <w:tab w:val="center" w:pos="4680"/>
              </w:tabs>
              <w:suppressAutoHyphens/>
            </w:pPr>
            <w:r w:rsidRPr="003C2F5E">
              <w:t>Services Providers</w:t>
            </w:r>
          </w:p>
          <w:p w:rsidR="00F60EFE" w:rsidRPr="003C2F5E" w:rsidRDefault="00F60EFE" w:rsidP="006036FB">
            <w:pPr>
              <w:tabs>
                <w:tab w:val="center" w:pos="4680"/>
              </w:tabs>
              <w:suppressAutoHyphens/>
            </w:pPr>
          </w:p>
          <w:p w:rsidR="00F60EFE" w:rsidRPr="003C2F5E" w:rsidRDefault="00F60EFE" w:rsidP="006036FB">
            <w:pPr>
              <w:tabs>
                <w:tab w:val="center" w:pos="4680"/>
              </w:tabs>
              <w:suppressAutoHyphens/>
            </w:pPr>
            <w:r w:rsidRPr="003C2F5E">
              <w:t>Telephone Number Portability</w:t>
            </w:r>
          </w:p>
          <w:p w:rsidR="00F60EFE" w:rsidRPr="003C2F5E" w:rsidRDefault="00F60EFE" w:rsidP="006036FB">
            <w:pPr>
              <w:tabs>
                <w:tab w:val="center" w:pos="4680"/>
              </w:tabs>
              <w:suppressAutoHyphens/>
            </w:pPr>
          </w:p>
          <w:p w:rsidR="00F60EFE" w:rsidRPr="003C2F5E" w:rsidRDefault="00F60EFE" w:rsidP="006036FB">
            <w:pPr>
              <w:tabs>
                <w:tab w:val="center" w:pos="4680"/>
              </w:tabs>
              <w:suppressAutoHyphens/>
            </w:pPr>
            <w:r w:rsidRPr="003C2F5E">
              <w:t>Developing a Unified Intercarrier Compensation Regime</w:t>
            </w:r>
          </w:p>
          <w:p w:rsidR="00F60EFE" w:rsidRPr="003C2F5E" w:rsidRDefault="00F60EFE" w:rsidP="006036FB">
            <w:pPr>
              <w:tabs>
                <w:tab w:val="center" w:pos="4680"/>
              </w:tabs>
              <w:suppressAutoHyphens/>
            </w:pPr>
          </w:p>
          <w:p w:rsidR="00F60EFE" w:rsidRPr="003C2F5E" w:rsidRDefault="00F60EFE" w:rsidP="006036FB">
            <w:pPr>
              <w:tabs>
                <w:tab w:val="center" w:pos="4680"/>
              </w:tabs>
              <w:suppressAutoHyphens/>
            </w:pPr>
            <w:r w:rsidRPr="003C2F5E">
              <w:t>Connect America Fund</w:t>
            </w:r>
          </w:p>
          <w:p w:rsidR="00F60EFE" w:rsidRPr="003C2F5E" w:rsidRDefault="00F60EFE" w:rsidP="006036FB">
            <w:pPr>
              <w:tabs>
                <w:tab w:val="center" w:pos="4680"/>
              </w:tabs>
              <w:suppressAutoHyphens/>
            </w:pPr>
          </w:p>
          <w:p w:rsidR="00F60EFE" w:rsidRPr="003C2F5E" w:rsidRDefault="00F60EFE" w:rsidP="006036FB">
            <w:pPr>
              <w:tabs>
                <w:tab w:val="center" w:pos="4680"/>
              </w:tabs>
              <w:suppressAutoHyphens/>
            </w:pPr>
            <w:r w:rsidRPr="003C2F5E">
              <w:t>Numbering Resource Optimization</w:t>
            </w:r>
          </w:p>
          <w:p w:rsidR="00F60EFE" w:rsidRPr="003C2F5E" w:rsidRDefault="00F60EFE" w:rsidP="006036FB">
            <w:pPr>
              <w:tabs>
                <w:tab w:val="center" w:pos="4680"/>
              </w:tabs>
              <w:suppressAutoHyphens/>
            </w:pPr>
          </w:p>
          <w:p w:rsidR="00F60EFE" w:rsidRPr="003C2F5E" w:rsidRDefault="00F60EFE" w:rsidP="006036FB">
            <w:pPr>
              <w:tabs>
                <w:tab w:val="center" w:pos="4680"/>
              </w:tabs>
              <w:suppressAutoHyphens/>
            </w:pPr>
            <w:r w:rsidRPr="003C2F5E">
              <w:t xml:space="preserve">Petition of Vonage Holdings Corp. for Limited Waiver of Section 52.15(g)(2)(i) of the Commission’s Rules Regarding Access to Numbering Resources </w:t>
            </w:r>
          </w:p>
          <w:p w:rsidR="00F60EFE" w:rsidRPr="003C2F5E" w:rsidRDefault="00F60EFE" w:rsidP="006036FB">
            <w:pPr>
              <w:rPr>
                <w:caps/>
                <w:noProof/>
              </w:rPr>
            </w:pPr>
          </w:p>
        </w:tc>
        <w:tc>
          <w:tcPr>
            <w:tcW w:w="720" w:type="dxa"/>
          </w:tcPr>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pPr>
              <w:rPr>
                <w:b/>
              </w:rPr>
            </w:pPr>
            <w:r w:rsidRPr="003C2F5E">
              <w:rPr>
                <w:b/>
              </w:rPr>
              <w:t>)</w:t>
            </w:r>
          </w:p>
          <w:p w:rsidR="00F60EFE" w:rsidRPr="003C2F5E" w:rsidRDefault="00F60EFE" w:rsidP="006036FB">
            <w:r w:rsidRPr="003C2F5E">
              <w:rPr>
                <w:b/>
              </w:rPr>
              <w:t>)</w:t>
            </w:r>
          </w:p>
        </w:tc>
        <w:tc>
          <w:tcPr>
            <w:tcW w:w="4230" w:type="dxa"/>
          </w:tcPr>
          <w:p w:rsidR="00F60EFE" w:rsidRPr="003C2F5E" w:rsidRDefault="00F60EFE" w:rsidP="006036FB"/>
          <w:p w:rsidR="00F60EFE" w:rsidRPr="003C2F5E" w:rsidRDefault="00F60EFE" w:rsidP="006036FB"/>
          <w:p w:rsidR="00F60EFE" w:rsidRDefault="00F60EFE" w:rsidP="006036FB">
            <w:r w:rsidRPr="003C2F5E">
              <w:t>WC Docket No. 13-</w:t>
            </w:r>
            <w:r>
              <w:t>97</w:t>
            </w:r>
          </w:p>
          <w:p w:rsidR="00F60EFE" w:rsidRDefault="00F60EFE" w:rsidP="006036FB"/>
          <w:p w:rsidR="00F60EFE" w:rsidRPr="003C2F5E" w:rsidRDefault="00F60EFE" w:rsidP="006036FB">
            <w:r w:rsidRPr="003C2F5E">
              <w:t>WC Docket No. 04-36</w:t>
            </w:r>
          </w:p>
          <w:p w:rsidR="00F60EFE" w:rsidRPr="003C2F5E" w:rsidRDefault="00F60EFE" w:rsidP="006036FB"/>
          <w:p w:rsidR="00F60EFE" w:rsidRPr="003C2F5E" w:rsidRDefault="00F60EFE" w:rsidP="006036FB">
            <w:r w:rsidRPr="003C2F5E">
              <w:t>WC Docket No. 07-243</w:t>
            </w:r>
          </w:p>
          <w:p w:rsidR="00F60EFE" w:rsidRPr="003C2F5E" w:rsidRDefault="00F60EFE" w:rsidP="006036FB"/>
          <w:p w:rsidR="00F60EFE" w:rsidRPr="003C2F5E" w:rsidRDefault="00F60EFE" w:rsidP="006036FB"/>
          <w:p w:rsidR="00F60EFE" w:rsidRPr="003C2F5E" w:rsidRDefault="00F60EFE" w:rsidP="006036FB">
            <w:r w:rsidRPr="003C2F5E">
              <w:t>CC Docket No. 95-116</w:t>
            </w:r>
          </w:p>
          <w:p w:rsidR="00F60EFE" w:rsidRPr="003C2F5E" w:rsidRDefault="00F60EFE" w:rsidP="006036FB"/>
          <w:p w:rsidR="00F60EFE" w:rsidRPr="003C2F5E" w:rsidRDefault="00F60EFE" w:rsidP="006036FB">
            <w:r w:rsidRPr="003C2F5E">
              <w:t>CC Docket No. 01-92</w:t>
            </w:r>
          </w:p>
          <w:p w:rsidR="00F60EFE" w:rsidRPr="003C2F5E" w:rsidRDefault="00F60EFE" w:rsidP="006036FB"/>
          <w:p w:rsidR="00F60EFE" w:rsidRPr="003C2F5E" w:rsidRDefault="00F60EFE" w:rsidP="006036FB"/>
          <w:p w:rsidR="00F60EFE" w:rsidRPr="003C2F5E" w:rsidRDefault="00F60EFE" w:rsidP="006036FB">
            <w:r w:rsidRPr="003C2F5E">
              <w:t>WC Docket No. 10-90</w:t>
            </w:r>
          </w:p>
          <w:p w:rsidR="00F60EFE" w:rsidRPr="003C2F5E" w:rsidRDefault="00F60EFE" w:rsidP="006036FB"/>
          <w:p w:rsidR="00F60EFE" w:rsidRPr="00587145" w:rsidRDefault="00F60EFE" w:rsidP="006036FB">
            <w:r w:rsidRPr="00587145">
              <w:t>CC Docket No. 99-200</w:t>
            </w:r>
          </w:p>
          <w:p w:rsidR="00F60EFE" w:rsidRPr="003C2F5E" w:rsidRDefault="00F60EFE" w:rsidP="006036FB"/>
          <w:p w:rsidR="00F60EFE" w:rsidRPr="003C2F5E" w:rsidRDefault="00F60EFE" w:rsidP="006036FB"/>
          <w:p w:rsidR="00F60EFE" w:rsidRPr="003C2F5E" w:rsidRDefault="00F60EFE" w:rsidP="006036FB"/>
          <w:p w:rsidR="00F60EFE" w:rsidRPr="003C2F5E" w:rsidRDefault="00F60EFE" w:rsidP="006036FB"/>
          <w:p w:rsidR="00F60EFE" w:rsidRPr="003C2F5E" w:rsidRDefault="00F60EFE" w:rsidP="006036FB"/>
          <w:p w:rsidR="00F60EFE" w:rsidRPr="003C2F5E" w:rsidRDefault="00F60EFE" w:rsidP="009C6979">
            <w:pPr>
              <w:pStyle w:val="TOC2"/>
              <w:widowControl/>
              <w:ind w:left="0" w:firstLine="0"/>
            </w:pPr>
          </w:p>
        </w:tc>
      </w:tr>
    </w:tbl>
    <w:p w:rsidR="00F60EFE" w:rsidRPr="003C2F5E" w:rsidRDefault="00F60EFE" w:rsidP="006036FB">
      <w:pPr>
        <w:pStyle w:val="Caption"/>
        <w:jc w:val="center"/>
      </w:pPr>
      <w:r w:rsidRPr="003C2F5E">
        <w:t xml:space="preserve">ORDER </w:t>
      </w:r>
    </w:p>
    <w:p w:rsidR="00F60EFE" w:rsidRPr="00627743" w:rsidRDefault="00F60EFE" w:rsidP="006036FB">
      <w:pPr>
        <w:tabs>
          <w:tab w:val="right" w:pos="9360"/>
        </w:tabs>
        <w:rPr>
          <w:b/>
        </w:rPr>
      </w:pPr>
      <w:r w:rsidRPr="00627743">
        <w:rPr>
          <w:b/>
        </w:rPr>
        <w:t xml:space="preserve">Adopted:  </w:t>
      </w:r>
      <w:r>
        <w:rPr>
          <w:b/>
        </w:rPr>
        <w:t xml:space="preserve">June </w:t>
      </w:r>
      <w:r w:rsidR="0096356E">
        <w:rPr>
          <w:b/>
        </w:rPr>
        <w:t>17</w:t>
      </w:r>
      <w:r>
        <w:rPr>
          <w:b/>
        </w:rPr>
        <w:t>, 2013</w:t>
      </w:r>
      <w:r>
        <w:rPr>
          <w:b/>
        </w:rPr>
        <w:tab/>
        <w:t xml:space="preserve">Released:  June </w:t>
      </w:r>
      <w:r w:rsidR="0096356E">
        <w:rPr>
          <w:b/>
        </w:rPr>
        <w:t>17</w:t>
      </w:r>
      <w:r>
        <w:rPr>
          <w:b/>
        </w:rPr>
        <w:t>, 2013</w:t>
      </w:r>
    </w:p>
    <w:p w:rsidR="00F60EFE" w:rsidRDefault="00F60EFE" w:rsidP="00711EF3">
      <w:pPr>
        <w:rPr>
          <w:b/>
        </w:rPr>
      </w:pPr>
    </w:p>
    <w:p w:rsidR="00EE0BAD" w:rsidRPr="00627743" w:rsidRDefault="00EE0BAD" w:rsidP="006036FB">
      <w:pPr>
        <w:rPr>
          <w:b/>
        </w:rPr>
      </w:pPr>
    </w:p>
    <w:p w:rsidR="00592180" w:rsidRDefault="00F60EFE" w:rsidP="006036FB">
      <w:r w:rsidRPr="003C2F5E">
        <w:t>By the C</w:t>
      </w:r>
      <w:r w:rsidR="00840586">
        <w:t>hief, Wireline Competition Bureau</w:t>
      </w:r>
      <w:r w:rsidRPr="003C2F5E">
        <w:t>:</w:t>
      </w:r>
      <w:r>
        <w:t xml:space="preserve">  </w:t>
      </w:r>
    </w:p>
    <w:p w:rsidR="00470E3D" w:rsidRDefault="00470E3D" w:rsidP="006036FB"/>
    <w:p w:rsidR="00067A6F" w:rsidRDefault="00067A6F" w:rsidP="009C6979">
      <w:pPr>
        <w:pStyle w:val="Heading1"/>
        <w:widowControl/>
      </w:pPr>
      <w:bookmarkStart w:id="1" w:name="_Toc336255592"/>
      <w:bookmarkStart w:id="2" w:name="_Toc353451334"/>
      <w:bookmarkStart w:id="3" w:name="_Toc353896903"/>
      <w:bookmarkStart w:id="4" w:name="_Toc353986528"/>
      <w:bookmarkStart w:id="5" w:name="_Toc353986631"/>
      <w:r w:rsidRPr="00587145">
        <w:t>INTRODUCTION</w:t>
      </w:r>
      <w:bookmarkEnd w:id="1"/>
      <w:bookmarkEnd w:id="2"/>
      <w:bookmarkEnd w:id="3"/>
      <w:bookmarkEnd w:id="4"/>
      <w:bookmarkEnd w:id="5"/>
    </w:p>
    <w:p w:rsidR="00EE0BAD" w:rsidRPr="005D2DB6" w:rsidRDefault="00067A6F" w:rsidP="009C6979">
      <w:pPr>
        <w:pStyle w:val="ParaNum"/>
        <w:widowControl/>
        <w:jc w:val="left"/>
        <w:rPr>
          <w:b/>
          <w:caps/>
        </w:rPr>
      </w:pPr>
      <w:r>
        <w:t xml:space="preserve">In this order, </w:t>
      </w:r>
      <w:r w:rsidR="0027545B">
        <w:t xml:space="preserve">the Wireline Competition Bureau (Bureau) addresses </w:t>
      </w:r>
      <w:r w:rsidR="00DF6B51">
        <w:t>proposals to participate</w:t>
      </w:r>
      <w:r w:rsidR="009A7211">
        <w:t xml:space="preserve"> </w:t>
      </w:r>
      <w:r w:rsidR="00DF6B51">
        <w:t xml:space="preserve">in a limited technical trial </w:t>
      </w:r>
      <w:r w:rsidR="009A7211">
        <w:t>for</w:t>
      </w:r>
      <w:r w:rsidR="003F2DD5">
        <w:t xml:space="preserve"> certain </w:t>
      </w:r>
      <w:r w:rsidR="00103A13">
        <w:t>interconnected VoIP</w:t>
      </w:r>
      <w:r w:rsidR="003F2DD5">
        <w:t xml:space="preserve"> providers</w:t>
      </w:r>
      <w:r w:rsidR="00B03767">
        <w:t xml:space="preserve"> </w:t>
      </w:r>
      <w:r w:rsidR="003F2DD5">
        <w:t xml:space="preserve">to obtain </w:t>
      </w:r>
      <w:r w:rsidR="00DF6B51">
        <w:t xml:space="preserve">direct access to </w:t>
      </w:r>
      <w:r w:rsidR="003F2DD5">
        <w:t xml:space="preserve">telephone </w:t>
      </w:r>
      <w:r w:rsidR="00DF6B51">
        <w:t>numbers</w:t>
      </w:r>
      <w:r w:rsidR="003F2DD5">
        <w:t xml:space="preserve"> for their customers</w:t>
      </w:r>
      <w:r w:rsidR="00DF6B51">
        <w:t xml:space="preserve">.  </w:t>
      </w:r>
      <w:r w:rsidR="00103A13">
        <w:t>W</w:t>
      </w:r>
      <w:r w:rsidR="00EE1407">
        <w:t xml:space="preserve">e </w:t>
      </w:r>
      <w:r w:rsidR="00E66029">
        <w:t xml:space="preserve">conclude that </w:t>
      </w:r>
      <w:r w:rsidR="0077051B">
        <w:t xml:space="preserve">the proposals submitted by </w:t>
      </w:r>
      <w:r w:rsidR="00E66029">
        <w:t>Vonage Holdings Corp. (Vonage), SmartEdgeNet</w:t>
      </w:r>
      <w:r w:rsidR="0077051B">
        <w:t>, LLC (S</w:t>
      </w:r>
      <w:r w:rsidR="009033E2">
        <w:t>martEdgeNet</w:t>
      </w:r>
      <w:r w:rsidR="0077051B">
        <w:t xml:space="preserve">), WilTel Communications, LLC (WilTel), </w:t>
      </w:r>
      <w:r w:rsidR="007D5ADB">
        <w:t>IntelePeer, Inc. (InteleP</w:t>
      </w:r>
      <w:r w:rsidR="0077051B">
        <w:t>eer)</w:t>
      </w:r>
      <w:r w:rsidR="000C3501">
        <w:t>,</w:t>
      </w:r>
      <w:r w:rsidR="0077051B">
        <w:t xml:space="preserve"> and Millicorp</w:t>
      </w:r>
      <w:r w:rsidR="00E66029">
        <w:t xml:space="preserve"> </w:t>
      </w:r>
      <w:r w:rsidR="000C3501">
        <w:t>meet</w:t>
      </w:r>
      <w:r w:rsidR="0077051B">
        <w:t xml:space="preserve"> the </w:t>
      </w:r>
      <w:r w:rsidR="00AD1B19">
        <w:t xml:space="preserve">Commission’s requirements </w:t>
      </w:r>
      <w:r w:rsidR="0077051B">
        <w:t xml:space="preserve">to participate in </w:t>
      </w:r>
      <w:r w:rsidR="00D56C10">
        <w:t xml:space="preserve">a limited </w:t>
      </w:r>
      <w:r w:rsidR="000C3501">
        <w:t>d</w:t>
      </w:r>
      <w:r w:rsidR="0077051B">
        <w:t xml:space="preserve">irect </w:t>
      </w:r>
      <w:r w:rsidR="000C3501">
        <w:t>a</w:t>
      </w:r>
      <w:r w:rsidR="0077051B">
        <w:t xml:space="preserve">ccess </w:t>
      </w:r>
      <w:r w:rsidR="00D56C10">
        <w:t xml:space="preserve">to numbers </w:t>
      </w:r>
      <w:r w:rsidR="0077051B">
        <w:t xml:space="preserve">trial.  </w:t>
      </w:r>
      <w:r w:rsidR="00103A13">
        <w:t>W</w:t>
      </w:r>
      <w:r w:rsidR="0077051B">
        <w:t xml:space="preserve">e conclude </w:t>
      </w:r>
      <w:r w:rsidR="007977E3">
        <w:t xml:space="preserve">that </w:t>
      </w:r>
      <w:r w:rsidR="0077051B">
        <w:t>Fractel, LLC</w:t>
      </w:r>
      <w:r w:rsidR="00AD1B19">
        <w:t xml:space="preserve"> (Fractel) </w:t>
      </w:r>
      <w:r w:rsidR="000F51A5">
        <w:t xml:space="preserve">failed to demonstrate that it is entitled </w:t>
      </w:r>
      <w:r w:rsidR="00294902">
        <w:t>to participate in the trial because it does not meet the eligibility requirements set forth in</w:t>
      </w:r>
      <w:r w:rsidR="00AD1B19">
        <w:t xml:space="preserve"> the Commission’s Order.  </w:t>
      </w:r>
      <w:r w:rsidR="0077051B">
        <w:t xml:space="preserve">Finally, we </w:t>
      </w:r>
      <w:r w:rsidR="00B85286">
        <w:t xml:space="preserve">decline to </w:t>
      </w:r>
      <w:r w:rsidR="000947C2">
        <w:t xml:space="preserve">extend </w:t>
      </w:r>
      <w:r w:rsidR="00AD1B19">
        <w:t>the start date for the trial</w:t>
      </w:r>
      <w:r w:rsidR="00B55B8F">
        <w:t xml:space="preserve"> </w:t>
      </w:r>
      <w:r w:rsidR="00AD1B19">
        <w:t>as requested by Bandwidth.com, Inc. (Bandwidth.com)</w:t>
      </w:r>
      <w:r w:rsidR="008457FA">
        <w:t xml:space="preserve">. </w:t>
      </w:r>
    </w:p>
    <w:p w:rsidR="0027545B" w:rsidRDefault="0027545B" w:rsidP="009C6979">
      <w:pPr>
        <w:pStyle w:val="Heading1"/>
        <w:widowControl/>
      </w:pPr>
      <w:r>
        <w:t>Background</w:t>
      </w:r>
    </w:p>
    <w:p w:rsidR="00AD3432" w:rsidRDefault="0027545B" w:rsidP="009C6979">
      <w:pPr>
        <w:pStyle w:val="ParaNum"/>
        <w:widowControl/>
        <w:jc w:val="left"/>
        <w:rPr>
          <w:iCs/>
        </w:rPr>
      </w:pPr>
      <w:r>
        <w:t xml:space="preserve">On April 18, 2013, </w:t>
      </w:r>
      <w:r w:rsidR="00850D03">
        <w:t xml:space="preserve">the Commission released a Notice of Proposed Rulemaking, Order and Notice of Inquiry which, </w:t>
      </w:r>
      <w:r w:rsidR="00850D03">
        <w:rPr>
          <w:i/>
        </w:rPr>
        <w:t>inter alia</w:t>
      </w:r>
      <w:r w:rsidR="00850D03">
        <w:t>, establishe</w:t>
      </w:r>
      <w:r w:rsidR="00CB32C0">
        <w:t>d</w:t>
      </w:r>
      <w:r w:rsidR="00850D03">
        <w:t xml:space="preserve"> a six-month technical trial of direct access to telephone numbers by granting a conditional waiver to Vonage and other interconnected VoIP providers </w:t>
      </w:r>
      <w:r w:rsidR="00850D03">
        <w:lastRenderedPageBreak/>
        <w:t>that have pending petitions for waiver of section 52.15(g)(2)(i) of the Commission’s rules</w:t>
      </w:r>
      <w:r w:rsidR="000C3501">
        <w:rPr>
          <w:rStyle w:val="FootnoteReference"/>
        </w:rPr>
        <w:footnoteReference w:id="2"/>
      </w:r>
      <w:r w:rsidR="00850D03">
        <w:t xml:space="preserve"> and that meet the terms and conditions outlined in the </w:t>
      </w:r>
      <w:r w:rsidR="00263BCC">
        <w:rPr>
          <w:i/>
        </w:rPr>
        <w:t xml:space="preserve">Direct Access </w:t>
      </w:r>
      <w:r w:rsidR="00850D03">
        <w:rPr>
          <w:i/>
          <w:iCs/>
        </w:rPr>
        <w:t>Order.</w:t>
      </w:r>
      <w:r w:rsidR="001F630A">
        <w:rPr>
          <w:rStyle w:val="FootnoteReference"/>
          <w:color w:val="000000"/>
        </w:rPr>
        <w:footnoteReference w:id="3"/>
      </w:r>
      <w:r w:rsidR="00850D03">
        <w:rPr>
          <w:iCs/>
        </w:rPr>
        <w:t> </w:t>
      </w:r>
      <w:r w:rsidR="003F2DD5">
        <w:rPr>
          <w:iCs/>
        </w:rPr>
        <w:t xml:space="preserve"> </w:t>
      </w:r>
      <w:r w:rsidR="00915D25">
        <w:rPr>
          <w:iCs/>
        </w:rPr>
        <w:t xml:space="preserve">The Commission </w:t>
      </w:r>
      <w:r w:rsidR="00103A13">
        <w:rPr>
          <w:iCs/>
        </w:rPr>
        <w:t>explained that it would</w:t>
      </w:r>
      <w:r w:rsidR="00915D25">
        <w:rPr>
          <w:iCs/>
        </w:rPr>
        <w:t xml:space="preserve"> use th</w:t>
      </w:r>
      <w:r w:rsidR="00B03767">
        <w:rPr>
          <w:iCs/>
        </w:rPr>
        <w:t>is</w:t>
      </w:r>
      <w:r w:rsidR="00915D25">
        <w:rPr>
          <w:iCs/>
        </w:rPr>
        <w:t xml:space="preserve"> trial to t</w:t>
      </w:r>
      <w:r w:rsidR="00915D25" w:rsidRPr="00892BCE">
        <w:t>est whether giving interconnected VoIP providers direct access to numbers w</w:t>
      </w:r>
      <w:r w:rsidR="00103A13">
        <w:t>ould</w:t>
      </w:r>
      <w:r w:rsidR="00915D25" w:rsidRPr="00892BCE">
        <w:t xml:space="preserve"> raise issues relating to</w:t>
      </w:r>
      <w:r w:rsidR="00103A13">
        <w:t>, for example,</w:t>
      </w:r>
      <w:r w:rsidR="00915D25" w:rsidRPr="00892BCE">
        <w:t xml:space="preserve"> </w:t>
      </w:r>
      <w:r w:rsidR="00915D25">
        <w:t xml:space="preserve">number exhaust, number porting, </w:t>
      </w:r>
      <w:r w:rsidR="00915D25" w:rsidRPr="00892BCE">
        <w:t>VoIP interconnection, or intercarrier compensation, and if so, how those issues m</w:t>
      </w:r>
      <w:r w:rsidR="00103A13">
        <w:t>ight</w:t>
      </w:r>
      <w:r w:rsidR="00915D25" w:rsidRPr="00892BCE">
        <w:t xml:space="preserve"> be efficiently addressed.</w:t>
      </w:r>
      <w:r w:rsidR="00915D25">
        <w:rPr>
          <w:rStyle w:val="FootnoteReference"/>
          <w:iCs/>
        </w:rPr>
        <w:footnoteReference w:id="4"/>
      </w:r>
      <w:r w:rsidR="00915D25">
        <w:t xml:space="preserve">  </w:t>
      </w:r>
      <w:r w:rsidR="00DF4EDC">
        <w:t xml:space="preserve">The </w:t>
      </w:r>
      <w:r w:rsidR="00DF4EDC" w:rsidRPr="00BA248F">
        <w:t>Order</w:t>
      </w:r>
      <w:r w:rsidR="00DF4EDC">
        <w:rPr>
          <w:i/>
        </w:rPr>
        <w:t xml:space="preserve"> </w:t>
      </w:r>
      <w:r w:rsidR="00DF4EDC">
        <w:t>requires t</w:t>
      </w:r>
      <w:r w:rsidR="00915D25">
        <w:t xml:space="preserve">rial participants to file regular reports throughout the six-month trial, and state commissions and other interested parties </w:t>
      </w:r>
      <w:r w:rsidR="00DF4EDC">
        <w:t xml:space="preserve">will </w:t>
      </w:r>
      <w:r w:rsidR="00915D25">
        <w:t>have an opportunity to comment on these reports</w:t>
      </w:r>
      <w:r w:rsidR="000F51A5">
        <w:t xml:space="preserve"> </w:t>
      </w:r>
      <w:r w:rsidR="007D5ADB">
        <w:t>throughout</w:t>
      </w:r>
      <w:r w:rsidR="00294902">
        <w:t xml:space="preserve"> the trial </w:t>
      </w:r>
      <w:r w:rsidR="000F51A5">
        <w:t xml:space="preserve">as they are </w:t>
      </w:r>
      <w:r w:rsidR="00294902">
        <w:t>filed</w:t>
      </w:r>
      <w:r w:rsidR="00915D25">
        <w:t>.</w:t>
      </w:r>
      <w:r w:rsidR="00915D25">
        <w:rPr>
          <w:rStyle w:val="FootnoteReference"/>
        </w:rPr>
        <w:footnoteReference w:id="5"/>
      </w:r>
      <w:r w:rsidR="00915D25">
        <w:t xml:space="preserve">  </w:t>
      </w:r>
      <w:r w:rsidR="003F2DD5">
        <w:t xml:space="preserve">The information gathered from the technical trial </w:t>
      </w:r>
      <w:r w:rsidR="00DF4EDC">
        <w:t xml:space="preserve">will </w:t>
      </w:r>
      <w:r w:rsidR="003F2DD5">
        <w:t xml:space="preserve">inform the Commission’s broader rulemaking on direct access to numbering by </w:t>
      </w:r>
      <w:r w:rsidR="0056387E">
        <w:t>entities</w:t>
      </w:r>
      <w:r w:rsidR="003F2DD5">
        <w:t xml:space="preserve"> that have not been classified as telecommunications carriers.</w:t>
      </w:r>
    </w:p>
    <w:p w:rsidR="0027545B" w:rsidRDefault="00A65CFE" w:rsidP="009C6979">
      <w:pPr>
        <w:pStyle w:val="ParaNum"/>
        <w:widowControl/>
        <w:jc w:val="left"/>
      </w:pPr>
      <w:r>
        <w:rPr>
          <w:iCs/>
        </w:rPr>
        <w:t>Th</w:t>
      </w:r>
      <w:r w:rsidR="00B03767">
        <w:rPr>
          <w:iCs/>
        </w:rPr>
        <w:t xml:space="preserve">e </w:t>
      </w:r>
      <w:r w:rsidR="00B03767" w:rsidRPr="001609E3">
        <w:rPr>
          <w:i/>
          <w:iCs/>
        </w:rPr>
        <w:t>Direct Access Order</w:t>
      </w:r>
      <w:r>
        <w:rPr>
          <w:iCs/>
        </w:rPr>
        <w:t xml:space="preserve"> </w:t>
      </w:r>
      <w:r w:rsidR="00E02AA6">
        <w:rPr>
          <w:iCs/>
        </w:rPr>
        <w:t>specified</w:t>
      </w:r>
      <w:r>
        <w:rPr>
          <w:iCs/>
        </w:rPr>
        <w:t xml:space="preserve"> that entities eligible to participate in the trial had </w:t>
      </w:r>
      <w:r w:rsidR="00915D25">
        <w:rPr>
          <w:iCs/>
        </w:rPr>
        <w:t xml:space="preserve">to </w:t>
      </w:r>
      <w:r w:rsidR="00850D03" w:rsidRPr="005E2209">
        <w:rPr>
          <w:iCs/>
        </w:rPr>
        <w:t>subm</w:t>
      </w:r>
      <w:r w:rsidR="00915D25">
        <w:rPr>
          <w:iCs/>
        </w:rPr>
        <w:t>it</w:t>
      </w:r>
      <w:r w:rsidR="00850D03" w:rsidRPr="005E2209">
        <w:rPr>
          <w:iCs/>
        </w:rPr>
        <w:t xml:space="preserve"> </w:t>
      </w:r>
      <w:r w:rsidR="00331E71" w:rsidRPr="005E2209">
        <w:rPr>
          <w:iCs/>
        </w:rPr>
        <w:t xml:space="preserve">to </w:t>
      </w:r>
      <w:r w:rsidR="00331E71">
        <w:t>the Wireline Competition Bureau and each relevant state commission</w:t>
      </w:r>
      <w:r w:rsidR="00331E71" w:rsidRPr="005E2209">
        <w:rPr>
          <w:iCs/>
        </w:rPr>
        <w:t xml:space="preserve"> </w:t>
      </w:r>
      <w:r w:rsidR="00850D03" w:rsidRPr="005E2209">
        <w:rPr>
          <w:iCs/>
        </w:rPr>
        <w:t>a detailed numbering proposal within 30 days of the release of the</w:t>
      </w:r>
      <w:r w:rsidR="00B03767">
        <w:rPr>
          <w:iCs/>
        </w:rPr>
        <w:t xml:space="preserve"> Order</w:t>
      </w:r>
      <w:r w:rsidR="00915D25">
        <w:t>.</w:t>
      </w:r>
      <w:r w:rsidR="00915D25">
        <w:rPr>
          <w:rStyle w:val="FootnoteReference"/>
        </w:rPr>
        <w:footnoteReference w:id="6"/>
      </w:r>
      <w:r w:rsidR="00915D25">
        <w:t xml:space="preserve">  </w:t>
      </w:r>
      <w:r>
        <w:t>These p</w:t>
      </w:r>
      <w:r w:rsidR="005E2209" w:rsidRPr="005E2209">
        <w:rPr>
          <w:iCs/>
        </w:rPr>
        <w:t xml:space="preserve">roposals </w:t>
      </w:r>
      <w:r w:rsidR="0027545B">
        <w:t xml:space="preserve">must (1) include a certification that </w:t>
      </w:r>
      <w:r w:rsidR="005E2209">
        <w:t xml:space="preserve">the trial participant </w:t>
      </w:r>
      <w:r w:rsidR="0027545B">
        <w:t>will comply with the terms and conditions of th</w:t>
      </w:r>
      <w:r w:rsidR="00B03767">
        <w:t>e</w:t>
      </w:r>
      <w:r w:rsidR="0027545B">
        <w:t xml:space="preserve"> waiver, (2) identify </w:t>
      </w:r>
      <w:r w:rsidR="0027545B" w:rsidRPr="00D01D95">
        <w:t xml:space="preserve">the rate centers or LATAs in which </w:t>
      </w:r>
      <w:r w:rsidR="005E2209">
        <w:t>the participant</w:t>
      </w:r>
      <w:r w:rsidR="0027545B" w:rsidRPr="00D01D95">
        <w:t xml:space="preserve"> wishes to have </w:t>
      </w:r>
      <w:r w:rsidR="0027545B">
        <w:t xml:space="preserve">numbers </w:t>
      </w:r>
      <w:r w:rsidR="0027545B" w:rsidRPr="00D01D95">
        <w:t xml:space="preserve">directly assigned to it, </w:t>
      </w:r>
      <w:r w:rsidR="00331E71">
        <w:t xml:space="preserve">noting </w:t>
      </w:r>
      <w:r w:rsidR="0027545B" w:rsidRPr="00D01D95">
        <w:t>how many numbers in each rate center or LATA it proposes to receive as new numbers and how many it proposes to port in from existing or new customers</w:t>
      </w:r>
      <w:r w:rsidR="0027545B">
        <w:t>,</w:t>
      </w:r>
      <w:r w:rsidR="0027545B" w:rsidRPr="00D01D95">
        <w:t xml:space="preserve"> </w:t>
      </w:r>
      <w:r w:rsidR="0027545B">
        <w:t>and (3) describe the</w:t>
      </w:r>
      <w:r w:rsidR="0027545B" w:rsidRPr="00D01D95">
        <w:t xml:space="preserve"> phase-in process to implement the trial.</w:t>
      </w:r>
      <w:r w:rsidR="00915D25">
        <w:rPr>
          <w:rStyle w:val="FootnoteReference"/>
        </w:rPr>
        <w:footnoteReference w:id="7"/>
      </w:r>
      <w:r w:rsidR="0027545B" w:rsidRPr="00D01D95">
        <w:t xml:space="preserve">  </w:t>
      </w:r>
      <w:r>
        <w:t>The Bureau must approve</w:t>
      </w:r>
      <w:r w:rsidR="0027545B" w:rsidRPr="00D01D95">
        <w:t xml:space="preserve"> </w:t>
      </w:r>
      <w:r w:rsidR="0027545B">
        <w:t>proposal</w:t>
      </w:r>
      <w:r>
        <w:t>s</w:t>
      </w:r>
      <w:r w:rsidR="0027545B">
        <w:t xml:space="preserve"> 30 days after filing unless the Bureau finds that the proposal does not comply with the requirements of th</w:t>
      </w:r>
      <w:r w:rsidR="0056387E">
        <w:t xml:space="preserve">e </w:t>
      </w:r>
      <w:r w:rsidR="0056387E">
        <w:rPr>
          <w:i/>
        </w:rPr>
        <w:t>Direct Access Order</w:t>
      </w:r>
      <w:r w:rsidR="0027545B">
        <w:t>.</w:t>
      </w:r>
      <w:r w:rsidR="00915D25">
        <w:rPr>
          <w:rStyle w:val="FootnoteReference"/>
        </w:rPr>
        <w:footnoteReference w:id="8"/>
      </w:r>
      <w:r w:rsidR="0027545B">
        <w:t xml:space="preserve">  </w:t>
      </w:r>
      <w:r w:rsidR="00B03767">
        <w:t>A p</w:t>
      </w:r>
      <w:r w:rsidR="00915D25">
        <w:t>articipant</w:t>
      </w:r>
      <w:r w:rsidR="0027545B">
        <w:t xml:space="preserve"> may not request or obtain direct access to numbers until its proposal is approved.</w:t>
      </w:r>
      <w:r w:rsidR="00915D25">
        <w:rPr>
          <w:rStyle w:val="FootnoteReference"/>
        </w:rPr>
        <w:footnoteReference w:id="9"/>
      </w:r>
    </w:p>
    <w:p w:rsidR="008E32E5" w:rsidRPr="008E32E5" w:rsidRDefault="005331FF" w:rsidP="009C6979">
      <w:pPr>
        <w:pStyle w:val="ParaNum"/>
        <w:widowControl/>
        <w:jc w:val="left"/>
      </w:pPr>
      <w:r>
        <w:rPr>
          <w:iCs/>
        </w:rPr>
        <w:t xml:space="preserve">The deadline to submit proposals for the trial was May 20, </w:t>
      </w:r>
      <w:r w:rsidR="00DF4EDC">
        <w:rPr>
          <w:iCs/>
        </w:rPr>
        <w:t>2013</w:t>
      </w:r>
      <w:r>
        <w:rPr>
          <w:iCs/>
        </w:rPr>
        <w:t xml:space="preserve">.  </w:t>
      </w:r>
      <w:r w:rsidR="008E32E5" w:rsidRPr="008E32E5">
        <w:rPr>
          <w:iCs/>
        </w:rPr>
        <w:t xml:space="preserve">On May 17, 2013, Vonage and SmartEdgeNet submitted </w:t>
      </w:r>
      <w:r w:rsidR="007F687E">
        <w:rPr>
          <w:iCs/>
        </w:rPr>
        <w:t xml:space="preserve">their </w:t>
      </w:r>
      <w:r w:rsidR="008E32E5" w:rsidRPr="008E32E5">
        <w:rPr>
          <w:iCs/>
        </w:rPr>
        <w:t>proposals to participate in the trial</w:t>
      </w:r>
      <w:r w:rsidR="00331E71">
        <w:rPr>
          <w:iCs/>
        </w:rPr>
        <w:t>,</w:t>
      </w:r>
      <w:r w:rsidR="008E32E5">
        <w:rPr>
          <w:rStyle w:val="FootnoteReference"/>
          <w:iCs/>
        </w:rPr>
        <w:footnoteReference w:id="10"/>
      </w:r>
      <w:r w:rsidR="008E32E5" w:rsidRPr="008E32E5">
        <w:rPr>
          <w:iCs/>
        </w:rPr>
        <w:t xml:space="preserve">  </w:t>
      </w:r>
      <w:r w:rsidR="0056387E">
        <w:rPr>
          <w:iCs/>
        </w:rPr>
        <w:t xml:space="preserve">and </w:t>
      </w:r>
      <w:r w:rsidR="007D5ADB">
        <w:rPr>
          <w:iCs/>
        </w:rPr>
        <w:t>WilTel and InteleP</w:t>
      </w:r>
      <w:r w:rsidR="00331E71" w:rsidRPr="008E32E5">
        <w:rPr>
          <w:iCs/>
        </w:rPr>
        <w:t>eer</w:t>
      </w:r>
      <w:r w:rsidR="00331E71">
        <w:rPr>
          <w:iCs/>
        </w:rPr>
        <w:t xml:space="preserve"> submitted their</w:t>
      </w:r>
      <w:r w:rsidR="0056387E">
        <w:rPr>
          <w:iCs/>
        </w:rPr>
        <w:t xml:space="preserve"> proposals</w:t>
      </w:r>
      <w:r w:rsidR="00331E71">
        <w:rPr>
          <w:iCs/>
        </w:rPr>
        <w:t xml:space="preserve"> on</w:t>
      </w:r>
      <w:r w:rsidR="00331E71" w:rsidRPr="008E32E5">
        <w:rPr>
          <w:iCs/>
        </w:rPr>
        <w:t xml:space="preserve"> </w:t>
      </w:r>
      <w:r w:rsidR="008E32E5" w:rsidRPr="008E32E5">
        <w:rPr>
          <w:iCs/>
        </w:rPr>
        <w:t>May 20, 2013.</w:t>
      </w:r>
      <w:r w:rsidR="008E32E5">
        <w:rPr>
          <w:rStyle w:val="FootnoteReference"/>
          <w:iCs/>
        </w:rPr>
        <w:footnoteReference w:id="11"/>
      </w:r>
      <w:r w:rsidR="008E32E5" w:rsidRPr="008E32E5">
        <w:rPr>
          <w:iCs/>
        </w:rPr>
        <w:t xml:space="preserve">  </w:t>
      </w:r>
      <w:r>
        <w:rPr>
          <w:iCs/>
        </w:rPr>
        <w:t xml:space="preserve">After the deadline, </w:t>
      </w:r>
      <w:r w:rsidR="008E32E5" w:rsidRPr="008E32E5">
        <w:rPr>
          <w:iCs/>
        </w:rPr>
        <w:t>on May 22, 2013, the Commission received a proposal from Millicorp to participate in the trial.</w:t>
      </w:r>
      <w:r w:rsidR="008E32E5">
        <w:rPr>
          <w:rStyle w:val="FootnoteReference"/>
          <w:iCs/>
        </w:rPr>
        <w:footnoteReference w:id="12"/>
      </w:r>
      <w:r w:rsidR="008E32E5" w:rsidRPr="008E32E5">
        <w:rPr>
          <w:iCs/>
        </w:rPr>
        <w:t xml:space="preserve">  </w:t>
      </w:r>
      <w:r w:rsidR="00EE1407">
        <w:t xml:space="preserve">In addition, on May 20, 2013, </w:t>
      </w:r>
      <w:r w:rsidR="00EE1407">
        <w:lastRenderedPageBreak/>
        <w:t>Fractel</w:t>
      </w:r>
      <w:r w:rsidR="008327D2">
        <w:t xml:space="preserve"> </w:t>
      </w:r>
      <w:r w:rsidR="00EE1407">
        <w:t xml:space="preserve">filed a petition for reconsideration of the </w:t>
      </w:r>
      <w:r w:rsidR="00EE1407" w:rsidRPr="008E32E5">
        <w:rPr>
          <w:i/>
        </w:rPr>
        <w:t>Direct Access Order</w:t>
      </w:r>
      <w:r>
        <w:rPr>
          <w:i/>
        </w:rPr>
        <w:t xml:space="preserve">, </w:t>
      </w:r>
      <w:r>
        <w:t>which include</w:t>
      </w:r>
      <w:r w:rsidR="008327D2">
        <w:t>s</w:t>
      </w:r>
      <w:r>
        <w:t xml:space="preserve"> a proposal </w:t>
      </w:r>
      <w:r w:rsidR="008327D2">
        <w:t xml:space="preserve">for it </w:t>
      </w:r>
      <w:r>
        <w:t>to participate in the tr</w:t>
      </w:r>
      <w:r w:rsidR="007F687E">
        <w:t>ia</w:t>
      </w:r>
      <w:r>
        <w:t>l</w:t>
      </w:r>
      <w:r w:rsidR="00EE1407" w:rsidRPr="008E32E5">
        <w:rPr>
          <w:i/>
        </w:rPr>
        <w:t>.</w:t>
      </w:r>
      <w:r w:rsidR="008327D2" w:rsidRPr="001609E3">
        <w:rPr>
          <w:rStyle w:val="FootnoteReference"/>
        </w:rPr>
        <w:footnoteReference w:id="13"/>
      </w:r>
      <w:r w:rsidR="009033E2" w:rsidRPr="008E32E5">
        <w:rPr>
          <w:i/>
        </w:rPr>
        <w:t xml:space="preserve"> </w:t>
      </w:r>
    </w:p>
    <w:p w:rsidR="00CB32C0" w:rsidRDefault="00CC0C49" w:rsidP="009C6979">
      <w:pPr>
        <w:pStyle w:val="ParaNum"/>
        <w:widowControl/>
        <w:jc w:val="left"/>
      </w:pPr>
      <w:r>
        <w:t xml:space="preserve">On May 21, </w:t>
      </w:r>
      <w:r w:rsidR="008327D2">
        <w:t xml:space="preserve">2013, </w:t>
      </w:r>
      <w:r>
        <w:t>Bandwidth.com, Inc. filed an opposition to the request for confidential tre</w:t>
      </w:r>
      <w:r w:rsidR="007D5ADB">
        <w:t>atment of the Vonage and InteleP</w:t>
      </w:r>
      <w:r>
        <w:t>eer proposals and asked the Commission to clarify that the 30</w:t>
      </w:r>
      <w:r w:rsidR="008327D2">
        <w:t>-</w:t>
      </w:r>
      <w:r>
        <w:t>day</w:t>
      </w:r>
      <w:r w:rsidR="008327D2">
        <w:t xml:space="preserve"> period for </w:t>
      </w:r>
      <w:r>
        <w:t>Bureau approval does not begin until participants file their plans publicly.</w:t>
      </w:r>
      <w:r w:rsidR="00A96FDB">
        <w:rPr>
          <w:rStyle w:val="FootnoteReference"/>
        </w:rPr>
        <w:footnoteReference w:id="14"/>
      </w:r>
      <w:r>
        <w:t xml:space="preserve">  </w:t>
      </w:r>
      <w:r w:rsidR="009033E2">
        <w:t xml:space="preserve">On </w:t>
      </w:r>
      <w:r w:rsidR="00D02EAB">
        <w:t>May 24</w:t>
      </w:r>
      <w:r w:rsidR="008327D2">
        <w:t xml:space="preserve"> and May 30, 2013,</w:t>
      </w:r>
      <w:r w:rsidR="0056387E">
        <w:t xml:space="preserve"> </w:t>
      </w:r>
      <w:r w:rsidR="009033E2">
        <w:t xml:space="preserve">Vonage </w:t>
      </w:r>
      <w:r w:rsidR="007D5ADB">
        <w:t>and InteleP</w:t>
      </w:r>
      <w:r w:rsidR="008327D2">
        <w:t xml:space="preserve">eer, respectively, </w:t>
      </w:r>
      <w:r w:rsidR="009033E2">
        <w:t xml:space="preserve">withdrew </w:t>
      </w:r>
      <w:r w:rsidR="008327D2">
        <w:t>their</w:t>
      </w:r>
      <w:r w:rsidR="00715699">
        <w:t xml:space="preserve"> request</w:t>
      </w:r>
      <w:r w:rsidR="008327D2">
        <w:t>s</w:t>
      </w:r>
      <w:r w:rsidR="00715699">
        <w:t xml:space="preserve"> for confidential treatment </w:t>
      </w:r>
      <w:r w:rsidR="007F687E">
        <w:t xml:space="preserve">and </w:t>
      </w:r>
      <w:r w:rsidR="00103A13">
        <w:t xml:space="preserve">publicly </w:t>
      </w:r>
      <w:r w:rsidR="007F687E">
        <w:t xml:space="preserve">filed </w:t>
      </w:r>
      <w:r w:rsidR="008327D2">
        <w:t xml:space="preserve">their </w:t>
      </w:r>
      <w:r w:rsidR="007F687E">
        <w:t>plan</w:t>
      </w:r>
      <w:r w:rsidR="008327D2">
        <w:t>s</w:t>
      </w:r>
      <w:r w:rsidR="007F687E">
        <w:t xml:space="preserve"> </w:t>
      </w:r>
      <w:r w:rsidR="0056387E">
        <w:t xml:space="preserve">in </w:t>
      </w:r>
      <w:r w:rsidR="00BC248B">
        <w:t>unredacted</w:t>
      </w:r>
      <w:r w:rsidR="0056387E">
        <w:t xml:space="preserve"> form</w:t>
      </w:r>
      <w:r w:rsidR="00D02EAB">
        <w:t>.</w:t>
      </w:r>
      <w:r w:rsidR="00D02EAB">
        <w:rPr>
          <w:rStyle w:val="FootnoteReference"/>
        </w:rPr>
        <w:footnoteReference w:id="15"/>
      </w:r>
      <w:r w:rsidR="00D02EAB">
        <w:t xml:space="preserve">  </w:t>
      </w:r>
      <w:r w:rsidR="008E32E5">
        <w:t xml:space="preserve"> </w:t>
      </w:r>
    </w:p>
    <w:p w:rsidR="002B283F" w:rsidRDefault="002B283F" w:rsidP="009C6979">
      <w:pPr>
        <w:pStyle w:val="Heading1"/>
        <w:widowControl/>
      </w:pPr>
      <w:r>
        <w:t>discussion</w:t>
      </w:r>
    </w:p>
    <w:p w:rsidR="00103A13" w:rsidRPr="00470E3D" w:rsidRDefault="002B283F" w:rsidP="009C6979">
      <w:pPr>
        <w:pStyle w:val="ParaNum"/>
        <w:widowControl/>
        <w:jc w:val="left"/>
        <w:rPr>
          <w:color w:val="000000"/>
          <w:sz w:val="20"/>
          <w:szCs w:val="20"/>
        </w:rPr>
      </w:pPr>
      <w:r>
        <w:t xml:space="preserve">We conclude that the </w:t>
      </w:r>
      <w:r w:rsidR="00C80A4C">
        <w:t xml:space="preserve">trial </w:t>
      </w:r>
      <w:r>
        <w:t xml:space="preserve">proposals submitted </w:t>
      </w:r>
      <w:r w:rsidR="007D5ADB">
        <w:t>by Vonage, SmartEdgeNet, InteleP</w:t>
      </w:r>
      <w:r>
        <w:t>eer</w:t>
      </w:r>
      <w:r w:rsidR="007F687E">
        <w:t xml:space="preserve">, </w:t>
      </w:r>
      <w:r>
        <w:t xml:space="preserve">WilTel </w:t>
      </w:r>
      <w:r w:rsidR="007F687E">
        <w:t xml:space="preserve">and Millicorp </w:t>
      </w:r>
      <w:r w:rsidR="00973AF8">
        <w:t>should be approved</w:t>
      </w:r>
      <w:r w:rsidR="00E34ACA">
        <w:t xml:space="preserve">.  </w:t>
      </w:r>
      <w:r w:rsidR="008E32E5">
        <w:t xml:space="preserve">First, each proposal </w:t>
      </w:r>
      <w:r w:rsidR="00BA69FE">
        <w:t xml:space="preserve">was </w:t>
      </w:r>
      <w:r w:rsidR="008E32E5">
        <w:t xml:space="preserve">submitted </w:t>
      </w:r>
      <w:r w:rsidR="00E769A6">
        <w:t xml:space="preserve">by </w:t>
      </w:r>
      <w:r w:rsidR="008E32E5">
        <w:t xml:space="preserve">an interconnected VoIP provider that has a pending </w:t>
      </w:r>
      <w:r w:rsidR="00807816">
        <w:t xml:space="preserve">petition for </w:t>
      </w:r>
      <w:r w:rsidR="008E32E5">
        <w:t xml:space="preserve">waiver of section </w:t>
      </w:r>
      <w:r w:rsidR="008E32E5" w:rsidRPr="003C2F5E">
        <w:t>52.15(g)(2)(i) of the Commission’s Rules</w:t>
      </w:r>
      <w:r w:rsidR="008E32E5">
        <w:t>.</w:t>
      </w:r>
      <w:r w:rsidR="0056387E">
        <w:rPr>
          <w:rStyle w:val="FootnoteReference"/>
        </w:rPr>
        <w:footnoteReference w:id="16"/>
      </w:r>
      <w:r w:rsidR="008E32E5">
        <w:t xml:space="preserve">  Second, </w:t>
      </w:r>
      <w:r w:rsidR="00BA69FE">
        <w:t xml:space="preserve">the proposals </w:t>
      </w:r>
      <w:r w:rsidR="00103A13">
        <w:t xml:space="preserve">satisfy </w:t>
      </w:r>
      <w:r w:rsidR="00BA69FE">
        <w:t xml:space="preserve">the </w:t>
      </w:r>
      <w:r w:rsidR="008C6F41">
        <w:t xml:space="preserve">substantive </w:t>
      </w:r>
      <w:r w:rsidR="00BA69FE">
        <w:t xml:space="preserve">requirements of the </w:t>
      </w:r>
      <w:r w:rsidR="00BA69FE" w:rsidRPr="008352A1">
        <w:rPr>
          <w:i/>
        </w:rPr>
        <w:t>Direct Access Order</w:t>
      </w:r>
      <w:r w:rsidR="00BA69FE">
        <w:t>.  Each proposal</w:t>
      </w:r>
      <w:r w:rsidR="00A65CFE">
        <w:t xml:space="preserve">: (1) </w:t>
      </w:r>
      <w:r w:rsidR="00BA69FE">
        <w:t xml:space="preserve"> </w:t>
      </w:r>
      <w:r w:rsidR="00E34ACA">
        <w:t>include</w:t>
      </w:r>
      <w:r w:rsidR="00BA69FE">
        <w:t>s</w:t>
      </w:r>
      <w:r w:rsidR="00E34ACA">
        <w:t xml:space="preserve"> a certification that </w:t>
      </w:r>
      <w:r w:rsidR="00BA69FE">
        <w:t xml:space="preserve">the participant </w:t>
      </w:r>
      <w:r w:rsidR="00E34ACA">
        <w:t>will comply with the terms and conditions of the waiver</w:t>
      </w:r>
      <w:r w:rsidR="00A65CFE">
        <w:t xml:space="preserve">; and (2) </w:t>
      </w:r>
      <w:r w:rsidR="00BA69FE">
        <w:t xml:space="preserve"> </w:t>
      </w:r>
      <w:r w:rsidR="00E34ACA">
        <w:t xml:space="preserve">identifies the rate centers or LATAs in which </w:t>
      </w:r>
      <w:r w:rsidR="00BA69FE">
        <w:t xml:space="preserve">the participant </w:t>
      </w:r>
      <w:r w:rsidR="00E34ACA">
        <w:t>wishes to obtain numbers directly, noting how many numbers it proposes to receive as new and how many it proposes to port in from existing or new customers</w:t>
      </w:r>
      <w:r w:rsidR="00BA69FE">
        <w:t xml:space="preserve">.  </w:t>
      </w:r>
      <w:r w:rsidR="00A1018F">
        <w:t xml:space="preserve">Specifically, Vonage identifies 3 LATAs </w:t>
      </w:r>
      <w:r w:rsidR="00C80A4C">
        <w:t>–</w:t>
      </w:r>
      <w:r w:rsidR="00A1018F">
        <w:t xml:space="preserve"> Atlanta, Georgia</w:t>
      </w:r>
      <w:r w:rsidR="00BA248F">
        <w:t>;</w:t>
      </w:r>
      <w:r w:rsidR="00A1018F">
        <w:t xml:space="preserve"> Eastern Mass</w:t>
      </w:r>
      <w:r w:rsidR="00DF4EDC">
        <w:t>achusetts</w:t>
      </w:r>
      <w:r w:rsidR="00BA248F">
        <w:t>;</w:t>
      </w:r>
      <w:r w:rsidR="00DF4EDC">
        <w:t xml:space="preserve"> </w:t>
      </w:r>
      <w:r w:rsidR="00A1018F">
        <w:t xml:space="preserve">and Phoenix, Arizona </w:t>
      </w:r>
      <w:r w:rsidR="00C80A4C">
        <w:t>–</w:t>
      </w:r>
      <w:r w:rsidR="00A1018F">
        <w:t xml:space="preserve"> in which it proposes to obtain </w:t>
      </w:r>
      <w:r w:rsidR="00973AF8">
        <w:t xml:space="preserve">a total of </w:t>
      </w:r>
      <w:r w:rsidR="00A1018F">
        <w:t>9 blocks of numbers for new customers and port 120,000 numbers of existing customers.</w:t>
      </w:r>
      <w:r w:rsidR="00A1018F">
        <w:rPr>
          <w:rStyle w:val="FootnoteReference"/>
        </w:rPr>
        <w:footnoteReference w:id="17"/>
      </w:r>
      <w:r w:rsidR="00A1018F">
        <w:t xml:space="preserve">  SmartEdgeNet identifies 3 LATAs – Celebration, Florida</w:t>
      </w:r>
      <w:r w:rsidR="00DF4EDC">
        <w:t>;</w:t>
      </w:r>
      <w:r w:rsidR="00A1018F">
        <w:t xml:space="preserve"> Keys, Florida</w:t>
      </w:r>
      <w:r w:rsidR="00DF4EDC">
        <w:t>;</w:t>
      </w:r>
      <w:r w:rsidR="00A1018F">
        <w:t xml:space="preserve"> and Dallas, </w:t>
      </w:r>
      <w:r w:rsidR="00DF4EDC">
        <w:t xml:space="preserve">Texas </w:t>
      </w:r>
      <w:r w:rsidR="00C80A4C">
        <w:t xml:space="preserve">– </w:t>
      </w:r>
      <w:r w:rsidR="00A1018F">
        <w:t>and proposes to obtain 1 block in each LATA and port up to 450 numbers of existing customers.</w:t>
      </w:r>
      <w:r w:rsidR="00A1018F">
        <w:rPr>
          <w:rStyle w:val="FootnoteReference"/>
        </w:rPr>
        <w:footnoteReference w:id="18"/>
      </w:r>
      <w:r w:rsidR="00A1018F">
        <w:t xml:space="preserve">  WilTel identifies 7 Rate Centers – Eastern Mass</w:t>
      </w:r>
      <w:r w:rsidR="00DF4EDC">
        <w:t>achusetts;</w:t>
      </w:r>
      <w:r w:rsidR="00A1018F">
        <w:t xml:space="preserve"> Charlotte, N</w:t>
      </w:r>
      <w:r w:rsidR="00BA248F">
        <w:t xml:space="preserve">orth </w:t>
      </w:r>
      <w:r w:rsidR="00A1018F">
        <w:t>C</w:t>
      </w:r>
      <w:r w:rsidR="00BA248F">
        <w:t>arolina</w:t>
      </w:r>
      <w:r w:rsidR="00DF4EDC">
        <w:t>;</w:t>
      </w:r>
      <w:r w:rsidR="00A1018F">
        <w:t xml:space="preserve"> Concord, N</w:t>
      </w:r>
      <w:r w:rsidR="00BA248F">
        <w:t xml:space="preserve">orth </w:t>
      </w:r>
      <w:r w:rsidR="00A1018F">
        <w:t>C</w:t>
      </w:r>
      <w:r w:rsidR="00BA248F">
        <w:t>arolina</w:t>
      </w:r>
      <w:r w:rsidR="00DF4EDC">
        <w:t>;</w:t>
      </w:r>
      <w:r w:rsidR="00A1018F">
        <w:t xml:space="preserve"> Dallas, T</w:t>
      </w:r>
      <w:r w:rsidR="00BA248F">
        <w:t>exas</w:t>
      </w:r>
      <w:r w:rsidR="00DF4EDC">
        <w:t>;</w:t>
      </w:r>
      <w:r w:rsidR="00A1018F">
        <w:t xml:space="preserve"> Denver, C</w:t>
      </w:r>
      <w:r w:rsidR="00BA248F">
        <w:t>olorado</w:t>
      </w:r>
      <w:r w:rsidR="00DF4EDC">
        <w:t>;</w:t>
      </w:r>
      <w:r w:rsidR="00A1018F">
        <w:t xml:space="preserve"> Los Angeles, C</w:t>
      </w:r>
      <w:r w:rsidR="00BA248F">
        <w:t>alifornia</w:t>
      </w:r>
      <w:r w:rsidR="00DF4EDC">
        <w:t>;</w:t>
      </w:r>
      <w:r w:rsidR="00A1018F">
        <w:t xml:space="preserve"> Rochester, N</w:t>
      </w:r>
      <w:r w:rsidR="00BA248F">
        <w:t xml:space="preserve">ew </w:t>
      </w:r>
      <w:r w:rsidR="00A1018F">
        <w:t>Y</w:t>
      </w:r>
      <w:r w:rsidR="00BA248F">
        <w:t>ork</w:t>
      </w:r>
      <w:r w:rsidR="00A1018F">
        <w:t xml:space="preserve"> – and proposes to obtain </w:t>
      </w:r>
      <w:r w:rsidR="00973AF8">
        <w:t xml:space="preserve">a total of </w:t>
      </w:r>
      <w:r w:rsidR="00A1018F">
        <w:t>25 blocks for new customers and port 200,000 numbers of existing customers.</w:t>
      </w:r>
      <w:r w:rsidR="00A1018F">
        <w:rPr>
          <w:rStyle w:val="FootnoteReference"/>
        </w:rPr>
        <w:footnoteReference w:id="19"/>
      </w:r>
      <w:r w:rsidR="007D5ADB">
        <w:t xml:space="preserve">  InteleP</w:t>
      </w:r>
      <w:r w:rsidR="00A1018F">
        <w:t>eer identifies 1 LATA in Los Angeles, C</w:t>
      </w:r>
      <w:r w:rsidR="00BA248F">
        <w:t>alifornia</w:t>
      </w:r>
      <w:r w:rsidR="00A1018F">
        <w:t xml:space="preserve"> (or alternatively, Miami, F</w:t>
      </w:r>
      <w:r w:rsidR="00BA248F">
        <w:t>lorida</w:t>
      </w:r>
      <w:r w:rsidR="00A1018F">
        <w:t>) in which it proposes to obtain 1 block of numbers.</w:t>
      </w:r>
      <w:r w:rsidR="00A1018F">
        <w:rPr>
          <w:rStyle w:val="FootnoteReference"/>
        </w:rPr>
        <w:footnoteReference w:id="20"/>
      </w:r>
      <w:r w:rsidR="00A1018F">
        <w:t xml:space="preserve">  Millicorp identifies 3 LATAs – Fort Myers, F</w:t>
      </w:r>
      <w:r w:rsidR="00BA248F">
        <w:t>lorida</w:t>
      </w:r>
      <w:r w:rsidR="00DF4EDC">
        <w:t>;</w:t>
      </w:r>
      <w:r w:rsidR="00A1018F">
        <w:t xml:space="preserve"> Fort Lauderdale, F</w:t>
      </w:r>
      <w:r w:rsidR="00BA248F">
        <w:t>lorida</w:t>
      </w:r>
      <w:r w:rsidR="00DF4EDC">
        <w:t>;</w:t>
      </w:r>
      <w:r w:rsidR="00A1018F">
        <w:t xml:space="preserve"> and </w:t>
      </w:r>
      <w:r w:rsidR="00DF4EDC">
        <w:t xml:space="preserve">Southwest </w:t>
      </w:r>
      <w:r w:rsidR="00A1018F">
        <w:t>Georgia – and proposes to obtain 1 block in each LATA and port up to 7,500 numbers of existing customers.</w:t>
      </w:r>
      <w:r w:rsidR="00A1018F">
        <w:rPr>
          <w:rStyle w:val="FootnoteReference"/>
        </w:rPr>
        <w:footnoteReference w:id="21"/>
      </w:r>
      <w:r w:rsidR="00A1018F">
        <w:t xml:space="preserve">  </w:t>
      </w:r>
      <w:r w:rsidR="00BA69FE">
        <w:t>Finally, each proposal</w:t>
      </w:r>
      <w:r w:rsidR="00E34ACA">
        <w:t xml:space="preserve"> describes the phase-in process to implement the trial.</w:t>
      </w:r>
      <w:r w:rsidR="008C6F41">
        <w:t xml:space="preserve">  </w:t>
      </w:r>
    </w:p>
    <w:p w:rsidR="00DA7B1B" w:rsidRDefault="00F8181B" w:rsidP="009C6979">
      <w:pPr>
        <w:pStyle w:val="ParaNum"/>
        <w:widowControl/>
        <w:jc w:val="left"/>
        <w:rPr>
          <w:color w:val="000000"/>
          <w:sz w:val="20"/>
          <w:szCs w:val="20"/>
        </w:rPr>
      </w:pPr>
      <w:r>
        <w:t>Millicorp’s</w:t>
      </w:r>
      <w:r w:rsidR="00973AF8">
        <w:t xml:space="preserve"> proposal</w:t>
      </w:r>
      <w:r w:rsidR="008C6F41">
        <w:t xml:space="preserve"> was submitted </w:t>
      </w:r>
      <w:r w:rsidR="00A65CFE">
        <w:t xml:space="preserve">two days </w:t>
      </w:r>
      <w:r w:rsidR="008C6F41">
        <w:t xml:space="preserve">after the 30-day deadline established in the </w:t>
      </w:r>
      <w:r w:rsidR="007F2DC9">
        <w:rPr>
          <w:i/>
        </w:rPr>
        <w:t>Direct Access Order</w:t>
      </w:r>
      <w:r w:rsidR="008C6F41">
        <w:t xml:space="preserve"> with a request to accept it as timely filed.  </w:t>
      </w:r>
      <w:r w:rsidR="008C6F41" w:rsidRPr="00103A13">
        <w:rPr>
          <w:color w:val="000000"/>
          <w:szCs w:val="22"/>
        </w:rPr>
        <w:t>Millicorp indicates that it has limited experience with numbering matters and was unable to complete certain research in a ti</w:t>
      </w:r>
      <w:r w:rsidR="007F2DC9" w:rsidRPr="007F2DC9">
        <w:rPr>
          <w:color w:val="000000"/>
          <w:szCs w:val="22"/>
        </w:rPr>
        <w:t xml:space="preserve">mely manner.  Although we note that the </w:t>
      </w:r>
      <w:r w:rsidR="008352A1">
        <w:rPr>
          <w:color w:val="000000"/>
          <w:szCs w:val="22"/>
        </w:rPr>
        <w:t xml:space="preserve">most </w:t>
      </w:r>
      <w:r w:rsidR="007F2DC9" w:rsidRPr="007F2DC9">
        <w:rPr>
          <w:color w:val="000000"/>
          <w:szCs w:val="22"/>
        </w:rPr>
        <w:t xml:space="preserve">appropriate action </w:t>
      </w:r>
      <w:r w:rsidR="008352A1">
        <w:rPr>
          <w:color w:val="000000"/>
          <w:szCs w:val="22"/>
        </w:rPr>
        <w:t>would have been</w:t>
      </w:r>
      <w:r w:rsidR="007F2DC9" w:rsidRPr="007F2DC9">
        <w:rPr>
          <w:color w:val="000000"/>
          <w:szCs w:val="22"/>
        </w:rPr>
        <w:t xml:space="preserve"> to contact the Commission and request an extension of the time in which to file,</w:t>
      </w:r>
      <w:r w:rsidR="007F2DC9">
        <w:rPr>
          <w:rStyle w:val="FootnoteReference"/>
          <w:color w:val="000000"/>
          <w:szCs w:val="22"/>
        </w:rPr>
        <w:footnoteReference w:id="22"/>
      </w:r>
      <w:r w:rsidR="008C6F41" w:rsidRPr="00103A13">
        <w:rPr>
          <w:color w:val="000000"/>
          <w:szCs w:val="22"/>
        </w:rPr>
        <w:t xml:space="preserve"> we agree with Millicorp that its participation will </w:t>
      </w:r>
      <w:r w:rsidR="00294902">
        <w:rPr>
          <w:color w:val="000000"/>
          <w:szCs w:val="22"/>
        </w:rPr>
        <w:t xml:space="preserve">increase the </w:t>
      </w:r>
      <w:r w:rsidR="008C6F41" w:rsidRPr="00103A13">
        <w:rPr>
          <w:color w:val="000000"/>
          <w:szCs w:val="22"/>
        </w:rPr>
        <w:t>diversity of trial participants</w:t>
      </w:r>
      <w:r w:rsidR="00294902">
        <w:rPr>
          <w:color w:val="000000"/>
          <w:szCs w:val="22"/>
        </w:rPr>
        <w:t>.  O</w:t>
      </w:r>
      <w:r w:rsidR="000F51A5">
        <w:rPr>
          <w:color w:val="000000"/>
          <w:szCs w:val="22"/>
        </w:rPr>
        <w:t>f the 15 participants that</w:t>
      </w:r>
      <w:r w:rsidR="00294902">
        <w:rPr>
          <w:color w:val="000000"/>
          <w:szCs w:val="22"/>
        </w:rPr>
        <w:t xml:space="preserve"> potentially we</w:t>
      </w:r>
      <w:r w:rsidR="000F51A5">
        <w:rPr>
          <w:color w:val="000000"/>
          <w:szCs w:val="22"/>
        </w:rPr>
        <w:t xml:space="preserve">re eligible </w:t>
      </w:r>
      <w:r w:rsidR="007977E3">
        <w:rPr>
          <w:color w:val="000000"/>
          <w:szCs w:val="22"/>
        </w:rPr>
        <w:t xml:space="preserve">to participate in the trial, only four </w:t>
      </w:r>
      <w:r w:rsidR="00294902">
        <w:rPr>
          <w:color w:val="000000"/>
          <w:szCs w:val="22"/>
        </w:rPr>
        <w:t xml:space="preserve">others </w:t>
      </w:r>
      <w:r w:rsidR="000F51A5">
        <w:rPr>
          <w:color w:val="000000"/>
          <w:szCs w:val="22"/>
        </w:rPr>
        <w:t>applied</w:t>
      </w:r>
      <w:r w:rsidR="00082BF2">
        <w:rPr>
          <w:color w:val="000000"/>
          <w:szCs w:val="22"/>
        </w:rPr>
        <w:t xml:space="preserve"> to participate</w:t>
      </w:r>
      <w:r w:rsidR="008C6F41" w:rsidRPr="00103A13">
        <w:rPr>
          <w:color w:val="000000"/>
          <w:szCs w:val="22"/>
        </w:rPr>
        <w:t xml:space="preserve">.  </w:t>
      </w:r>
      <w:r w:rsidR="007977E3">
        <w:rPr>
          <w:color w:val="000000"/>
          <w:szCs w:val="22"/>
        </w:rPr>
        <w:t>Millicorp’s participation will increase the number of participants</w:t>
      </w:r>
      <w:r w:rsidR="00294902">
        <w:rPr>
          <w:color w:val="000000"/>
          <w:szCs w:val="22"/>
        </w:rPr>
        <w:t>.  Moreover, Millicorp proposes to test direct access to numbers in less populous areas, relative to other trial participants.  That may provide the Commission unique information from the trial</w:t>
      </w:r>
      <w:r w:rsidR="007977E3">
        <w:rPr>
          <w:color w:val="000000"/>
          <w:szCs w:val="22"/>
        </w:rPr>
        <w:t xml:space="preserve">.  </w:t>
      </w:r>
      <w:r w:rsidR="00103A13">
        <w:rPr>
          <w:color w:val="000000"/>
          <w:szCs w:val="22"/>
        </w:rPr>
        <w:t xml:space="preserve">Moreover, the brief delay in filing does not have any impact on the Commission’s ability to conduct the limited trial, nor does it force the Commission to modify the time frames set forth in the </w:t>
      </w:r>
      <w:r w:rsidR="00103A13">
        <w:rPr>
          <w:i/>
          <w:color w:val="000000"/>
          <w:szCs w:val="22"/>
        </w:rPr>
        <w:t>Direct Access Order.</w:t>
      </w:r>
      <w:r w:rsidR="00103A13" w:rsidRPr="00517725">
        <w:rPr>
          <w:color w:val="000000"/>
          <w:szCs w:val="22"/>
        </w:rPr>
        <w:t xml:space="preserve">  </w:t>
      </w:r>
      <w:r w:rsidR="00544962">
        <w:rPr>
          <w:color w:val="000000"/>
          <w:szCs w:val="22"/>
        </w:rPr>
        <w:t xml:space="preserve">We also conclude that no party will be adversely affected by the acceptance of Millicorp’s proposal.  </w:t>
      </w:r>
      <w:r w:rsidR="00294902">
        <w:rPr>
          <w:color w:val="000000"/>
          <w:szCs w:val="22"/>
        </w:rPr>
        <w:t xml:space="preserve">We also note that </w:t>
      </w:r>
      <w:r w:rsidR="00544962">
        <w:rPr>
          <w:color w:val="000000"/>
          <w:szCs w:val="22"/>
        </w:rPr>
        <w:t>no other party meeting all the other criteria submitted a late proposal</w:t>
      </w:r>
      <w:r w:rsidR="00294902">
        <w:rPr>
          <w:color w:val="000000"/>
          <w:szCs w:val="22"/>
        </w:rPr>
        <w:t>.  We</w:t>
      </w:r>
      <w:r w:rsidR="00544962">
        <w:rPr>
          <w:color w:val="000000"/>
          <w:szCs w:val="22"/>
        </w:rPr>
        <w:t xml:space="preserve"> find that special circumstances exist for waiving the 30-day deadline as it applies to Millicorp and that the public interest would be better served by a waiver than by strict adherence to the deadline.  </w:t>
      </w:r>
      <w:r w:rsidR="008C6F41" w:rsidRPr="00103A13">
        <w:rPr>
          <w:color w:val="000000"/>
          <w:szCs w:val="22"/>
        </w:rPr>
        <w:t xml:space="preserve">Thus, we </w:t>
      </w:r>
      <w:r w:rsidR="00544962">
        <w:rPr>
          <w:color w:val="000000"/>
          <w:szCs w:val="22"/>
        </w:rPr>
        <w:t xml:space="preserve">construe Millicorp’s request to accept its proposal as timely filed and waive the requirement that its proposal be submitted by May 20.  </w:t>
      </w:r>
      <w:r w:rsidR="008C6F41" w:rsidRPr="007F2DC9">
        <w:rPr>
          <w:color w:val="000000"/>
          <w:sz w:val="20"/>
          <w:szCs w:val="20"/>
        </w:rPr>
        <w:t xml:space="preserve">  </w:t>
      </w:r>
    </w:p>
    <w:p w:rsidR="00CD19A5" w:rsidRPr="009C6979" w:rsidRDefault="00C80A4C" w:rsidP="009C6979">
      <w:pPr>
        <w:pStyle w:val="ParaNum"/>
        <w:widowControl/>
        <w:jc w:val="left"/>
        <w:rPr>
          <w:color w:val="000000"/>
          <w:sz w:val="20"/>
          <w:szCs w:val="20"/>
        </w:rPr>
      </w:pPr>
      <w:r>
        <w:rPr>
          <w:i/>
        </w:rPr>
        <w:t>Fractel P</w:t>
      </w:r>
      <w:r w:rsidR="00BD68B3">
        <w:rPr>
          <w:i/>
        </w:rPr>
        <w:t>roposal</w:t>
      </w:r>
      <w:r w:rsidRPr="00517725">
        <w:t>.</w:t>
      </w:r>
      <w:r>
        <w:rPr>
          <w:i/>
        </w:rPr>
        <w:t xml:space="preserve">  </w:t>
      </w:r>
      <w:r w:rsidR="00CD19A5">
        <w:t xml:space="preserve">In the </w:t>
      </w:r>
      <w:r w:rsidR="00CD19A5">
        <w:rPr>
          <w:i/>
        </w:rPr>
        <w:t>Direct Access Order</w:t>
      </w:r>
      <w:r w:rsidR="00CD19A5">
        <w:t>, the Commission limited participation in the trial to those entities with pending petitions for waiver of the Commission’s rules regarding access to numbers.</w:t>
      </w:r>
      <w:r w:rsidR="00CD19A5">
        <w:rPr>
          <w:rStyle w:val="FootnoteReference"/>
        </w:rPr>
        <w:footnoteReference w:id="23"/>
      </w:r>
      <w:r w:rsidR="00CD19A5">
        <w:t xml:space="preserve">  </w:t>
      </w:r>
      <w:r w:rsidR="00CD19A5">
        <w:rPr>
          <w:i/>
        </w:rPr>
        <w:t xml:space="preserve"> </w:t>
      </w:r>
      <w:r w:rsidR="00CD19A5">
        <w:t xml:space="preserve">Fractel did not have such a petition pending.  </w:t>
      </w:r>
      <w:r w:rsidR="00941E47">
        <w:t xml:space="preserve">Rather, </w:t>
      </w:r>
      <w:r w:rsidR="00CD19A5">
        <w:t xml:space="preserve">Fractel filed a petition for reconsideration of the Commission’s decision to permit </w:t>
      </w:r>
      <w:r w:rsidR="009C6979">
        <w:t xml:space="preserve">only </w:t>
      </w:r>
      <w:r w:rsidR="00CD19A5">
        <w:t>those entities with pending petitions for waiver to apply to participate in the trial, and also filed a proposal to participate.</w:t>
      </w:r>
    </w:p>
    <w:p w:rsidR="00103A13" w:rsidRPr="00E32DF5" w:rsidRDefault="007977E3" w:rsidP="009C6979">
      <w:pPr>
        <w:pStyle w:val="ParaNum"/>
        <w:widowControl/>
        <w:jc w:val="left"/>
        <w:rPr>
          <w:color w:val="000000"/>
          <w:sz w:val="20"/>
          <w:szCs w:val="20"/>
        </w:rPr>
      </w:pPr>
      <w:r>
        <w:t>W</w:t>
      </w:r>
      <w:r w:rsidR="009142C3">
        <w:t>e do not accept Fractel’s proposal to participate in the trial.</w:t>
      </w:r>
      <w:r w:rsidR="0089650F">
        <w:rPr>
          <w:rStyle w:val="FootnoteReference"/>
        </w:rPr>
        <w:footnoteReference w:id="24"/>
      </w:r>
      <w:r w:rsidR="009142C3">
        <w:t xml:space="preserve">  </w:t>
      </w:r>
      <w:r w:rsidR="00294902">
        <w:t>T</w:t>
      </w:r>
      <w:r w:rsidR="009142C3">
        <w:t xml:space="preserve">he Commission determined only to accept proposals from entities with pending petitions on file at the time of the </w:t>
      </w:r>
      <w:r w:rsidR="009142C3" w:rsidRPr="00E32DF5">
        <w:rPr>
          <w:i/>
        </w:rPr>
        <w:t>Direct Access Order</w:t>
      </w:r>
      <w:r w:rsidR="009142C3">
        <w:t>.</w:t>
      </w:r>
      <w:r>
        <w:rPr>
          <w:rStyle w:val="FootnoteReference"/>
        </w:rPr>
        <w:footnoteReference w:id="25"/>
      </w:r>
      <w:r w:rsidR="009142C3">
        <w:t xml:space="preserve">  Fractel did not </w:t>
      </w:r>
      <w:r w:rsidR="00C346A9">
        <w:t xml:space="preserve">have a pending petition for waiver on </w:t>
      </w:r>
      <w:r w:rsidR="009142C3">
        <w:t xml:space="preserve">file </w:t>
      </w:r>
      <w:r w:rsidR="00C346A9">
        <w:t xml:space="preserve">at the time the </w:t>
      </w:r>
      <w:r w:rsidR="00C346A9" w:rsidRPr="007568E0">
        <w:rPr>
          <w:i/>
        </w:rPr>
        <w:t>Direct Access Order</w:t>
      </w:r>
      <w:r w:rsidR="00C346A9">
        <w:t xml:space="preserve"> was adopted and, therefore, </w:t>
      </w:r>
      <w:r w:rsidR="00103A13">
        <w:t xml:space="preserve">does not meet </w:t>
      </w:r>
      <w:r w:rsidR="009142C3">
        <w:t xml:space="preserve">this </w:t>
      </w:r>
      <w:r w:rsidR="00103A13">
        <w:t xml:space="preserve">basic </w:t>
      </w:r>
      <w:r w:rsidR="00C346A9">
        <w:t xml:space="preserve">eligibility </w:t>
      </w:r>
      <w:r w:rsidR="00103A13">
        <w:t>requirement</w:t>
      </w:r>
      <w:r w:rsidR="00C346A9">
        <w:t xml:space="preserve"> of the waiver granted in the </w:t>
      </w:r>
      <w:r w:rsidR="00C346A9" w:rsidRPr="007568E0">
        <w:rPr>
          <w:i/>
        </w:rPr>
        <w:t>Direct Access Order</w:t>
      </w:r>
      <w:r w:rsidR="00103A13">
        <w:t xml:space="preserve">.  </w:t>
      </w:r>
    </w:p>
    <w:p w:rsidR="008352A1" w:rsidRDefault="00C80A4C" w:rsidP="000674A2">
      <w:pPr>
        <w:pStyle w:val="ParaNum"/>
        <w:keepLines/>
        <w:widowControl/>
        <w:jc w:val="left"/>
      </w:pPr>
      <w:r>
        <w:rPr>
          <w:i/>
        </w:rPr>
        <w:t xml:space="preserve">Bandwidth.com </w:t>
      </w:r>
      <w:r w:rsidRPr="00637EC7">
        <w:rPr>
          <w:i/>
        </w:rPr>
        <w:t>Opposition</w:t>
      </w:r>
      <w:r>
        <w:rPr>
          <w:i/>
        </w:rPr>
        <w:t xml:space="preserve">.  </w:t>
      </w:r>
      <w:r w:rsidR="00D30851" w:rsidRPr="00637EC7">
        <w:t>Bandwidth</w:t>
      </w:r>
      <w:r w:rsidR="00D30851">
        <w:t xml:space="preserve">.com </w:t>
      </w:r>
      <w:r w:rsidR="00C71CDF">
        <w:t>argued</w:t>
      </w:r>
      <w:r w:rsidR="00D30851">
        <w:t xml:space="preserve"> that participants</w:t>
      </w:r>
      <w:r w:rsidR="00C71CDF">
        <w:t xml:space="preserve"> should be required</w:t>
      </w:r>
      <w:r w:rsidR="00D30851">
        <w:t xml:space="preserve"> to file their plans publicly</w:t>
      </w:r>
      <w:r w:rsidR="00C71CDF">
        <w:t xml:space="preserve">.  It further asserted that </w:t>
      </w:r>
      <w:r w:rsidR="00D30851">
        <w:t xml:space="preserve">the Commission </w:t>
      </w:r>
      <w:r w:rsidR="00C71CDF">
        <w:t xml:space="preserve">should </w:t>
      </w:r>
      <w:r w:rsidR="00D30851">
        <w:t>clarify that the 30</w:t>
      </w:r>
      <w:r w:rsidR="004E3B38">
        <w:t>-</w:t>
      </w:r>
      <w:r w:rsidR="00D30851">
        <w:t>day</w:t>
      </w:r>
      <w:r w:rsidR="00BA69FE">
        <w:t xml:space="preserve"> period for</w:t>
      </w:r>
      <w:r w:rsidR="00D30851">
        <w:t xml:space="preserve"> Bureau approval </w:t>
      </w:r>
      <w:r w:rsidR="00C71CDF">
        <w:t>would</w:t>
      </w:r>
      <w:r w:rsidR="00D30851">
        <w:t xml:space="preserve"> not begin until the participants make public filings.</w:t>
      </w:r>
      <w:r w:rsidR="00D30851">
        <w:rPr>
          <w:rStyle w:val="FootnoteReference"/>
        </w:rPr>
        <w:footnoteReference w:id="26"/>
      </w:r>
      <w:r w:rsidR="00D30851">
        <w:t xml:space="preserve">  </w:t>
      </w:r>
      <w:r w:rsidR="00C71CDF">
        <w:t>Von</w:t>
      </w:r>
      <w:r w:rsidR="007D5ADB">
        <w:t>age and InteleP</w:t>
      </w:r>
      <w:r w:rsidR="00C71CDF">
        <w:t xml:space="preserve">eer </w:t>
      </w:r>
      <w:r w:rsidR="008352A1">
        <w:t xml:space="preserve">promptly </w:t>
      </w:r>
      <w:r w:rsidR="00C71CDF">
        <w:t>withdrew their requests for confidential treatment</w:t>
      </w:r>
      <w:r w:rsidR="008352A1">
        <w:t xml:space="preserve"> and filed unredacted copies of their proposals.  </w:t>
      </w:r>
      <w:r w:rsidR="00D30851">
        <w:t>W</w:t>
      </w:r>
      <w:r w:rsidR="004A121A">
        <w:t xml:space="preserve">e </w:t>
      </w:r>
      <w:r w:rsidR="008352A1">
        <w:t>thus find that</w:t>
      </w:r>
      <w:r w:rsidR="00BE1835">
        <w:t xml:space="preserve"> there has been sufficient opportunity for public inspection of </w:t>
      </w:r>
      <w:r w:rsidR="008352A1">
        <w:t>all of the</w:t>
      </w:r>
      <w:r w:rsidR="00BE1835">
        <w:t xml:space="preserve"> proposals</w:t>
      </w:r>
      <w:r w:rsidR="00E34ACA">
        <w:t>.</w:t>
      </w:r>
      <w:r w:rsidR="004E3B38">
        <w:rPr>
          <w:rStyle w:val="FootnoteReference"/>
        </w:rPr>
        <w:footnoteReference w:id="27"/>
      </w:r>
      <w:r w:rsidR="00DD591A">
        <w:t xml:space="preserve">  </w:t>
      </w:r>
      <w:r w:rsidR="00BE1835">
        <w:t xml:space="preserve">We </w:t>
      </w:r>
      <w:r w:rsidR="008352A1">
        <w:t xml:space="preserve">further </w:t>
      </w:r>
      <w:r w:rsidR="00BE1835">
        <w:t xml:space="preserve">find that it </w:t>
      </w:r>
      <w:r w:rsidR="008352A1">
        <w:t xml:space="preserve">is </w:t>
      </w:r>
      <w:r w:rsidR="00BE1835">
        <w:t>in the public interest and provide</w:t>
      </w:r>
      <w:r w:rsidR="008352A1">
        <w:t>s</w:t>
      </w:r>
      <w:r w:rsidR="00BE1835">
        <w:t xml:space="preserve"> for better administration to begin the trials of all participants at the same time, as the trial is likely to provide useful input for the important issues in the Direct Access to Numbers rulemaking.  </w:t>
      </w:r>
      <w:r w:rsidR="00DD591A">
        <w:t xml:space="preserve">Thus, the trial for </w:t>
      </w:r>
      <w:r w:rsidR="008C6F41">
        <w:t xml:space="preserve">all participants will </w:t>
      </w:r>
      <w:r w:rsidR="00DD591A">
        <w:t>commence on June 1</w:t>
      </w:r>
      <w:r w:rsidR="00046F07">
        <w:t>7</w:t>
      </w:r>
      <w:r w:rsidR="00DD591A">
        <w:t xml:space="preserve">, 2013.  </w:t>
      </w:r>
      <w:r w:rsidR="008352A1">
        <w:t>We therefore dismiss as moot Bandwidth’s request to require public filings of the proposals, and deny its request to delay the start of the trial until such public filings</w:t>
      </w:r>
      <w:r w:rsidR="008A38F4">
        <w:t xml:space="preserve"> are made</w:t>
      </w:r>
      <w:r w:rsidR="008352A1">
        <w:t xml:space="preserve">.  </w:t>
      </w:r>
    </w:p>
    <w:p w:rsidR="00E34ACA" w:rsidRPr="002B283F" w:rsidRDefault="008352A1" w:rsidP="009C6979">
      <w:pPr>
        <w:pStyle w:val="ParaNum"/>
        <w:widowControl/>
        <w:jc w:val="left"/>
      </w:pPr>
      <w:r>
        <w:t>Finally, w</w:t>
      </w:r>
      <w:r w:rsidR="00D216AF">
        <w:t xml:space="preserve">e remind </w:t>
      </w:r>
      <w:r w:rsidR="00920BE3">
        <w:t xml:space="preserve">any </w:t>
      </w:r>
      <w:r w:rsidR="00D216AF">
        <w:t>participant that require</w:t>
      </w:r>
      <w:r w:rsidR="00920BE3">
        <w:t>s</w:t>
      </w:r>
      <w:r w:rsidR="00D216AF">
        <w:t xml:space="preserve"> additional resources as the trial proceeds that it must comply with the requirement set forth in the </w:t>
      </w:r>
      <w:r w:rsidR="00D216AF" w:rsidRPr="001609E3">
        <w:rPr>
          <w:i/>
        </w:rPr>
        <w:t>SBCIS Waiver Order</w:t>
      </w:r>
      <w:r w:rsidR="00D216AF">
        <w:t xml:space="preserve"> </w:t>
      </w:r>
      <w:r w:rsidR="004E3B38">
        <w:rPr>
          <w:rStyle w:val="FootnoteReference"/>
        </w:rPr>
        <w:footnoteReference w:id="28"/>
      </w:r>
      <w:r w:rsidR="004E3B38">
        <w:t xml:space="preserve"> </w:t>
      </w:r>
      <w:r w:rsidR="00D216AF">
        <w:t>to file requests for numbers with the Commission and the relevant state commission</w:t>
      </w:r>
      <w:r w:rsidR="004E3B38">
        <w:t>s</w:t>
      </w:r>
      <w:r w:rsidR="00D216AF">
        <w:t xml:space="preserve"> at least 30 days prior to requesting numbers from the </w:t>
      </w:r>
      <w:r w:rsidR="004E3B38">
        <w:t>number a</w:t>
      </w:r>
      <w:r w:rsidR="00D216AF">
        <w:t>dministrators.</w:t>
      </w:r>
      <w:r w:rsidR="00D216AF">
        <w:rPr>
          <w:rStyle w:val="FootnoteReference"/>
        </w:rPr>
        <w:footnoteReference w:id="29"/>
      </w:r>
      <w:r w:rsidR="00D216AF">
        <w:t xml:space="preserve">  </w:t>
      </w:r>
    </w:p>
    <w:p w:rsidR="0027545B" w:rsidRDefault="00B5371A" w:rsidP="009C6979">
      <w:pPr>
        <w:pStyle w:val="Heading1"/>
        <w:widowControl/>
      </w:pPr>
      <w:r>
        <w:t>ordering clauses</w:t>
      </w:r>
    </w:p>
    <w:p w:rsidR="00B947C9" w:rsidRDefault="00B947C9" w:rsidP="009C6979">
      <w:pPr>
        <w:pStyle w:val="ParaNum"/>
        <w:widowControl/>
        <w:jc w:val="left"/>
      </w:pPr>
      <w:r w:rsidRPr="003C2F5E">
        <w:t>Accordingly, IT IS ORDERED that</w:t>
      </w:r>
      <w:r w:rsidR="004E3B38">
        <w:t>,</w:t>
      </w:r>
      <w:r w:rsidRPr="003C2F5E">
        <w:t xml:space="preserve"> pursuant to Sections 1, 3, 4, 201-205, 251, and 303(r) of the Communications Act of 1934, as amended, 47 U.S.C. §§ 151, 153, 154, 201-205, 251, 303(r), </w:t>
      </w:r>
      <w:r w:rsidR="00FA225F">
        <w:t xml:space="preserve">and </w:t>
      </w:r>
      <w:r w:rsidR="00451553">
        <w:t>Sections 0.91</w:t>
      </w:r>
      <w:r w:rsidR="008D1184">
        <w:t xml:space="preserve"> and 0.291 of the Commission’s rules, 47 C.F.R. §§ 0.91, 0.291, </w:t>
      </w:r>
      <w:r w:rsidRPr="003C2F5E">
        <w:t xml:space="preserve">the </w:t>
      </w:r>
      <w:r w:rsidR="00BE1835">
        <w:t>proposals to participate in the D</w:t>
      </w:r>
      <w:r w:rsidR="00F70CE1">
        <w:t xml:space="preserve">irect </w:t>
      </w:r>
      <w:r w:rsidR="00BE1835">
        <w:t>A</w:t>
      </w:r>
      <w:r w:rsidR="00F70CE1">
        <w:t xml:space="preserve">ccess </w:t>
      </w:r>
      <w:r w:rsidR="00BE1835">
        <w:t>to Numbers T</w:t>
      </w:r>
      <w:r w:rsidR="00F70CE1">
        <w:t>rial submitted by Vonage Holdings Corp., SmartEdgeNet, LLC, WilTel Communications, LLC, Inte</w:t>
      </w:r>
      <w:r w:rsidR="007D5ADB">
        <w:t>leP</w:t>
      </w:r>
      <w:r w:rsidR="00F70CE1">
        <w:t>eer, Inc. and Millicorp ARE</w:t>
      </w:r>
      <w:r w:rsidRPr="003C2F5E">
        <w:t xml:space="preserve"> </w:t>
      </w:r>
      <w:r w:rsidR="004E3B38">
        <w:t>HEREBY</w:t>
      </w:r>
      <w:r w:rsidR="007A5F7E">
        <w:t xml:space="preserve"> </w:t>
      </w:r>
      <w:r w:rsidRPr="003C2F5E">
        <w:t>A</w:t>
      </w:r>
      <w:r w:rsidR="00F70CE1">
        <w:t>PPROVE</w:t>
      </w:r>
      <w:r w:rsidRPr="003C2F5E">
        <w:t>D.</w:t>
      </w:r>
    </w:p>
    <w:p w:rsidR="00DA7B1B" w:rsidRDefault="00DA7B1B" w:rsidP="009C6979">
      <w:pPr>
        <w:pStyle w:val="ParaNum"/>
        <w:widowControl/>
        <w:jc w:val="left"/>
      </w:pPr>
      <w:r>
        <w:t xml:space="preserve">IT IS FURTHER ORDERED that, pursuant to </w:t>
      </w:r>
      <w:r w:rsidR="008D1184" w:rsidRPr="003C2F5E">
        <w:t>Sections 1, 3, 4, 201-205, 251, and 303(r) of the Communications Act of 1934, as amended, 47 U.S.C. §§ 151, 153, 154, 201-205, 251, 303(r),</w:t>
      </w:r>
      <w:r w:rsidR="008D1184">
        <w:t xml:space="preserve"> </w:t>
      </w:r>
      <w:r w:rsidR="00FA225F">
        <w:t xml:space="preserve">and </w:t>
      </w:r>
      <w:r w:rsidR="008D1184">
        <w:t xml:space="preserve">Sections 0.91, 0.291 and 1.3 of the Commission’s rules, 47 C.F.R. §§ 0.91, 0.291, 1.3, </w:t>
      </w:r>
      <w:r>
        <w:t>Millicorp’s request for a waiver of the filing deadline IS HEREBY GRANTED.</w:t>
      </w:r>
    </w:p>
    <w:p w:rsidR="00DA7B1B" w:rsidRDefault="00DA7B1B" w:rsidP="009C6979">
      <w:pPr>
        <w:pStyle w:val="ParaNum"/>
        <w:widowControl/>
        <w:jc w:val="left"/>
      </w:pPr>
      <w:r>
        <w:t xml:space="preserve">IT IS FURTHER ORDERED that, pursuant to </w:t>
      </w:r>
      <w:r w:rsidR="008D1184" w:rsidRPr="003C2F5E">
        <w:t>Sections 1, 3, 4, 201-205, 251, and 303(r) of the Communications Act of 1934, as amended, 47 U.S.C. §§ 151, 153, 154, 201-205, 251, 303(r),</w:t>
      </w:r>
      <w:r w:rsidR="008D1184">
        <w:t xml:space="preserve"> </w:t>
      </w:r>
      <w:r w:rsidR="00FA225F">
        <w:t>and S</w:t>
      </w:r>
      <w:r w:rsidR="00892B1D">
        <w:t>ections 0.91</w:t>
      </w:r>
      <w:r w:rsidR="008D1184">
        <w:t xml:space="preserve"> </w:t>
      </w:r>
      <w:r w:rsidR="00973AF8">
        <w:t xml:space="preserve">and </w:t>
      </w:r>
      <w:r w:rsidR="008D1184">
        <w:t>0.291</w:t>
      </w:r>
      <w:r w:rsidR="00451AF5">
        <w:t>o</w:t>
      </w:r>
      <w:r w:rsidR="008D1184">
        <w:t>f the Commis</w:t>
      </w:r>
      <w:r w:rsidR="0075643D">
        <w:t>sion’s rules, 47 C.F.R. §§ 0.91</w:t>
      </w:r>
      <w:r w:rsidR="00451553">
        <w:t>,</w:t>
      </w:r>
      <w:r w:rsidR="00973AF8">
        <w:t xml:space="preserve"> </w:t>
      </w:r>
      <w:r w:rsidR="008D1184">
        <w:t>0.291,</w:t>
      </w:r>
      <w:r>
        <w:t xml:space="preserve"> </w:t>
      </w:r>
      <w:r w:rsidR="00973AF8">
        <w:t xml:space="preserve">the proposal to participate in the Direct Access to Numbers Trial submitted by </w:t>
      </w:r>
      <w:r>
        <w:t>Fractel</w:t>
      </w:r>
      <w:r w:rsidR="00973AF8">
        <w:t>, LLC</w:t>
      </w:r>
      <w:r w:rsidR="00C80A4C">
        <w:t xml:space="preserve"> </w:t>
      </w:r>
      <w:r w:rsidR="00BE1835">
        <w:t>IS D</w:t>
      </w:r>
      <w:r w:rsidR="00C80A4C">
        <w:t>ISMISSED</w:t>
      </w:r>
      <w:r w:rsidR="00BE1835">
        <w:t>.</w:t>
      </w:r>
    </w:p>
    <w:p w:rsidR="00EE0BAD" w:rsidRDefault="00BE1835" w:rsidP="009C6979">
      <w:pPr>
        <w:pStyle w:val="ParaNum"/>
        <w:widowControl/>
        <w:jc w:val="left"/>
      </w:pPr>
      <w:r>
        <w:t xml:space="preserve">IT IS FURTHER ORDERED that, pursuant </w:t>
      </w:r>
      <w:r w:rsidR="00BD6871">
        <w:t>Sections 4(i)-(j) and 251of the Communications Act of 1934, as amended, 47 U</w:t>
      </w:r>
      <w:r w:rsidR="00370892">
        <w:t>.S.C. §§ 154(i)-(j), 251</w:t>
      </w:r>
      <w:r>
        <w:t xml:space="preserve">, </w:t>
      </w:r>
      <w:r w:rsidR="00445052">
        <w:t>and Sections 0.91</w:t>
      </w:r>
      <w:r w:rsidR="00324CB9">
        <w:t xml:space="preserve"> and 0.291 of the Commission’s rules, 47 C.F.R. §§ 0.91, 0.291, </w:t>
      </w:r>
      <w:r>
        <w:t>the Opposition to the Request for Confidential Treatment filed by Bandwidth.com IS D</w:t>
      </w:r>
      <w:r w:rsidR="00C80A4C">
        <w:t>ISMISSED IN PART and otherwise IS D</w:t>
      </w:r>
      <w:r>
        <w:t>ENIED.</w:t>
      </w:r>
    </w:p>
    <w:p w:rsidR="00B5371A" w:rsidRPr="006036FB" w:rsidRDefault="00B947C9" w:rsidP="009C6979">
      <w:pPr>
        <w:pStyle w:val="ParaNum"/>
        <w:widowControl/>
        <w:jc w:val="left"/>
        <w:rPr>
          <w:szCs w:val="22"/>
        </w:rPr>
      </w:pPr>
      <w:r w:rsidRPr="003C2F5E">
        <w:t xml:space="preserve"> </w:t>
      </w:r>
      <w:r w:rsidR="00C3219F">
        <w:t xml:space="preserve">IT IS FURTHER ORDERED, pursuant to the authority delegated under sections 0.91, 0.291 and 1.102 of the Commission’s rules, 47 C.F.R. §§ 0.91, 0.291, 1.102, that this Order </w:t>
      </w:r>
      <w:r w:rsidR="004E3B38">
        <w:t xml:space="preserve">IS </w:t>
      </w:r>
      <w:r w:rsidR="00C3219F">
        <w:t xml:space="preserve"> EFFECTIVE upon release.</w:t>
      </w:r>
      <w:r w:rsidR="00D2103F" w:rsidRPr="006036FB">
        <w:rPr>
          <w:szCs w:val="22"/>
        </w:rPr>
        <w:br/>
      </w:r>
    </w:p>
    <w:p w:rsidR="00800C79" w:rsidRDefault="00800C79" w:rsidP="006036FB">
      <w:pPr>
        <w:pStyle w:val="ParaNum"/>
        <w:keepNext/>
        <w:keepLines/>
        <w:widowControl/>
        <w:numPr>
          <w:ilvl w:val="0"/>
          <w:numId w:val="0"/>
        </w:numPr>
        <w:spacing w:after="0"/>
        <w:ind w:firstLine="720"/>
      </w:pPr>
      <w:r>
        <w:tab/>
      </w:r>
      <w:r>
        <w:tab/>
      </w:r>
      <w:r>
        <w:tab/>
      </w:r>
      <w:r>
        <w:tab/>
      </w:r>
      <w:r>
        <w:tab/>
        <w:t>FEDERAL COMMUNICATIONS COMMISSION</w:t>
      </w:r>
    </w:p>
    <w:p w:rsidR="00800C79" w:rsidRDefault="00800C79" w:rsidP="006036FB">
      <w:pPr>
        <w:pStyle w:val="ParaNum"/>
        <w:keepNext/>
        <w:keepLines/>
        <w:widowControl/>
        <w:numPr>
          <w:ilvl w:val="0"/>
          <w:numId w:val="0"/>
        </w:numPr>
        <w:spacing w:after="0"/>
        <w:ind w:firstLine="720"/>
      </w:pPr>
    </w:p>
    <w:p w:rsidR="00800C79" w:rsidRDefault="00800C79" w:rsidP="006036FB">
      <w:pPr>
        <w:pStyle w:val="ParaNum"/>
        <w:keepNext/>
        <w:keepLines/>
        <w:widowControl/>
        <w:numPr>
          <w:ilvl w:val="0"/>
          <w:numId w:val="0"/>
        </w:numPr>
        <w:spacing w:after="0"/>
        <w:ind w:firstLine="720"/>
      </w:pPr>
    </w:p>
    <w:p w:rsidR="00800C79" w:rsidRDefault="00800C79" w:rsidP="006036FB">
      <w:pPr>
        <w:pStyle w:val="ParaNum"/>
        <w:keepNext/>
        <w:keepLines/>
        <w:widowControl/>
        <w:numPr>
          <w:ilvl w:val="0"/>
          <w:numId w:val="0"/>
        </w:numPr>
        <w:spacing w:after="0"/>
        <w:ind w:firstLine="720"/>
      </w:pPr>
    </w:p>
    <w:p w:rsidR="00800C79" w:rsidRDefault="00800C79" w:rsidP="006036FB">
      <w:pPr>
        <w:pStyle w:val="ParaNum"/>
        <w:keepNext/>
        <w:keepLines/>
        <w:widowControl/>
        <w:numPr>
          <w:ilvl w:val="0"/>
          <w:numId w:val="0"/>
        </w:numPr>
        <w:spacing w:after="0"/>
        <w:ind w:firstLine="720"/>
      </w:pPr>
    </w:p>
    <w:p w:rsidR="00800C79" w:rsidRDefault="00800C79" w:rsidP="006036FB">
      <w:pPr>
        <w:keepNext/>
        <w:keepLines/>
      </w:pPr>
      <w:r>
        <w:tab/>
      </w:r>
      <w:r>
        <w:tab/>
      </w:r>
      <w:r>
        <w:tab/>
      </w:r>
      <w:r>
        <w:tab/>
      </w:r>
      <w:r>
        <w:tab/>
      </w:r>
      <w:r>
        <w:tab/>
        <w:t>Julie A. Veach</w:t>
      </w:r>
    </w:p>
    <w:p w:rsidR="00800C79" w:rsidRDefault="00800C79" w:rsidP="006036FB">
      <w:pPr>
        <w:keepNext/>
        <w:keepLines/>
        <w:tabs>
          <w:tab w:val="left" w:pos="4320"/>
        </w:tabs>
      </w:pPr>
      <w:r>
        <w:tab/>
        <w:t>Chief</w:t>
      </w:r>
    </w:p>
    <w:p w:rsidR="00800C79" w:rsidRPr="00E44581" w:rsidRDefault="00800C79" w:rsidP="006036FB">
      <w:pPr>
        <w:keepNext/>
        <w:keepLines/>
        <w:tabs>
          <w:tab w:val="left" w:pos="4320"/>
        </w:tabs>
        <w:rPr>
          <w:b/>
          <w:szCs w:val="22"/>
        </w:rPr>
      </w:pPr>
      <w:r>
        <w:tab/>
      </w:r>
      <w:r w:rsidRPr="00F87E02">
        <w:rPr>
          <w:szCs w:val="22"/>
        </w:rPr>
        <w:t>Wir</w:t>
      </w:r>
      <w:r w:rsidRPr="00E44581">
        <w:rPr>
          <w:szCs w:val="22"/>
        </w:rPr>
        <w:t>eline Competition Bureau</w:t>
      </w:r>
    </w:p>
    <w:p w:rsidR="0027545B" w:rsidRPr="0027545B" w:rsidRDefault="0027545B" w:rsidP="009C6979">
      <w:pPr>
        <w:pStyle w:val="ParaNum"/>
        <w:widowControl/>
        <w:numPr>
          <w:ilvl w:val="0"/>
          <w:numId w:val="0"/>
        </w:numPr>
        <w:ind w:firstLine="720"/>
      </w:pPr>
    </w:p>
    <w:sectPr w:rsidR="0027545B" w:rsidRPr="002754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DC" w:rsidRDefault="005A7FDC">
      <w:r>
        <w:separator/>
      </w:r>
    </w:p>
  </w:endnote>
  <w:endnote w:type="continuationSeparator" w:id="0">
    <w:p w:rsidR="005A7FDC" w:rsidRDefault="005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52" w:rsidRDefault="00AA2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DC" w:rsidRDefault="00DF4EDC">
    <w:pPr>
      <w:pStyle w:val="Footer"/>
      <w:jc w:val="center"/>
    </w:pPr>
    <w:r>
      <w:rPr>
        <w:rStyle w:val="PageNumber"/>
      </w:rPr>
      <w:fldChar w:fldCharType="begin"/>
    </w:r>
    <w:r>
      <w:rPr>
        <w:rStyle w:val="PageNumber"/>
      </w:rPr>
      <w:instrText xml:space="preserve"> PAGE </w:instrText>
    </w:r>
    <w:r>
      <w:rPr>
        <w:rStyle w:val="PageNumber"/>
      </w:rPr>
      <w:fldChar w:fldCharType="separate"/>
    </w:r>
    <w:r w:rsidR="0002596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52" w:rsidRDefault="00AA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DC" w:rsidRDefault="005A7FDC">
      <w:pPr>
        <w:rPr>
          <w:sz w:val="20"/>
        </w:rPr>
      </w:pPr>
      <w:r>
        <w:rPr>
          <w:sz w:val="20"/>
        </w:rPr>
        <w:separator/>
      </w:r>
    </w:p>
  </w:footnote>
  <w:footnote w:type="continuationSeparator" w:id="0">
    <w:p w:rsidR="005A7FDC" w:rsidRDefault="005A7FDC">
      <w:pPr>
        <w:rPr>
          <w:sz w:val="20"/>
        </w:rPr>
      </w:pPr>
      <w:r>
        <w:rPr>
          <w:sz w:val="20"/>
        </w:rPr>
        <w:separator/>
      </w:r>
    </w:p>
    <w:p w:rsidR="005A7FDC" w:rsidRDefault="005A7FDC">
      <w:pPr>
        <w:rPr>
          <w:sz w:val="20"/>
        </w:rPr>
      </w:pPr>
      <w:r>
        <w:rPr>
          <w:sz w:val="20"/>
        </w:rPr>
        <w:t>(...continued from previous page)</w:t>
      </w:r>
    </w:p>
  </w:footnote>
  <w:footnote w:type="continuationNotice" w:id="1">
    <w:p w:rsidR="005A7FDC" w:rsidRDefault="005A7FDC">
      <w:pPr>
        <w:jc w:val="right"/>
        <w:rPr>
          <w:sz w:val="20"/>
        </w:rPr>
      </w:pPr>
      <w:r>
        <w:rPr>
          <w:sz w:val="20"/>
        </w:rPr>
        <w:t>(continued....)</w:t>
      </w:r>
    </w:p>
  </w:footnote>
  <w:footnote w:id="2">
    <w:p w:rsidR="00DF4EDC" w:rsidRDefault="00DF4EDC" w:rsidP="009C6979">
      <w:pPr>
        <w:pStyle w:val="FootnoteText"/>
        <w:jc w:val="left"/>
      </w:pPr>
      <w:r>
        <w:rPr>
          <w:rStyle w:val="FootnoteReference"/>
        </w:rPr>
        <w:footnoteRef/>
      </w:r>
      <w:r>
        <w:t xml:space="preserve"> 47 C.F.R. § 52.15(g)(2)(i).</w:t>
      </w:r>
    </w:p>
  </w:footnote>
  <w:footnote w:id="3">
    <w:p w:rsidR="00DF4EDC" w:rsidRDefault="00DF4EDC" w:rsidP="00E32DF5">
      <w:pPr>
        <w:pStyle w:val="FootnoteText"/>
        <w:jc w:val="left"/>
      </w:pPr>
      <w:r>
        <w:rPr>
          <w:rStyle w:val="FootnoteReference"/>
        </w:rPr>
        <w:footnoteRef/>
      </w:r>
      <w:r>
        <w:t xml:space="preserve"> </w:t>
      </w:r>
      <w:r>
        <w:rPr>
          <w:i/>
        </w:rPr>
        <w:t>See</w:t>
      </w:r>
      <w:r>
        <w:t xml:space="preserve"> </w:t>
      </w:r>
      <w:r>
        <w:rPr>
          <w:i/>
        </w:rPr>
        <w:t>Numbering Policies for Modern Communications et al.</w:t>
      </w:r>
      <w:r>
        <w:t xml:space="preserve">, WC Docket No. 13-97 </w:t>
      </w:r>
      <w:r w:rsidRPr="001609E3">
        <w:rPr>
          <w:i/>
        </w:rPr>
        <w:t>et al</w:t>
      </w:r>
      <w:r>
        <w:t>., Notice of Proposed Rulemaking, Order, and Notice of Inquiry, 28 FCC Rcd 5842 (2013) (</w:t>
      </w:r>
      <w:r>
        <w:rPr>
          <w:i/>
        </w:rPr>
        <w:t>Direct Access Order</w:t>
      </w:r>
      <w:r>
        <w:t xml:space="preserve">). </w:t>
      </w:r>
    </w:p>
  </w:footnote>
  <w:footnote w:id="4">
    <w:p w:rsidR="00DF4EDC" w:rsidRDefault="00DF4EDC" w:rsidP="00E32DF5">
      <w:pPr>
        <w:pStyle w:val="FootnoteText"/>
        <w:jc w:val="left"/>
      </w:pPr>
      <w:r>
        <w:rPr>
          <w:rStyle w:val="FootnoteReference"/>
        </w:rPr>
        <w:footnoteRef/>
      </w:r>
      <w:r>
        <w:rPr>
          <w:i/>
        </w:rPr>
        <w:t xml:space="preserve"> Id</w:t>
      </w:r>
      <w:r>
        <w:t>. at 5844, para. 2.</w:t>
      </w:r>
    </w:p>
  </w:footnote>
  <w:footnote w:id="5">
    <w:p w:rsidR="00DF4EDC" w:rsidRDefault="00DF4EDC" w:rsidP="00E32DF5">
      <w:pPr>
        <w:pStyle w:val="FootnoteText"/>
        <w:jc w:val="left"/>
      </w:pPr>
      <w:r>
        <w:rPr>
          <w:rStyle w:val="FootnoteReference"/>
        </w:rPr>
        <w:footnoteRef/>
      </w:r>
      <w:r>
        <w:t xml:space="preserve"> </w:t>
      </w:r>
      <w:r w:rsidRPr="00915D25">
        <w:rPr>
          <w:i/>
        </w:rPr>
        <w:t>Id.</w:t>
      </w:r>
      <w:r>
        <w:t xml:space="preserve"> </w:t>
      </w:r>
    </w:p>
  </w:footnote>
  <w:footnote w:id="6">
    <w:p w:rsidR="00DF4EDC" w:rsidRDefault="00DF4EDC" w:rsidP="00E32DF5">
      <w:pPr>
        <w:pStyle w:val="FootnoteText"/>
        <w:jc w:val="left"/>
      </w:pPr>
      <w:r>
        <w:rPr>
          <w:rStyle w:val="FootnoteReference"/>
        </w:rPr>
        <w:footnoteRef/>
      </w:r>
      <w:r>
        <w:t xml:space="preserve"> </w:t>
      </w:r>
      <w:r w:rsidRPr="00E6011E">
        <w:rPr>
          <w:i/>
        </w:rPr>
        <w:t>Id</w:t>
      </w:r>
      <w:r>
        <w:t>. at 5882, para. 101.</w:t>
      </w:r>
      <w:r w:rsidR="003825FF">
        <w:t xml:space="preserve">  The Order was released on April 18, 2013.  </w:t>
      </w:r>
    </w:p>
  </w:footnote>
  <w:footnote w:id="7">
    <w:p w:rsidR="00DF4EDC" w:rsidRDefault="00DF4EDC" w:rsidP="00E32DF5">
      <w:pPr>
        <w:pStyle w:val="FootnoteText"/>
        <w:jc w:val="left"/>
      </w:pPr>
      <w:r>
        <w:rPr>
          <w:rStyle w:val="FootnoteReference"/>
        </w:rPr>
        <w:footnoteRef/>
      </w:r>
      <w:r>
        <w:t xml:space="preserve"> </w:t>
      </w:r>
      <w:r w:rsidRPr="00E6011E">
        <w:rPr>
          <w:i/>
        </w:rPr>
        <w:t>Id</w:t>
      </w:r>
      <w:r>
        <w:t xml:space="preserve">. </w:t>
      </w:r>
    </w:p>
  </w:footnote>
  <w:footnote w:id="8">
    <w:p w:rsidR="00DF4EDC" w:rsidRDefault="00DF4EDC" w:rsidP="00E32DF5">
      <w:pPr>
        <w:pStyle w:val="FootnoteText"/>
        <w:jc w:val="left"/>
      </w:pPr>
      <w:r>
        <w:rPr>
          <w:rStyle w:val="FootnoteReference"/>
        </w:rPr>
        <w:footnoteRef/>
      </w:r>
      <w:r>
        <w:t xml:space="preserve"> </w:t>
      </w:r>
      <w:r w:rsidRPr="00E6011E">
        <w:rPr>
          <w:i/>
        </w:rPr>
        <w:t>Id</w:t>
      </w:r>
      <w:r>
        <w:t xml:space="preserve">. </w:t>
      </w:r>
    </w:p>
  </w:footnote>
  <w:footnote w:id="9">
    <w:p w:rsidR="00DF4EDC" w:rsidRDefault="00DF4EDC" w:rsidP="00E32DF5">
      <w:pPr>
        <w:pStyle w:val="FootnoteText"/>
        <w:jc w:val="left"/>
      </w:pPr>
      <w:r>
        <w:rPr>
          <w:rStyle w:val="FootnoteReference"/>
        </w:rPr>
        <w:footnoteRef/>
      </w:r>
      <w:r>
        <w:t xml:space="preserve"> </w:t>
      </w:r>
      <w:r w:rsidRPr="00E6011E">
        <w:rPr>
          <w:i/>
        </w:rPr>
        <w:t>Id</w:t>
      </w:r>
      <w:r>
        <w:t xml:space="preserve">. </w:t>
      </w:r>
    </w:p>
  </w:footnote>
  <w:footnote w:id="10">
    <w:p w:rsidR="00DF4EDC" w:rsidRDefault="00DF4EDC" w:rsidP="00E32DF5">
      <w:pPr>
        <w:pStyle w:val="FootnoteText"/>
        <w:jc w:val="left"/>
      </w:pPr>
      <w:r>
        <w:rPr>
          <w:rStyle w:val="FootnoteReference"/>
        </w:rPr>
        <w:footnoteRef/>
      </w:r>
      <w:r>
        <w:t xml:space="preserve"> Letter from Brita D. Strandberg, Counsel to Vonage Holdings Corp., to Marlene H. Dortch, Secretary, Federal Communications Commission, WC Docket No. 13-97 </w:t>
      </w:r>
      <w:r>
        <w:rPr>
          <w:i/>
        </w:rPr>
        <w:t>et al.</w:t>
      </w:r>
      <w:r>
        <w:t xml:space="preserve"> (filed May 17, 2013) (Vonage Trial Proposal); Letter from Randall B. Lowe, Davis Wright Tremaine LLP, to Marlene H. Dortch, Secretary, Federal Communications Commission, WC Docket No. 13-97 </w:t>
      </w:r>
      <w:r>
        <w:rPr>
          <w:i/>
        </w:rPr>
        <w:t>et al.</w:t>
      </w:r>
      <w:r>
        <w:t xml:space="preserve"> (filed May 17, 2013) (submitting Numbering Plan Proposal of SmartEdgeNet, LLC) (SmartEdgeNet Trial Proposal).  </w:t>
      </w:r>
    </w:p>
  </w:footnote>
  <w:footnote w:id="11">
    <w:p w:rsidR="00DF4EDC" w:rsidRDefault="00DF4EDC" w:rsidP="00E32DF5">
      <w:pPr>
        <w:pStyle w:val="FootnoteText"/>
        <w:jc w:val="left"/>
      </w:pPr>
      <w:r>
        <w:rPr>
          <w:rStyle w:val="FootnoteReference"/>
        </w:rPr>
        <w:footnoteRef/>
      </w:r>
      <w:r>
        <w:t xml:space="preserve"> WilTel Trial Proposal, WC Docket No. 13-97 </w:t>
      </w:r>
      <w:r>
        <w:rPr>
          <w:i/>
        </w:rPr>
        <w:t>et al.</w:t>
      </w:r>
      <w:r>
        <w:t xml:space="preserve"> (filed May 20, 2013) (WilTel Trial Proposal); Letter from Kristin Manwarren, Corporate Counsel, IntelePeer, Inc., to Marlene H. Dortch, Secretary, Federal Communications Commission, WC Docket No. 13-97 </w:t>
      </w:r>
      <w:r>
        <w:rPr>
          <w:i/>
        </w:rPr>
        <w:t>et al.</w:t>
      </w:r>
      <w:r w:rsidR="007D5ADB">
        <w:t xml:space="preserve"> (filed May 20, 2013) (InteleP</w:t>
      </w:r>
      <w:r>
        <w:t xml:space="preserve">eer Trial Proposal).  </w:t>
      </w:r>
    </w:p>
  </w:footnote>
  <w:footnote w:id="12">
    <w:p w:rsidR="00DF4EDC" w:rsidRDefault="00DF4EDC" w:rsidP="009C6979">
      <w:pPr>
        <w:spacing w:after="120"/>
      </w:pPr>
      <w:r>
        <w:rPr>
          <w:rStyle w:val="FootnoteReference"/>
        </w:rPr>
        <w:footnoteRef/>
      </w:r>
      <w:r>
        <w:t xml:space="preserve"> </w:t>
      </w:r>
      <w:r>
        <w:rPr>
          <w:i/>
          <w:sz w:val="20"/>
        </w:rPr>
        <w:t>See</w:t>
      </w:r>
      <w:r>
        <w:rPr>
          <w:sz w:val="20"/>
        </w:rPr>
        <w:t xml:space="preserve"> Letter from Duane Dyar, Vice President/Operations, Millicorp, to Marlene H. Dortch, Secretary, Federal Communications Commission, WC Docket No. 13-97 </w:t>
      </w:r>
      <w:r>
        <w:rPr>
          <w:i/>
          <w:sz w:val="20"/>
        </w:rPr>
        <w:t>et al.</w:t>
      </w:r>
      <w:r>
        <w:rPr>
          <w:sz w:val="20"/>
        </w:rPr>
        <w:t xml:space="preserve"> (filed May 22, 2013) (Millicorp Trial Proposal).</w:t>
      </w:r>
      <w:r>
        <w:t xml:space="preserve">  </w:t>
      </w:r>
      <w:r>
        <w:rPr>
          <w:sz w:val="20"/>
        </w:rPr>
        <w:t>In its letter, Millicorp requests leave to file its proposal out of time and for the Commission to accept its filing as if it had been timely.</w:t>
      </w:r>
      <w:r w:rsidRPr="008C6F41">
        <w:rPr>
          <w:color w:val="000000"/>
          <w:sz w:val="20"/>
          <w:szCs w:val="20"/>
        </w:rPr>
        <w:t xml:space="preserve"> </w:t>
      </w:r>
    </w:p>
  </w:footnote>
  <w:footnote w:id="13">
    <w:p w:rsidR="00DF4EDC" w:rsidRDefault="00DF4EDC" w:rsidP="00E32DF5">
      <w:pPr>
        <w:pStyle w:val="FootnoteText"/>
        <w:jc w:val="left"/>
      </w:pPr>
      <w:r>
        <w:rPr>
          <w:rStyle w:val="FootnoteReference"/>
        </w:rPr>
        <w:footnoteRef/>
      </w:r>
      <w:r>
        <w:t xml:space="preserve"> </w:t>
      </w:r>
      <w:r w:rsidRPr="001609E3">
        <w:rPr>
          <w:i/>
        </w:rPr>
        <w:t>See</w:t>
      </w:r>
      <w:r>
        <w:t xml:space="preserve"> Fractel, LLC Petition for Reconsideration, WC Docket No. 13-97 </w:t>
      </w:r>
      <w:r w:rsidRPr="001609E3">
        <w:rPr>
          <w:i/>
        </w:rPr>
        <w:t>et al</w:t>
      </w:r>
      <w:r>
        <w:t>. (filed May 20, 2013)</w:t>
      </w:r>
      <w:r w:rsidR="00060F48">
        <w:t xml:space="preserve"> (Fractel Petition for Reconsideration)</w:t>
      </w:r>
      <w:r>
        <w:t xml:space="preserve">.  </w:t>
      </w:r>
    </w:p>
  </w:footnote>
  <w:footnote w:id="14">
    <w:p w:rsidR="00DF4EDC" w:rsidRDefault="00DF4EDC" w:rsidP="00E32DF5">
      <w:pPr>
        <w:pStyle w:val="FootnoteText"/>
        <w:jc w:val="left"/>
      </w:pPr>
      <w:r>
        <w:rPr>
          <w:rStyle w:val="FootnoteReference"/>
        </w:rPr>
        <w:footnoteRef/>
      </w:r>
      <w:r>
        <w:t xml:space="preserve"> Letter from James C. Falvey, Counsel for Bandwidth.com, Inc. to Ms. Marlene H. Dortch, Secretary, Federal Communications Commission, CC Docket No. 99-200 (filed May 21, 2013) (Bandwidth.com Opposition). </w:t>
      </w:r>
    </w:p>
  </w:footnote>
  <w:footnote w:id="15">
    <w:p w:rsidR="00DF4EDC" w:rsidRDefault="00DF4EDC" w:rsidP="00E32DF5">
      <w:pPr>
        <w:pStyle w:val="FootnoteText"/>
        <w:jc w:val="left"/>
      </w:pPr>
      <w:r>
        <w:rPr>
          <w:rStyle w:val="FootnoteReference"/>
        </w:rPr>
        <w:footnoteRef/>
      </w:r>
      <w:r>
        <w:t xml:space="preserve"> Letter from Brita D. Strandberg, Counsel to Vonage Holdings Corp. to Marlene H. Dortch, Secretary, Federal Communications, WC Docket No. 13-97 et al. (filed May 24, 2013); Letter from Kristin Manwa</w:t>
      </w:r>
      <w:r w:rsidR="007D5ADB">
        <w:t>rren, Corporate Counsel, InteleP</w:t>
      </w:r>
      <w:r>
        <w:t xml:space="preserve">eer, Inc. to Marlene H. Dortch, Secretary, Federal Communications Commission, WC Docket No. 13-97 </w:t>
      </w:r>
      <w:r w:rsidRPr="00A223EC">
        <w:rPr>
          <w:i/>
        </w:rPr>
        <w:t>et al</w:t>
      </w:r>
      <w:r>
        <w:t>. (filed May 30, 2013).</w:t>
      </w:r>
    </w:p>
  </w:footnote>
  <w:footnote w:id="16">
    <w:p w:rsidR="00DF4EDC" w:rsidRDefault="00DF4EDC" w:rsidP="00E32DF5">
      <w:pPr>
        <w:pStyle w:val="FootnoteText"/>
        <w:jc w:val="left"/>
      </w:pPr>
      <w:r>
        <w:rPr>
          <w:rStyle w:val="FootnoteReference"/>
        </w:rPr>
        <w:footnoteRef/>
      </w:r>
      <w:r>
        <w:t xml:space="preserve"> </w:t>
      </w:r>
      <w:r w:rsidRPr="00103A13">
        <w:rPr>
          <w:i/>
        </w:rPr>
        <w:t>Direct Access Order</w:t>
      </w:r>
      <w:r>
        <w:t>, 28 FCC Rcd at 5849 n.35.</w:t>
      </w:r>
    </w:p>
  </w:footnote>
  <w:footnote w:id="17">
    <w:p w:rsidR="00DF4EDC" w:rsidRDefault="00DF4EDC" w:rsidP="00E32DF5">
      <w:pPr>
        <w:pStyle w:val="FootnoteText"/>
        <w:jc w:val="left"/>
      </w:pPr>
      <w:r>
        <w:rPr>
          <w:rStyle w:val="FootnoteReference"/>
        </w:rPr>
        <w:footnoteRef/>
      </w:r>
      <w:r>
        <w:t xml:space="preserve"> Vonage Trial Proposal at 2-3. </w:t>
      </w:r>
    </w:p>
  </w:footnote>
  <w:footnote w:id="18">
    <w:p w:rsidR="00DF4EDC" w:rsidRDefault="00DF4EDC" w:rsidP="00E32DF5">
      <w:pPr>
        <w:pStyle w:val="FootnoteText"/>
        <w:jc w:val="left"/>
      </w:pPr>
      <w:r>
        <w:rPr>
          <w:rStyle w:val="FootnoteReference"/>
        </w:rPr>
        <w:footnoteRef/>
      </w:r>
      <w:r>
        <w:t xml:space="preserve"> SmartEdgeNet Trial Proposal at 1.</w:t>
      </w:r>
    </w:p>
  </w:footnote>
  <w:footnote w:id="19">
    <w:p w:rsidR="00DF4EDC" w:rsidRDefault="00DF4EDC" w:rsidP="00E32DF5">
      <w:pPr>
        <w:pStyle w:val="FootnoteText"/>
        <w:jc w:val="left"/>
      </w:pPr>
      <w:r>
        <w:rPr>
          <w:rStyle w:val="FootnoteReference"/>
        </w:rPr>
        <w:footnoteRef/>
      </w:r>
      <w:r>
        <w:t xml:space="preserve"> WilTel Trial Proposal at Attachment 2.  WilTel indicates that it intends to include both wholesale and enterprise lines in the trial.  </w:t>
      </w:r>
      <w:r w:rsidRPr="00103A13">
        <w:rPr>
          <w:i/>
        </w:rPr>
        <w:t xml:space="preserve">See </w:t>
      </w:r>
      <w:r>
        <w:t xml:space="preserve">Letter from Joseph C. Cavender, Vice President, Federal Regulatory Affairs, Level 3 to Ms. Marlene H. Dortch, Secretary, Federal Communications Commission, WC Docket No. 13-97 </w:t>
      </w:r>
      <w:r w:rsidRPr="00103A13">
        <w:rPr>
          <w:i/>
        </w:rPr>
        <w:t>et al</w:t>
      </w:r>
      <w:r>
        <w:t>. (</w:t>
      </w:r>
      <w:r w:rsidR="00FC0FF5">
        <w:t xml:space="preserve">filed </w:t>
      </w:r>
      <w:r>
        <w:t>May 28, 2013).</w:t>
      </w:r>
    </w:p>
  </w:footnote>
  <w:footnote w:id="20">
    <w:p w:rsidR="00DF4EDC" w:rsidRDefault="00DF4EDC" w:rsidP="00E32DF5">
      <w:pPr>
        <w:pStyle w:val="FootnoteText"/>
        <w:jc w:val="left"/>
      </w:pPr>
      <w:r>
        <w:rPr>
          <w:rStyle w:val="FootnoteReference"/>
        </w:rPr>
        <w:footnoteRef/>
      </w:r>
      <w:r w:rsidR="007D5ADB">
        <w:t xml:space="preserve"> InteleP</w:t>
      </w:r>
      <w:r>
        <w:t>eer Trial Proposal at 4.</w:t>
      </w:r>
    </w:p>
  </w:footnote>
  <w:footnote w:id="21">
    <w:p w:rsidR="00DF4EDC" w:rsidRDefault="00DF4EDC" w:rsidP="00E32DF5">
      <w:pPr>
        <w:pStyle w:val="FootnoteText"/>
        <w:jc w:val="left"/>
      </w:pPr>
      <w:r>
        <w:rPr>
          <w:rStyle w:val="FootnoteReference"/>
        </w:rPr>
        <w:footnoteRef/>
      </w:r>
      <w:r>
        <w:t xml:space="preserve"> Millicorp Trial Proposal at 4. </w:t>
      </w:r>
    </w:p>
  </w:footnote>
  <w:footnote w:id="22">
    <w:p w:rsidR="00DF4EDC" w:rsidRDefault="00DF4EDC" w:rsidP="00E32DF5">
      <w:pPr>
        <w:pStyle w:val="FootnoteText"/>
        <w:jc w:val="left"/>
      </w:pPr>
      <w:r>
        <w:rPr>
          <w:rStyle w:val="FootnoteReference"/>
        </w:rPr>
        <w:footnoteRef/>
      </w:r>
      <w:r>
        <w:t xml:space="preserve"> 47 C.F.R. § 1.46.  </w:t>
      </w:r>
    </w:p>
  </w:footnote>
  <w:footnote w:id="23">
    <w:p w:rsidR="00CD19A5" w:rsidRPr="00E32DF5" w:rsidRDefault="00CD19A5" w:rsidP="009C6979">
      <w:pPr>
        <w:pStyle w:val="FootnoteText"/>
        <w:jc w:val="left"/>
      </w:pPr>
      <w:r>
        <w:rPr>
          <w:rStyle w:val="FootnoteReference"/>
        </w:rPr>
        <w:footnoteRef/>
      </w:r>
      <w:r>
        <w:t xml:space="preserve"> </w:t>
      </w:r>
      <w:r w:rsidR="00E32DF5">
        <w:rPr>
          <w:i/>
        </w:rPr>
        <w:t>Direct Access Order</w:t>
      </w:r>
      <w:r w:rsidR="00E32DF5">
        <w:t>, 28 FCC Rcd at 5878, para. 87.</w:t>
      </w:r>
    </w:p>
  </w:footnote>
  <w:footnote w:id="24">
    <w:p w:rsidR="0089650F" w:rsidRDefault="0089650F">
      <w:pPr>
        <w:pStyle w:val="FootnoteText"/>
      </w:pPr>
      <w:r>
        <w:rPr>
          <w:rStyle w:val="FootnoteReference"/>
        </w:rPr>
        <w:footnoteRef/>
      </w:r>
      <w:r>
        <w:t xml:space="preserve"> </w:t>
      </w:r>
      <w:r w:rsidR="00E63D74">
        <w:t xml:space="preserve">We will address </w:t>
      </w:r>
      <w:r>
        <w:t>Fractel</w:t>
      </w:r>
      <w:r w:rsidR="00E63D74">
        <w:t>’s</w:t>
      </w:r>
      <w:r>
        <w:t xml:space="preserve"> Petition for Reconsideration</w:t>
      </w:r>
      <w:r w:rsidR="00E63D74">
        <w:t xml:space="preserve"> in a </w:t>
      </w:r>
      <w:r>
        <w:t xml:space="preserve">separate order. </w:t>
      </w:r>
    </w:p>
  </w:footnote>
  <w:footnote w:id="25">
    <w:p w:rsidR="007977E3" w:rsidRDefault="007977E3">
      <w:pPr>
        <w:pStyle w:val="FootnoteText"/>
      </w:pPr>
      <w:r>
        <w:rPr>
          <w:rStyle w:val="FootnoteReference"/>
        </w:rPr>
        <w:footnoteRef/>
      </w:r>
      <w:r>
        <w:t xml:space="preserve"> </w:t>
      </w:r>
      <w:r w:rsidRPr="007568E0">
        <w:rPr>
          <w:i/>
        </w:rPr>
        <w:t>Direct Access Order</w:t>
      </w:r>
      <w:r>
        <w:t>, 28 FCC Rcd at 5878, para. 89.</w:t>
      </w:r>
    </w:p>
  </w:footnote>
  <w:footnote w:id="26">
    <w:p w:rsidR="00DF4EDC" w:rsidRDefault="00DF4EDC" w:rsidP="00E32DF5">
      <w:pPr>
        <w:pStyle w:val="FootnoteText"/>
        <w:jc w:val="left"/>
      </w:pPr>
      <w:r>
        <w:rPr>
          <w:rStyle w:val="FootnoteReference"/>
        </w:rPr>
        <w:footnoteRef/>
      </w:r>
      <w:r>
        <w:t xml:space="preserve"> Bandwidth.com Opposition at 3. </w:t>
      </w:r>
    </w:p>
  </w:footnote>
  <w:footnote w:id="27">
    <w:p w:rsidR="00DF4EDC" w:rsidRDefault="00DF4EDC" w:rsidP="00E32DF5">
      <w:pPr>
        <w:pStyle w:val="FootnoteText"/>
        <w:jc w:val="left"/>
      </w:pPr>
      <w:r>
        <w:rPr>
          <w:rStyle w:val="FootnoteReference"/>
        </w:rPr>
        <w:footnoteRef/>
      </w:r>
      <w:r>
        <w:t xml:space="preserve"> </w:t>
      </w:r>
      <w:r w:rsidRPr="00F91067">
        <w:rPr>
          <w:i/>
        </w:rPr>
        <w:t>Direct Access Order</w:t>
      </w:r>
      <w:r>
        <w:t xml:space="preserve">, 28 FCC Rcd at 5882, para. 101.  We note that Bandwidth has signed a protective order in this docket and thus </w:t>
      </w:r>
      <w:r w:rsidR="00036277">
        <w:t xml:space="preserve">there is no reason to believe that it </w:t>
      </w:r>
      <w:r>
        <w:t>experience</w:t>
      </w:r>
      <w:r w:rsidR="00036277">
        <w:t>d</w:t>
      </w:r>
      <w:r>
        <w:t xml:space="preserve"> any significant delay in access to unredacted proposals</w:t>
      </w:r>
      <w:r w:rsidR="00036277">
        <w:t xml:space="preserve"> prior to the prompt withdrawal of requests for confidentiality</w:t>
      </w:r>
      <w:r>
        <w:t>.</w:t>
      </w:r>
      <w:r w:rsidR="002E6669">
        <w:t xml:space="preserve">  </w:t>
      </w:r>
      <w:r w:rsidR="002E6669">
        <w:rPr>
          <w:i/>
        </w:rPr>
        <w:t>See</w:t>
      </w:r>
      <w:r w:rsidR="002E6669">
        <w:t xml:space="preserve"> Letter from Justin L. Faulb, Counsel to </w:t>
      </w:r>
      <w:r w:rsidR="00036277">
        <w:t xml:space="preserve">Level 3 Communications, LLC and Bandwidth.com, Inc. to Marlene H. Dortch, Secretary, </w:t>
      </w:r>
      <w:r w:rsidR="00E04A26">
        <w:t>Federal Communications Commission</w:t>
      </w:r>
      <w:r w:rsidR="00036277">
        <w:t>, CC Docket No. 99-200 (filed Oct. 19, 2012) (providing signed acknowledgements of confidentiality forms for two attorneys representi</w:t>
      </w:r>
      <w:r w:rsidR="00AC6603">
        <w:t>ng Bandwidth in the proceeding).</w:t>
      </w:r>
    </w:p>
  </w:footnote>
  <w:footnote w:id="28">
    <w:p w:rsidR="00DF4EDC" w:rsidRDefault="00DF4EDC" w:rsidP="00E32DF5">
      <w:pPr>
        <w:pStyle w:val="FootnoteText"/>
        <w:jc w:val="left"/>
      </w:pPr>
      <w:r>
        <w:rPr>
          <w:rStyle w:val="FootnoteReference"/>
        </w:rPr>
        <w:footnoteRef/>
      </w:r>
      <w:r>
        <w:t xml:space="preserve"> </w:t>
      </w:r>
      <w:r w:rsidRPr="009018AB">
        <w:rPr>
          <w:i/>
          <w:szCs w:val="20"/>
        </w:rPr>
        <w:t>Administration of the North American Numbering Plan</w:t>
      </w:r>
      <w:r>
        <w:rPr>
          <w:szCs w:val="20"/>
        </w:rPr>
        <w:t>, CC Docket No. 99-200, Order</w:t>
      </w:r>
      <w:r w:rsidRPr="00587145">
        <w:t xml:space="preserve">, 20 FCC Rcd </w:t>
      </w:r>
      <w:r>
        <w:rPr>
          <w:szCs w:val="20"/>
        </w:rPr>
        <w:t>2957 (2005) (</w:t>
      </w:r>
      <w:r w:rsidRPr="00F65EBA">
        <w:rPr>
          <w:i/>
          <w:szCs w:val="20"/>
        </w:rPr>
        <w:t>SBCIS Waiver Order</w:t>
      </w:r>
      <w:r>
        <w:rPr>
          <w:szCs w:val="20"/>
        </w:rPr>
        <w:t>)</w:t>
      </w:r>
      <w:r w:rsidRPr="00F65EBA">
        <w:rPr>
          <w:szCs w:val="20"/>
        </w:rPr>
        <w:t>.</w:t>
      </w:r>
      <w:r w:rsidRPr="00587145">
        <w:t xml:space="preserve">  </w:t>
      </w:r>
    </w:p>
  </w:footnote>
  <w:footnote w:id="29">
    <w:p w:rsidR="00DF4EDC" w:rsidRDefault="00DF4EDC" w:rsidP="00E32DF5">
      <w:pPr>
        <w:pStyle w:val="FootnoteText"/>
        <w:jc w:val="left"/>
      </w:pPr>
      <w:r>
        <w:rPr>
          <w:rStyle w:val="FootnoteReference"/>
        </w:rPr>
        <w:footnoteRef/>
      </w:r>
      <w:r>
        <w:t xml:space="preserve"> </w:t>
      </w:r>
      <w:r w:rsidRPr="001609E3">
        <w:rPr>
          <w:i/>
        </w:rPr>
        <w:t>Direct Access Order</w:t>
      </w:r>
      <w:r>
        <w:t>, 28 FCC Rcd at 5883 n.256.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52" w:rsidRDefault="00AA2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DC" w:rsidRDefault="00DF4EDC">
    <w:pPr>
      <w:pStyle w:val="Header"/>
      <w:tabs>
        <w:tab w:val="clear" w:pos="4320"/>
        <w:tab w:val="clear" w:pos="8640"/>
        <w:tab w:val="center" w:pos="4680"/>
        <w:tab w:val="right" w:pos="9360"/>
      </w:tabs>
      <w:rPr>
        <w:b/>
      </w:rPr>
    </w:pPr>
    <w:r>
      <w:rPr>
        <w:b/>
      </w:rPr>
      <w:tab/>
      <w:t>Federal Co</w:t>
    </w:r>
    <w:r w:rsidR="00D3219D">
      <w:rPr>
        <w:b/>
      </w:rPr>
      <w:t>mmunications Commission</w:t>
    </w:r>
    <w:r w:rsidR="00D3219D">
      <w:rPr>
        <w:b/>
      </w:rPr>
      <w:tab/>
      <w:t>DA 13-1397</w:t>
    </w:r>
    <w:r>
      <w:rPr>
        <w:b/>
      </w:rPr>
      <w:t xml:space="preserve"> </w:t>
    </w:r>
  </w:p>
  <w:p w:rsidR="00DF4EDC" w:rsidRDefault="00DF4ED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0E914D1" wp14:editId="38D08A5D">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DF4EDC" w:rsidRDefault="00DF4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DC" w:rsidRDefault="00DF4EDC">
    <w:pPr>
      <w:pStyle w:val="Header"/>
      <w:tabs>
        <w:tab w:val="clear" w:pos="4320"/>
        <w:tab w:val="clear" w:pos="8640"/>
        <w:tab w:val="center" w:pos="4680"/>
        <w:tab w:val="right" w:pos="9360"/>
      </w:tabs>
      <w:rPr>
        <w:b/>
      </w:rPr>
    </w:pPr>
    <w:r>
      <w:rPr>
        <w:b/>
      </w:rPr>
      <w:tab/>
      <w:t>Federal Communications Commission</w:t>
    </w:r>
    <w:r>
      <w:rPr>
        <w:b/>
      </w:rPr>
      <w:tab/>
    </w:r>
    <w:r w:rsidR="00706FDD">
      <w:rPr>
        <w:b/>
      </w:rPr>
      <w:t>DA 13-1397</w:t>
    </w:r>
    <w:r>
      <w:rPr>
        <w:b/>
      </w:rPr>
      <w:t xml:space="preserve"> </w:t>
    </w:r>
  </w:p>
  <w:p w:rsidR="00DF4EDC" w:rsidRDefault="00DF4EDC">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FDDD598" wp14:editId="6C58043A">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7E06CBB"/>
    <w:multiLevelType w:val="multilevel"/>
    <w:tmpl w:val="98CC6BA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i w:val="0"/>
      </w:rPr>
    </w:lvl>
    <w:lvl w:ilvl="4">
      <w:start w:val="1"/>
      <w:numFmt w:val="lowerRoman"/>
      <w:lvlText w:val="(%5)"/>
      <w:lvlJc w:val="left"/>
      <w:pPr>
        <w:tabs>
          <w:tab w:val="num" w:pos="3600"/>
        </w:tabs>
        <w:ind w:left="3600" w:hanging="720"/>
      </w:pPr>
      <w:rPr>
        <w:i w:val="0"/>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4F2A3C26"/>
    <w:multiLevelType w:val="hybridMultilevel"/>
    <w:tmpl w:val="BA48054A"/>
    <w:lvl w:ilvl="0" w:tplc="34B6808E">
      <w:start w:val="1"/>
      <w:numFmt w:val="decimal"/>
      <w:lvlText w:val="%1."/>
      <w:lvlJc w:val="left"/>
      <w:pPr>
        <w:tabs>
          <w:tab w:val="num" w:pos="72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4"/>
  </w:num>
  <w:num w:numId="4">
    <w:abstractNumId w:val="18"/>
  </w:num>
  <w:num w:numId="5">
    <w:abstractNumId w:val="6"/>
  </w:num>
  <w:num w:numId="6">
    <w:abstractNumId w:val="21"/>
  </w:num>
  <w:num w:numId="7">
    <w:abstractNumId w:val="14"/>
  </w:num>
  <w:num w:numId="8">
    <w:abstractNumId w:val="7"/>
  </w:num>
  <w:num w:numId="9">
    <w:abstractNumId w:val="20"/>
  </w:num>
  <w:num w:numId="10">
    <w:abstractNumId w:val="12"/>
  </w:num>
  <w:num w:numId="11">
    <w:abstractNumId w:val="11"/>
  </w:num>
  <w:num w:numId="12">
    <w:abstractNumId w:val="8"/>
  </w:num>
  <w:num w:numId="13">
    <w:abstractNumId w:val="13"/>
  </w:num>
  <w:num w:numId="14">
    <w:abstractNumId w:val="19"/>
  </w:num>
  <w:num w:numId="15">
    <w:abstractNumId w:val="2"/>
  </w:num>
  <w:num w:numId="16">
    <w:abstractNumId w:val="3"/>
  </w:num>
  <w:num w:numId="17">
    <w:abstractNumId w:val="9"/>
  </w:num>
  <w:num w:numId="18">
    <w:abstractNumId w:val="1"/>
  </w:num>
  <w:num w:numId="19">
    <w:abstractNumId w:val="10"/>
  </w:num>
  <w:num w:numId="20">
    <w:abstractNumId w:val="15"/>
  </w:num>
  <w:num w:numId="21">
    <w:abstractNumId w:val="17"/>
  </w:num>
  <w:num w:numId="22">
    <w:abstractNumId w:val="5"/>
  </w:num>
  <w:num w:numId="23">
    <w:abstractNumId w:val="0"/>
  </w:num>
  <w:num w:numId="24">
    <w:abstractNumId w:val="16"/>
  </w:num>
  <w:num w:numId="2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80"/>
    <w:rsid w:val="00023E90"/>
    <w:rsid w:val="00025965"/>
    <w:rsid w:val="00031725"/>
    <w:rsid w:val="00036277"/>
    <w:rsid w:val="00046F07"/>
    <w:rsid w:val="00060F48"/>
    <w:rsid w:val="00063BE6"/>
    <w:rsid w:val="000674A2"/>
    <w:rsid w:val="00067A6F"/>
    <w:rsid w:val="00082BF2"/>
    <w:rsid w:val="000947C2"/>
    <w:rsid w:val="000C22B9"/>
    <w:rsid w:val="000C3501"/>
    <w:rsid w:val="000F51A5"/>
    <w:rsid w:val="00103A13"/>
    <w:rsid w:val="00133F0A"/>
    <w:rsid w:val="001609E3"/>
    <w:rsid w:val="00166EB5"/>
    <w:rsid w:val="00191248"/>
    <w:rsid w:val="00195178"/>
    <w:rsid w:val="001B5FD6"/>
    <w:rsid w:val="001C556A"/>
    <w:rsid w:val="001E1A27"/>
    <w:rsid w:val="001F630A"/>
    <w:rsid w:val="00207BB9"/>
    <w:rsid w:val="00263BCC"/>
    <w:rsid w:val="00271B53"/>
    <w:rsid w:val="0027545B"/>
    <w:rsid w:val="00282319"/>
    <w:rsid w:val="0029359E"/>
    <w:rsid w:val="00294902"/>
    <w:rsid w:val="002B283F"/>
    <w:rsid w:val="002E6669"/>
    <w:rsid w:val="003044E4"/>
    <w:rsid w:val="00324CB9"/>
    <w:rsid w:val="00331E71"/>
    <w:rsid w:val="003329C4"/>
    <w:rsid w:val="00370892"/>
    <w:rsid w:val="00374DA1"/>
    <w:rsid w:val="003762ED"/>
    <w:rsid w:val="003825FF"/>
    <w:rsid w:val="0038651C"/>
    <w:rsid w:val="003F0585"/>
    <w:rsid w:val="003F2DD5"/>
    <w:rsid w:val="00403CF6"/>
    <w:rsid w:val="004163AF"/>
    <w:rsid w:val="004245E4"/>
    <w:rsid w:val="00436733"/>
    <w:rsid w:val="00445052"/>
    <w:rsid w:val="00451553"/>
    <w:rsid w:val="00451AF5"/>
    <w:rsid w:val="00470E3D"/>
    <w:rsid w:val="004A121A"/>
    <w:rsid w:val="004B1EC3"/>
    <w:rsid w:val="004C1B7F"/>
    <w:rsid w:val="004E3B38"/>
    <w:rsid w:val="004F5C64"/>
    <w:rsid w:val="00517725"/>
    <w:rsid w:val="005222D6"/>
    <w:rsid w:val="005257D4"/>
    <w:rsid w:val="005331FF"/>
    <w:rsid w:val="00544962"/>
    <w:rsid w:val="00547965"/>
    <w:rsid w:val="00561C15"/>
    <w:rsid w:val="0056387E"/>
    <w:rsid w:val="00592180"/>
    <w:rsid w:val="005A7FDC"/>
    <w:rsid w:val="005D2DB6"/>
    <w:rsid w:val="005E2209"/>
    <w:rsid w:val="00601C48"/>
    <w:rsid w:val="006036FB"/>
    <w:rsid w:val="00620A39"/>
    <w:rsid w:val="0063017C"/>
    <w:rsid w:val="00636E57"/>
    <w:rsid w:val="00637EC7"/>
    <w:rsid w:val="00662A90"/>
    <w:rsid w:val="006D59F8"/>
    <w:rsid w:val="00706FDD"/>
    <w:rsid w:val="00711EF3"/>
    <w:rsid w:val="00715699"/>
    <w:rsid w:val="00716FE0"/>
    <w:rsid w:val="00722844"/>
    <w:rsid w:val="0072697F"/>
    <w:rsid w:val="0075643D"/>
    <w:rsid w:val="007568E0"/>
    <w:rsid w:val="00760AD5"/>
    <w:rsid w:val="0077051B"/>
    <w:rsid w:val="007977E3"/>
    <w:rsid w:val="007A5F7E"/>
    <w:rsid w:val="007B05C9"/>
    <w:rsid w:val="007D5ADB"/>
    <w:rsid w:val="007F2DC9"/>
    <w:rsid w:val="007F687E"/>
    <w:rsid w:val="00800C79"/>
    <w:rsid w:val="00807816"/>
    <w:rsid w:val="008327D2"/>
    <w:rsid w:val="008352A1"/>
    <w:rsid w:val="00840586"/>
    <w:rsid w:val="008457FA"/>
    <w:rsid w:val="00850D03"/>
    <w:rsid w:val="0086009E"/>
    <w:rsid w:val="0088267C"/>
    <w:rsid w:val="008878C6"/>
    <w:rsid w:val="00892B1D"/>
    <w:rsid w:val="0089650F"/>
    <w:rsid w:val="008A38F4"/>
    <w:rsid w:val="008C6F41"/>
    <w:rsid w:val="008D1184"/>
    <w:rsid w:val="008E32E5"/>
    <w:rsid w:val="009033E2"/>
    <w:rsid w:val="009142C3"/>
    <w:rsid w:val="00915D25"/>
    <w:rsid w:val="00920BE3"/>
    <w:rsid w:val="00937AD5"/>
    <w:rsid w:val="00941E47"/>
    <w:rsid w:val="00954759"/>
    <w:rsid w:val="00956B78"/>
    <w:rsid w:val="0096356E"/>
    <w:rsid w:val="00973AF8"/>
    <w:rsid w:val="009946DD"/>
    <w:rsid w:val="009A7211"/>
    <w:rsid w:val="009C6979"/>
    <w:rsid w:val="009F7CEB"/>
    <w:rsid w:val="00A1018F"/>
    <w:rsid w:val="00A223EC"/>
    <w:rsid w:val="00A65CFE"/>
    <w:rsid w:val="00A71FAB"/>
    <w:rsid w:val="00A96FDB"/>
    <w:rsid w:val="00AA2352"/>
    <w:rsid w:val="00AC6603"/>
    <w:rsid w:val="00AD1B19"/>
    <w:rsid w:val="00AD3432"/>
    <w:rsid w:val="00AE5AC7"/>
    <w:rsid w:val="00AF124C"/>
    <w:rsid w:val="00B03767"/>
    <w:rsid w:val="00B24CDF"/>
    <w:rsid w:val="00B4295F"/>
    <w:rsid w:val="00B5371A"/>
    <w:rsid w:val="00B55B8F"/>
    <w:rsid w:val="00B66D99"/>
    <w:rsid w:val="00B82AFE"/>
    <w:rsid w:val="00B85286"/>
    <w:rsid w:val="00B947C9"/>
    <w:rsid w:val="00BA248F"/>
    <w:rsid w:val="00BA69FE"/>
    <w:rsid w:val="00BC248B"/>
    <w:rsid w:val="00BD6871"/>
    <w:rsid w:val="00BD68B3"/>
    <w:rsid w:val="00BE1835"/>
    <w:rsid w:val="00BE313D"/>
    <w:rsid w:val="00C3219F"/>
    <w:rsid w:val="00C346A9"/>
    <w:rsid w:val="00C5105D"/>
    <w:rsid w:val="00C71CDF"/>
    <w:rsid w:val="00C80A4C"/>
    <w:rsid w:val="00C83577"/>
    <w:rsid w:val="00CB32C0"/>
    <w:rsid w:val="00CC0C49"/>
    <w:rsid w:val="00CD19A5"/>
    <w:rsid w:val="00D00C95"/>
    <w:rsid w:val="00D02EAB"/>
    <w:rsid w:val="00D2103F"/>
    <w:rsid w:val="00D216AF"/>
    <w:rsid w:val="00D30851"/>
    <w:rsid w:val="00D3219D"/>
    <w:rsid w:val="00D56C10"/>
    <w:rsid w:val="00D91A80"/>
    <w:rsid w:val="00DA52F8"/>
    <w:rsid w:val="00DA5ECD"/>
    <w:rsid w:val="00DA7B1B"/>
    <w:rsid w:val="00DB3E08"/>
    <w:rsid w:val="00DD591A"/>
    <w:rsid w:val="00DD5F2B"/>
    <w:rsid w:val="00DF4EDC"/>
    <w:rsid w:val="00DF6B51"/>
    <w:rsid w:val="00E02AA6"/>
    <w:rsid w:val="00E04A26"/>
    <w:rsid w:val="00E32DF5"/>
    <w:rsid w:val="00E34ACA"/>
    <w:rsid w:val="00E6011E"/>
    <w:rsid w:val="00E63D74"/>
    <w:rsid w:val="00E66029"/>
    <w:rsid w:val="00E769A6"/>
    <w:rsid w:val="00EB6ACA"/>
    <w:rsid w:val="00EE0BAD"/>
    <w:rsid w:val="00EE1407"/>
    <w:rsid w:val="00F31A95"/>
    <w:rsid w:val="00F41606"/>
    <w:rsid w:val="00F60EFE"/>
    <w:rsid w:val="00F70CE1"/>
    <w:rsid w:val="00F8181B"/>
    <w:rsid w:val="00F91067"/>
    <w:rsid w:val="00FA225F"/>
    <w:rsid w:val="00FC0FF5"/>
    <w:rsid w:val="00FC5431"/>
    <w:rsid w:val="00FE1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FE"/>
    <w:rPr>
      <w:sz w:val="22"/>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qFormat/>
    <w:pPr>
      <w:keepNext/>
      <w:widowControl w:val="0"/>
      <w:numPr>
        <w:ilvl w:val="1"/>
        <w:numId w:val="4"/>
      </w:numPr>
      <w:spacing w:after="220"/>
      <w:jc w:val="both"/>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pPr>
      <w:keepNext/>
      <w:widowControl w:val="0"/>
      <w:numPr>
        <w:ilvl w:val="2"/>
        <w:numId w:val="4"/>
      </w:numPr>
      <w:spacing w:after="220"/>
      <w:jc w:val="both"/>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pPr>
      <w:keepNext/>
      <w:widowControl w:val="0"/>
      <w:numPr>
        <w:ilvl w:val="3"/>
        <w:numId w:val="4"/>
      </w:numPr>
      <w:spacing w:after="220"/>
      <w:jc w:val="both"/>
      <w:outlineLvl w:val="3"/>
    </w:pPr>
    <w:rPr>
      <w:b/>
    </w:rPr>
  </w:style>
  <w:style w:type="paragraph" w:styleId="Heading5">
    <w:name w:val="heading 5"/>
    <w:aliases w:val="Heading 5 Char"/>
    <w:basedOn w:val="Normal"/>
    <w:next w:val="ParaNum"/>
    <w:qFormat/>
    <w:pPr>
      <w:keepNext/>
      <w:widowControl w:val="0"/>
      <w:numPr>
        <w:ilvl w:val="4"/>
        <w:numId w:val="4"/>
      </w:numPr>
      <w:suppressAutoHyphens/>
      <w:spacing w:after="220"/>
      <w:jc w:val="both"/>
      <w:outlineLvl w:val="4"/>
    </w:pPr>
    <w:rPr>
      <w:b/>
    </w:rPr>
  </w:style>
  <w:style w:type="paragraph" w:styleId="Heading6">
    <w:name w:val="heading 6"/>
    <w:aliases w:val="h6"/>
    <w:basedOn w:val="Normal"/>
    <w:next w:val="ParaNum"/>
    <w:qFormat/>
    <w:pPr>
      <w:widowControl w:val="0"/>
      <w:numPr>
        <w:ilvl w:val="5"/>
        <w:numId w:val="4"/>
      </w:numPr>
      <w:spacing w:after="220"/>
      <w:jc w:val="both"/>
      <w:outlineLvl w:val="5"/>
    </w:pPr>
    <w:rPr>
      <w:b/>
    </w:rPr>
  </w:style>
  <w:style w:type="paragraph" w:styleId="Heading7">
    <w:name w:val="heading 7"/>
    <w:aliases w:val="Heading 7 Char"/>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aliases w:val="Heading 9 Char"/>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Style 12,(NECG) Footnote Reference,Appel note de bas de p,Style 124,fr,o,Style 3,FR,Style 17,Style 6,Footnote Reference/,Style 7"/>
    <w:basedOn w:val="DefaultParagraphFont"/>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uiPriority w:val="39"/>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customStyle="1" w:styleId="Byline">
    <w:name w:val="Byline"/>
    <w:basedOn w:val="BodyText"/>
    <w:rsid w:val="00F60EFE"/>
    <w:pPr>
      <w:widowControl w:val="0"/>
      <w:spacing w:after="0"/>
    </w:pPr>
    <w:rPr>
      <w:snapToGrid w:val="0"/>
      <w:sz w:val="24"/>
    </w:rPr>
  </w:style>
  <w:style w:type="paragraph" w:styleId="BodyText">
    <w:name w:val="Body Text"/>
    <w:basedOn w:val="Normal"/>
    <w:link w:val="BodyTextChar"/>
    <w:uiPriority w:val="99"/>
    <w:semiHidden/>
    <w:unhideWhenUsed/>
    <w:rsid w:val="00F60EFE"/>
    <w:pPr>
      <w:spacing w:after="120"/>
    </w:pPr>
  </w:style>
  <w:style w:type="character" w:customStyle="1" w:styleId="BodyTextChar">
    <w:name w:val="Body Text Char"/>
    <w:basedOn w:val="DefaultParagraphFont"/>
    <w:link w:val="BodyText"/>
    <w:uiPriority w:val="99"/>
    <w:semiHidden/>
    <w:rsid w:val="00F60EFE"/>
    <w:rPr>
      <w:sz w:val="22"/>
      <w:szCs w:val="24"/>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67A6F"/>
    <w:rPr>
      <w:b/>
      <w:caps/>
      <w:sz w:val="22"/>
    </w:rPr>
  </w:style>
  <w:style w:type="character" w:customStyle="1" w:styleId="ParaNumChar">
    <w:name w:val="ParaNum Char"/>
    <w:link w:val="ParaNum"/>
    <w:locked/>
    <w:rsid w:val="0027545B"/>
    <w:rPr>
      <w:sz w:val="22"/>
      <w:szCs w:val="24"/>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27545B"/>
    <w:rPr>
      <w:szCs w:val="24"/>
    </w:rPr>
  </w:style>
  <w:style w:type="paragraph" w:styleId="ListNumber4">
    <w:name w:val="List Number 4"/>
    <w:basedOn w:val="Normal"/>
    <w:unhideWhenUsed/>
    <w:rsid w:val="0027545B"/>
    <w:pPr>
      <w:numPr>
        <w:numId w:val="23"/>
      </w:numPr>
      <w:spacing w:after="240"/>
      <w:ind w:left="1800"/>
    </w:pPr>
    <w:rPr>
      <w:sz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semiHidden/>
    <w:rsid w:val="00850D03"/>
    <w:rPr>
      <w:sz w:val="22"/>
    </w:rPr>
  </w:style>
  <w:style w:type="character" w:customStyle="1" w:styleId="ParaNumCharChar1">
    <w:name w:val="ParaNum Char Char1"/>
    <w:locked/>
    <w:rsid w:val="00C3219F"/>
    <w:rPr>
      <w:sz w:val="22"/>
      <w:lang w:val="en-US" w:eastAsia="en-US" w:bidi="ar-SA"/>
    </w:rPr>
  </w:style>
  <w:style w:type="paragraph" w:styleId="BalloonText">
    <w:name w:val="Balloon Text"/>
    <w:basedOn w:val="Normal"/>
    <w:link w:val="BalloonTextChar"/>
    <w:uiPriority w:val="99"/>
    <w:semiHidden/>
    <w:unhideWhenUsed/>
    <w:rsid w:val="00263BCC"/>
    <w:rPr>
      <w:rFonts w:ascii="Tahoma" w:hAnsi="Tahoma" w:cs="Tahoma"/>
      <w:sz w:val="16"/>
      <w:szCs w:val="16"/>
    </w:rPr>
  </w:style>
  <w:style w:type="character" w:customStyle="1" w:styleId="BalloonTextChar">
    <w:name w:val="Balloon Text Char"/>
    <w:basedOn w:val="DefaultParagraphFont"/>
    <w:link w:val="BalloonText"/>
    <w:uiPriority w:val="99"/>
    <w:semiHidden/>
    <w:rsid w:val="00263BCC"/>
    <w:rPr>
      <w:rFonts w:ascii="Tahoma" w:hAnsi="Tahoma" w:cs="Tahoma"/>
      <w:sz w:val="16"/>
      <w:szCs w:val="16"/>
    </w:rPr>
  </w:style>
  <w:style w:type="character" w:styleId="CommentReference">
    <w:name w:val="annotation reference"/>
    <w:basedOn w:val="DefaultParagraphFont"/>
    <w:uiPriority w:val="99"/>
    <w:semiHidden/>
    <w:unhideWhenUsed/>
    <w:rsid w:val="004E3B38"/>
    <w:rPr>
      <w:sz w:val="16"/>
      <w:szCs w:val="16"/>
    </w:rPr>
  </w:style>
  <w:style w:type="paragraph" w:styleId="CommentText">
    <w:name w:val="annotation text"/>
    <w:basedOn w:val="Normal"/>
    <w:link w:val="CommentTextChar"/>
    <w:uiPriority w:val="99"/>
    <w:semiHidden/>
    <w:unhideWhenUsed/>
    <w:rsid w:val="004E3B38"/>
    <w:rPr>
      <w:sz w:val="20"/>
      <w:szCs w:val="20"/>
    </w:rPr>
  </w:style>
  <w:style w:type="character" w:customStyle="1" w:styleId="CommentTextChar">
    <w:name w:val="Comment Text Char"/>
    <w:basedOn w:val="DefaultParagraphFont"/>
    <w:link w:val="CommentText"/>
    <w:uiPriority w:val="99"/>
    <w:semiHidden/>
    <w:rsid w:val="004E3B38"/>
  </w:style>
  <w:style w:type="paragraph" w:styleId="CommentSubject">
    <w:name w:val="annotation subject"/>
    <w:basedOn w:val="CommentText"/>
    <w:next w:val="CommentText"/>
    <w:link w:val="CommentSubjectChar"/>
    <w:uiPriority w:val="99"/>
    <w:semiHidden/>
    <w:unhideWhenUsed/>
    <w:rsid w:val="004E3B38"/>
    <w:rPr>
      <w:b/>
      <w:bCs/>
    </w:rPr>
  </w:style>
  <w:style w:type="character" w:customStyle="1" w:styleId="CommentSubjectChar">
    <w:name w:val="Comment Subject Char"/>
    <w:basedOn w:val="CommentTextChar"/>
    <w:link w:val="CommentSubject"/>
    <w:uiPriority w:val="99"/>
    <w:semiHidden/>
    <w:rsid w:val="004E3B38"/>
    <w:rPr>
      <w:b/>
      <w:bCs/>
    </w:rPr>
  </w:style>
  <w:style w:type="paragraph" w:styleId="ListParagraph">
    <w:name w:val="List Paragraph"/>
    <w:basedOn w:val="Normal"/>
    <w:uiPriority w:val="34"/>
    <w:qFormat/>
    <w:rsid w:val="00103A13"/>
    <w:pPr>
      <w:ind w:left="720"/>
      <w:contextualSpacing/>
    </w:pPr>
  </w:style>
  <w:style w:type="paragraph" w:styleId="Revision">
    <w:name w:val="Revision"/>
    <w:hidden/>
    <w:uiPriority w:val="99"/>
    <w:semiHidden/>
    <w:rsid w:val="00DF4EDC"/>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FE"/>
    <w:rPr>
      <w:sz w:val="22"/>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qFormat/>
    <w:pPr>
      <w:keepNext/>
      <w:widowControl w:val="0"/>
      <w:numPr>
        <w:ilvl w:val="1"/>
        <w:numId w:val="4"/>
      </w:numPr>
      <w:spacing w:after="220"/>
      <w:jc w:val="both"/>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pPr>
      <w:keepNext/>
      <w:widowControl w:val="0"/>
      <w:numPr>
        <w:ilvl w:val="2"/>
        <w:numId w:val="4"/>
      </w:numPr>
      <w:spacing w:after="220"/>
      <w:jc w:val="both"/>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pPr>
      <w:keepNext/>
      <w:widowControl w:val="0"/>
      <w:numPr>
        <w:ilvl w:val="3"/>
        <w:numId w:val="4"/>
      </w:numPr>
      <w:spacing w:after="220"/>
      <w:jc w:val="both"/>
      <w:outlineLvl w:val="3"/>
    </w:pPr>
    <w:rPr>
      <w:b/>
    </w:rPr>
  </w:style>
  <w:style w:type="paragraph" w:styleId="Heading5">
    <w:name w:val="heading 5"/>
    <w:aliases w:val="Heading 5 Char"/>
    <w:basedOn w:val="Normal"/>
    <w:next w:val="ParaNum"/>
    <w:qFormat/>
    <w:pPr>
      <w:keepNext/>
      <w:widowControl w:val="0"/>
      <w:numPr>
        <w:ilvl w:val="4"/>
        <w:numId w:val="4"/>
      </w:numPr>
      <w:suppressAutoHyphens/>
      <w:spacing w:after="220"/>
      <w:jc w:val="both"/>
      <w:outlineLvl w:val="4"/>
    </w:pPr>
    <w:rPr>
      <w:b/>
    </w:rPr>
  </w:style>
  <w:style w:type="paragraph" w:styleId="Heading6">
    <w:name w:val="heading 6"/>
    <w:aliases w:val="h6"/>
    <w:basedOn w:val="Normal"/>
    <w:next w:val="ParaNum"/>
    <w:qFormat/>
    <w:pPr>
      <w:widowControl w:val="0"/>
      <w:numPr>
        <w:ilvl w:val="5"/>
        <w:numId w:val="4"/>
      </w:numPr>
      <w:spacing w:after="220"/>
      <w:jc w:val="both"/>
      <w:outlineLvl w:val="5"/>
    </w:pPr>
    <w:rPr>
      <w:b/>
    </w:rPr>
  </w:style>
  <w:style w:type="paragraph" w:styleId="Heading7">
    <w:name w:val="heading 7"/>
    <w:aliases w:val="Heading 7 Char"/>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aliases w:val="Heading 9 Char"/>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Style 12,(NECG) Footnote Reference,Appel note de bas de p,Style 124,fr,o,Style 3,FR,Style 17,Style 6,Footnote Reference/,Style 7"/>
    <w:basedOn w:val="DefaultParagraphFont"/>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uiPriority w:val="39"/>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customStyle="1" w:styleId="Byline">
    <w:name w:val="Byline"/>
    <w:basedOn w:val="BodyText"/>
    <w:rsid w:val="00F60EFE"/>
    <w:pPr>
      <w:widowControl w:val="0"/>
      <w:spacing w:after="0"/>
    </w:pPr>
    <w:rPr>
      <w:snapToGrid w:val="0"/>
      <w:sz w:val="24"/>
    </w:rPr>
  </w:style>
  <w:style w:type="paragraph" w:styleId="BodyText">
    <w:name w:val="Body Text"/>
    <w:basedOn w:val="Normal"/>
    <w:link w:val="BodyTextChar"/>
    <w:uiPriority w:val="99"/>
    <w:semiHidden/>
    <w:unhideWhenUsed/>
    <w:rsid w:val="00F60EFE"/>
    <w:pPr>
      <w:spacing w:after="120"/>
    </w:pPr>
  </w:style>
  <w:style w:type="character" w:customStyle="1" w:styleId="BodyTextChar">
    <w:name w:val="Body Text Char"/>
    <w:basedOn w:val="DefaultParagraphFont"/>
    <w:link w:val="BodyText"/>
    <w:uiPriority w:val="99"/>
    <w:semiHidden/>
    <w:rsid w:val="00F60EFE"/>
    <w:rPr>
      <w:sz w:val="22"/>
      <w:szCs w:val="24"/>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67A6F"/>
    <w:rPr>
      <w:b/>
      <w:caps/>
      <w:sz w:val="22"/>
    </w:rPr>
  </w:style>
  <w:style w:type="character" w:customStyle="1" w:styleId="ParaNumChar">
    <w:name w:val="ParaNum Char"/>
    <w:link w:val="ParaNum"/>
    <w:locked/>
    <w:rsid w:val="0027545B"/>
    <w:rPr>
      <w:sz w:val="22"/>
      <w:szCs w:val="24"/>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27545B"/>
    <w:rPr>
      <w:szCs w:val="24"/>
    </w:rPr>
  </w:style>
  <w:style w:type="paragraph" w:styleId="ListNumber4">
    <w:name w:val="List Number 4"/>
    <w:basedOn w:val="Normal"/>
    <w:unhideWhenUsed/>
    <w:rsid w:val="0027545B"/>
    <w:pPr>
      <w:numPr>
        <w:numId w:val="23"/>
      </w:numPr>
      <w:spacing w:after="240"/>
      <w:ind w:left="1800"/>
    </w:pPr>
    <w:rPr>
      <w:sz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semiHidden/>
    <w:rsid w:val="00850D03"/>
    <w:rPr>
      <w:sz w:val="22"/>
    </w:rPr>
  </w:style>
  <w:style w:type="character" w:customStyle="1" w:styleId="ParaNumCharChar1">
    <w:name w:val="ParaNum Char Char1"/>
    <w:locked/>
    <w:rsid w:val="00C3219F"/>
    <w:rPr>
      <w:sz w:val="22"/>
      <w:lang w:val="en-US" w:eastAsia="en-US" w:bidi="ar-SA"/>
    </w:rPr>
  </w:style>
  <w:style w:type="paragraph" w:styleId="BalloonText">
    <w:name w:val="Balloon Text"/>
    <w:basedOn w:val="Normal"/>
    <w:link w:val="BalloonTextChar"/>
    <w:uiPriority w:val="99"/>
    <w:semiHidden/>
    <w:unhideWhenUsed/>
    <w:rsid w:val="00263BCC"/>
    <w:rPr>
      <w:rFonts w:ascii="Tahoma" w:hAnsi="Tahoma" w:cs="Tahoma"/>
      <w:sz w:val="16"/>
      <w:szCs w:val="16"/>
    </w:rPr>
  </w:style>
  <w:style w:type="character" w:customStyle="1" w:styleId="BalloonTextChar">
    <w:name w:val="Balloon Text Char"/>
    <w:basedOn w:val="DefaultParagraphFont"/>
    <w:link w:val="BalloonText"/>
    <w:uiPriority w:val="99"/>
    <w:semiHidden/>
    <w:rsid w:val="00263BCC"/>
    <w:rPr>
      <w:rFonts w:ascii="Tahoma" w:hAnsi="Tahoma" w:cs="Tahoma"/>
      <w:sz w:val="16"/>
      <w:szCs w:val="16"/>
    </w:rPr>
  </w:style>
  <w:style w:type="character" w:styleId="CommentReference">
    <w:name w:val="annotation reference"/>
    <w:basedOn w:val="DefaultParagraphFont"/>
    <w:uiPriority w:val="99"/>
    <w:semiHidden/>
    <w:unhideWhenUsed/>
    <w:rsid w:val="004E3B38"/>
    <w:rPr>
      <w:sz w:val="16"/>
      <w:szCs w:val="16"/>
    </w:rPr>
  </w:style>
  <w:style w:type="paragraph" w:styleId="CommentText">
    <w:name w:val="annotation text"/>
    <w:basedOn w:val="Normal"/>
    <w:link w:val="CommentTextChar"/>
    <w:uiPriority w:val="99"/>
    <w:semiHidden/>
    <w:unhideWhenUsed/>
    <w:rsid w:val="004E3B38"/>
    <w:rPr>
      <w:sz w:val="20"/>
      <w:szCs w:val="20"/>
    </w:rPr>
  </w:style>
  <w:style w:type="character" w:customStyle="1" w:styleId="CommentTextChar">
    <w:name w:val="Comment Text Char"/>
    <w:basedOn w:val="DefaultParagraphFont"/>
    <w:link w:val="CommentText"/>
    <w:uiPriority w:val="99"/>
    <w:semiHidden/>
    <w:rsid w:val="004E3B38"/>
  </w:style>
  <w:style w:type="paragraph" w:styleId="CommentSubject">
    <w:name w:val="annotation subject"/>
    <w:basedOn w:val="CommentText"/>
    <w:next w:val="CommentText"/>
    <w:link w:val="CommentSubjectChar"/>
    <w:uiPriority w:val="99"/>
    <w:semiHidden/>
    <w:unhideWhenUsed/>
    <w:rsid w:val="004E3B38"/>
    <w:rPr>
      <w:b/>
      <w:bCs/>
    </w:rPr>
  </w:style>
  <w:style w:type="character" w:customStyle="1" w:styleId="CommentSubjectChar">
    <w:name w:val="Comment Subject Char"/>
    <w:basedOn w:val="CommentTextChar"/>
    <w:link w:val="CommentSubject"/>
    <w:uiPriority w:val="99"/>
    <w:semiHidden/>
    <w:rsid w:val="004E3B38"/>
    <w:rPr>
      <w:b/>
      <w:bCs/>
    </w:rPr>
  </w:style>
  <w:style w:type="paragraph" w:styleId="ListParagraph">
    <w:name w:val="List Paragraph"/>
    <w:basedOn w:val="Normal"/>
    <w:uiPriority w:val="34"/>
    <w:qFormat/>
    <w:rsid w:val="00103A13"/>
    <w:pPr>
      <w:ind w:left="720"/>
      <w:contextualSpacing/>
    </w:pPr>
  </w:style>
  <w:style w:type="paragraph" w:styleId="Revision">
    <w:name w:val="Revision"/>
    <w:hidden/>
    <w:uiPriority w:val="99"/>
    <w:semiHidden/>
    <w:rsid w:val="00DF4ED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Template>
  <TotalTime>0</TotalTime>
  <Pages>3</Pages>
  <Words>1965</Words>
  <Characters>10514</Characters>
  <Application>Microsoft Office Word</Application>
  <DocSecurity>0</DocSecurity>
  <Lines>215</Lines>
  <Paragraphs>69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12508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2013-06-17T19:02:00Z</cp:lastPrinted>
  <dcterms:created xsi:type="dcterms:W3CDTF">2013-06-17T20:44:00Z</dcterms:created>
  <dcterms:modified xsi:type="dcterms:W3CDTF">2013-06-17T20:44:00Z</dcterms:modified>
  <cp:category> </cp:category>
  <cp:contentStatus> </cp:contentStatus>
</cp:coreProperties>
</file>