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492" w:rsidRDefault="00DF5E7E">
      <w:pPr>
        <w:ind w:left="7020" w:firstLine="720"/>
        <w:jc w:val="right"/>
        <w:rPr>
          <w:b/>
          <w:szCs w:val="22"/>
        </w:rPr>
      </w:pPr>
      <w:bookmarkStart w:id="0" w:name="_GoBack"/>
      <w:bookmarkEnd w:id="0"/>
      <w:r>
        <w:rPr>
          <w:b/>
          <w:szCs w:val="22"/>
        </w:rPr>
        <w:t xml:space="preserve">  DA 13-</w:t>
      </w:r>
      <w:r w:rsidR="00EF2D32">
        <w:rPr>
          <w:b/>
          <w:szCs w:val="22"/>
        </w:rPr>
        <w:t>1438</w:t>
      </w:r>
    </w:p>
    <w:p w:rsidR="004E6492" w:rsidRDefault="004E6492">
      <w:pPr>
        <w:tabs>
          <w:tab w:val="right" w:pos="9360"/>
        </w:tabs>
        <w:ind w:left="5760"/>
        <w:rPr>
          <w:b/>
          <w:szCs w:val="22"/>
        </w:rPr>
      </w:pPr>
      <w:r>
        <w:rPr>
          <w:b/>
          <w:szCs w:val="22"/>
        </w:rPr>
        <w:tab/>
        <w:t xml:space="preserve">              Released:  </w:t>
      </w:r>
      <w:r w:rsidR="00DF5E7E">
        <w:rPr>
          <w:b/>
          <w:szCs w:val="22"/>
        </w:rPr>
        <w:t xml:space="preserve">June </w:t>
      </w:r>
      <w:r w:rsidR="004A2925">
        <w:rPr>
          <w:b/>
          <w:szCs w:val="22"/>
        </w:rPr>
        <w:t>25</w:t>
      </w:r>
      <w:r w:rsidR="00DF5E7E">
        <w:rPr>
          <w:b/>
          <w:szCs w:val="22"/>
        </w:rPr>
        <w:t>, 2013</w:t>
      </w:r>
    </w:p>
    <w:p w:rsidR="004E6492" w:rsidRDefault="004E6492">
      <w:pPr>
        <w:jc w:val="right"/>
        <w:rPr>
          <w:b/>
          <w:szCs w:val="22"/>
        </w:rPr>
      </w:pPr>
    </w:p>
    <w:p w:rsidR="004E6492" w:rsidRDefault="004E6492" w:rsidP="000E6419">
      <w:pPr>
        <w:jc w:val="center"/>
        <w:rPr>
          <w:b/>
          <w:szCs w:val="22"/>
        </w:rPr>
      </w:pPr>
      <w:r>
        <w:rPr>
          <w:b/>
          <w:szCs w:val="22"/>
        </w:rPr>
        <w:t xml:space="preserve">MEDIA BUREAU </w:t>
      </w:r>
      <w:r w:rsidR="000E6419">
        <w:rPr>
          <w:b/>
          <w:szCs w:val="22"/>
        </w:rPr>
        <w:t xml:space="preserve">SEEKS </w:t>
      </w:r>
      <w:r>
        <w:rPr>
          <w:b/>
          <w:szCs w:val="22"/>
        </w:rPr>
        <w:t xml:space="preserve">COMMENT ON </w:t>
      </w:r>
      <w:r w:rsidR="00DF5E7E">
        <w:rPr>
          <w:b/>
          <w:szCs w:val="22"/>
        </w:rPr>
        <w:t xml:space="preserve">VIDEO DESCRIPTION </w:t>
      </w:r>
      <w:r w:rsidR="007269C1">
        <w:rPr>
          <w:b/>
          <w:szCs w:val="22"/>
        </w:rPr>
        <w:t xml:space="preserve">IN </w:t>
      </w:r>
      <w:r w:rsidR="00BF22E6">
        <w:rPr>
          <w:b/>
          <w:szCs w:val="22"/>
        </w:rPr>
        <w:t xml:space="preserve">VIDEO </w:t>
      </w:r>
      <w:r w:rsidR="007269C1">
        <w:rPr>
          <w:b/>
          <w:szCs w:val="22"/>
        </w:rPr>
        <w:t>PROGRAMMING DISTRIBUTED ON TELEVISION AND ON THE INTERNET</w:t>
      </w:r>
    </w:p>
    <w:p w:rsidR="004E6492" w:rsidRDefault="004E6492">
      <w:pPr>
        <w:tabs>
          <w:tab w:val="left" w:pos="1635"/>
        </w:tabs>
        <w:rPr>
          <w:b/>
          <w:szCs w:val="22"/>
        </w:rPr>
      </w:pPr>
      <w:r>
        <w:rPr>
          <w:b/>
          <w:szCs w:val="22"/>
        </w:rPr>
        <w:tab/>
      </w:r>
    </w:p>
    <w:p w:rsidR="004E6492" w:rsidRDefault="00DF5E7E">
      <w:pPr>
        <w:jc w:val="center"/>
        <w:rPr>
          <w:b/>
          <w:szCs w:val="22"/>
        </w:rPr>
      </w:pPr>
      <w:r>
        <w:rPr>
          <w:b/>
          <w:szCs w:val="22"/>
        </w:rPr>
        <w:t>MB Docket No. 11-43</w:t>
      </w:r>
    </w:p>
    <w:p w:rsidR="004E6492" w:rsidRDefault="004E6492">
      <w:pPr>
        <w:jc w:val="center"/>
        <w:rPr>
          <w:szCs w:val="22"/>
        </w:rPr>
      </w:pPr>
      <w:r>
        <w:rPr>
          <w:szCs w:val="22"/>
        </w:rPr>
        <w:t xml:space="preserve"> </w:t>
      </w:r>
    </w:p>
    <w:p w:rsidR="004E6492" w:rsidRDefault="00DF5E7E">
      <w:pPr>
        <w:spacing w:before="120" w:after="240"/>
        <w:rPr>
          <w:b/>
          <w:szCs w:val="22"/>
        </w:rPr>
      </w:pPr>
      <w:r>
        <w:rPr>
          <w:b/>
          <w:szCs w:val="22"/>
        </w:rPr>
        <w:t xml:space="preserve">Comments Due:  </w:t>
      </w:r>
      <w:r w:rsidR="003D31A4">
        <w:rPr>
          <w:b/>
          <w:szCs w:val="22"/>
        </w:rPr>
        <w:t>September 4</w:t>
      </w:r>
      <w:r w:rsidR="004E6492">
        <w:rPr>
          <w:b/>
          <w:szCs w:val="22"/>
        </w:rPr>
        <w:t>, 201</w:t>
      </w:r>
      <w:r>
        <w:rPr>
          <w:b/>
          <w:szCs w:val="22"/>
        </w:rPr>
        <w:t>3</w:t>
      </w:r>
      <w:r w:rsidR="004E6492">
        <w:rPr>
          <w:szCs w:val="22"/>
        </w:rPr>
        <w:br/>
      </w:r>
      <w:r w:rsidR="004E6492">
        <w:rPr>
          <w:b/>
          <w:szCs w:val="22"/>
        </w:rPr>
        <w:t>R</w:t>
      </w:r>
      <w:r>
        <w:rPr>
          <w:b/>
          <w:szCs w:val="22"/>
        </w:rPr>
        <w:t xml:space="preserve">eply Comments Due:  </w:t>
      </w:r>
      <w:r w:rsidR="003D31A4">
        <w:rPr>
          <w:b/>
          <w:szCs w:val="22"/>
        </w:rPr>
        <w:t>October</w:t>
      </w:r>
      <w:r>
        <w:rPr>
          <w:b/>
          <w:szCs w:val="22"/>
        </w:rPr>
        <w:t xml:space="preserve"> </w:t>
      </w:r>
      <w:r w:rsidR="003D31A4">
        <w:rPr>
          <w:b/>
          <w:szCs w:val="22"/>
        </w:rPr>
        <w:t>2</w:t>
      </w:r>
      <w:r>
        <w:rPr>
          <w:b/>
          <w:szCs w:val="22"/>
        </w:rPr>
        <w:t>, 2013</w:t>
      </w:r>
      <w:r w:rsidR="0092606F">
        <w:rPr>
          <w:b/>
          <w:szCs w:val="22"/>
        </w:rPr>
        <w:t xml:space="preserve">  </w:t>
      </w:r>
    </w:p>
    <w:p w:rsidR="004E6492" w:rsidRDefault="000F5239" w:rsidP="009060C9">
      <w:pPr>
        <w:pStyle w:val="ParaNum"/>
      </w:pPr>
      <w:r>
        <w:t xml:space="preserve">By this Public Notice, the Media Bureau seeks comment on video description of video programming that is delivered via both television and the Internet.  </w:t>
      </w:r>
      <w:r w:rsidR="007E765B">
        <w:t>Pursuant to</w:t>
      </w:r>
      <w:r w:rsidR="009731B6">
        <w:t xml:space="preserve"> the Twenty-First Century Communications and Video Accessibility Act of 2010 (“CVAA”)</w:t>
      </w:r>
      <w:r w:rsidR="004E6492">
        <w:t>, the</w:t>
      </w:r>
      <w:r w:rsidR="009731B6">
        <w:t xml:space="preserve"> Commission released a </w:t>
      </w:r>
      <w:r w:rsidR="009731B6">
        <w:rPr>
          <w:i/>
        </w:rPr>
        <w:t>Report and Order</w:t>
      </w:r>
      <w:r w:rsidR="00BC5726" w:rsidRPr="00BC5726">
        <w:rPr>
          <w:rStyle w:val="FootnoteReference"/>
        </w:rPr>
        <w:footnoteReference w:id="2"/>
      </w:r>
      <w:r w:rsidR="009731B6">
        <w:t xml:space="preserve"> on August 25, 2011</w:t>
      </w:r>
      <w:r w:rsidR="00BC5726">
        <w:t xml:space="preserve"> </w:t>
      </w:r>
      <w:r w:rsidR="009731B6">
        <w:t>reinstating</w:t>
      </w:r>
      <w:r w:rsidR="007E765B">
        <w:t xml:space="preserve"> the</w:t>
      </w:r>
      <w:r w:rsidR="004E6492">
        <w:t xml:space="preserve"> </w:t>
      </w:r>
      <w:r w:rsidR="009731B6">
        <w:t xml:space="preserve">video description rules </w:t>
      </w:r>
      <w:r w:rsidR="00D11028">
        <w:t>previously</w:t>
      </w:r>
      <w:r w:rsidR="001B39D4">
        <w:t xml:space="preserve"> vacated by the U.S. Court of Appeals for the District of Columbia Circuit</w:t>
      </w:r>
      <w:r w:rsidR="009731B6">
        <w:t>.</w:t>
      </w:r>
      <w:r w:rsidR="001B39D4">
        <w:rPr>
          <w:rStyle w:val="FootnoteReference"/>
        </w:rPr>
        <w:footnoteReference w:id="3"/>
      </w:r>
      <w:r w:rsidR="004E6492">
        <w:t xml:space="preserve">  </w:t>
      </w:r>
      <w:r w:rsidR="007823F4">
        <w:t>Under the reinstated rules, certain television broadcast stations and MVPDs have an obligation</w:t>
      </w:r>
      <w:r w:rsidR="00FC4187">
        <w:t xml:space="preserve"> to provide video description for</w:t>
      </w:r>
      <w:r w:rsidR="007823F4">
        <w:t xml:space="preserve"> </w:t>
      </w:r>
      <w:r w:rsidR="004E479D">
        <w:t>a portion of</w:t>
      </w:r>
      <w:r w:rsidR="007823F4">
        <w:t xml:space="preserve"> the video progra</w:t>
      </w:r>
      <w:r w:rsidR="00FC4187">
        <w:t>mming</w:t>
      </w:r>
      <w:r w:rsidR="00FC4187">
        <w:rPr>
          <w:rStyle w:val="FootnoteReference"/>
        </w:rPr>
        <w:footnoteReference w:id="4"/>
      </w:r>
      <w:r w:rsidR="00FC4187">
        <w:t xml:space="preserve"> that they offer</w:t>
      </w:r>
      <w:r w:rsidR="000A5D96">
        <w:t xml:space="preserve"> to consumers</w:t>
      </w:r>
      <w:r w:rsidR="00FC4187">
        <w:t xml:space="preserve">.  Video description </w:t>
      </w:r>
      <w:r w:rsidR="00E84631">
        <w:t xml:space="preserve">is </w:t>
      </w:r>
      <w:r w:rsidR="005A132E">
        <w:t>“[t]he insertion of audio narrated descriptions of a television program’s key visual elements into natural pauses between the prog</w:t>
      </w:r>
      <w:r w:rsidR="00E84631">
        <w:t>ram’s dialogue</w:t>
      </w:r>
      <w:r w:rsidR="007E765B">
        <w:t>.</w:t>
      </w:r>
      <w:r w:rsidR="005A132E">
        <w:t>”</w:t>
      </w:r>
      <w:r w:rsidR="005A132E">
        <w:rPr>
          <w:rStyle w:val="FootnoteReference"/>
        </w:rPr>
        <w:footnoteReference w:id="5"/>
      </w:r>
      <w:r w:rsidR="00C862EC">
        <w:t xml:space="preserve"> </w:t>
      </w:r>
      <w:r w:rsidR="00E84631">
        <w:t xml:space="preserve"> </w:t>
      </w:r>
      <w:r w:rsidR="000D0693">
        <w:t>It</w:t>
      </w:r>
      <w:r w:rsidR="00E84631">
        <w:t xml:space="preserve"> make</w:t>
      </w:r>
      <w:r w:rsidR="000D0693">
        <w:t>s</w:t>
      </w:r>
      <w:r w:rsidR="00E84631">
        <w:t xml:space="preserve"> video programming accessible to individuals who are blind or visually impaired.  </w:t>
      </w:r>
      <w:r>
        <w:t xml:space="preserve">The Media Bureau </w:t>
      </w:r>
      <w:r w:rsidR="00B2168C">
        <w:t xml:space="preserve">seeks comment on </w:t>
      </w:r>
      <w:r w:rsidR="00E84631">
        <w:t>specific</w:t>
      </w:r>
      <w:r w:rsidR="00B2168C">
        <w:t xml:space="preserve"> </w:t>
      </w:r>
      <w:r w:rsidR="005A132E">
        <w:t xml:space="preserve">inquiries related to video description in video programming </w:t>
      </w:r>
      <w:r w:rsidR="00B2168C">
        <w:t xml:space="preserve">that is delivered </w:t>
      </w:r>
      <w:r w:rsidR="00F95C1D">
        <w:t>via</w:t>
      </w:r>
      <w:r w:rsidR="00B2168C">
        <w:t xml:space="preserve"> </w:t>
      </w:r>
      <w:r w:rsidR="00F95C1D">
        <w:t xml:space="preserve">both </w:t>
      </w:r>
      <w:r w:rsidR="00B2168C">
        <w:t xml:space="preserve">television and </w:t>
      </w:r>
      <w:r w:rsidR="007E765B">
        <w:t xml:space="preserve">the </w:t>
      </w:r>
      <w:r w:rsidR="00B2168C">
        <w:t>Internet</w:t>
      </w:r>
      <w:r>
        <w:t>, as the CVAA requires</w:t>
      </w:r>
      <w:r w:rsidR="0081202A">
        <w:t>.</w:t>
      </w:r>
      <w:r w:rsidR="00DF7D52">
        <w:rPr>
          <w:rStyle w:val="FootnoteReference"/>
        </w:rPr>
        <w:footnoteReference w:id="6"/>
      </w:r>
      <w:r w:rsidR="0081202A">
        <w:t xml:space="preserve">  The </w:t>
      </w:r>
      <w:r w:rsidR="00B2168C">
        <w:t xml:space="preserve">comments </w:t>
      </w:r>
      <w:r w:rsidR="0081202A">
        <w:t xml:space="preserve">received in response to these inquiries </w:t>
      </w:r>
      <w:r w:rsidR="00B2168C">
        <w:t xml:space="preserve">will inform a report to Congress </w:t>
      </w:r>
      <w:r w:rsidR="007E765B">
        <w:t xml:space="preserve">required by the CVAA </w:t>
      </w:r>
      <w:r w:rsidR="009060C9">
        <w:lastRenderedPageBreak/>
        <w:t>on</w:t>
      </w:r>
      <w:r w:rsidR="009060C9" w:rsidRPr="009060C9">
        <w:t xml:space="preserve"> the status, benefits, and costs of video description on television and Internet-provided video programming</w:t>
      </w:r>
      <w:r w:rsidR="00904A8C">
        <w:t>, which must be completed no l</w:t>
      </w:r>
      <w:r w:rsidR="00B0621B">
        <w:t>ater than July 1</w:t>
      </w:r>
      <w:r w:rsidR="00904A8C">
        <w:t>, 2014</w:t>
      </w:r>
      <w:r w:rsidR="00DF7D52">
        <w:t>.</w:t>
      </w:r>
      <w:r w:rsidR="00DF7D52">
        <w:rPr>
          <w:rStyle w:val="FootnoteReference"/>
        </w:rPr>
        <w:footnoteReference w:id="7"/>
      </w:r>
    </w:p>
    <w:p w:rsidR="004E6492" w:rsidRPr="003E6DAB" w:rsidRDefault="008847EA" w:rsidP="003E6DAB">
      <w:pPr>
        <w:pStyle w:val="ParaNum"/>
        <w:rPr>
          <w:szCs w:val="22"/>
        </w:rPr>
      </w:pPr>
      <w:r w:rsidRPr="00796463">
        <w:rPr>
          <w:u w:val="single"/>
        </w:rPr>
        <w:t>Background</w:t>
      </w:r>
      <w:r>
        <w:t>.</w:t>
      </w:r>
      <w:r w:rsidR="008400D1">
        <w:t xml:space="preserve">  The video description rules require </w:t>
      </w:r>
      <w:r w:rsidR="00B96FBE">
        <w:t xml:space="preserve">commercial television broadcast stations that are affiliated with one of the top four commercial television broadcast networks and are </w:t>
      </w:r>
      <w:r w:rsidR="00CF5EA8">
        <w:t xml:space="preserve">located in the top 25 television markets to provide 50 hours </w:t>
      </w:r>
      <w:r w:rsidR="00C6269D">
        <w:t xml:space="preserve">per calendar quarter </w:t>
      </w:r>
      <w:r w:rsidR="00CF5EA8">
        <w:t>of video</w:t>
      </w:r>
      <w:r w:rsidR="000C3936">
        <w:t>-described</w:t>
      </w:r>
      <w:r w:rsidR="00CF5EA8">
        <w:t xml:space="preserve"> prime time or children’s programming.</w:t>
      </w:r>
      <w:r w:rsidR="00CF5EA8">
        <w:rPr>
          <w:rStyle w:val="FootnoteReference"/>
          <w:szCs w:val="22"/>
        </w:rPr>
        <w:footnoteReference w:id="8"/>
      </w:r>
      <w:r w:rsidR="00222D19">
        <w:t xml:space="preserve">  In addition, MVPD systems that serve 50,000 or more subscribers must provide 50 hours of video description per calendar quarter during prime time or children’s programming on each of the top five national nonbroadcast networks that they carry on those systems.</w:t>
      </w:r>
      <w:r w:rsidR="00222D19">
        <w:rPr>
          <w:rStyle w:val="FootnoteReference"/>
          <w:szCs w:val="22"/>
        </w:rPr>
        <w:footnoteReference w:id="9"/>
      </w:r>
      <w:r w:rsidR="00222D19">
        <w:t xml:space="preserve">  </w:t>
      </w:r>
      <w:r w:rsidR="007603FB">
        <w:t xml:space="preserve">The rules also impose video description </w:t>
      </w:r>
      <w:r w:rsidR="007269C1">
        <w:t>“</w:t>
      </w:r>
      <w:r w:rsidR="007603FB">
        <w:t>pass through</w:t>
      </w:r>
      <w:r w:rsidR="007269C1">
        <w:t>”</w:t>
      </w:r>
      <w:r w:rsidR="007603FB">
        <w:t xml:space="preserve"> obligations on </w:t>
      </w:r>
      <w:r w:rsidR="00005B7A">
        <w:t>all</w:t>
      </w:r>
      <w:r w:rsidR="007603FB">
        <w:t xml:space="preserve"> network-affiliated broadcast stations regardless of market size</w:t>
      </w:r>
      <w:r w:rsidR="00005B7A">
        <w:t>,</w:t>
      </w:r>
      <w:r w:rsidR="007269C1">
        <w:rPr>
          <w:rStyle w:val="FootnoteReference"/>
          <w:szCs w:val="22"/>
        </w:rPr>
        <w:footnoteReference w:id="10"/>
      </w:r>
      <w:r w:rsidR="007603FB">
        <w:t xml:space="preserve"> and on </w:t>
      </w:r>
      <w:r w:rsidR="00005B7A">
        <w:t>all</w:t>
      </w:r>
      <w:r w:rsidR="007603FB">
        <w:t xml:space="preserve"> MVPDs</w:t>
      </w:r>
      <w:r w:rsidR="00005B7A">
        <w:t xml:space="preserve"> regardless of the number of subscribers</w:t>
      </w:r>
      <w:r w:rsidR="007603FB">
        <w:t>.</w:t>
      </w:r>
      <w:r w:rsidR="007269C1">
        <w:rPr>
          <w:rStyle w:val="FootnoteReference"/>
          <w:szCs w:val="22"/>
        </w:rPr>
        <w:footnoteReference w:id="11"/>
      </w:r>
      <w:r w:rsidR="007603FB">
        <w:t xml:space="preserve">  </w:t>
      </w:r>
      <w:r w:rsidR="00D55383">
        <w:t>Any programming aired with video description must include video description if it is re-aired on the same station or MVPD channel.</w:t>
      </w:r>
      <w:r w:rsidR="0036001F">
        <w:t xml:space="preserve">  The video description rules were reinstated as of October 8, 2011, and b</w:t>
      </w:r>
      <w:r w:rsidR="00EE6C25">
        <w:t xml:space="preserve">roadcasters and MVPDs were required to </w:t>
      </w:r>
      <w:r w:rsidR="00005B7A">
        <w:t>be in full compliance with the video description</w:t>
      </w:r>
      <w:r w:rsidR="00EE6C25">
        <w:t xml:space="preserve"> requirements beginning on July 1, 2012.</w:t>
      </w:r>
      <w:r w:rsidR="00465F7F">
        <w:rPr>
          <w:rStyle w:val="FootnoteReference"/>
          <w:szCs w:val="22"/>
        </w:rPr>
        <w:footnoteReference w:id="12"/>
      </w:r>
      <w:r w:rsidR="007269C1">
        <w:t xml:space="preserve">  Video description services for television are provided on a secondary audio stream, and typically a consumer can access video description through an on-screen menu provided by the home television receiver or set-top box.</w:t>
      </w:r>
      <w:r w:rsidR="00D351C9">
        <w:t xml:space="preserve">  The Commission recently adopted rules requiring apparatus that is designed to receive, play back, or record video programming transmitted simultaneously with sound to make secondary audio streams available for video description services.</w:t>
      </w:r>
      <w:r w:rsidR="00D351C9">
        <w:rPr>
          <w:rStyle w:val="FootnoteReference"/>
          <w:szCs w:val="22"/>
        </w:rPr>
        <w:footnoteReference w:id="13"/>
      </w:r>
      <w:r w:rsidR="00D351C9">
        <w:t xml:space="preserve">  Those rules go into effect on </w:t>
      </w:r>
      <w:r w:rsidR="00D351C9">
        <w:lastRenderedPageBreak/>
        <w:t>June 24, 2013, except for the rules that require approval by the Office of Management and Budget.</w:t>
      </w:r>
      <w:r w:rsidR="00D351C9">
        <w:rPr>
          <w:rStyle w:val="FootnoteReference"/>
          <w:szCs w:val="22"/>
        </w:rPr>
        <w:footnoteReference w:id="14"/>
      </w:r>
      <w:r w:rsidR="00D351C9">
        <w:t xml:space="preserve">  </w:t>
      </w:r>
      <w:r w:rsidR="008E5917">
        <w:t xml:space="preserve">In a separate rulemaking proceeding, the Commission recently issued a </w:t>
      </w:r>
      <w:r w:rsidR="008E5917" w:rsidRPr="00140084">
        <w:rPr>
          <w:i/>
        </w:rPr>
        <w:t>Notice of Proposed Rulemaking</w:t>
      </w:r>
      <w:r w:rsidR="008E5917">
        <w:t xml:space="preserve"> seeking comment on issues related to implementation of Sections 204 and 205 of the CVAA, which generally require </w:t>
      </w:r>
      <w:r w:rsidR="008E5917" w:rsidRPr="000A1CEB">
        <w:rPr>
          <w:szCs w:val="22"/>
        </w:rPr>
        <w:t>that user interfaces on digital apparatus</w:t>
      </w:r>
      <w:r w:rsidR="008E5917">
        <w:rPr>
          <w:szCs w:val="22"/>
        </w:rPr>
        <w:t xml:space="preserve"> </w:t>
      </w:r>
      <w:r w:rsidR="008E5917" w:rsidRPr="003E6DAB">
        <w:rPr>
          <w:szCs w:val="22"/>
        </w:rPr>
        <w:t>used to view video programming</w:t>
      </w:r>
      <w:r w:rsidR="008E5917">
        <w:rPr>
          <w:szCs w:val="22"/>
        </w:rPr>
        <w:t xml:space="preserve">, as well as on-screen text menus and guides on </w:t>
      </w:r>
      <w:r w:rsidR="008E5917" w:rsidRPr="000A1CEB">
        <w:rPr>
          <w:szCs w:val="22"/>
        </w:rPr>
        <w:t>navigation</w:t>
      </w:r>
      <w:r w:rsidR="008E5917">
        <w:rPr>
          <w:szCs w:val="22"/>
        </w:rPr>
        <w:t xml:space="preserve"> </w:t>
      </w:r>
      <w:r w:rsidR="008E5917" w:rsidRPr="003E6DAB">
        <w:rPr>
          <w:szCs w:val="22"/>
        </w:rPr>
        <w:t>devices</w:t>
      </w:r>
      <w:r w:rsidR="008E5917">
        <w:rPr>
          <w:szCs w:val="22"/>
        </w:rPr>
        <w:t xml:space="preserve">, </w:t>
      </w:r>
      <w:r w:rsidR="008E5917" w:rsidRPr="003E6DAB">
        <w:rPr>
          <w:szCs w:val="22"/>
        </w:rPr>
        <w:t>be accessible to and usable by individuals who are blind or</w:t>
      </w:r>
      <w:r w:rsidR="008E5917">
        <w:rPr>
          <w:szCs w:val="22"/>
        </w:rPr>
        <w:t xml:space="preserve"> </w:t>
      </w:r>
      <w:r w:rsidR="008E5917" w:rsidRPr="003E6DAB">
        <w:rPr>
          <w:szCs w:val="22"/>
        </w:rPr>
        <w:t>visually impaired</w:t>
      </w:r>
      <w:r w:rsidR="008E5917">
        <w:t>.</w:t>
      </w:r>
      <w:r w:rsidR="008E5917">
        <w:rPr>
          <w:rStyle w:val="FootnoteReference"/>
          <w:szCs w:val="22"/>
        </w:rPr>
        <w:footnoteReference w:id="15"/>
      </w:r>
    </w:p>
    <w:p w:rsidR="00E3708A" w:rsidRDefault="00E3708A" w:rsidP="00E3708A">
      <w:pPr>
        <w:pStyle w:val="ParaNum"/>
        <w:rPr>
          <w:szCs w:val="22"/>
        </w:rPr>
      </w:pPr>
      <w:r w:rsidRPr="00796463">
        <w:rPr>
          <w:szCs w:val="22"/>
          <w:u w:val="single"/>
        </w:rPr>
        <w:t>Video Description in Television Programming</w:t>
      </w:r>
      <w:r>
        <w:rPr>
          <w:szCs w:val="22"/>
        </w:rPr>
        <w:t xml:space="preserve">.  Section 713(f)(3)(A) of the Communications Act of 1934 as amended (the “Communications Act”), as added by the CVAA, directs the Commission to inquire about the following specific issues related to video description in television programming:  </w:t>
      </w:r>
    </w:p>
    <w:p w:rsidR="00E3708A" w:rsidRDefault="00E3708A" w:rsidP="00E3708A">
      <w:pPr>
        <w:pStyle w:val="ParaNum"/>
        <w:numPr>
          <w:ilvl w:val="0"/>
          <w:numId w:val="22"/>
        </w:numPr>
        <w:ind w:left="1080"/>
        <w:rPr>
          <w:szCs w:val="22"/>
        </w:rPr>
      </w:pPr>
      <w:r>
        <w:rPr>
          <w:szCs w:val="22"/>
        </w:rPr>
        <w:t>T</w:t>
      </w:r>
      <w:r w:rsidRPr="007C3A80">
        <w:rPr>
          <w:szCs w:val="22"/>
        </w:rPr>
        <w:t>he availability, use, and benefits of video</w:t>
      </w:r>
      <w:r>
        <w:rPr>
          <w:szCs w:val="22"/>
        </w:rPr>
        <w:t xml:space="preserve"> </w:t>
      </w:r>
      <w:r w:rsidRPr="007C3A80">
        <w:rPr>
          <w:szCs w:val="22"/>
        </w:rPr>
        <w:t>description on video programming distributed</w:t>
      </w:r>
      <w:r>
        <w:rPr>
          <w:szCs w:val="22"/>
        </w:rPr>
        <w:t xml:space="preserve"> on television;</w:t>
      </w:r>
    </w:p>
    <w:p w:rsidR="00E3708A" w:rsidRDefault="00E3708A" w:rsidP="00E3708A">
      <w:pPr>
        <w:pStyle w:val="ParaNum"/>
        <w:numPr>
          <w:ilvl w:val="0"/>
          <w:numId w:val="22"/>
        </w:numPr>
        <w:ind w:left="1080"/>
        <w:rPr>
          <w:szCs w:val="22"/>
        </w:rPr>
      </w:pPr>
      <w:r>
        <w:rPr>
          <w:szCs w:val="22"/>
        </w:rPr>
        <w:t>T</w:t>
      </w:r>
      <w:r w:rsidRPr="007C3A80">
        <w:rPr>
          <w:szCs w:val="22"/>
        </w:rPr>
        <w:t>he technical and creative</w:t>
      </w:r>
      <w:r>
        <w:rPr>
          <w:szCs w:val="22"/>
        </w:rPr>
        <w:t xml:space="preserve"> </w:t>
      </w:r>
      <w:r w:rsidRPr="007C3A80">
        <w:rPr>
          <w:szCs w:val="22"/>
        </w:rPr>
        <w:t>issues associated with providing such</w:t>
      </w:r>
      <w:r>
        <w:rPr>
          <w:szCs w:val="22"/>
        </w:rPr>
        <w:t xml:space="preserve"> video description; and </w:t>
      </w:r>
    </w:p>
    <w:p w:rsidR="00E3708A" w:rsidRPr="007C3A80" w:rsidRDefault="00E3708A" w:rsidP="00E3708A">
      <w:pPr>
        <w:pStyle w:val="ParaNum"/>
        <w:numPr>
          <w:ilvl w:val="0"/>
          <w:numId w:val="22"/>
        </w:numPr>
        <w:ind w:left="1080"/>
        <w:rPr>
          <w:szCs w:val="22"/>
        </w:rPr>
      </w:pPr>
      <w:r>
        <w:rPr>
          <w:szCs w:val="22"/>
        </w:rPr>
        <w:t>T</w:t>
      </w:r>
      <w:r w:rsidRPr="007C3A80">
        <w:rPr>
          <w:szCs w:val="22"/>
        </w:rPr>
        <w:t>he financial costs of</w:t>
      </w:r>
      <w:r>
        <w:rPr>
          <w:szCs w:val="22"/>
        </w:rPr>
        <w:t xml:space="preserve"> </w:t>
      </w:r>
      <w:r w:rsidRPr="007C3A80">
        <w:rPr>
          <w:szCs w:val="22"/>
        </w:rPr>
        <w:t>providing such video description for providers</w:t>
      </w:r>
      <w:r>
        <w:rPr>
          <w:szCs w:val="22"/>
        </w:rPr>
        <w:t xml:space="preserve"> </w:t>
      </w:r>
      <w:r w:rsidRPr="007C3A80">
        <w:rPr>
          <w:szCs w:val="22"/>
        </w:rPr>
        <w:t>of video programming and program owners.</w:t>
      </w:r>
      <w:r>
        <w:rPr>
          <w:rStyle w:val="FootnoteReference"/>
          <w:szCs w:val="22"/>
        </w:rPr>
        <w:footnoteReference w:id="16"/>
      </w:r>
    </w:p>
    <w:p w:rsidR="00E3708A" w:rsidRDefault="00E3708A" w:rsidP="00E3708A">
      <w:pPr>
        <w:pStyle w:val="ParaNum"/>
        <w:numPr>
          <w:ilvl w:val="0"/>
          <w:numId w:val="0"/>
        </w:numPr>
        <w:rPr>
          <w:szCs w:val="22"/>
        </w:rPr>
      </w:pPr>
      <w:r>
        <w:t xml:space="preserve">In accordance with Congress’ directive, we </w:t>
      </w:r>
      <w:r w:rsidRPr="00D936A1">
        <w:rPr>
          <w:szCs w:val="22"/>
        </w:rPr>
        <w:t>request comment on</w:t>
      </w:r>
      <w:r>
        <w:rPr>
          <w:szCs w:val="22"/>
        </w:rPr>
        <w:t xml:space="preserve"> each of the issues set forth above, including information on pertinent developments </w:t>
      </w:r>
      <w:r w:rsidRPr="00D936A1">
        <w:rPr>
          <w:szCs w:val="22"/>
        </w:rPr>
        <w:t>since the</w:t>
      </w:r>
      <w:r>
        <w:rPr>
          <w:szCs w:val="22"/>
        </w:rPr>
        <w:t xml:space="preserve"> video description rules were reinstated in October 2011.  S</w:t>
      </w:r>
      <w:r w:rsidRPr="00D936A1">
        <w:rPr>
          <w:szCs w:val="22"/>
        </w:rPr>
        <w:t>pecifically</w:t>
      </w:r>
      <w:r>
        <w:rPr>
          <w:szCs w:val="22"/>
        </w:rPr>
        <w:t>, we</w:t>
      </w:r>
      <w:r w:rsidRPr="00D936A1">
        <w:rPr>
          <w:szCs w:val="22"/>
        </w:rPr>
        <w:t xml:space="preserve"> solicit data on </w:t>
      </w:r>
      <w:r>
        <w:rPr>
          <w:szCs w:val="22"/>
        </w:rPr>
        <w:t>the amount of video-described programming that is currently available to consumers on television, as well as the types of programming that are provided with video description</w:t>
      </w:r>
      <w:r w:rsidR="00067387">
        <w:rPr>
          <w:szCs w:val="22"/>
        </w:rPr>
        <w:t>.</w:t>
      </w:r>
      <w:r>
        <w:rPr>
          <w:szCs w:val="22"/>
        </w:rPr>
        <w:t xml:space="preserve"> </w:t>
      </w:r>
      <w:r w:rsidR="0048552B">
        <w:rPr>
          <w:szCs w:val="22"/>
        </w:rPr>
        <w:t xml:space="preserve"> </w:t>
      </w:r>
      <w:r w:rsidR="00067387">
        <w:rPr>
          <w:szCs w:val="22"/>
        </w:rPr>
        <w:t>We seek comment on</w:t>
      </w:r>
      <w:r w:rsidR="009F1011">
        <w:rPr>
          <w:szCs w:val="22"/>
        </w:rPr>
        <w:t xml:space="preserve"> both</w:t>
      </w:r>
      <w:r w:rsidR="003D13E1">
        <w:rPr>
          <w:szCs w:val="22"/>
        </w:rPr>
        <w:t xml:space="preserve"> </w:t>
      </w:r>
      <w:r>
        <w:rPr>
          <w:szCs w:val="22"/>
        </w:rPr>
        <w:t xml:space="preserve">programming </w:t>
      </w:r>
      <w:r w:rsidR="00067387">
        <w:rPr>
          <w:szCs w:val="22"/>
        </w:rPr>
        <w:t xml:space="preserve">that </w:t>
      </w:r>
      <w:r>
        <w:rPr>
          <w:szCs w:val="22"/>
        </w:rPr>
        <w:t xml:space="preserve">is </w:t>
      </w:r>
      <w:r w:rsidR="00067387">
        <w:rPr>
          <w:szCs w:val="22"/>
        </w:rPr>
        <w:t xml:space="preserve">video-described </w:t>
      </w:r>
      <w:r>
        <w:rPr>
          <w:szCs w:val="22"/>
        </w:rPr>
        <w:t xml:space="preserve">by covered entities to comply with the Commission’s rules </w:t>
      </w:r>
      <w:r w:rsidR="00067387">
        <w:rPr>
          <w:szCs w:val="22"/>
        </w:rPr>
        <w:t xml:space="preserve">and programming that </w:t>
      </w:r>
      <w:r>
        <w:rPr>
          <w:szCs w:val="22"/>
        </w:rPr>
        <w:t xml:space="preserve">is </w:t>
      </w:r>
      <w:r w:rsidR="00067387">
        <w:rPr>
          <w:szCs w:val="22"/>
        </w:rPr>
        <w:t xml:space="preserve">video-described </w:t>
      </w:r>
      <w:r>
        <w:rPr>
          <w:szCs w:val="22"/>
        </w:rPr>
        <w:t xml:space="preserve">voluntarily.  How much video-described programming is being provided voluntarily?  We also seek comment on the extent to which consumers use video description services when viewing television programming, as well as the benefits to consumers of such services, including whether </w:t>
      </w:r>
      <w:r>
        <w:t>the benefits of video description extend to audiences without visual disabilities.  Is the availability of video description indicated in program guides or other sources?</w:t>
      </w:r>
      <w:r>
        <w:rPr>
          <w:rStyle w:val="FootnoteReference"/>
        </w:rPr>
        <w:footnoteReference w:id="17"/>
      </w:r>
      <w:r w:rsidR="00067387">
        <w:t xml:space="preserve">  If it is, is it indicated audibly, and is there a </w:t>
      </w:r>
      <w:r w:rsidR="00953ECD">
        <w:t>common industry</w:t>
      </w:r>
      <w:r w:rsidR="00067387">
        <w:t xml:space="preserve"> method </w:t>
      </w:r>
      <w:r w:rsidR="00DB2ACA">
        <w:t>to indicate that the program is video-described</w:t>
      </w:r>
      <w:r w:rsidR="00067387">
        <w:t>?</w:t>
      </w:r>
    </w:p>
    <w:p w:rsidR="004E6492" w:rsidRPr="00E3708A" w:rsidRDefault="00286690" w:rsidP="00E3708A">
      <w:pPr>
        <w:pStyle w:val="ParaNum"/>
        <w:rPr>
          <w:szCs w:val="22"/>
        </w:rPr>
      </w:pPr>
      <w:r>
        <w:t>We seek comment on any technical or creative issues involved with the p</w:t>
      </w:r>
      <w:r w:rsidR="00CF2D32">
        <w:t>rovision of video-described</w:t>
      </w:r>
      <w:r>
        <w:t xml:space="preserve"> television programming</w:t>
      </w:r>
      <w:r w:rsidR="00365289">
        <w:t xml:space="preserve">, whether related to the creation, distribution, or viewing of </w:t>
      </w:r>
      <w:r w:rsidR="00CF2D32">
        <w:t xml:space="preserve">such </w:t>
      </w:r>
      <w:r w:rsidR="00365289">
        <w:lastRenderedPageBreak/>
        <w:t>programming</w:t>
      </w:r>
      <w:r>
        <w:t xml:space="preserve">.  </w:t>
      </w:r>
      <w:r w:rsidR="00D936A1" w:rsidRPr="00E3708A">
        <w:rPr>
          <w:szCs w:val="22"/>
        </w:rPr>
        <w:t>We request information regarding the cost</w:t>
      </w:r>
      <w:r w:rsidR="00E9168B" w:rsidRPr="00E3708A">
        <w:rPr>
          <w:szCs w:val="22"/>
        </w:rPr>
        <w:t>s</w:t>
      </w:r>
      <w:r w:rsidR="00D936A1" w:rsidRPr="00E3708A">
        <w:rPr>
          <w:szCs w:val="22"/>
        </w:rPr>
        <w:t xml:space="preserve"> of providing video description for video programming</w:t>
      </w:r>
      <w:r w:rsidR="00331232" w:rsidRPr="00E3708A">
        <w:rPr>
          <w:szCs w:val="22"/>
        </w:rPr>
        <w:t xml:space="preserve"> on television</w:t>
      </w:r>
      <w:r w:rsidR="00091893" w:rsidRPr="00E3708A">
        <w:rPr>
          <w:szCs w:val="22"/>
        </w:rPr>
        <w:t xml:space="preserve">.  </w:t>
      </w:r>
      <w:r w:rsidR="005E682C" w:rsidRPr="00E3708A">
        <w:rPr>
          <w:szCs w:val="22"/>
        </w:rPr>
        <w:t>What</w:t>
      </w:r>
      <w:r w:rsidR="00C25BAF" w:rsidRPr="00E3708A">
        <w:rPr>
          <w:szCs w:val="22"/>
        </w:rPr>
        <w:t xml:space="preserve"> </w:t>
      </w:r>
      <w:r w:rsidR="00E9168B" w:rsidRPr="00E3708A">
        <w:rPr>
          <w:szCs w:val="22"/>
        </w:rPr>
        <w:t xml:space="preserve">financial </w:t>
      </w:r>
      <w:r w:rsidR="00C25BAF" w:rsidRPr="00E3708A">
        <w:rPr>
          <w:szCs w:val="22"/>
        </w:rPr>
        <w:t>costs</w:t>
      </w:r>
      <w:r w:rsidR="005E682C" w:rsidRPr="00E3708A">
        <w:rPr>
          <w:szCs w:val="22"/>
        </w:rPr>
        <w:t xml:space="preserve"> have been incurred by </w:t>
      </w:r>
      <w:r w:rsidR="004C2EFA" w:rsidRPr="00E3708A">
        <w:rPr>
          <w:szCs w:val="22"/>
        </w:rPr>
        <w:t xml:space="preserve">program owners and </w:t>
      </w:r>
      <w:r w:rsidR="00C25BAF" w:rsidRPr="00E3708A">
        <w:rPr>
          <w:szCs w:val="22"/>
        </w:rPr>
        <w:t>video programmin</w:t>
      </w:r>
      <w:r w:rsidR="004C2EFA" w:rsidRPr="00E3708A">
        <w:rPr>
          <w:szCs w:val="22"/>
        </w:rPr>
        <w:t>g providers and distributors</w:t>
      </w:r>
      <w:r w:rsidR="00094092" w:rsidRPr="00E3708A">
        <w:rPr>
          <w:szCs w:val="22"/>
        </w:rPr>
        <w:t>, particularly large market broadcast affiliates and large MVPDs that are</w:t>
      </w:r>
      <w:r w:rsidR="00ED4641" w:rsidRPr="00E3708A">
        <w:rPr>
          <w:szCs w:val="22"/>
        </w:rPr>
        <w:t xml:space="preserve"> currently</w:t>
      </w:r>
      <w:r w:rsidR="00094092" w:rsidRPr="00E3708A">
        <w:rPr>
          <w:szCs w:val="22"/>
        </w:rPr>
        <w:t xml:space="preserve"> subject to the requirements,</w:t>
      </w:r>
      <w:r w:rsidR="00C25BAF" w:rsidRPr="00E3708A">
        <w:rPr>
          <w:szCs w:val="22"/>
        </w:rPr>
        <w:t xml:space="preserve"> </w:t>
      </w:r>
      <w:r w:rsidR="005E682C" w:rsidRPr="00E3708A">
        <w:rPr>
          <w:szCs w:val="22"/>
        </w:rPr>
        <w:t>to create and distribute</w:t>
      </w:r>
      <w:r w:rsidR="00C25BAF" w:rsidRPr="00E3708A">
        <w:rPr>
          <w:szCs w:val="22"/>
        </w:rPr>
        <w:t xml:space="preserve"> video-described</w:t>
      </w:r>
      <w:r w:rsidR="00F0656F" w:rsidRPr="00E3708A">
        <w:rPr>
          <w:szCs w:val="22"/>
        </w:rPr>
        <w:t xml:space="preserve"> programming?</w:t>
      </w:r>
      <w:r w:rsidR="00B073E8" w:rsidRPr="00E3708A">
        <w:rPr>
          <w:szCs w:val="22"/>
        </w:rPr>
        <w:t xml:space="preserve">  What financial cost</w:t>
      </w:r>
      <w:r w:rsidR="00446F0D" w:rsidRPr="00E3708A">
        <w:rPr>
          <w:szCs w:val="22"/>
        </w:rPr>
        <w:t>s</w:t>
      </w:r>
      <w:r w:rsidR="00B03AB1" w:rsidRPr="00E3708A">
        <w:rPr>
          <w:szCs w:val="22"/>
        </w:rPr>
        <w:t>, if any,</w:t>
      </w:r>
      <w:r w:rsidR="00446F0D" w:rsidRPr="00E3708A">
        <w:rPr>
          <w:szCs w:val="22"/>
        </w:rPr>
        <w:t xml:space="preserve"> have been incurred by network-affiliated broadcast stations</w:t>
      </w:r>
      <w:r w:rsidR="00B073E8" w:rsidRPr="00E3708A">
        <w:rPr>
          <w:szCs w:val="22"/>
        </w:rPr>
        <w:t xml:space="preserve"> and MVPDs to comply with the video description pass through requirements?</w:t>
      </w:r>
      <w:r w:rsidR="00F0656F" w:rsidRPr="00E3708A">
        <w:rPr>
          <w:szCs w:val="22"/>
        </w:rPr>
        <w:t xml:space="preserve">  </w:t>
      </w:r>
      <w:r w:rsidR="00880444" w:rsidRPr="00E3708A">
        <w:rPr>
          <w:szCs w:val="22"/>
        </w:rPr>
        <w:t>We further ask commenters to provide information on any other relevant legal and policy issues regarding the provision of vi</w:t>
      </w:r>
      <w:r w:rsidR="00EB17BD" w:rsidRPr="00E3708A">
        <w:rPr>
          <w:szCs w:val="22"/>
        </w:rPr>
        <w:t>deo description i</w:t>
      </w:r>
      <w:r w:rsidR="00880444" w:rsidRPr="00E3708A">
        <w:rPr>
          <w:szCs w:val="22"/>
        </w:rPr>
        <w:t xml:space="preserve">n television programming that can help inform the Commission’s report to Congress.  </w:t>
      </w:r>
    </w:p>
    <w:p w:rsidR="007C5D9C" w:rsidRPr="00CC4215" w:rsidRDefault="007C5D9C" w:rsidP="001C0747">
      <w:pPr>
        <w:pStyle w:val="ParaNum"/>
      </w:pPr>
      <w:r>
        <w:t xml:space="preserve">In the </w:t>
      </w:r>
      <w:r>
        <w:rPr>
          <w:i/>
        </w:rPr>
        <w:t>2011 Video Description Order</w:t>
      </w:r>
      <w:r>
        <w:t>, the Commission also indicated that it would revisit the need for providing an exception to the video description pass through requirements</w:t>
      </w:r>
      <w:r w:rsidR="00EA7893">
        <w:rPr>
          <w:rStyle w:val="FootnoteReference"/>
          <w:szCs w:val="22"/>
        </w:rPr>
        <w:footnoteReference w:id="18"/>
      </w:r>
      <w:r>
        <w:t xml:space="preserve"> and to the requirements applicable to subsequent airings of programs</w:t>
      </w:r>
      <w:r w:rsidR="00EA7893">
        <w:rPr>
          <w:rStyle w:val="FootnoteReference"/>
          <w:szCs w:val="22"/>
        </w:rPr>
        <w:footnoteReference w:id="19"/>
      </w:r>
      <w:r>
        <w:t xml:space="preserve"> when the technology used to provide video description is being used for other program-related content.</w:t>
      </w:r>
      <w:r w:rsidR="00EA7893">
        <w:rPr>
          <w:rStyle w:val="FootnoteReference"/>
          <w:szCs w:val="22"/>
        </w:rPr>
        <w:footnoteReference w:id="20"/>
      </w:r>
      <w:r w:rsidR="002D4FCD">
        <w:t xml:space="preserve">  At that time, the Commission explained that eliminating the exception may lead covered entities to replace other program-related content (</w:t>
      </w:r>
      <w:r w:rsidR="002D4FCD">
        <w:rPr>
          <w:i/>
        </w:rPr>
        <w:t>e.g.</w:t>
      </w:r>
      <w:r w:rsidR="002D4FCD">
        <w:t xml:space="preserve">, foreign language audio) </w:t>
      </w:r>
      <w:r w:rsidR="00AC26E9">
        <w:t xml:space="preserve">with video description </w:t>
      </w:r>
      <w:r w:rsidR="00571B7E">
        <w:t xml:space="preserve">on the secondary audio stream </w:t>
      </w:r>
      <w:r w:rsidR="002D4FCD">
        <w:t>or, alternatively, to</w:t>
      </w:r>
      <w:r w:rsidR="00571B7E">
        <w:t xml:space="preserve"> provide video description on a </w:t>
      </w:r>
      <w:r w:rsidR="001F4B81">
        <w:t>third</w:t>
      </w:r>
      <w:r w:rsidR="00571B7E">
        <w:t xml:space="preserve"> </w:t>
      </w:r>
      <w:r w:rsidR="002D4FCD">
        <w:t xml:space="preserve">audio stream tagged </w:t>
      </w:r>
      <w:r w:rsidR="006129D5">
        <w:t>in a particular manner (</w:t>
      </w:r>
      <w:r w:rsidR="006129D5">
        <w:rPr>
          <w:i/>
        </w:rPr>
        <w:t>e.g.</w:t>
      </w:r>
      <w:r w:rsidR="006129D5">
        <w:t>,</w:t>
      </w:r>
      <w:r w:rsidR="002D4FCD">
        <w:t xml:space="preserve"> </w:t>
      </w:r>
      <w:r w:rsidR="006129D5">
        <w:t>“visually impaired”)</w:t>
      </w:r>
      <w:r w:rsidR="00C7521B">
        <w:t>, which could make it difficult for consumers to access</w:t>
      </w:r>
      <w:r w:rsidR="002D4FCD">
        <w:t>.</w:t>
      </w:r>
      <w:r w:rsidR="00956557">
        <w:rPr>
          <w:rStyle w:val="FootnoteReference"/>
        </w:rPr>
        <w:footnoteReference w:id="21"/>
      </w:r>
      <w:r w:rsidR="002D4FCD">
        <w:t xml:space="preserve">  We seek comment on</w:t>
      </w:r>
      <w:r w:rsidR="00571B7E">
        <w:t xml:space="preserve"> whether we should revisit</w:t>
      </w:r>
      <w:r w:rsidR="002D4FCD">
        <w:t xml:space="preserve"> </w:t>
      </w:r>
      <w:r w:rsidR="006B15A4">
        <w:t>the need for an exception for other program-related content</w:t>
      </w:r>
      <w:r w:rsidR="001C0747">
        <w:t xml:space="preserve">.  We note that the </w:t>
      </w:r>
      <w:r w:rsidR="008D6560">
        <w:t xml:space="preserve">Commission has already </w:t>
      </w:r>
      <w:r w:rsidR="006129D5">
        <w:t xml:space="preserve">addressed issues regarding the capacity to provide more than one audio stream </w:t>
      </w:r>
      <w:r w:rsidR="008D6560">
        <w:t xml:space="preserve">in the </w:t>
      </w:r>
      <w:r w:rsidR="001C0747">
        <w:rPr>
          <w:i/>
        </w:rPr>
        <w:t>Emergency Information/Video Description Order</w:t>
      </w:r>
      <w:r w:rsidR="008D6560" w:rsidRPr="00761807">
        <w:t xml:space="preserve"> </w:t>
      </w:r>
      <w:r w:rsidR="008D6560">
        <w:t xml:space="preserve">and </w:t>
      </w:r>
      <w:r w:rsidR="00D2741B">
        <w:t>concluded that it should</w:t>
      </w:r>
      <w:r w:rsidR="00572154">
        <w:t xml:space="preserve"> not mandate more than two audio streams.</w:t>
      </w:r>
      <w:r w:rsidR="00572154" w:rsidRPr="00761807">
        <w:rPr>
          <w:rStyle w:val="FootnoteReference"/>
        </w:rPr>
        <w:footnoteReference w:id="22"/>
      </w:r>
      <w:r w:rsidR="00572154">
        <w:t xml:space="preserve">  Apparatus are required to </w:t>
      </w:r>
      <w:r w:rsidR="005B4B4C">
        <w:t xml:space="preserve">make video description available </w:t>
      </w:r>
      <w:r w:rsidR="00572154">
        <w:t xml:space="preserve">only </w:t>
      </w:r>
      <w:r w:rsidR="005B4B4C">
        <w:t>on a secondary audio stream.</w:t>
      </w:r>
      <w:r w:rsidR="007B66E9">
        <w:rPr>
          <w:rStyle w:val="FootnoteReference"/>
        </w:rPr>
        <w:footnoteReference w:id="23"/>
      </w:r>
      <w:r w:rsidR="005B4B4C">
        <w:t xml:space="preserve">  </w:t>
      </w:r>
      <w:r w:rsidR="00F829B2">
        <w:t xml:space="preserve">Further, in the </w:t>
      </w:r>
      <w:r w:rsidR="00F829B2">
        <w:rPr>
          <w:i/>
        </w:rPr>
        <w:t>Emergency Information/Video Description Order</w:t>
      </w:r>
      <w:r w:rsidR="00F829B2">
        <w:t>, t</w:t>
      </w:r>
      <w:r w:rsidR="006129D5">
        <w:t xml:space="preserve">he Commission </w:t>
      </w:r>
      <w:r w:rsidR="001C0747">
        <w:t xml:space="preserve">adopted rules requiring that emergency information provided on a secondary audio stream supersede all other programming on the secondary audio stream, including video </w:t>
      </w:r>
      <w:r w:rsidR="006129D5">
        <w:t>description</w:t>
      </w:r>
      <w:r w:rsidR="001C0747">
        <w:t>.</w:t>
      </w:r>
      <w:r w:rsidR="008D6560">
        <w:rPr>
          <w:rStyle w:val="FootnoteReference"/>
        </w:rPr>
        <w:footnoteReference w:id="24"/>
      </w:r>
      <w:r w:rsidR="00591A08">
        <w:t xml:space="preserve">  We are not seeking to revisit these issues here.  </w:t>
      </w:r>
      <w:r w:rsidR="00F829B2">
        <w:t xml:space="preserve"> </w:t>
      </w:r>
    </w:p>
    <w:p w:rsidR="004E6492" w:rsidRDefault="00A213F3" w:rsidP="007C3A80">
      <w:pPr>
        <w:pStyle w:val="ParaNum"/>
        <w:rPr>
          <w:szCs w:val="22"/>
        </w:rPr>
      </w:pPr>
      <w:r w:rsidRPr="00796463">
        <w:rPr>
          <w:szCs w:val="22"/>
          <w:u w:val="single"/>
        </w:rPr>
        <w:t>Video Description in Video Programming Distributed on the Internet</w:t>
      </w:r>
      <w:r>
        <w:rPr>
          <w:szCs w:val="22"/>
        </w:rPr>
        <w:t>.</w:t>
      </w:r>
      <w:r w:rsidR="009F4873">
        <w:rPr>
          <w:szCs w:val="22"/>
        </w:rPr>
        <w:t xml:space="preserve">  Section 713(f)(3)(</w:t>
      </w:r>
      <w:r w:rsidR="00BB5E4A">
        <w:rPr>
          <w:szCs w:val="22"/>
        </w:rPr>
        <w:t>B</w:t>
      </w:r>
      <w:r w:rsidR="009F4873">
        <w:rPr>
          <w:szCs w:val="22"/>
        </w:rPr>
        <w:t xml:space="preserve">) of the Communications Act also directs the Commission to </w:t>
      </w:r>
      <w:r w:rsidR="00F43C1F">
        <w:rPr>
          <w:szCs w:val="22"/>
        </w:rPr>
        <w:t>make</w:t>
      </w:r>
      <w:r w:rsidR="00C66941">
        <w:rPr>
          <w:szCs w:val="22"/>
        </w:rPr>
        <w:t xml:space="preserve"> the following inquiry</w:t>
      </w:r>
      <w:r w:rsidR="009F4873">
        <w:rPr>
          <w:szCs w:val="22"/>
        </w:rPr>
        <w:t xml:space="preserve"> related to video description in video programming distributed on the Internet</w:t>
      </w:r>
      <w:r w:rsidR="00C66941">
        <w:rPr>
          <w:szCs w:val="22"/>
        </w:rPr>
        <w:t>:</w:t>
      </w:r>
      <w:r w:rsidR="009F4873">
        <w:rPr>
          <w:szCs w:val="22"/>
        </w:rPr>
        <w:t xml:space="preserve"> </w:t>
      </w:r>
    </w:p>
    <w:p w:rsidR="00C66941" w:rsidRDefault="00C66941" w:rsidP="00C66941">
      <w:pPr>
        <w:pStyle w:val="ParaNum"/>
        <w:numPr>
          <w:ilvl w:val="0"/>
          <w:numId w:val="23"/>
        </w:numPr>
        <w:ind w:left="1080"/>
        <w:rPr>
          <w:szCs w:val="22"/>
        </w:rPr>
      </w:pPr>
      <w:r w:rsidRPr="00C66941">
        <w:rPr>
          <w:szCs w:val="22"/>
        </w:rPr>
        <w:t>The technical and operational issues,</w:t>
      </w:r>
      <w:r>
        <w:rPr>
          <w:szCs w:val="22"/>
        </w:rPr>
        <w:t xml:space="preserve"> </w:t>
      </w:r>
      <w:r w:rsidRPr="00C66941">
        <w:rPr>
          <w:szCs w:val="22"/>
        </w:rPr>
        <w:t>costs, and benefits of providing video descriptions</w:t>
      </w:r>
      <w:r>
        <w:rPr>
          <w:szCs w:val="22"/>
        </w:rPr>
        <w:t xml:space="preserve"> </w:t>
      </w:r>
      <w:r w:rsidRPr="00C66941">
        <w:rPr>
          <w:szCs w:val="22"/>
        </w:rPr>
        <w:t>for video programming that is delivered</w:t>
      </w:r>
      <w:r>
        <w:rPr>
          <w:szCs w:val="22"/>
        </w:rPr>
        <w:t xml:space="preserve"> </w:t>
      </w:r>
      <w:r w:rsidRPr="00C66941">
        <w:rPr>
          <w:szCs w:val="22"/>
        </w:rPr>
        <w:t>using Internet protocol</w:t>
      </w:r>
      <w:r w:rsidR="003C0BE7">
        <w:rPr>
          <w:szCs w:val="22"/>
        </w:rPr>
        <w:t xml:space="preserve"> (“IP”)</w:t>
      </w:r>
      <w:r w:rsidRPr="00C66941">
        <w:rPr>
          <w:szCs w:val="22"/>
        </w:rPr>
        <w:t>.</w:t>
      </w:r>
      <w:r>
        <w:rPr>
          <w:rStyle w:val="FootnoteReference"/>
          <w:szCs w:val="22"/>
        </w:rPr>
        <w:footnoteReference w:id="25"/>
      </w:r>
    </w:p>
    <w:p w:rsidR="007C3A80" w:rsidRPr="007C3A80" w:rsidRDefault="007C3A80" w:rsidP="00F0656F">
      <w:pPr>
        <w:pStyle w:val="ParaNum"/>
        <w:numPr>
          <w:ilvl w:val="0"/>
          <w:numId w:val="0"/>
        </w:numPr>
        <w:rPr>
          <w:szCs w:val="22"/>
        </w:rPr>
      </w:pPr>
      <w:r>
        <w:rPr>
          <w:szCs w:val="22"/>
        </w:rPr>
        <w:lastRenderedPageBreak/>
        <w:t xml:space="preserve">In accordance with Congress’ </w:t>
      </w:r>
      <w:r w:rsidR="009C282D">
        <w:rPr>
          <w:szCs w:val="22"/>
        </w:rPr>
        <w:t>directive</w:t>
      </w:r>
      <w:r>
        <w:rPr>
          <w:szCs w:val="22"/>
        </w:rPr>
        <w:t xml:space="preserve">, we seek comment on </w:t>
      </w:r>
      <w:r w:rsidR="00B7206F">
        <w:rPr>
          <w:szCs w:val="22"/>
        </w:rPr>
        <w:t>the inquiry set forth above.</w:t>
      </w:r>
      <w:r w:rsidR="00F91099">
        <w:rPr>
          <w:szCs w:val="22"/>
        </w:rPr>
        <w:t xml:space="preserve">  </w:t>
      </w:r>
      <w:r w:rsidR="003C0BE7">
        <w:rPr>
          <w:szCs w:val="22"/>
        </w:rPr>
        <w:t>We note that the Commission’s video description regulations require video description only by certain television broadcast stations and MVPDs and</w:t>
      </w:r>
      <w:r w:rsidR="007A7102">
        <w:rPr>
          <w:szCs w:val="22"/>
        </w:rPr>
        <w:t xml:space="preserve"> that</w:t>
      </w:r>
      <w:r w:rsidR="003C0BE7">
        <w:rPr>
          <w:szCs w:val="22"/>
        </w:rPr>
        <w:t xml:space="preserve">, at this time, </w:t>
      </w:r>
      <w:r w:rsidR="005575C9">
        <w:rPr>
          <w:szCs w:val="22"/>
        </w:rPr>
        <w:t xml:space="preserve">the requirements </w:t>
      </w:r>
      <w:r w:rsidR="003C0BE7">
        <w:rPr>
          <w:szCs w:val="22"/>
        </w:rPr>
        <w:t xml:space="preserve">do not apply to IP-delivered video programming that </w:t>
      </w:r>
      <w:r w:rsidR="004C2EFA">
        <w:rPr>
          <w:szCs w:val="22"/>
        </w:rPr>
        <w:t>is not otherwise an MVPD service</w:t>
      </w:r>
      <w:r w:rsidR="003C0BE7">
        <w:rPr>
          <w:szCs w:val="22"/>
        </w:rPr>
        <w:t>.</w:t>
      </w:r>
      <w:r w:rsidR="003C0BE7">
        <w:rPr>
          <w:rStyle w:val="FootnoteReference"/>
          <w:szCs w:val="22"/>
        </w:rPr>
        <w:footnoteReference w:id="26"/>
      </w:r>
      <w:r w:rsidR="008632AF">
        <w:rPr>
          <w:szCs w:val="22"/>
        </w:rPr>
        <w:t xml:space="preserve"> </w:t>
      </w:r>
      <w:r w:rsidR="003C0BE7">
        <w:rPr>
          <w:szCs w:val="22"/>
        </w:rPr>
        <w:t xml:space="preserve"> </w:t>
      </w:r>
      <w:r w:rsidR="00433F1E">
        <w:rPr>
          <w:szCs w:val="22"/>
        </w:rPr>
        <w:t xml:space="preserve">What technical and operational issues are involved with </w:t>
      </w:r>
      <w:r w:rsidR="007E5250">
        <w:rPr>
          <w:szCs w:val="22"/>
        </w:rPr>
        <w:t xml:space="preserve">providing </w:t>
      </w:r>
      <w:r w:rsidR="00433F1E">
        <w:rPr>
          <w:szCs w:val="22"/>
        </w:rPr>
        <w:t xml:space="preserve">video descriptions for IP-delivered video programming? </w:t>
      </w:r>
      <w:r w:rsidR="008632AF">
        <w:rPr>
          <w:szCs w:val="22"/>
        </w:rPr>
        <w:t xml:space="preserve"> </w:t>
      </w:r>
      <w:r w:rsidR="008E5917">
        <w:rPr>
          <w:szCs w:val="22"/>
        </w:rPr>
        <w:t>As noted above, t</w:t>
      </w:r>
      <w:r w:rsidR="004C2EFA">
        <w:rPr>
          <w:szCs w:val="22"/>
        </w:rPr>
        <w:t xml:space="preserve">he Commission recently adopted </w:t>
      </w:r>
      <w:r w:rsidR="00433F1E">
        <w:rPr>
          <w:szCs w:val="22"/>
        </w:rPr>
        <w:t xml:space="preserve">rules requiring </w:t>
      </w:r>
      <w:r w:rsidR="008E5917">
        <w:rPr>
          <w:szCs w:val="22"/>
        </w:rPr>
        <w:t xml:space="preserve">certain </w:t>
      </w:r>
      <w:r w:rsidR="00433F1E">
        <w:rPr>
          <w:szCs w:val="22"/>
        </w:rPr>
        <w:t xml:space="preserve">apparatus to make secondary </w:t>
      </w:r>
      <w:r w:rsidR="004C2EFA">
        <w:rPr>
          <w:szCs w:val="22"/>
        </w:rPr>
        <w:t>audio stream</w:t>
      </w:r>
      <w:r w:rsidR="00433F1E">
        <w:rPr>
          <w:szCs w:val="22"/>
        </w:rPr>
        <w:t>s</w:t>
      </w:r>
      <w:r w:rsidR="004C2EFA">
        <w:rPr>
          <w:szCs w:val="22"/>
        </w:rPr>
        <w:t xml:space="preserve"> available for video description service</w:t>
      </w:r>
      <w:r w:rsidR="00433F1E">
        <w:rPr>
          <w:szCs w:val="22"/>
        </w:rPr>
        <w:t>s.</w:t>
      </w:r>
      <w:r w:rsidR="00433F1E">
        <w:rPr>
          <w:rStyle w:val="FootnoteReference"/>
          <w:szCs w:val="22"/>
        </w:rPr>
        <w:footnoteReference w:id="27"/>
      </w:r>
      <w:r w:rsidR="00433F1E">
        <w:rPr>
          <w:szCs w:val="22"/>
        </w:rPr>
        <w:t xml:space="preserve">  </w:t>
      </w:r>
      <w:r w:rsidR="00B00BB2">
        <w:rPr>
          <w:szCs w:val="22"/>
        </w:rPr>
        <w:t>Are</w:t>
      </w:r>
      <w:r w:rsidR="004C2EFA">
        <w:rPr>
          <w:szCs w:val="22"/>
        </w:rPr>
        <w:t xml:space="preserve"> there other technologi</w:t>
      </w:r>
      <w:r w:rsidR="00B8799A">
        <w:rPr>
          <w:szCs w:val="22"/>
        </w:rPr>
        <w:t>es or functionalities that must be developed to accommodate the delivery of video-described programming on the Internet and to make such programming accessible to individuals who are blind or visually impaired?</w:t>
      </w:r>
      <w:r w:rsidR="008632AF">
        <w:rPr>
          <w:rStyle w:val="FootnoteReference"/>
          <w:szCs w:val="22"/>
        </w:rPr>
        <w:footnoteReference w:id="28"/>
      </w:r>
      <w:r w:rsidR="00B00BB2">
        <w:rPr>
          <w:szCs w:val="22"/>
        </w:rPr>
        <w:t xml:space="preserve">  What are the costs </w:t>
      </w:r>
      <w:r w:rsidR="002553B1">
        <w:rPr>
          <w:szCs w:val="22"/>
        </w:rPr>
        <w:t xml:space="preserve">and benefits </w:t>
      </w:r>
      <w:r w:rsidR="00B00BB2">
        <w:rPr>
          <w:szCs w:val="22"/>
        </w:rPr>
        <w:t xml:space="preserve">of providing video description for IP-delivered video programming?  </w:t>
      </w:r>
      <w:r w:rsidR="00880444" w:rsidRPr="00BF22E6">
        <w:rPr>
          <w:szCs w:val="22"/>
        </w:rPr>
        <w:t xml:space="preserve">We further ask commenters to </w:t>
      </w:r>
      <w:r w:rsidR="00880444">
        <w:rPr>
          <w:szCs w:val="22"/>
        </w:rPr>
        <w:t xml:space="preserve">provide information on any </w:t>
      </w:r>
      <w:r w:rsidR="00880444" w:rsidRPr="00BF22E6">
        <w:rPr>
          <w:szCs w:val="22"/>
        </w:rPr>
        <w:t>other relevant legal and policy issues</w:t>
      </w:r>
      <w:r w:rsidR="00880444">
        <w:rPr>
          <w:szCs w:val="22"/>
        </w:rPr>
        <w:t xml:space="preserve"> regarding the provision of video description on video programming distributed on the Internet that can help inform the Commission’s report to Congress</w:t>
      </w:r>
      <w:r w:rsidR="00880444" w:rsidRPr="00BF22E6">
        <w:rPr>
          <w:szCs w:val="22"/>
        </w:rPr>
        <w:t>.</w:t>
      </w:r>
    </w:p>
    <w:p w:rsidR="004E6492" w:rsidRDefault="004E6492">
      <w:pPr>
        <w:pStyle w:val="ParaNum"/>
        <w:rPr>
          <w:szCs w:val="22"/>
        </w:rPr>
      </w:pPr>
      <w:r>
        <w:rPr>
          <w:szCs w:val="22"/>
          <w:u w:val="single"/>
        </w:rPr>
        <w:t>Permit-but-Disclose.</w:t>
      </w:r>
      <w:r>
        <w:rPr>
          <w:szCs w:val="22"/>
        </w:rPr>
        <w:t xml:space="preserve">  The proceeding shall be treated as a “permit-but-disclose” proceeding in accordance with the Commission’s </w:t>
      </w:r>
      <w:r>
        <w:rPr>
          <w:i/>
          <w:szCs w:val="22"/>
        </w:rPr>
        <w:t xml:space="preserve">ex parte </w:t>
      </w:r>
      <w:r>
        <w:rPr>
          <w:szCs w:val="22"/>
        </w:rPr>
        <w:t>rules.</w:t>
      </w:r>
      <w:r>
        <w:rPr>
          <w:rStyle w:val="FootnoteReference"/>
          <w:szCs w:val="22"/>
        </w:rPr>
        <w:footnoteReference w:id="29"/>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presentation was made, and (2) summarize all data presented and arguments made during the presentation.  If the presentation consisted in whole or in part of the presentation of data or arguments already reflected in the presenter’s written comments, memoranda</w:t>
      </w:r>
      <w:r w:rsidR="00975274">
        <w:t>,</w:t>
      </w:r>
      <w:r>
        <w:t xml:space="preserve">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r>
        <w:rPr>
          <w:szCs w:val="22"/>
        </w:rPr>
        <w:t>.</w:t>
      </w:r>
    </w:p>
    <w:p w:rsidR="004E6492" w:rsidRDefault="004E6492">
      <w:pPr>
        <w:pStyle w:val="ParaNum"/>
        <w:suppressAutoHyphens w:val="0"/>
        <w:rPr>
          <w:szCs w:val="22"/>
        </w:rPr>
      </w:pPr>
      <w:r>
        <w:rPr>
          <w:szCs w:val="22"/>
          <w:u w:val="single"/>
        </w:rPr>
        <w:t>Comments and Replies</w:t>
      </w:r>
      <w:r>
        <w:rPr>
          <w:szCs w:val="22"/>
        </w:rPr>
        <w:t>.  Interested parties may file comments and reply comments on or before the dates indicated on the first page of this document.  Comments and Reply Comments may be filed using the Commission’s Electronic Comment Filing System (“ECFS”).</w:t>
      </w:r>
      <w:r>
        <w:rPr>
          <w:rStyle w:val="FootnoteReference"/>
          <w:szCs w:val="22"/>
        </w:rPr>
        <w:footnoteReference w:id="30"/>
      </w:r>
    </w:p>
    <w:p w:rsidR="004E6492" w:rsidRDefault="004E6492">
      <w:pPr>
        <w:pStyle w:val="ParaNum"/>
        <w:numPr>
          <w:ilvl w:val="0"/>
          <w:numId w:val="20"/>
        </w:numPr>
        <w:suppressAutoHyphens w:val="0"/>
        <w:rPr>
          <w:szCs w:val="22"/>
        </w:rPr>
      </w:pPr>
      <w:r>
        <w:rPr>
          <w:szCs w:val="22"/>
          <w:u w:val="single"/>
        </w:rPr>
        <w:t>Electronic Filers</w:t>
      </w:r>
      <w:r>
        <w:rPr>
          <w:szCs w:val="22"/>
        </w:rPr>
        <w:t xml:space="preserve">:  Comments may be filed electronically using the Internet by accessing the ECFS:  </w:t>
      </w:r>
      <w:hyperlink r:id="rId8" w:history="1">
        <w:r>
          <w:rPr>
            <w:rStyle w:val="Hyperlink"/>
          </w:rPr>
          <w:t>http://fjallfoss.fcc.gov/ecfs2/</w:t>
        </w:r>
      </w:hyperlink>
      <w:r>
        <w:t>.</w:t>
      </w:r>
    </w:p>
    <w:p w:rsidR="004E6492" w:rsidRDefault="004E6492">
      <w:pPr>
        <w:pStyle w:val="ParaNum"/>
        <w:numPr>
          <w:ilvl w:val="0"/>
          <w:numId w:val="20"/>
        </w:numPr>
        <w:suppressAutoHyphens w:val="0"/>
        <w:rPr>
          <w:szCs w:val="22"/>
        </w:rPr>
      </w:pPr>
      <w:r>
        <w:rPr>
          <w:szCs w:val="22"/>
          <w:u w:val="single"/>
        </w:rPr>
        <w:t>Paper Filers</w:t>
      </w:r>
      <w:r>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4E6492" w:rsidRDefault="004E6492">
      <w:pPr>
        <w:pStyle w:val="ParaNum"/>
        <w:numPr>
          <w:ilvl w:val="0"/>
          <w:numId w:val="0"/>
        </w:numPr>
        <w:ind w:left="1080"/>
        <w:rPr>
          <w:szCs w:val="22"/>
        </w:rPr>
      </w:pPr>
      <w:r>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4E6492" w:rsidRDefault="004E6492">
      <w:pPr>
        <w:pStyle w:val="ParaNum"/>
        <w:numPr>
          <w:ilvl w:val="1"/>
          <w:numId w:val="20"/>
        </w:numPr>
        <w:suppressAutoHyphens w:val="0"/>
        <w:rPr>
          <w:szCs w:val="22"/>
        </w:rPr>
      </w:pPr>
      <w:r>
        <w:rPr>
          <w:szCs w:val="22"/>
        </w:rPr>
        <w:t>All hand-delivered or messenger-delivered paper filings for the Commission’s Secretary must be delivered to FCC Headquarters at 445 12</w:t>
      </w:r>
      <w:r>
        <w:rPr>
          <w:szCs w:val="22"/>
          <w:vertAlign w:val="superscript"/>
        </w:rPr>
        <w:t>th</w:t>
      </w:r>
      <w:r w:rsidR="00D97510">
        <w:rPr>
          <w:szCs w:val="22"/>
        </w:rPr>
        <w:t xml:space="preserve"> Street</w:t>
      </w:r>
      <w:r>
        <w:rPr>
          <w:szCs w:val="22"/>
        </w:rPr>
        <w:t xml:space="preserve">, SW, Room TW-A325, Washington, DC 20554.  The filing hours are 8:00 a.m. to 7:00 p.m.  All hand deliveries must be held together with rubber bands or fasteners.  Any envelopes and boxes must be disposed of </w:t>
      </w:r>
      <w:r>
        <w:rPr>
          <w:szCs w:val="22"/>
          <w:u w:val="single"/>
        </w:rPr>
        <w:t>before</w:t>
      </w:r>
      <w:r>
        <w:rPr>
          <w:szCs w:val="22"/>
        </w:rPr>
        <w:t xml:space="preserve"> entering the building.  </w:t>
      </w:r>
    </w:p>
    <w:p w:rsidR="004E6492" w:rsidRDefault="004E6492">
      <w:pPr>
        <w:pStyle w:val="ParaNum"/>
        <w:numPr>
          <w:ilvl w:val="1"/>
          <w:numId w:val="20"/>
        </w:numPr>
        <w:suppressAutoHyphens w:val="0"/>
        <w:rPr>
          <w:szCs w:val="22"/>
        </w:rPr>
      </w:pPr>
      <w:r>
        <w:rPr>
          <w:szCs w:val="22"/>
        </w:rPr>
        <w:t>Commercial overnight mail (other than U.S. Postal Service Express Mail and Priority Mail) must be sent to 9300 East Hampton Drive, Capitol Heights, MD 20743.</w:t>
      </w:r>
    </w:p>
    <w:p w:rsidR="004E6492" w:rsidRDefault="004E6492">
      <w:pPr>
        <w:pStyle w:val="ParaNum"/>
        <w:numPr>
          <w:ilvl w:val="1"/>
          <w:numId w:val="20"/>
        </w:numPr>
        <w:suppressAutoHyphens w:val="0"/>
        <w:rPr>
          <w:szCs w:val="22"/>
        </w:rPr>
      </w:pPr>
      <w:r>
        <w:rPr>
          <w:szCs w:val="22"/>
        </w:rPr>
        <w:t>U.S. Postal Service first-class, Express, and Priority mail must be addressed to 445 12</w:t>
      </w:r>
      <w:r>
        <w:rPr>
          <w:szCs w:val="22"/>
          <w:vertAlign w:val="superscript"/>
        </w:rPr>
        <w:t>th</w:t>
      </w:r>
      <w:r>
        <w:rPr>
          <w:szCs w:val="22"/>
        </w:rPr>
        <w:t xml:space="preserve"> Street, SW, Washington</w:t>
      </w:r>
      <w:r w:rsidR="00975274">
        <w:rPr>
          <w:szCs w:val="22"/>
        </w:rPr>
        <w:t>,</w:t>
      </w:r>
      <w:r>
        <w:rPr>
          <w:szCs w:val="22"/>
        </w:rPr>
        <w:t xml:space="preserve"> DC 20554.</w:t>
      </w:r>
    </w:p>
    <w:p w:rsidR="004E6492" w:rsidRDefault="004E6492">
      <w:pPr>
        <w:pStyle w:val="ParaNum"/>
        <w:suppressAutoHyphens w:val="0"/>
        <w:rPr>
          <w:szCs w:val="22"/>
        </w:rPr>
      </w:pPr>
      <w:r>
        <w:rPr>
          <w:szCs w:val="22"/>
          <w:u w:val="single"/>
        </w:rPr>
        <w:t>Availability of Documents</w:t>
      </w:r>
      <w:r>
        <w:rPr>
          <w:szCs w:val="22"/>
        </w:rPr>
        <w:t xml:space="preserve">.  Comments, reply comments, and </w:t>
      </w:r>
      <w:r>
        <w:rPr>
          <w:i/>
          <w:szCs w:val="22"/>
        </w:rPr>
        <w:t>ex parte</w:t>
      </w:r>
      <w:r>
        <w:rPr>
          <w:szCs w:val="22"/>
        </w:rPr>
        <w:t xml:space="preserve"> submissions will be available for public inspection during regular business hours in the FCC Reference Center, Federal Communications Commission, 445 12</w:t>
      </w:r>
      <w:r>
        <w:rPr>
          <w:szCs w:val="22"/>
          <w:vertAlign w:val="superscript"/>
        </w:rPr>
        <w:t>th</w:t>
      </w:r>
      <w:r w:rsidR="00D97510">
        <w:rPr>
          <w:szCs w:val="22"/>
        </w:rPr>
        <w:t xml:space="preserve"> Street, SW, CY-A257, Washington, DC</w:t>
      </w:r>
      <w:r>
        <w:rPr>
          <w:szCs w:val="22"/>
        </w:rPr>
        <w:t xml:space="preserve"> 20554.  These documents will also be available via ECFS.  Documents will be available electronically in ASCII, Microsoft Word, and/or Adobe Acrobat.</w:t>
      </w:r>
    </w:p>
    <w:p w:rsidR="004E6492" w:rsidRDefault="004E6492">
      <w:pPr>
        <w:pStyle w:val="ParaNum"/>
        <w:rPr>
          <w:szCs w:val="22"/>
        </w:rPr>
      </w:pPr>
      <w:r>
        <w:rPr>
          <w:szCs w:val="22"/>
          <w:u w:val="single"/>
        </w:rPr>
        <w:t>People with Disabilities</w:t>
      </w:r>
      <w:r w:rsidRPr="00D97510">
        <w:rPr>
          <w:szCs w:val="22"/>
        </w:rPr>
        <w:t>.  T</w:t>
      </w:r>
      <w:r>
        <w:rPr>
          <w:szCs w:val="22"/>
        </w:rPr>
        <w:t xml:space="preserve">o request materials in accessible formats for people with disabilities (Braille, large print, electronic files, audio format), send an e-mail to </w:t>
      </w:r>
      <w:hyperlink r:id="rId9" w:history="1">
        <w:r>
          <w:rPr>
            <w:rStyle w:val="Hyperlink"/>
            <w:szCs w:val="22"/>
          </w:rPr>
          <w:t>fcc504@fcc.gov</w:t>
        </w:r>
      </w:hyperlink>
      <w:r>
        <w:rPr>
          <w:szCs w:val="22"/>
        </w:rPr>
        <w:t xml:space="preserve"> or call the FCC’s Consumer and Governmental Affairs Bureau at (202) 418-0530 (voice), (202) 418-0432 (TTY).</w:t>
      </w:r>
    </w:p>
    <w:p w:rsidR="004E6492" w:rsidRDefault="004E6492">
      <w:pPr>
        <w:pStyle w:val="ParaNum"/>
        <w:rPr>
          <w:szCs w:val="22"/>
        </w:rPr>
      </w:pPr>
      <w:r>
        <w:rPr>
          <w:szCs w:val="22"/>
          <w:u w:val="single"/>
        </w:rPr>
        <w:t>Additional Information</w:t>
      </w:r>
      <w:r>
        <w:rPr>
          <w:szCs w:val="22"/>
        </w:rPr>
        <w:t xml:space="preserve">.  For additional information on this proceeding, contact </w:t>
      </w:r>
      <w:r w:rsidR="00D97510">
        <w:rPr>
          <w:szCs w:val="22"/>
        </w:rPr>
        <w:t>Maria Mullarkey</w:t>
      </w:r>
      <w:r>
        <w:rPr>
          <w:szCs w:val="22"/>
        </w:rPr>
        <w:t xml:space="preserve">, </w:t>
      </w:r>
      <w:hyperlink r:id="rId10" w:history="1">
        <w:r w:rsidR="00D97510" w:rsidRPr="00C03A74">
          <w:rPr>
            <w:rStyle w:val="Hyperlink"/>
            <w:szCs w:val="22"/>
          </w:rPr>
          <w:t>Maria.Mullarkey@fcc.gov</w:t>
        </w:r>
      </w:hyperlink>
      <w:r>
        <w:rPr>
          <w:szCs w:val="22"/>
        </w:rPr>
        <w:t>,</w:t>
      </w:r>
      <w:r w:rsidR="00D97510">
        <w:rPr>
          <w:szCs w:val="22"/>
        </w:rPr>
        <w:t xml:space="preserve"> </w:t>
      </w:r>
      <w:hyperlink r:id="rId11" w:history="1">
        <w:r w:rsidR="00212E4F" w:rsidRPr="00212E4F">
          <w:rPr>
            <w:rStyle w:val="Hyperlink"/>
          </w:rPr>
          <w:t>mailto:</w:t>
        </w:r>
      </w:hyperlink>
      <w:r>
        <w:rPr>
          <w:szCs w:val="22"/>
        </w:rPr>
        <w:t xml:space="preserve">of the Media Bureau, Policy Division, (202) 418-2120.  Press contact:  Janice Wise (202-418-8165; </w:t>
      </w:r>
      <w:hyperlink r:id="rId12" w:history="1">
        <w:r w:rsidR="008D0E77" w:rsidRPr="00AE6080">
          <w:rPr>
            <w:rStyle w:val="Hyperlink"/>
            <w:szCs w:val="22"/>
          </w:rPr>
          <w:t>Janice.Wise@fcc.gov</w:t>
        </w:r>
      </w:hyperlink>
      <w:r>
        <w:rPr>
          <w:szCs w:val="22"/>
        </w:rPr>
        <w:t>).</w:t>
      </w:r>
    </w:p>
    <w:p w:rsidR="004E6492" w:rsidRDefault="004E6492">
      <w:pPr>
        <w:pStyle w:val="ParaNum"/>
        <w:numPr>
          <w:ilvl w:val="0"/>
          <w:numId w:val="0"/>
        </w:numPr>
        <w:rPr>
          <w:szCs w:val="22"/>
        </w:rPr>
      </w:pPr>
    </w:p>
    <w:p w:rsidR="004E6492" w:rsidRDefault="004E6492">
      <w:pPr>
        <w:spacing w:before="120"/>
        <w:jc w:val="center"/>
      </w:pPr>
      <w:r>
        <w:rPr>
          <w:szCs w:val="22"/>
        </w:rPr>
        <w:t>- FCC -</w:t>
      </w:r>
    </w:p>
    <w:sectPr w:rsidR="004E6492">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72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6C6" w:rsidRDefault="007516C6">
      <w:pPr>
        <w:spacing w:line="20" w:lineRule="exact"/>
      </w:pPr>
    </w:p>
  </w:endnote>
  <w:endnote w:type="continuationSeparator" w:id="0">
    <w:p w:rsidR="007516C6" w:rsidRDefault="007516C6">
      <w:r>
        <w:t xml:space="preserve"> </w:t>
      </w:r>
    </w:p>
  </w:endnote>
  <w:endnote w:type="continuationNotice" w:id="1">
    <w:p w:rsidR="007516C6" w:rsidRDefault="007516C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492" w:rsidRDefault="004E6492">
    <w:pPr>
      <w:pStyle w:val="Footer"/>
      <w:framePr w:wrap="around" w:vAnchor="text" w:hAnchor="margin" w:xAlign="center" w:y="1"/>
    </w:pPr>
    <w:r>
      <w:fldChar w:fldCharType="begin"/>
    </w:r>
    <w:r>
      <w:instrText xml:space="preserve">PAGE  </w:instrText>
    </w:r>
    <w:r>
      <w:fldChar w:fldCharType="end"/>
    </w:r>
  </w:p>
  <w:p w:rsidR="004E6492" w:rsidRDefault="004E64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492" w:rsidRDefault="00FE7EB5">
    <w:pPr>
      <w:pStyle w:val="Footer"/>
      <w:framePr w:wrap="around" w:vAnchor="text" w:hAnchor="margin" w:xAlign="center" w:y="1"/>
    </w:pPr>
    <w:r>
      <w:fldChar w:fldCharType="begin"/>
    </w:r>
    <w:r>
      <w:instrText xml:space="preserve">PAGE  </w:instrText>
    </w:r>
    <w:r>
      <w:fldChar w:fldCharType="separate"/>
    </w:r>
    <w:r w:rsidR="001D47AD">
      <w:rPr>
        <w:noProof/>
      </w:rPr>
      <w:t>4</w:t>
    </w:r>
    <w:r>
      <w:rPr>
        <w:noProof/>
      </w:rPr>
      <w:fldChar w:fldCharType="end"/>
    </w:r>
  </w:p>
  <w:p w:rsidR="004E6492" w:rsidRDefault="004E6492">
    <w:pPr>
      <w:spacing w:before="140" w:line="100" w:lineRule="exact"/>
      <w:rPr>
        <w:sz w:val="10"/>
      </w:rPr>
    </w:pPr>
  </w:p>
  <w:p w:rsidR="004E6492" w:rsidRDefault="004E6492">
    <w:pPr>
      <w:spacing w:line="227" w:lineRule="auto"/>
    </w:pPr>
  </w:p>
  <w:p w:rsidR="004E6492" w:rsidRDefault="004E649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492" w:rsidRDefault="004E6492">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6C6" w:rsidRDefault="007516C6">
      <w:r>
        <w:separator/>
      </w:r>
    </w:p>
  </w:footnote>
  <w:footnote w:type="continuationSeparator" w:id="0">
    <w:p w:rsidR="007516C6" w:rsidRDefault="007516C6">
      <w:pPr>
        <w:rPr>
          <w:sz w:val="20"/>
        </w:rPr>
      </w:pPr>
      <w:r>
        <w:rPr>
          <w:sz w:val="20"/>
        </w:rPr>
        <w:t xml:space="preserve">(Continued from previous page)  </w:t>
      </w:r>
      <w:r>
        <w:rPr>
          <w:sz w:val="20"/>
        </w:rPr>
        <w:separator/>
      </w:r>
    </w:p>
  </w:footnote>
  <w:footnote w:type="continuationNotice" w:id="1">
    <w:p w:rsidR="007516C6" w:rsidRDefault="007516C6">
      <w:pPr>
        <w:rPr>
          <w:sz w:val="20"/>
        </w:rPr>
      </w:pPr>
      <w:r>
        <w:rPr>
          <w:sz w:val="20"/>
        </w:rPr>
        <w:t>(continued….)</w:t>
      </w:r>
    </w:p>
  </w:footnote>
  <w:footnote w:id="2">
    <w:p w:rsidR="00BC5726" w:rsidRPr="00D11028" w:rsidRDefault="00BC5726" w:rsidP="0057229F">
      <w:pPr>
        <w:pStyle w:val="FootnoteText"/>
      </w:pPr>
      <w:r>
        <w:rPr>
          <w:rStyle w:val="FootnoteReference"/>
        </w:rPr>
        <w:footnoteRef/>
      </w:r>
      <w:r>
        <w:t xml:space="preserve"> </w:t>
      </w:r>
      <w:r w:rsidR="0057229F" w:rsidRPr="0057229F">
        <w:rPr>
          <w:i/>
        </w:rPr>
        <w:t>Video Description: Implementation of the Twenty-First Century Communications and Video Accessibility Act of 2010</w:t>
      </w:r>
      <w:r w:rsidR="0057229F">
        <w:t>, Report and Order, 26 FCC Rcd 11847 (2011) (“</w:t>
      </w:r>
      <w:r w:rsidR="0057229F" w:rsidRPr="0057229F">
        <w:rPr>
          <w:i/>
        </w:rPr>
        <w:t>2011 Video Description Order</w:t>
      </w:r>
      <w:r w:rsidR="0057229F">
        <w:t>”).</w:t>
      </w:r>
      <w:r w:rsidR="00D11028">
        <w:t xml:space="preserve">  </w:t>
      </w:r>
      <w:r w:rsidR="00D11028">
        <w:rPr>
          <w:i/>
        </w:rPr>
        <w:t>See</w:t>
      </w:r>
      <w:r w:rsidR="00D11028">
        <w:t xml:space="preserve"> 47 U.S.C. § 613(f)(1)-(2).</w:t>
      </w:r>
      <w:r w:rsidR="000C3936">
        <w:t xml:space="preserve">  </w:t>
      </w:r>
    </w:p>
  </w:footnote>
  <w:footnote w:id="3">
    <w:p w:rsidR="001B39D4" w:rsidRPr="00D11028" w:rsidRDefault="001B39D4" w:rsidP="00D11028">
      <w:pPr>
        <w:pStyle w:val="FootnoteText"/>
      </w:pPr>
      <w:r>
        <w:rPr>
          <w:rStyle w:val="FootnoteReference"/>
        </w:rPr>
        <w:footnoteRef/>
      </w:r>
      <w:r>
        <w:t xml:space="preserve"> </w:t>
      </w:r>
      <w:r w:rsidR="00D11028">
        <w:t xml:space="preserve">In 2000, the Commission adopted rules requiring certain broadcasters and multichannel video programming distributors (“MVPDs”) to carry programming with video description.  </w:t>
      </w:r>
      <w:r w:rsidR="00D11028">
        <w:rPr>
          <w:i/>
        </w:rPr>
        <w:t>See</w:t>
      </w:r>
      <w:r w:rsidR="00D11028" w:rsidRPr="00D11028">
        <w:rPr>
          <w:i/>
        </w:rPr>
        <w:t xml:space="preserve"> </w:t>
      </w:r>
      <w:r w:rsidR="00D11028" w:rsidRPr="00BC5726">
        <w:rPr>
          <w:i/>
        </w:rPr>
        <w:t>Implementation of Video Description of Video Programming</w:t>
      </w:r>
      <w:r w:rsidR="00D11028">
        <w:t>, Report and Order, 15 FCC Rcd 15230 (2000) (“</w:t>
      </w:r>
      <w:r w:rsidR="00D11028" w:rsidRPr="00BC5726">
        <w:rPr>
          <w:i/>
        </w:rPr>
        <w:t>2000 Video Description Order</w:t>
      </w:r>
      <w:r w:rsidR="00D11028">
        <w:t xml:space="preserve">”).  The D.C. Circuit vacated the rules five months after they went into effect, on the ground that the Commission lacked authority to promulgate video description rules.  </w:t>
      </w:r>
      <w:r w:rsidR="00D11028" w:rsidRPr="00D11028">
        <w:rPr>
          <w:i/>
        </w:rPr>
        <w:t>Motion Picture Ass’n of Am., Inc. v. FCC</w:t>
      </w:r>
      <w:r w:rsidR="00D11028">
        <w:t>, 309 F.3d 796 (D.C. Cir. 2002).</w:t>
      </w:r>
    </w:p>
  </w:footnote>
  <w:footnote w:id="4">
    <w:p w:rsidR="00FC4187" w:rsidRDefault="00FC4187">
      <w:pPr>
        <w:pStyle w:val="FootnoteText"/>
      </w:pPr>
      <w:r>
        <w:rPr>
          <w:rStyle w:val="FootnoteReference"/>
        </w:rPr>
        <w:footnoteRef/>
      </w:r>
      <w:r>
        <w:t xml:space="preserve"> In this context, “video programming” is defined as “[p]rogramming provided by, or generally considered comparable to programming provided by, a television broadcast station, but not including consumer-generated media.”  47 C.F.R. § 79.3(a)(4).</w:t>
      </w:r>
    </w:p>
  </w:footnote>
  <w:footnote w:id="5">
    <w:p w:rsidR="005A132E" w:rsidRDefault="005A132E" w:rsidP="005A132E">
      <w:pPr>
        <w:pStyle w:val="FootnoteText"/>
      </w:pPr>
      <w:r>
        <w:rPr>
          <w:rStyle w:val="FootnoteReference"/>
        </w:rPr>
        <w:footnoteRef/>
      </w:r>
      <w:r>
        <w:t xml:space="preserve"> </w:t>
      </w:r>
      <w:r w:rsidR="00FC4187">
        <w:rPr>
          <w:i/>
        </w:rPr>
        <w:t>Id</w:t>
      </w:r>
      <w:r w:rsidR="00FC4187">
        <w:t>.</w:t>
      </w:r>
      <w:r w:rsidRPr="00BA0FD0">
        <w:t xml:space="preserve"> § 79.3(a)(3).</w:t>
      </w:r>
    </w:p>
  </w:footnote>
  <w:footnote w:id="6">
    <w:p w:rsidR="00DF7D52" w:rsidRPr="007838B7" w:rsidRDefault="00DF7D52">
      <w:pPr>
        <w:pStyle w:val="FootnoteText"/>
        <w:rPr>
          <w:i/>
        </w:rPr>
      </w:pPr>
      <w:r>
        <w:rPr>
          <w:rStyle w:val="FootnoteReference"/>
        </w:rPr>
        <w:footnoteRef/>
      </w:r>
      <w:r>
        <w:t xml:space="preserve"> </w:t>
      </w:r>
      <w:r w:rsidR="003371FD">
        <w:t>47 U.S.C. § 613(f)(3)(A)-(B).</w:t>
      </w:r>
      <w:r w:rsidR="00222D19">
        <w:t xml:space="preserve">  Congress directed</w:t>
      </w:r>
      <w:r w:rsidR="00DF4BB2">
        <w:t xml:space="preserve"> the Commission to “commence the . . . inquiries not later than 1 year after the completion of the phase-in of the reinstated regulations. . . .”  </w:t>
      </w:r>
      <w:r w:rsidR="00DF4BB2">
        <w:rPr>
          <w:i/>
        </w:rPr>
        <w:t>Id</w:t>
      </w:r>
      <w:r w:rsidR="00DF4BB2">
        <w:t xml:space="preserve">. § 613(f)(3).  </w:t>
      </w:r>
      <w:r w:rsidR="00D40DBB">
        <w:t xml:space="preserve">Broadcasters and MVPDs were required to be in full compliance with the video description rules beginning on July 1, 2012.  </w:t>
      </w:r>
      <w:r w:rsidR="00D40DBB">
        <w:rPr>
          <w:i/>
        </w:rPr>
        <w:t>See 2011 Video Description Order</w:t>
      </w:r>
      <w:r w:rsidR="00D40DBB">
        <w:t>, 26 FCC Rcd at 11864, ¶ 34.  T</w:t>
      </w:r>
      <w:r w:rsidR="007838B7">
        <w:t>hus, the inquiries must b</w:t>
      </w:r>
      <w:r w:rsidR="00D40DBB">
        <w:t>e commenced no later than July 1</w:t>
      </w:r>
      <w:r w:rsidR="007838B7">
        <w:t>, 2013.</w:t>
      </w:r>
    </w:p>
  </w:footnote>
  <w:footnote w:id="7">
    <w:p w:rsidR="00DF7D52" w:rsidRPr="003371FD" w:rsidRDefault="00DF7D52">
      <w:pPr>
        <w:pStyle w:val="FootnoteText"/>
      </w:pPr>
      <w:r>
        <w:rPr>
          <w:rStyle w:val="FootnoteReference"/>
        </w:rPr>
        <w:footnoteRef/>
      </w:r>
      <w:r>
        <w:t xml:space="preserve"> </w:t>
      </w:r>
      <w:r w:rsidR="005B30D0">
        <w:t xml:space="preserve">47 U.S.C. </w:t>
      </w:r>
      <w:r w:rsidR="003371FD">
        <w:t>§ 613(f)(3)</w:t>
      </w:r>
      <w:r w:rsidR="00B0621B">
        <w:t xml:space="preserve"> (requiring the Commission to report to Congress two years after the completion of the phase-in of the reinstated video description rules on the findings for the inquiries set forth in this section)</w:t>
      </w:r>
      <w:r w:rsidR="003371FD">
        <w:t>.</w:t>
      </w:r>
    </w:p>
  </w:footnote>
  <w:footnote w:id="8">
    <w:p w:rsidR="00CF5EA8" w:rsidRPr="0024737F" w:rsidRDefault="00CF5EA8">
      <w:pPr>
        <w:pStyle w:val="FootnoteText"/>
      </w:pPr>
      <w:r>
        <w:rPr>
          <w:rStyle w:val="FootnoteReference"/>
        </w:rPr>
        <w:footnoteRef/>
      </w:r>
      <w:r>
        <w:t xml:space="preserve"> </w:t>
      </w:r>
      <w:r w:rsidRPr="00BA0FD0">
        <w:t>47 C.F.R. §</w:t>
      </w:r>
      <w:r>
        <w:t xml:space="preserve"> 79.3(b)(1).  </w:t>
      </w:r>
      <w:r>
        <w:rPr>
          <w:i/>
        </w:rPr>
        <w:t>See 2011 Video Description Order</w:t>
      </w:r>
      <w:r>
        <w:t>, 26 FCC Rcd at 11849, ¶ 4.</w:t>
      </w:r>
      <w:r w:rsidR="0024737F">
        <w:t xml:space="preserve">  Beginning July 1, 2015, full-power affiliates of the top four television </w:t>
      </w:r>
      <w:r w:rsidR="007603FB">
        <w:t xml:space="preserve">broadcast </w:t>
      </w:r>
      <w:r w:rsidR="0024737F">
        <w:t xml:space="preserve">networks located in markets 25 to 60 will also be subject to this requirement.  </w:t>
      </w:r>
      <w:r w:rsidR="0024737F">
        <w:rPr>
          <w:i/>
        </w:rPr>
        <w:t>See</w:t>
      </w:r>
      <w:r w:rsidR="0024737F">
        <w:t xml:space="preserve"> 47 C.F.R. § 79.3(b)(2); </w:t>
      </w:r>
      <w:r w:rsidR="0024737F">
        <w:rPr>
          <w:i/>
        </w:rPr>
        <w:t>2011 Video Description Order</w:t>
      </w:r>
      <w:r w:rsidR="0024737F">
        <w:t>, 26 FCC Rcd at 11856, ¶ 16</w:t>
      </w:r>
      <w:r w:rsidR="00217C18">
        <w:t>.</w:t>
      </w:r>
    </w:p>
  </w:footnote>
  <w:footnote w:id="9">
    <w:p w:rsidR="00222D19" w:rsidRPr="00A51D3E" w:rsidRDefault="00222D19" w:rsidP="00222D19">
      <w:pPr>
        <w:pStyle w:val="FootnoteText"/>
        <w:rPr>
          <w:i/>
        </w:rPr>
      </w:pPr>
      <w:r>
        <w:rPr>
          <w:rStyle w:val="FootnoteReference"/>
        </w:rPr>
        <w:footnoteRef/>
      </w:r>
      <w:r>
        <w:t xml:space="preserve"> 47 C.F.R. § 79.3(b)(4).  </w:t>
      </w:r>
      <w:r>
        <w:rPr>
          <w:i/>
        </w:rPr>
        <w:t>See also 2011 Video Description Order</w:t>
      </w:r>
      <w:r>
        <w:t xml:space="preserve">, 26 FCC Rcd at 11849-50, ¶ 4.  </w:t>
      </w:r>
      <w:r w:rsidR="00B40CB7">
        <w:t>For purposes of the video description rules, t</w:t>
      </w:r>
      <w:r>
        <w:t xml:space="preserve">he top five national nonbroadcast networks </w:t>
      </w:r>
      <w:r w:rsidR="00B40CB7">
        <w:t xml:space="preserve">include only those that </w:t>
      </w:r>
      <w:r>
        <w:t>reach 50 percent or more of MVPD households</w:t>
      </w:r>
      <w:r w:rsidR="0030747C">
        <w:t xml:space="preserve"> </w:t>
      </w:r>
      <w:r>
        <w:t xml:space="preserve">and have at least 50 hours per quarter of prime time programming that is not live or near-live or otherwise exempt under the video description rules.  47 C.F.R. § 79.3(b)(4).  </w:t>
      </w:r>
      <w:r>
        <w:rPr>
          <w:i/>
        </w:rPr>
        <w:t>See also 2011 Video Description Order</w:t>
      </w:r>
      <w:r>
        <w:t xml:space="preserve">, 26 FCC Rcd at 11854-55, ¶¶ 12-15.  </w:t>
      </w:r>
      <w:r w:rsidR="00716B33">
        <w:t>Thus, f</w:t>
      </w:r>
      <w:r>
        <w:t>or purposes of the rule</w:t>
      </w:r>
      <w:r w:rsidR="00716B33">
        <w:t>s</w:t>
      </w:r>
      <w:r>
        <w:t xml:space="preserve">, the top five nonbroadcast networks are USA, the Disney Channel, TNT, Nickelodeon, and TBS.  </w:t>
      </w:r>
      <w:r w:rsidR="004041C6">
        <w:rPr>
          <w:i/>
        </w:rPr>
        <w:t>2011 Video Description Order</w:t>
      </w:r>
      <w:r w:rsidR="004041C6">
        <w:t xml:space="preserve">, 26 FCC Rcd at 11854, ¶ 12.  </w:t>
      </w:r>
      <w:r w:rsidR="00750E22">
        <w:t>The list of top five networks will be reviewed every three years for changes in ratings.</w:t>
      </w:r>
      <w:r w:rsidR="004041C6">
        <w:t xml:space="preserve">  </w:t>
      </w:r>
      <w:r w:rsidR="004041C6">
        <w:rPr>
          <w:i/>
        </w:rPr>
        <w:t>Id</w:t>
      </w:r>
      <w:r w:rsidR="004041C6">
        <w:t>. at 11857, ¶ 18.</w:t>
      </w:r>
      <w:r w:rsidR="00750E22">
        <w:t xml:space="preserve">  </w:t>
      </w:r>
    </w:p>
  </w:footnote>
  <w:footnote w:id="10">
    <w:p w:rsidR="007269C1" w:rsidRDefault="007269C1">
      <w:pPr>
        <w:pStyle w:val="FootnoteText"/>
      </w:pPr>
      <w:r>
        <w:rPr>
          <w:rStyle w:val="FootnoteReference"/>
        </w:rPr>
        <w:footnoteRef/>
      </w:r>
      <w:r>
        <w:t xml:space="preserve"> </w:t>
      </w:r>
      <w:r w:rsidRPr="007269C1">
        <w:t>Specifically, any broadcast station affiliated</w:t>
      </w:r>
      <w:r w:rsidR="004041C6">
        <w:t xml:space="preserve"> or otherwise associated</w:t>
      </w:r>
      <w:r w:rsidRPr="007269C1">
        <w:t xml:space="preserve"> with a television network must pass through video description when it is provided by the network, if the station has the technical capability necessary to do so and if that technology is not being used for another purpose related to the programming</w:t>
      </w:r>
      <w:r>
        <w:t xml:space="preserve">.  47 C.F.R. § 79.3(b)(3).  </w:t>
      </w:r>
      <w:r>
        <w:rPr>
          <w:i/>
        </w:rPr>
        <w:t>See also 2011 Video Description Order</w:t>
      </w:r>
      <w:r>
        <w:t>, 26 FCC Rcd at 11850, ¶ 4.</w:t>
      </w:r>
    </w:p>
  </w:footnote>
  <w:footnote w:id="11">
    <w:p w:rsidR="007269C1" w:rsidRDefault="007269C1">
      <w:pPr>
        <w:pStyle w:val="FootnoteText"/>
      </w:pPr>
      <w:r>
        <w:rPr>
          <w:rStyle w:val="FootnoteReference"/>
        </w:rPr>
        <w:footnoteRef/>
      </w:r>
      <w:r>
        <w:t xml:space="preserve"> </w:t>
      </w:r>
      <w:r w:rsidRPr="007269C1">
        <w:t>Similarly, MVPD systems of any size must pass through video description provided by a broadcast station or nonbroadcast network, if the channel on which the MVPD distributes the</w:t>
      </w:r>
      <w:r w:rsidR="00BB5E4A">
        <w:t xml:space="preserve"> station or</w:t>
      </w:r>
      <w:r w:rsidRPr="007269C1">
        <w:t xml:space="preserve"> programming has the technical capability necessary to do so and if that technology is not being used for another purpose related to the programming</w:t>
      </w:r>
      <w:r>
        <w:t xml:space="preserve">.  47 C.F.R. §§ 79.3(b)(5)(i)-(ii).  </w:t>
      </w:r>
      <w:r>
        <w:rPr>
          <w:i/>
        </w:rPr>
        <w:t>See also 2011 Video Description Order</w:t>
      </w:r>
      <w:r>
        <w:t>, 26 FCC Rcd at 11850, ¶ 4.</w:t>
      </w:r>
    </w:p>
  </w:footnote>
  <w:footnote w:id="12">
    <w:p w:rsidR="00465F7F" w:rsidRDefault="00465F7F">
      <w:pPr>
        <w:pStyle w:val="FootnoteText"/>
      </w:pPr>
      <w:r>
        <w:rPr>
          <w:rStyle w:val="FootnoteReference"/>
        </w:rPr>
        <w:footnoteRef/>
      </w:r>
      <w:r>
        <w:t xml:space="preserve"> </w:t>
      </w:r>
      <w:r>
        <w:rPr>
          <w:i/>
        </w:rPr>
        <w:t>See 2011 Video Description Order</w:t>
      </w:r>
      <w:r>
        <w:t>, 26 FCC Rcd at 11864, ¶ 34.</w:t>
      </w:r>
    </w:p>
  </w:footnote>
  <w:footnote w:id="13">
    <w:p w:rsidR="00D351C9" w:rsidRPr="004106B9" w:rsidRDefault="00D351C9" w:rsidP="00D351C9">
      <w:pPr>
        <w:pStyle w:val="FootnoteText"/>
      </w:pPr>
      <w:r>
        <w:rPr>
          <w:rStyle w:val="FootnoteReference"/>
        </w:rPr>
        <w:footnoteRef/>
      </w:r>
      <w:r>
        <w:t xml:space="preserve"> </w:t>
      </w:r>
      <w:r>
        <w:rPr>
          <w:i/>
        </w:rPr>
        <w:t>See</w:t>
      </w:r>
      <w:r>
        <w:t xml:space="preserve"> </w:t>
      </w:r>
      <w:r w:rsidRPr="007A7102">
        <w:rPr>
          <w:i/>
        </w:rPr>
        <w:t>Accessible Emergency Information, and Apparatus Requirements for Emergency Information and Video Description: Implementation of the Twenty-First Century Communications and Video Accessibility Act of 2010; Video Description: Implementation of the Twenty-First Century Communications and Video Accessibility Act of 2010</w:t>
      </w:r>
      <w:r>
        <w:t>, Report and Order and Further Notice of Proposed Rulemaking, 28 FCC Rcd 4871, 4907, ¶ 49 (2013) (“</w:t>
      </w:r>
      <w:r>
        <w:rPr>
          <w:i/>
        </w:rPr>
        <w:t>Emergency Information/Video Description Order</w:t>
      </w:r>
      <w:r>
        <w:t>”).  Covered entities must comply with the apparatus rules by May 26, 2015.</w:t>
      </w:r>
    </w:p>
  </w:footnote>
  <w:footnote w:id="14">
    <w:p w:rsidR="00D351C9" w:rsidRPr="003E6DAB" w:rsidRDefault="00D351C9" w:rsidP="00D351C9">
      <w:pPr>
        <w:pStyle w:val="FootnoteText"/>
      </w:pPr>
      <w:r>
        <w:rPr>
          <w:rStyle w:val="FootnoteReference"/>
        </w:rPr>
        <w:footnoteRef/>
      </w:r>
      <w:r>
        <w:t xml:space="preserve"> </w:t>
      </w:r>
      <w:r>
        <w:rPr>
          <w:i/>
        </w:rPr>
        <w:t>See</w:t>
      </w:r>
      <w:r>
        <w:t xml:space="preserve"> Public Notice, </w:t>
      </w:r>
      <w:r w:rsidRPr="00140084">
        <w:rPr>
          <w:i/>
        </w:rPr>
        <w:t>Notice of Effective Date of New Emergency Information Rules and Emergency Information/ Video Description Apparatus Rules and Announcement of Comment and Reply Comment Deadlines for Related Further Notice of Proposed Rulemaking</w:t>
      </w:r>
      <w:r>
        <w:t>, DA 13-1240 (rel. May 29, 2013)</w:t>
      </w:r>
      <w:r w:rsidR="005B4B4C">
        <w:t xml:space="preserve"> (“</w:t>
      </w:r>
      <w:r w:rsidR="005B4B4C">
        <w:rPr>
          <w:i/>
        </w:rPr>
        <w:t>Effective Date PN</w:t>
      </w:r>
      <w:r w:rsidR="005B4B4C">
        <w:t>”)</w:t>
      </w:r>
      <w:r>
        <w:t>.</w:t>
      </w:r>
    </w:p>
  </w:footnote>
  <w:footnote w:id="15">
    <w:p w:rsidR="008E5917" w:rsidRPr="00B27B36" w:rsidRDefault="008E5917" w:rsidP="008E5917">
      <w:pPr>
        <w:pStyle w:val="FootnoteText"/>
      </w:pPr>
      <w:r>
        <w:rPr>
          <w:rStyle w:val="FootnoteReference"/>
        </w:rPr>
        <w:footnoteRef/>
      </w:r>
      <w:r>
        <w:t xml:space="preserve"> </w:t>
      </w:r>
      <w:r>
        <w:rPr>
          <w:i/>
        </w:rPr>
        <w:t>See</w:t>
      </w:r>
      <w:r>
        <w:t xml:space="preserve"> </w:t>
      </w:r>
      <w:r w:rsidRPr="00140084">
        <w:rPr>
          <w:i/>
        </w:rPr>
        <w:t>Accessibility of User Interfaces, and Video Programming Guides and Menus</w:t>
      </w:r>
      <w:r>
        <w:t>, Notice of Proposed Rulemaking, MB Docket No. 12-108, FCC 13-77 (rel. May 30, 2013) (“</w:t>
      </w:r>
      <w:r w:rsidRPr="00901D32">
        <w:rPr>
          <w:i/>
        </w:rPr>
        <w:t>User Interfaces/Program</w:t>
      </w:r>
      <w:r>
        <w:rPr>
          <w:i/>
        </w:rPr>
        <w:t xml:space="preserve">ming </w:t>
      </w:r>
      <w:r w:rsidRPr="00316678">
        <w:rPr>
          <w:i/>
        </w:rPr>
        <w:t>Guides NPRM</w:t>
      </w:r>
      <w:r w:rsidR="008A6CAC">
        <w:t xml:space="preserve">”).  </w:t>
      </w:r>
      <w:r w:rsidR="008A6CAC" w:rsidRPr="008A6CAC">
        <w:t xml:space="preserve">The </w:t>
      </w:r>
      <w:r w:rsidR="008A6CAC" w:rsidRPr="00770057">
        <w:rPr>
          <w:i/>
        </w:rPr>
        <w:t>User Interfaces/Programming Guides NPRM</w:t>
      </w:r>
      <w:r w:rsidR="008A6CAC" w:rsidRPr="008A6CAC">
        <w:t xml:space="preserve"> also seeks comment on the statutory requirement that </w:t>
      </w:r>
      <w:r>
        <w:t xml:space="preserve">certain </w:t>
      </w:r>
      <w:r w:rsidR="008A6CAC">
        <w:t xml:space="preserve">devices must </w:t>
      </w:r>
      <w:r>
        <w:t xml:space="preserve">provide access to video description features through a mechanism reasonably comparable to a button, key, or icon.  </w:t>
      </w:r>
      <w:r>
        <w:rPr>
          <w:i/>
        </w:rPr>
        <w:t>Id</w:t>
      </w:r>
      <w:r w:rsidR="008A6CAC">
        <w:t>. at 19-20, ¶ 45.</w:t>
      </w:r>
      <w:r w:rsidR="004950CB">
        <w:t xml:space="preserve">  Any comments relating to these issues should be filed in MB Docket No.</w:t>
      </w:r>
      <w:r w:rsidR="00C024E7">
        <w:t xml:space="preserve"> 12-108.  Comments are due July 15</w:t>
      </w:r>
      <w:r w:rsidR="004950CB">
        <w:t xml:space="preserve">, 2013, and reply comments are due August </w:t>
      </w:r>
      <w:r w:rsidR="00C024E7">
        <w:t>7</w:t>
      </w:r>
      <w:r w:rsidR="004950CB">
        <w:t>, 2013.</w:t>
      </w:r>
      <w:r w:rsidR="00A35D5C">
        <w:t xml:space="preserve">  </w:t>
      </w:r>
      <w:r w:rsidR="00A35D5C">
        <w:rPr>
          <w:i/>
        </w:rPr>
        <w:t>See</w:t>
      </w:r>
      <w:r w:rsidR="00A35D5C">
        <w:t xml:space="preserve"> Public Notice, </w:t>
      </w:r>
      <w:r w:rsidR="00A35D5C">
        <w:rPr>
          <w:i/>
        </w:rPr>
        <w:t>Media Bureau Announces Comment and Reply Comment Deadlines for the Notice of Proposed Rulemaking Regarding Accessibility of User Interfaces and Video Programming Guides/Menus and Establishes Schedule for Ex Parte Meetings</w:t>
      </w:r>
      <w:r w:rsidR="00A35D5C">
        <w:t>, DA 13-1398 (rel. June 18, 2013)</w:t>
      </w:r>
      <w:r w:rsidR="00A57588">
        <w:t>.</w:t>
      </w:r>
    </w:p>
  </w:footnote>
  <w:footnote w:id="16">
    <w:p w:rsidR="00E3708A" w:rsidRDefault="00E3708A" w:rsidP="00E3708A">
      <w:pPr>
        <w:pStyle w:val="FootnoteText"/>
      </w:pPr>
      <w:r>
        <w:rPr>
          <w:rStyle w:val="FootnoteReference"/>
        </w:rPr>
        <w:footnoteRef/>
      </w:r>
      <w:r>
        <w:t xml:space="preserve"> 47 U.S.C. § 613(f)(3)(A).</w:t>
      </w:r>
    </w:p>
  </w:footnote>
  <w:footnote w:id="17">
    <w:p w:rsidR="00E3708A" w:rsidRPr="00855158" w:rsidRDefault="00E3708A" w:rsidP="00E3708A">
      <w:pPr>
        <w:pStyle w:val="FootnoteText"/>
      </w:pPr>
      <w:r>
        <w:rPr>
          <w:rStyle w:val="FootnoteReference"/>
        </w:rPr>
        <w:footnoteRef/>
      </w:r>
      <w:r>
        <w:t xml:space="preserve"> </w:t>
      </w:r>
      <w:r>
        <w:rPr>
          <w:i/>
        </w:rPr>
        <w:t>See 2011 Video Description Order</w:t>
      </w:r>
      <w:r>
        <w:t>, 26 FCC Rcd at 11871-72, ¶ 51 (</w:t>
      </w:r>
      <w:r w:rsidRPr="00406336">
        <w:t>declin</w:t>
      </w:r>
      <w:r>
        <w:t>ing</w:t>
      </w:r>
      <w:r w:rsidRPr="00406336">
        <w:t xml:space="preserve">, at </w:t>
      </w:r>
      <w:r>
        <w:t xml:space="preserve">that </w:t>
      </w:r>
      <w:r w:rsidRPr="00406336">
        <w:t xml:space="preserve">time, </w:t>
      </w:r>
      <w:r>
        <w:t>“</w:t>
      </w:r>
      <w:r w:rsidRPr="00406336">
        <w:t>to require that the availability of video description on certain programs be publicized in a certain manner</w:t>
      </w:r>
      <w:r>
        <w:t xml:space="preserve">,” but stating the Commission’s expectation “that programmers, stations, and systems will provide this information to viewers in an accessible manner, including on their websites and to companies that publish television listings information”).  </w:t>
      </w:r>
      <w:r>
        <w:rPr>
          <w:i/>
        </w:rPr>
        <w:t xml:space="preserve">See also </w:t>
      </w:r>
      <w:r w:rsidRPr="00140084">
        <w:rPr>
          <w:i/>
        </w:rPr>
        <w:t>User Interfaces/Program</w:t>
      </w:r>
      <w:r>
        <w:rPr>
          <w:i/>
        </w:rPr>
        <w:t xml:space="preserve">ming </w:t>
      </w:r>
      <w:r w:rsidRPr="00140084">
        <w:rPr>
          <w:i/>
        </w:rPr>
        <w:t>Guides NPRM</w:t>
      </w:r>
      <w:r>
        <w:t xml:space="preserve"> at 19-20, ¶¶ 45-46.</w:t>
      </w:r>
    </w:p>
  </w:footnote>
  <w:footnote w:id="18">
    <w:p w:rsidR="00EA7893" w:rsidRPr="002D4FCD" w:rsidRDefault="00EA7893">
      <w:pPr>
        <w:pStyle w:val="FootnoteText"/>
      </w:pPr>
      <w:r>
        <w:rPr>
          <w:rStyle w:val="FootnoteReference"/>
        </w:rPr>
        <w:footnoteRef/>
      </w:r>
      <w:r>
        <w:t xml:space="preserve"> </w:t>
      </w:r>
      <w:r>
        <w:rPr>
          <w:i/>
        </w:rPr>
        <w:t>See supra</w:t>
      </w:r>
      <w:r>
        <w:t xml:space="preserve"> notes 9-10.</w:t>
      </w:r>
    </w:p>
  </w:footnote>
  <w:footnote w:id="19">
    <w:p w:rsidR="00EA7893" w:rsidRPr="002D4FCD" w:rsidRDefault="00EA7893">
      <w:pPr>
        <w:pStyle w:val="FootnoteText"/>
      </w:pPr>
      <w:r>
        <w:rPr>
          <w:rStyle w:val="FootnoteReference"/>
        </w:rPr>
        <w:footnoteRef/>
      </w:r>
      <w:r>
        <w:t xml:space="preserve"> </w:t>
      </w:r>
      <w:r>
        <w:rPr>
          <w:i/>
        </w:rPr>
        <w:t>See</w:t>
      </w:r>
      <w:r>
        <w:t xml:space="preserve"> 47 C.F.R. §§ 79.3(c)(3)-(4)</w:t>
      </w:r>
      <w:r w:rsidR="00002211">
        <w:t xml:space="preserve"> (requiring certain television stations and MVPDs to include video description on subsequent airings for programs that have already aired with video description, “unless it is using the technology used to provide video description for another purpose related to the programming that would conflict with providing the video description”).</w:t>
      </w:r>
    </w:p>
  </w:footnote>
  <w:footnote w:id="20">
    <w:p w:rsidR="00EA7893" w:rsidRDefault="00EA7893">
      <w:pPr>
        <w:pStyle w:val="FootnoteText"/>
      </w:pPr>
      <w:r>
        <w:rPr>
          <w:rStyle w:val="FootnoteReference"/>
        </w:rPr>
        <w:footnoteRef/>
      </w:r>
      <w:r>
        <w:t xml:space="preserve"> </w:t>
      </w:r>
      <w:r>
        <w:rPr>
          <w:i/>
        </w:rPr>
        <w:t>See 2011 Video Description Order</w:t>
      </w:r>
      <w:r>
        <w:t>, 26 FCC Rcd at</w:t>
      </w:r>
      <w:r w:rsidR="002D4FCD">
        <w:t xml:space="preserve"> 11863, ¶ 31.</w:t>
      </w:r>
    </w:p>
  </w:footnote>
  <w:footnote w:id="21">
    <w:p w:rsidR="00956557" w:rsidRPr="00761807" w:rsidRDefault="00956557">
      <w:pPr>
        <w:pStyle w:val="FootnoteText"/>
      </w:pPr>
      <w:r>
        <w:rPr>
          <w:rStyle w:val="FootnoteReference"/>
        </w:rPr>
        <w:footnoteRef/>
      </w:r>
      <w:r>
        <w:t xml:space="preserve"> </w:t>
      </w:r>
      <w:r w:rsidR="00B94237">
        <w:rPr>
          <w:i/>
        </w:rPr>
        <w:t>See i</w:t>
      </w:r>
      <w:r>
        <w:rPr>
          <w:i/>
        </w:rPr>
        <w:t>d</w:t>
      </w:r>
      <w:r>
        <w:t>.</w:t>
      </w:r>
      <w:r w:rsidR="005B4B4C">
        <w:t xml:space="preserve">  In</w:t>
      </w:r>
      <w:r w:rsidR="005B4B4C" w:rsidRPr="008D6560">
        <w:t xml:space="preserve"> the </w:t>
      </w:r>
      <w:r w:rsidR="005B4B4C" w:rsidRPr="00FA77AB">
        <w:rPr>
          <w:i/>
        </w:rPr>
        <w:t>Further Notice of Proposed Rulemaking</w:t>
      </w:r>
      <w:r w:rsidR="005B4B4C" w:rsidRPr="008D6560">
        <w:t xml:space="preserve"> (“</w:t>
      </w:r>
      <w:r w:rsidR="005B4B4C" w:rsidRPr="00FA77AB">
        <w:rPr>
          <w:i/>
        </w:rPr>
        <w:t>FNPRM</w:t>
      </w:r>
      <w:r w:rsidR="005B4B4C" w:rsidRPr="008D6560">
        <w:t xml:space="preserve">”) adopted with the </w:t>
      </w:r>
      <w:r w:rsidR="005B4B4C" w:rsidRPr="00FA77AB">
        <w:rPr>
          <w:i/>
        </w:rPr>
        <w:t>Emergency Information/Video Description Order</w:t>
      </w:r>
      <w:r w:rsidR="005B4B4C" w:rsidRPr="008D6560">
        <w:t>, the Commission inquire</w:t>
      </w:r>
      <w:r w:rsidR="005B4B4C">
        <w:t>s whether</w:t>
      </w:r>
      <w:r w:rsidR="005B4B4C" w:rsidRPr="008D6560">
        <w:t xml:space="preserve"> </w:t>
      </w:r>
      <w:r w:rsidR="005B4B4C">
        <w:t xml:space="preserve">an audio stream containing video description should include </w:t>
      </w:r>
      <w:r w:rsidR="005B4B4C" w:rsidRPr="008D6560">
        <w:t>a particul</w:t>
      </w:r>
      <w:r w:rsidR="005B4B4C">
        <w:t>ar tag</w:t>
      </w:r>
      <w:r w:rsidR="005B4B4C" w:rsidRPr="008D6560">
        <w:t xml:space="preserve"> (</w:t>
      </w:r>
      <w:r w:rsidR="005B4B4C" w:rsidRPr="00FA77AB">
        <w:rPr>
          <w:i/>
        </w:rPr>
        <w:t>e.g.</w:t>
      </w:r>
      <w:r w:rsidR="005B4B4C" w:rsidRPr="008D6560">
        <w:t>, “VI”).</w:t>
      </w:r>
      <w:r w:rsidR="005B4B4C">
        <w:t xml:space="preserve">  </w:t>
      </w:r>
      <w:r w:rsidR="005B4B4C">
        <w:rPr>
          <w:i/>
        </w:rPr>
        <w:t>See</w:t>
      </w:r>
      <w:r w:rsidR="005B4B4C">
        <w:t xml:space="preserve"> </w:t>
      </w:r>
      <w:r w:rsidR="005B4B4C">
        <w:rPr>
          <w:i/>
        </w:rPr>
        <w:t>Emergency Information/Video Description Order</w:t>
      </w:r>
      <w:r w:rsidR="005B4B4C">
        <w:t xml:space="preserve">, 28 FCC Rcd at 4928-29, ¶ 85.  Any comments relating to this issue should be filed in MB Docket Nos. 12-107, 11-43.  Comments are due July 23, 2013, and reply comments are due August 22, 2013.  </w:t>
      </w:r>
      <w:r w:rsidR="005B4B4C">
        <w:rPr>
          <w:i/>
        </w:rPr>
        <w:t>Effective Date PN</w:t>
      </w:r>
      <w:r w:rsidR="005B4B4C">
        <w:t xml:space="preserve"> at 1.</w:t>
      </w:r>
    </w:p>
  </w:footnote>
  <w:footnote w:id="22">
    <w:p w:rsidR="00572154" w:rsidRPr="00FA77AB" w:rsidRDefault="00572154" w:rsidP="00572154">
      <w:pPr>
        <w:pStyle w:val="FootnoteText"/>
      </w:pPr>
      <w:r>
        <w:rPr>
          <w:rStyle w:val="FootnoteReference"/>
        </w:rPr>
        <w:footnoteRef/>
      </w:r>
      <w:r>
        <w:t xml:space="preserve"> </w:t>
      </w:r>
      <w:r>
        <w:rPr>
          <w:i/>
        </w:rPr>
        <w:t>See</w:t>
      </w:r>
      <w:r>
        <w:t xml:space="preserve"> </w:t>
      </w:r>
      <w:r>
        <w:rPr>
          <w:i/>
        </w:rPr>
        <w:t>Emergency Information/Video Description Order</w:t>
      </w:r>
      <w:r>
        <w:t>, 28 FCC Rcd at 4882-83, ¶ 14.</w:t>
      </w:r>
    </w:p>
  </w:footnote>
  <w:footnote w:id="23">
    <w:p w:rsidR="007B66E9" w:rsidRPr="00F43B5C" w:rsidRDefault="007B66E9" w:rsidP="007B66E9">
      <w:pPr>
        <w:pStyle w:val="FootnoteText"/>
      </w:pPr>
      <w:r>
        <w:rPr>
          <w:rStyle w:val="FootnoteReference"/>
        </w:rPr>
        <w:footnoteRef/>
      </w:r>
      <w:r>
        <w:t xml:space="preserve"> </w:t>
      </w:r>
      <w:r>
        <w:rPr>
          <w:i/>
        </w:rPr>
        <w:t>See id</w:t>
      </w:r>
      <w:r>
        <w:t>. at</w:t>
      </w:r>
      <w:r w:rsidR="00C87163">
        <w:t xml:space="preserve"> 4907</w:t>
      </w:r>
      <w:r>
        <w:t>, ¶</w:t>
      </w:r>
      <w:r w:rsidR="00C87163">
        <w:t xml:space="preserve"> </w:t>
      </w:r>
      <w:r>
        <w:t>49.</w:t>
      </w:r>
    </w:p>
  </w:footnote>
  <w:footnote w:id="24">
    <w:p w:rsidR="008D6560" w:rsidRPr="00761807" w:rsidRDefault="008D6560" w:rsidP="00AC26E9">
      <w:pPr>
        <w:pStyle w:val="FootnoteText"/>
      </w:pPr>
      <w:r>
        <w:rPr>
          <w:rStyle w:val="FootnoteReference"/>
        </w:rPr>
        <w:footnoteRef/>
      </w:r>
      <w:r>
        <w:t xml:space="preserve"> </w:t>
      </w:r>
      <w:r>
        <w:rPr>
          <w:i/>
        </w:rPr>
        <w:t>See id</w:t>
      </w:r>
      <w:r>
        <w:t xml:space="preserve">. </w:t>
      </w:r>
      <w:r w:rsidR="00AC26E9">
        <w:t xml:space="preserve">at 4892-94, ¶ 26.  </w:t>
      </w:r>
    </w:p>
  </w:footnote>
  <w:footnote w:id="25">
    <w:p w:rsidR="00C66941" w:rsidRPr="00F43C1F" w:rsidRDefault="00C66941" w:rsidP="00C66941">
      <w:pPr>
        <w:pStyle w:val="FootnoteText"/>
      </w:pPr>
      <w:r>
        <w:rPr>
          <w:rStyle w:val="FootnoteReference"/>
        </w:rPr>
        <w:footnoteRef/>
      </w:r>
      <w:r>
        <w:t xml:space="preserve"> 47 U.S.C. § 613(f)(3)(B).</w:t>
      </w:r>
    </w:p>
  </w:footnote>
  <w:footnote w:id="26">
    <w:p w:rsidR="003C0BE7" w:rsidRPr="007A7102" w:rsidRDefault="003C0BE7" w:rsidP="007A7102">
      <w:pPr>
        <w:pStyle w:val="FootnoteText"/>
      </w:pPr>
      <w:r>
        <w:rPr>
          <w:rStyle w:val="FootnoteReference"/>
        </w:rPr>
        <w:footnoteRef/>
      </w:r>
      <w:r>
        <w:t xml:space="preserve"> </w:t>
      </w:r>
      <w:r w:rsidR="007A7102">
        <w:t xml:space="preserve">In </w:t>
      </w:r>
      <w:r w:rsidR="001C0747">
        <w:t>the</w:t>
      </w:r>
      <w:r w:rsidR="007A7102">
        <w:t xml:space="preserve"> pending </w:t>
      </w:r>
      <w:r w:rsidR="001C0747">
        <w:rPr>
          <w:i/>
        </w:rPr>
        <w:t>FNPRM</w:t>
      </w:r>
      <w:r w:rsidR="007A7102">
        <w:t xml:space="preserve">, the Commission is seeking comment on whether an MVPD system must comply with the video description rules when it permits its subscribers to access linear video programming via tablets, laptops, personal computers, smartphones, or similar devices.  </w:t>
      </w:r>
      <w:r w:rsidR="007A7102">
        <w:rPr>
          <w:i/>
        </w:rPr>
        <w:t>See</w:t>
      </w:r>
      <w:r w:rsidR="007A7102">
        <w:t xml:space="preserve"> </w:t>
      </w:r>
      <w:r w:rsidR="008E5917">
        <w:rPr>
          <w:i/>
        </w:rPr>
        <w:t>Emergency Information/Video Description Order</w:t>
      </w:r>
      <w:r w:rsidR="007A7102">
        <w:t xml:space="preserve">, 28 FCC Rcd </w:t>
      </w:r>
      <w:r w:rsidR="008E5917">
        <w:t>at</w:t>
      </w:r>
      <w:r w:rsidR="00D41A61">
        <w:t xml:space="preserve"> </w:t>
      </w:r>
      <w:r w:rsidR="007A7102">
        <w:t>4927-28, ¶¶</w:t>
      </w:r>
      <w:r w:rsidR="00B87544">
        <w:t xml:space="preserve"> 83-84</w:t>
      </w:r>
      <w:r w:rsidR="007A7102">
        <w:t>.</w:t>
      </w:r>
      <w:r w:rsidR="00C431E3">
        <w:t xml:space="preserve">  Any comments relat</w:t>
      </w:r>
      <w:r w:rsidR="00BF04DB">
        <w:t>ing</w:t>
      </w:r>
      <w:r w:rsidR="00C431E3">
        <w:t xml:space="preserve"> to these issues should be filed in</w:t>
      </w:r>
      <w:r w:rsidR="004950CB">
        <w:t xml:space="preserve"> MB Docket No</w:t>
      </w:r>
      <w:r w:rsidR="00170532">
        <w:t>s</w:t>
      </w:r>
      <w:r w:rsidR="004950CB">
        <w:t>. 12-107</w:t>
      </w:r>
      <w:r w:rsidR="00170532">
        <w:t>, 11-43</w:t>
      </w:r>
      <w:r w:rsidR="004950CB">
        <w:t xml:space="preserve">.  </w:t>
      </w:r>
      <w:r w:rsidR="00170532">
        <w:rPr>
          <w:i/>
        </w:rPr>
        <w:t>See supra</w:t>
      </w:r>
      <w:r w:rsidR="00170532">
        <w:t xml:space="preserve"> note 20.</w:t>
      </w:r>
      <w:r w:rsidR="00C431E3">
        <w:t xml:space="preserve"> </w:t>
      </w:r>
    </w:p>
  </w:footnote>
  <w:footnote w:id="27">
    <w:p w:rsidR="00433F1E" w:rsidRPr="008632AF" w:rsidRDefault="00433F1E">
      <w:pPr>
        <w:pStyle w:val="FootnoteText"/>
      </w:pPr>
      <w:r>
        <w:rPr>
          <w:rStyle w:val="FootnoteReference"/>
        </w:rPr>
        <w:footnoteRef/>
      </w:r>
      <w:r>
        <w:t xml:space="preserve"> </w:t>
      </w:r>
      <w:r w:rsidR="008632AF">
        <w:rPr>
          <w:i/>
        </w:rPr>
        <w:t>Id</w:t>
      </w:r>
      <w:r w:rsidR="008632AF">
        <w:t>. at 4907, ¶ 49.</w:t>
      </w:r>
    </w:p>
  </w:footnote>
  <w:footnote w:id="28">
    <w:p w:rsidR="008632AF" w:rsidRPr="008632AF" w:rsidRDefault="008632AF" w:rsidP="008632AF">
      <w:pPr>
        <w:pStyle w:val="FootnoteText"/>
      </w:pPr>
      <w:r>
        <w:rPr>
          <w:rStyle w:val="FootnoteReference"/>
        </w:rPr>
        <w:footnoteRef/>
      </w:r>
      <w:r>
        <w:t xml:space="preserve"> </w:t>
      </w:r>
      <w:r>
        <w:rPr>
          <w:i/>
        </w:rPr>
        <w:t>See, e.g.</w:t>
      </w:r>
      <w:r>
        <w:t xml:space="preserve">, Second Report of the Video Programming Accessibility Advisory Committee on the Twenty-First Century Communications and Video Accessibility Act of 2010: Video Description, at 27-28 (Apr. 9, 2012), </w:t>
      </w:r>
      <w:r w:rsidRPr="008632AF">
        <w:rPr>
          <w:i/>
        </w:rPr>
        <w:t>available at</w:t>
      </w:r>
      <w:r>
        <w:t xml:space="preserve"> http://vpaac.wikispaces.com/file/view/120409+VPAAC+Video+Description+REPORT+AS+SUBMITTED+4-9-2012.pdf.</w:t>
      </w:r>
    </w:p>
  </w:footnote>
  <w:footnote w:id="29">
    <w:p w:rsidR="004E6492" w:rsidRDefault="004E6492">
      <w:pPr>
        <w:pStyle w:val="FootnoteText"/>
        <w:rPr>
          <w:i/>
        </w:rPr>
      </w:pPr>
      <w:r>
        <w:rPr>
          <w:rStyle w:val="FootnoteReference"/>
        </w:rPr>
        <w:footnoteRef/>
      </w:r>
      <w:r>
        <w:t xml:space="preserve"> 47 C.F.R. §§ 1.1200 </w:t>
      </w:r>
      <w:r>
        <w:rPr>
          <w:i/>
        </w:rPr>
        <w:t>et seq.</w:t>
      </w:r>
    </w:p>
  </w:footnote>
  <w:footnote w:id="30">
    <w:p w:rsidR="004E6492" w:rsidRDefault="004E6492">
      <w:pPr>
        <w:pStyle w:val="FootnoteText"/>
        <w:rPr>
          <w:highlight w:val="yellow"/>
        </w:rPr>
      </w:pPr>
      <w:r>
        <w:rPr>
          <w:rStyle w:val="FootnoteReference"/>
          <w:sz w:val="20"/>
        </w:rPr>
        <w:footnoteRef/>
      </w:r>
      <w:r>
        <w:t xml:space="preserve"> </w:t>
      </w:r>
      <w:r>
        <w:rPr>
          <w:i/>
        </w:rPr>
        <w:t>See</w:t>
      </w:r>
      <w:r>
        <w:t xml:space="preserve"> </w:t>
      </w:r>
      <w:r>
        <w:rPr>
          <w:i/>
        </w:rPr>
        <w:t>Electronic Filing of Documents in Rulemaking Proceedings</w:t>
      </w:r>
      <w:r>
        <w:t>, 63 FR 24121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E4F" w:rsidRDefault="00212E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E4F" w:rsidRDefault="00212E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492" w:rsidRDefault="0030747C">
    <w:pPr>
      <w:pStyle w:val="Header"/>
      <w:tabs>
        <w:tab w:val="left" w:pos="1080"/>
      </w:tabs>
      <w:spacing w:line="1120" w:lineRule="exact"/>
      <w:ind w:left="720"/>
      <w:rPr>
        <w:rFonts w:ascii="Arial" w:hAnsi="Arial"/>
        <w:b w:val="0"/>
        <w:sz w:val="96"/>
        <w:szCs w:val="96"/>
      </w:rPr>
    </w:pPr>
    <w:r>
      <w:rPr>
        <w:noProof/>
        <w:lang w:eastAsia="en-US"/>
      </w:rPr>
      <w:drawing>
        <wp:anchor distT="0" distB="0" distL="114935" distR="114935" simplePos="0" relativeHeight="251656192" behindDoc="0" locked="0" layoutInCell="1" allowOverlap="1">
          <wp:simplePos x="0" y="0"/>
          <wp:positionH relativeFrom="column">
            <wp:posOffset>50165</wp:posOffset>
          </wp:positionH>
          <wp:positionV relativeFrom="paragraph">
            <wp:posOffset>91440</wp:posOffset>
          </wp:positionV>
          <wp:extent cx="529590" cy="529590"/>
          <wp:effectExtent l="0" t="0" r="3810" b="381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590" cy="5295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4E6492">
      <w:rPr>
        <w:sz w:val="96"/>
        <w:szCs w:val="96"/>
      </w:rPr>
      <w:tab/>
    </w:r>
    <w:r w:rsidR="004E6492">
      <w:rPr>
        <w:rFonts w:ascii="Arial" w:hAnsi="Arial"/>
        <w:b w:val="0"/>
        <w:sz w:val="96"/>
        <w:szCs w:val="96"/>
      </w:rPr>
      <w:t>PUBLIC NOTICE</w:t>
    </w:r>
  </w:p>
  <w:p w:rsidR="004E6492" w:rsidRDefault="0030747C">
    <w:pPr>
      <w:pStyle w:val="Header"/>
      <w:tabs>
        <w:tab w:val="left" w:pos="1080"/>
      </w:tabs>
      <w:spacing w:line="1120" w:lineRule="exact"/>
      <w:ind w:left="720"/>
      <w:rPr>
        <w:rFonts w:ascii="Arial" w:hAnsi="Arial"/>
        <w:b w:val="0"/>
        <w:sz w:val="96"/>
        <w:szCs w:val="96"/>
      </w:rPr>
    </w:pPr>
    <w:r>
      <w:rPr>
        <w:noProof/>
        <w:lang w:eastAsia="en-US"/>
      </w:rPr>
      <mc:AlternateContent>
        <mc:Choice Requires="wps">
          <w:drawing>
            <wp:anchor distT="0" distB="0" distL="114935" distR="114935" simplePos="0" relativeHeight="251657216" behindDoc="1" locked="0" layoutInCell="1" allowOverlap="1">
              <wp:simplePos x="0" y="0"/>
              <wp:positionH relativeFrom="column">
                <wp:posOffset>51435</wp:posOffset>
              </wp:positionH>
              <wp:positionV relativeFrom="paragraph">
                <wp:posOffset>91440</wp:posOffset>
              </wp:positionV>
              <wp:extent cx="3108325" cy="639445"/>
              <wp:effectExtent l="3810" t="0" r="2540"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325" cy="639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492" w:rsidRDefault="004E6492">
                          <w:pPr>
                            <w:rPr>
                              <w:rFonts w:ascii="Arial" w:hAnsi="Arial"/>
                              <w:b/>
                              <w:szCs w:val="22"/>
                            </w:rPr>
                          </w:pPr>
                          <w:r>
                            <w:rPr>
                              <w:rFonts w:ascii="Arial" w:hAnsi="Arial"/>
                              <w:b/>
                              <w:szCs w:val="22"/>
                            </w:rPr>
                            <w:t>Federal Communications Commission</w:t>
                          </w:r>
                        </w:p>
                        <w:p w:rsidR="004E6492" w:rsidRDefault="004E6492">
                          <w:pPr>
                            <w:rPr>
                              <w:rFonts w:ascii="Arial" w:hAnsi="Arial"/>
                              <w:b/>
                              <w:szCs w:val="22"/>
                            </w:rPr>
                          </w:pPr>
                          <w:smartTag w:uri="urn:schemas-microsoft-com:office:smarttags" w:element="Street">
                            <w:smartTag w:uri="urn:schemas-microsoft-com:office:smarttags" w:element="address">
                              <w:r>
                                <w:rPr>
                                  <w:rFonts w:ascii="Arial" w:hAnsi="Arial"/>
                                  <w:b/>
                                  <w:szCs w:val="22"/>
                                </w:rPr>
                                <w:t>445 12th St., S.W.</w:t>
                              </w:r>
                            </w:smartTag>
                          </w:smartTag>
                        </w:p>
                        <w:p w:rsidR="004E6492" w:rsidRDefault="004E6492">
                          <w:pPr>
                            <w:rPr>
                              <w:rFonts w:ascii="Arial" w:hAnsi="Arial"/>
                              <w:b/>
                              <w:szCs w:val="22"/>
                            </w:rPr>
                          </w:pPr>
                          <w:smartTag w:uri="urn:schemas-microsoft-com:office:smarttags" w:element="place">
                            <w:smartTag w:uri="urn:schemas-microsoft-com:office:smarttags" w:element="City">
                              <w:r>
                                <w:rPr>
                                  <w:rFonts w:ascii="Arial" w:hAnsi="Arial"/>
                                  <w:b/>
                                  <w:szCs w:val="22"/>
                                </w:rPr>
                                <w:t>Washington</w:t>
                              </w:r>
                            </w:smartTag>
                            <w:r>
                              <w:rPr>
                                <w:rFonts w:ascii="Arial" w:hAnsi="Arial"/>
                                <w:b/>
                                <w:szCs w:val="22"/>
                              </w:rPr>
                              <w:t xml:space="preserve">, </w:t>
                            </w:r>
                            <w:smartTag w:uri="urn:schemas-microsoft-com:office:smarttags" w:element="State">
                              <w:r>
                                <w:rPr>
                                  <w:rFonts w:ascii="Arial" w:hAnsi="Arial"/>
                                  <w:b/>
                                  <w:szCs w:val="22"/>
                                </w:rPr>
                                <w:t>D.C.</w:t>
                              </w:r>
                            </w:smartTag>
                            <w:r>
                              <w:rPr>
                                <w:rFonts w:ascii="Arial" w:hAnsi="Arial"/>
                                <w:b/>
                                <w:szCs w:val="22"/>
                              </w:rPr>
                              <w:t xml:space="preserve"> </w:t>
                            </w:r>
                            <w:smartTag w:uri="urn:schemas-microsoft-com:office:smarttags" w:element="PostalCode">
                              <w:r>
                                <w:rPr>
                                  <w:rFonts w:ascii="Arial" w:hAnsi="Arial"/>
                                  <w:b/>
                                  <w:szCs w:val="22"/>
                                </w:rPr>
                                <w:t>20554</w:t>
                              </w:r>
                            </w:smartTag>
                          </w:smartTag>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7.2pt;width:244.75pt;height:50.3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" stroked="f">
              <v:textbox inset="0,0,0,0">
                <w:txbxContent>
                  <w:p w:rsidR="004E6492" w:rsidRDefault="004E6492">
                    <w:pPr>
                      <w:rPr>
                        <w:rFonts w:ascii="Arial" w:hAnsi="Arial"/>
                        <w:b/>
                        <w:szCs w:val="22"/>
                      </w:rPr>
                    </w:pPr>
                    <w:r>
                      <w:rPr>
                        <w:rFonts w:ascii="Arial" w:hAnsi="Arial"/>
                        <w:b/>
                        <w:szCs w:val="22"/>
                      </w:rPr>
                      <w:t>Federal Communications Commission</w:t>
                    </w:r>
                  </w:p>
                  <w:p w:rsidR="004E6492" w:rsidRDefault="004E6492">
                    <w:pPr>
                      <w:rPr>
                        <w:rFonts w:ascii="Arial" w:hAnsi="Arial"/>
                        <w:b/>
                        <w:szCs w:val="22"/>
                      </w:rPr>
                    </w:pPr>
                    <w:smartTag w:uri="urn:schemas-microsoft-com:office:smarttags" w:element="Street">
                      <w:smartTag w:uri="urn:schemas-microsoft-com:office:smarttags" w:element="address">
                        <w:r>
                          <w:rPr>
                            <w:rFonts w:ascii="Arial" w:hAnsi="Arial"/>
                            <w:b/>
                            <w:szCs w:val="22"/>
                          </w:rPr>
                          <w:t>445 12th St., S.W.</w:t>
                        </w:r>
                      </w:smartTag>
                    </w:smartTag>
                  </w:p>
                  <w:p w:rsidR="004E6492" w:rsidRDefault="004E6492">
                    <w:pPr>
                      <w:rPr>
                        <w:rFonts w:ascii="Arial" w:hAnsi="Arial"/>
                        <w:b/>
                        <w:szCs w:val="22"/>
                      </w:rPr>
                    </w:pPr>
                    <w:smartTag w:uri="urn:schemas-microsoft-com:office:smarttags" w:element="place">
                      <w:smartTag w:uri="urn:schemas-microsoft-com:office:smarttags" w:element="City">
                        <w:r>
                          <w:rPr>
                            <w:rFonts w:ascii="Arial" w:hAnsi="Arial"/>
                            <w:b/>
                            <w:szCs w:val="22"/>
                          </w:rPr>
                          <w:t>Washington</w:t>
                        </w:r>
                      </w:smartTag>
                      <w:r>
                        <w:rPr>
                          <w:rFonts w:ascii="Arial" w:hAnsi="Arial"/>
                          <w:b/>
                          <w:szCs w:val="22"/>
                        </w:rPr>
                        <w:t xml:space="preserve">, </w:t>
                      </w:r>
                      <w:smartTag w:uri="urn:schemas-microsoft-com:office:smarttags" w:element="State">
                        <w:r>
                          <w:rPr>
                            <w:rFonts w:ascii="Arial" w:hAnsi="Arial"/>
                            <w:b/>
                            <w:szCs w:val="22"/>
                          </w:rPr>
                          <w:t>D.C.</w:t>
                        </w:r>
                      </w:smartTag>
                      <w:r>
                        <w:rPr>
                          <w:rFonts w:ascii="Arial" w:hAnsi="Arial"/>
                          <w:b/>
                          <w:szCs w:val="22"/>
                        </w:rPr>
                        <w:t xml:space="preserve"> </w:t>
                      </w:r>
                      <w:smartTag w:uri="urn:schemas-microsoft-com:office:smarttags" w:element="PostalCode">
                        <w:r>
                          <w:rPr>
                            <w:rFonts w:ascii="Arial" w:hAnsi="Arial"/>
                            <w:b/>
                            <w:szCs w:val="22"/>
                          </w:rPr>
                          <w:t>20554</w:t>
                        </w:r>
                      </w:smartTag>
                    </w:smartTag>
                  </w:p>
                </w:txbxContent>
              </v:textbox>
            </v:shape>
          </w:pict>
        </mc:Fallback>
      </mc:AlternateContent>
    </w:r>
    <w:r>
      <w:rPr>
        <w:noProof/>
        <w:lang w:eastAsia="en-US"/>
      </w:rPr>
      <mc:AlternateContent>
        <mc:Choice Requires="wps">
          <w:drawing>
            <wp:anchor distT="0" distB="0" distL="114935" distR="114935" simplePos="0" relativeHeight="251659264" behindDoc="1" locked="0" layoutInCell="1" allowOverlap="1">
              <wp:simplePos x="0" y="0"/>
              <wp:positionH relativeFrom="column">
                <wp:posOffset>2908935</wp:posOffset>
              </wp:positionH>
              <wp:positionV relativeFrom="paragraph">
                <wp:posOffset>91440</wp:posOffset>
              </wp:positionV>
              <wp:extent cx="3053715" cy="667385"/>
              <wp:effectExtent l="3810" t="0" r="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667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492" w:rsidRDefault="004E6492">
                          <w:pPr>
                            <w:spacing w:before="40"/>
                            <w:jc w:val="right"/>
                            <w:rPr>
                              <w:rFonts w:ascii="Arial" w:hAnsi="Arial"/>
                              <w:sz w:val="16"/>
                            </w:rPr>
                          </w:pPr>
                          <w:r>
                            <w:rPr>
                              <w:rFonts w:ascii="Arial" w:hAnsi="Arial"/>
                              <w:sz w:val="16"/>
                            </w:rPr>
                            <w:tab/>
                          </w:r>
                        </w:p>
                        <w:p w:rsidR="004E6492" w:rsidRDefault="004E6492">
                          <w:pPr>
                            <w:spacing w:before="40"/>
                            <w:jc w:val="right"/>
                            <w:rPr>
                              <w:rFonts w:ascii="Arial" w:hAnsi="Arial"/>
                              <w:b/>
                              <w:sz w:val="16"/>
                            </w:rPr>
                          </w:pPr>
                          <w:r>
                            <w:rPr>
                              <w:rFonts w:ascii="Arial" w:hAnsi="Arial"/>
                              <w:b/>
                              <w:sz w:val="16"/>
                            </w:rPr>
                            <w:t>News Media Information 202 / 418-0500</w:t>
                          </w:r>
                        </w:p>
                        <w:p w:rsidR="004E6492" w:rsidRDefault="004E6492">
                          <w:pPr>
                            <w:jc w:val="right"/>
                            <w:rPr>
                              <w:rFonts w:ascii="Arial" w:hAnsi="Arial"/>
                              <w:b/>
                              <w:sz w:val="16"/>
                            </w:rPr>
                          </w:pPr>
                          <w:r>
                            <w:rPr>
                              <w:rFonts w:ascii="Arial" w:hAnsi="Arial"/>
                              <w:b/>
                              <w:sz w:val="16"/>
                            </w:rPr>
                            <w:tab/>
                            <w:t>Internet: http://www.fcc.gov</w:t>
                          </w:r>
                        </w:p>
                        <w:p w:rsidR="004E6492" w:rsidRDefault="004E6492">
                          <w:pPr>
                            <w:jc w:val="right"/>
                            <w:rPr>
                              <w:rFonts w:ascii="Arial" w:hAnsi="Arial"/>
                              <w:b/>
                              <w:sz w:val="16"/>
                            </w:rPr>
                          </w:pPr>
                          <w:r>
                            <w:rPr>
                              <w:rFonts w:ascii="Arial" w:hAnsi="Arial"/>
                              <w:b/>
                              <w:sz w:val="16"/>
                            </w:rPr>
                            <w:t>TTY: 1-888-835-5322</w:t>
                          </w:r>
                        </w:p>
                        <w:p w:rsidR="004E6492" w:rsidRDefault="004E6492">
                          <w:pPr>
                            <w:jc w:val="right"/>
                          </w:pPr>
                        </w:p>
                        <w:p w:rsidR="004E6492" w:rsidRDefault="004E6492">
                          <w:pPr>
                            <w:jc w:val="right"/>
                            <w:rPr>
                              <w:rFonts w:ascii="Arial" w:hAnsi="Arial"/>
                              <w:sz w:val="16"/>
                            </w:rPr>
                          </w:pPr>
                        </w:p>
                        <w:p w:rsidR="004E6492" w:rsidRDefault="004E6492">
                          <w:pPr>
                            <w:jc w:val="right"/>
                            <w:rPr>
                              <w:rFonts w:ascii="Arial" w:hAnsi="Arial"/>
                              <w:sz w:val="16"/>
                            </w:rPr>
                          </w:pPr>
                          <w:r>
                            <w:rPr>
                              <w:rFonts w:ascii="Arial" w:hAnsi="Arial"/>
                              <w:sz w:val="16"/>
                            </w:rPr>
                            <w:tab/>
                          </w:r>
                        </w:p>
                        <w:p w:rsidR="004E6492" w:rsidRDefault="004E6492">
                          <w:pPr>
                            <w:jc w:val="right"/>
                            <w:rPr>
                              <w:rFonts w:ascii="Arial" w:hAnsi="Arial"/>
                              <w:sz w:val="16"/>
                            </w:rPr>
                          </w:pPr>
                          <w:r>
                            <w:rPr>
                              <w:rFonts w:ascii="Arial" w:hAnsi="Arial"/>
                              <w:sz w:val="16"/>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29.05pt;margin-top:7.2pt;width:240.45pt;height:52.5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" stroked="f">
              <v:textbox inset="0,0,0,0">
                <w:txbxContent>
                  <w:p w:rsidR="004E6492" w:rsidRDefault="004E6492">
                    <w:pPr>
                      <w:spacing w:before="40"/>
                      <w:jc w:val="right"/>
                      <w:rPr>
                        <w:rFonts w:ascii="Arial" w:hAnsi="Arial"/>
                        <w:sz w:val="16"/>
                      </w:rPr>
                    </w:pPr>
                    <w:r>
                      <w:rPr>
                        <w:rFonts w:ascii="Arial" w:hAnsi="Arial"/>
                        <w:sz w:val="16"/>
                      </w:rPr>
                      <w:tab/>
                    </w:r>
                  </w:p>
                  <w:p w:rsidR="004E6492" w:rsidRDefault="004E6492">
                    <w:pPr>
                      <w:spacing w:before="40"/>
                      <w:jc w:val="right"/>
                      <w:rPr>
                        <w:rFonts w:ascii="Arial" w:hAnsi="Arial"/>
                        <w:b/>
                        <w:sz w:val="16"/>
                      </w:rPr>
                    </w:pPr>
                    <w:r>
                      <w:rPr>
                        <w:rFonts w:ascii="Arial" w:hAnsi="Arial"/>
                        <w:b/>
                        <w:sz w:val="16"/>
                      </w:rPr>
                      <w:t>News Media Information 202 / 418-0500</w:t>
                    </w:r>
                  </w:p>
                  <w:p w:rsidR="004E6492" w:rsidRDefault="004E6492">
                    <w:pPr>
                      <w:jc w:val="right"/>
                      <w:rPr>
                        <w:rFonts w:ascii="Arial" w:hAnsi="Arial"/>
                        <w:b/>
                        <w:sz w:val="16"/>
                      </w:rPr>
                    </w:pPr>
                    <w:r>
                      <w:rPr>
                        <w:rFonts w:ascii="Arial" w:hAnsi="Arial"/>
                        <w:b/>
                        <w:sz w:val="16"/>
                      </w:rPr>
                      <w:tab/>
                      <w:t>Internet: http://www.fcc.gov</w:t>
                    </w:r>
                  </w:p>
                  <w:p w:rsidR="004E6492" w:rsidRDefault="004E6492">
                    <w:pPr>
                      <w:jc w:val="right"/>
                      <w:rPr>
                        <w:rFonts w:ascii="Arial" w:hAnsi="Arial"/>
                        <w:b/>
                        <w:sz w:val="16"/>
                      </w:rPr>
                    </w:pPr>
                    <w:r>
                      <w:rPr>
                        <w:rFonts w:ascii="Arial" w:hAnsi="Arial"/>
                        <w:b/>
                        <w:sz w:val="16"/>
                      </w:rPr>
                      <w:t>TTY: 1-888-835-5322</w:t>
                    </w:r>
                  </w:p>
                  <w:p w:rsidR="004E6492" w:rsidRDefault="004E6492">
                    <w:pPr>
                      <w:jc w:val="right"/>
                    </w:pPr>
                  </w:p>
                  <w:p w:rsidR="004E6492" w:rsidRDefault="004E6492">
                    <w:pPr>
                      <w:jc w:val="right"/>
                      <w:rPr>
                        <w:rFonts w:ascii="Arial" w:hAnsi="Arial"/>
                        <w:sz w:val="16"/>
                      </w:rPr>
                    </w:pPr>
                  </w:p>
                  <w:p w:rsidR="004E6492" w:rsidRDefault="004E6492">
                    <w:pPr>
                      <w:jc w:val="right"/>
                      <w:rPr>
                        <w:rFonts w:ascii="Arial" w:hAnsi="Arial"/>
                        <w:sz w:val="16"/>
                      </w:rPr>
                    </w:pPr>
                    <w:r>
                      <w:rPr>
                        <w:rFonts w:ascii="Arial" w:hAnsi="Arial"/>
                        <w:sz w:val="16"/>
                      </w:rPr>
                      <w:tab/>
                    </w:r>
                  </w:p>
                  <w:p w:rsidR="004E6492" w:rsidRDefault="004E6492">
                    <w:pPr>
                      <w:jc w:val="right"/>
                      <w:rPr>
                        <w:rFonts w:ascii="Arial" w:hAnsi="Arial"/>
                        <w:sz w:val="16"/>
                      </w:rPr>
                    </w:pPr>
                    <w:r>
                      <w:rPr>
                        <w:rFonts w:ascii="Arial" w:hAnsi="Arial"/>
                        <w:sz w:val="16"/>
                      </w:rPr>
                      <w:tab/>
                    </w:r>
                  </w:p>
                </w:txbxContent>
              </v:textbox>
            </v:shape>
          </w:pict>
        </mc:Fallback>
      </mc:AlternateContent>
    </w:r>
  </w:p>
  <w:p w:rsidR="004E6492" w:rsidRDefault="0030747C">
    <w:pPr>
      <w:pStyle w:val="Header"/>
      <w:rPr>
        <w:rFonts w:ascii="Arial" w:hAnsi="Arial"/>
        <w:b w:val="0"/>
        <w:sz w:val="24"/>
        <w:szCs w:val="24"/>
      </w:rPr>
    </w:pPr>
    <w:r>
      <w:rPr>
        <w:noProof/>
        <w:lang w:eastAsia="en-US"/>
      </w:rPr>
      <mc:AlternateContent>
        <mc:Choice Requires="wps">
          <w:drawing>
            <wp:anchor distT="0" distB="0" distL="114300" distR="114300" simplePos="0" relativeHeight="251658240" behindDoc="1" locked="0" layoutInCell="1" allowOverlap="1">
              <wp:simplePos x="0" y="0"/>
              <wp:positionH relativeFrom="column">
                <wp:posOffset>0</wp:posOffset>
              </wp:positionH>
              <wp:positionV relativeFrom="paragraph">
                <wp:posOffset>105410</wp:posOffset>
              </wp:positionV>
              <wp:extent cx="5943600" cy="0"/>
              <wp:effectExtent l="19050" t="10160" r="19050" b="184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468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" strokeweight=".53mm">
              <v:stroke joinstyle="miter"/>
            </v:line>
          </w:pict>
        </mc:Fallback>
      </mc:AlternateContent>
    </w:r>
  </w:p>
  <w:p w:rsidR="004E6492" w:rsidRDefault="004E6492">
    <w:pPr>
      <w:jc w:val="right"/>
      <w:rPr>
        <w:b/>
      </w:rPr>
    </w:pPr>
  </w:p>
  <w:p w:rsidR="004E6492" w:rsidRDefault="004E64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Symbo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Symbol"/>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singleLevel"/>
    <w:tmpl w:val="00000002"/>
    <w:name w:val="WW8Num3"/>
    <w:lvl w:ilvl="0">
      <w:start w:val="1"/>
      <w:numFmt w:val="bullet"/>
      <w:lvlText w:val=""/>
      <w:lvlJc w:val="left"/>
      <w:pPr>
        <w:tabs>
          <w:tab w:val="num" w:pos="1440"/>
        </w:tabs>
        <w:ind w:left="1440" w:hanging="360"/>
      </w:pPr>
      <w:rPr>
        <w:rFonts w:ascii="Symbol" w:hAnsi="Symbol"/>
      </w:rPr>
    </w:lvl>
  </w:abstractNum>
  <w:abstractNum w:abstractNumId="2">
    <w:nsid w:val="00000003"/>
    <w:multiLevelType w:val="singleLevel"/>
    <w:tmpl w:val="00000003"/>
    <w:name w:val="WW8Num4"/>
    <w:lvl w:ilvl="0">
      <w:start w:val="1"/>
      <w:numFmt w:val="decimal"/>
      <w:lvlText w:val="%1."/>
      <w:lvlJc w:val="left"/>
      <w:pPr>
        <w:tabs>
          <w:tab w:val="num" w:pos="1080"/>
        </w:tabs>
        <w:ind w:left="0" w:firstLine="720"/>
      </w:pPr>
      <w:rPr>
        <w:rFonts w:ascii="Times New Roman" w:hAnsi="Times New Roman" w:cs="Times New Roman"/>
        <w:b w:val="0"/>
        <w:i w:val="0"/>
        <w:caps w:val="0"/>
        <w:smallCaps w:val="0"/>
        <w:strike w:val="0"/>
        <w:dstrike w:val="0"/>
        <w:vanish w:val="0"/>
        <w:color w:val="00000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0000004"/>
    <w:multiLevelType w:val="singleLevel"/>
    <w:tmpl w:val="00000004"/>
    <w:name w:val="WW8Num6"/>
    <w:lvl w:ilvl="0">
      <w:start w:val="1"/>
      <w:numFmt w:val="bullet"/>
      <w:lvlText w:val=""/>
      <w:lvlJc w:val="left"/>
      <w:pPr>
        <w:tabs>
          <w:tab w:val="num" w:pos="720"/>
        </w:tabs>
        <w:ind w:left="720" w:hanging="360"/>
      </w:pPr>
      <w:rPr>
        <w:rFonts w:ascii="Symbol" w:hAnsi="Symbol"/>
      </w:rPr>
    </w:lvl>
  </w:abstractNum>
  <w:abstractNum w:abstractNumId="4">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84B453C"/>
    <w:multiLevelType w:val="singleLevel"/>
    <w:tmpl w:val="40A8E97A"/>
    <w:lvl w:ilvl="0">
      <w:start w:val="1"/>
      <w:numFmt w:val="decimal"/>
      <w:lvlText w:val="%1."/>
      <w:lvlJc w:val="left"/>
      <w:pPr>
        <w:tabs>
          <w:tab w:val="num" w:pos="1080"/>
        </w:tabs>
        <w:ind w:left="0" w:firstLine="720"/>
      </w:pPr>
    </w:lvl>
  </w:abstractNum>
  <w:abstractNum w:abstractNumId="6">
    <w:nsid w:val="0FEF70C1"/>
    <w:multiLevelType w:val="hybridMultilevel"/>
    <w:tmpl w:val="E51C1A8E"/>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046CC6"/>
    <w:multiLevelType w:val="hybridMultilevel"/>
    <w:tmpl w:val="F29C0A92"/>
    <w:lvl w:ilvl="0" w:tplc="FFFFFFFF">
      <w:start w:val="1"/>
      <w:numFmt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2B2A2951"/>
    <w:multiLevelType w:val="hybridMultilevel"/>
    <w:tmpl w:val="2BEC4DB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50B14DF"/>
    <w:multiLevelType w:val="hybridMultilevel"/>
    <w:tmpl w:val="72AE01A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7673578"/>
    <w:multiLevelType w:val="hybridMultilevel"/>
    <w:tmpl w:val="E0000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6FE3126"/>
    <w:multiLevelType w:val="multilevel"/>
    <w:tmpl w:val="9748207E"/>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Symbo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Symbol"/>
      </w:rPr>
    </w:lvl>
    <w:lvl w:ilvl="8">
      <w:start w:val="1"/>
      <w:numFmt w:val="bullet"/>
      <w:lvlText w:val=""/>
      <w:lvlJc w:val="left"/>
      <w:pPr>
        <w:tabs>
          <w:tab w:val="num" w:pos="6480"/>
        </w:tabs>
        <w:ind w:left="6480" w:hanging="360"/>
      </w:pPr>
      <w:rPr>
        <w:rFonts w:ascii="Wingdings" w:hAnsi="Wingdings"/>
      </w:rPr>
    </w:lvl>
  </w:abstractNum>
  <w:abstractNum w:abstractNumId="15">
    <w:nsid w:val="4CA817E6"/>
    <w:multiLevelType w:val="hybridMultilevel"/>
    <w:tmpl w:val="059C779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Bold"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imes New Roman Bold"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imes New Roman Bold"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55916516"/>
    <w:multiLevelType w:val="hybridMultilevel"/>
    <w:tmpl w:val="4BB6F7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6677B1D"/>
    <w:multiLevelType w:val="hybridMultilevel"/>
    <w:tmpl w:val="DB168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1182925"/>
    <w:multiLevelType w:val="singleLevel"/>
    <w:tmpl w:val="A68CF9C8"/>
    <w:lvl w:ilvl="0">
      <w:start w:val="1"/>
      <w:numFmt w:val="decimal"/>
      <w:pStyle w:val="ParaNum"/>
      <w:lvlText w:val="%1."/>
      <w:lvlJc w:val="left"/>
      <w:pPr>
        <w:tabs>
          <w:tab w:val="num" w:pos="1080"/>
        </w:tabs>
        <w:ind w:left="0" w:firstLine="720"/>
      </w:pPr>
    </w:lvl>
  </w:abstractNum>
  <w:abstractNum w:abstractNumId="20">
    <w:nsid w:val="71BA2D83"/>
    <w:multiLevelType w:val="hybridMultilevel"/>
    <w:tmpl w:val="2DD490C8"/>
    <w:lvl w:ilvl="0" w:tplc="F1B2B9A2">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F0406EE"/>
    <w:multiLevelType w:val="hybridMultilevel"/>
    <w:tmpl w:val="749E4CE6"/>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1BF295AE">
      <w:numFmt w:val="bullet"/>
      <w:lvlText w:val="-"/>
      <w:lvlJc w:val="left"/>
      <w:pPr>
        <w:tabs>
          <w:tab w:val="num" w:pos="720"/>
        </w:tabs>
        <w:ind w:left="720" w:hanging="360"/>
      </w:pPr>
      <w:rPr>
        <w:rFonts w:ascii="Times New Roman" w:eastAsia="Times New Roman" w:hAnsi="Times New Roman"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19"/>
  </w:num>
  <w:num w:numId="3">
    <w:abstractNumId w:val="10"/>
  </w:num>
  <w:num w:numId="4">
    <w:abstractNumId w:val="16"/>
  </w:num>
  <w:num w:numId="5">
    <w:abstractNumId w:val="9"/>
  </w:num>
  <w:num w:numId="6">
    <w:abstractNumId w:val="5"/>
  </w:num>
  <w:num w:numId="7">
    <w:abstractNumId w:val="0"/>
  </w:num>
  <w:num w:numId="8">
    <w:abstractNumId w:val="1"/>
  </w:num>
  <w:num w:numId="9">
    <w:abstractNumId w:val="2"/>
  </w:num>
  <w:num w:numId="10">
    <w:abstractNumId w:val="3"/>
  </w:num>
  <w:num w:numId="11">
    <w:abstractNumId w:val="14"/>
  </w:num>
  <w:num w:numId="12">
    <w:abstractNumId w:val="11"/>
  </w:num>
  <w:num w:numId="13">
    <w:abstractNumId w:val="19"/>
    <w:lvlOverride w:ilvl="0">
      <w:startOverride w:val="1"/>
    </w:lvlOverride>
  </w:num>
  <w:num w:numId="14">
    <w:abstractNumId w:val="12"/>
  </w:num>
  <w:num w:numId="15">
    <w:abstractNumId w:val="4"/>
  </w:num>
  <w:num w:numId="16">
    <w:abstractNumId w:val="21"/>
  </w:num>
  <w:num w:numId="17">
    <w:abstractNumId w:val="7"/>
  </w:num>
  <w:num w:numId="18">
    <w:abstractNumId w:val="17"/>
  </w:num>
  <w:num w:numId="19">
    <w:abstractNumId w:val="6"/>
  </w:num>
  <w:num w:numId="20">
    <w:abstractNumId w:val="15"/>
  </w:num>
  <w:num w:numId="21">
    <w:abstractNumId w:val="20"/>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383"/>
    <w:rsid w:val="00002211"/>
    <w:rsid w:val="00005755"/>
    <w:rsid w:val="00005B7A"/>
    <w:rsid w:val="00007C3F"/>
    <w:rsid w:val="00012386"/>
    <w:rsid w:val="00031873"/>
    <w:rsid w:val="00033628"/>
    <w:rsid w:val="000353FF"/>
    <w:rsid w:val="000450FA"/>
    <w:rsid w:val="000547AB"/>
    <w:rsid w:val="0006376E"/>
    <w:rsid w:val="00067387"/>
    <w:rsid w:val="00091893"/>
    <w:rsid w:val="00091EEE"/>
    <w:rsid w:val="00094092"/>
    <w:rsid w:val="000A1CEB"/>
    <w:rsid w:val="000A5D96"/>
    <w:rsid w:val="000C3936"/>
    <w:rsid w:val="000C5445"/>
    <w:rsid w:val="000D0693"/>
    <w:rsid w:val="000D7F96"/>
    <w:rsid w:val="000E00DC"/>
    <w:rsid w:val="000E6419"/>
    <w:rsid w:val="000F5239"/>
    <w:rsid w:val="000F6044"/>
    <w:rsid w:val="00114561"/>
    <w:rsid w:val="001242BB"/>
    <w:rsid w:val="001273C2"/>
    <w:rsid w:val="0013225B"/>
    <w:rsid w:val="00145791"/>
    <w:rsid w:val="00162332"/>
    <w:rsid w:val="00170532"/>
    <w:rsid w:val="00175DDE"/>
    <w:rsid w:val="001B39D4"/>
    <w:rsid w:val="001C0747"/>
    <w:rsid w:val="001C1A00"/>
    <w:rsid w:val="001D1351"/>
    <w:rsid w:val="001D47AD"/>
    <w:rsid w:val="001F2C3E"/>
    <w:rsid w:val="001F4B81"/>
    <w:rsid w:val="00212E4F"/>
    <w:rsid w:val="00217C18"/>
    <w:rsid w:val="00220375"/>
    <w:rsid w:val="00222D19"/>
    <w:rsid w:val="00230C53"/>
    <w:rsid w:val="0024737F"/>
    <w:rsid w:val="002553B1"/>
    <w:rsid w:val="0025611D"/>
    <w:rsid w:val="002634D1"/>
    <w:rsid w:val="002678C1"/>
    <w:rsid w:val="00286690"/>
    <w:rsid w:val="00293B78"/>
    <w:rsid w:val="00294E96"/>
    <w:rsid w:val="002B20FF"/>
    <w:rsid w:val="002B2E8B"/>
    <w:rsid w:val="002B682C"/>
    <w:rsid w:val="002D4FCD"/>
    <w:rsid w:val="00306F2D"/>
    <w:rsid w:val="0030747C"/>
    <w:rsid w:val="00312F4A"/>
    <w:rsid w:val="00316678"/>
    <w:rsid w:val="00331232"/>
    <w:rsid w:val="003371FD"/>
    <w:rsid w:val="003420FC"/>
    <w:rsid w:val="00344D25"/>
    <w:rsid w:val="00345259"/>
    <w:rsid w:val="0036001F"/>
    <w:rsid w:val="00365244"/>
    <w:rsid w:val="00365289"/>
    <w:rsid w:val="00370DDC"/>
    <w:rsid w:val="00380F8A"/>
    <w:rsid w:val="00391E9D"/>
    <w:rsid w:val="003960FE"/>
    <w:rsid w:val="003B3474"/>
    <w:rsid w:val="003C0BE7"/>
    <w:rsid w:val="003C768A"/>
    <w:rsid w:val="003D13E1"/>
    <w:rsid w:val="003D31A4"/>
    <w:rsid w:val="003E6DAB"/>
    <w:rsid w:val="00403528"/>
    <w:rsid w:val="004041C6"/>
    <w:rsid w:val="00406336"/>
    <w:rsid w:val="004106B9"/>
    <w:rsid w:val="00433F1E"/>
    <w:rsid w:val="004367F0"/>
    <w:rsid w:val="0044287F"/>
    <w:rsid w:val="00445B1B"/>
    <w:rsid w:val="00446F0D"/>
    <w:rsid w:val="0045084A"/>
    <w:rsid w:val="00465304"/>
    <w:rsid w:val="00465F7F"/>
    <w:rsid w:val="00481FE4"/>
    <w:rsid w:val="00484B87"/>
    <w:rsid w:val="0048552B"/>
    <w:rsid w:val="00493D10"/>
    <w:rsid w:val="004950CB"/>
    <w:rsid w:val="004A2925"/>
    <w:rsid w:val="004B7F8B"/>
    <w:rsid w:val="004C2EFA"/>
    <w:rsid w:val="004C3884"/>
    <w:rsid w:val="004D3E91"/>
    <w:rsid w:val="004D5636"/>
    <w:rsid w:val="004E479D"/>
    <w:rsid w:val="004E6492"/>
    <w:rsid w:val="004F194A"/>
    <w:rsid w:val="00516C1A"/>
    <w:rsid w:val="00543D32"/>
    <w:rsid w:val="005575C9"/>
    <w:rsid w:val="00571B7E"/>
    <w:rsid w:val="00572154"/>
    <w:rsid w:val="0057229F"/>
    <w:rsid w:val="00581C5C"/>
    <w:rsid w:val="00591A08"/>
    <w:rsid w:val="00592041"/>
    <w:rsid w:val="00592A27"/>
    <w:rsid w:val="005A132E"/>
    <w:rsid w:val="005B30D0"/>
    <w:rsid w:val="005B4B4C"/>
    <w:rsid w:val="005C0093"/>
    <w:rsid w:val="005C73FA"/>
    <w:rsid w:val="005D463A"/>
    <w:rsid w:val="005E682C"/>
    <w:rsid w:val="005F0A2C"/>
    <w:rsid w:val="005F217F"/>
    <w:rsid w:val="006018DE"/>
    <w:rsid w:val="00605EB8"/>
    <w:rsid w:val="006129D5"/>
    <w:rsid w:val="00643840"/>
    <w:rsid w:val="00665D0E"/>
    <w:rsid w:val="00677A95"/>
    <w:rsid w:val="00682C60"/>
    <w:rsid w:val="006946DF"/>
    <w:rsid w:val="00696116"/>
    <w:rsid w:val="006B15A4"/>
    <w:rsid w:val="006C2B49"/>
    <w:rsid w:val="006D2BB9"/>
    <w:rsid w:val="006E077E"/>
    <w:rsid w:val="006F4FFF"/>
    <w:rsid w:val="00705D7A"/>
    <w:rsid w:val="00716B33"/>
    <w:rsid w:val="007202CF"/>
    <w:rsid w:val="00722DF4"/>
    <w:rsid w:val="007269C1"/>
    <w:rsid w:val="00750E22"/>
    <w:rsid w:val="007516C6"/>
    <w:rsid w:val="007603FB"/>
    <w:rsid w:val="00761807"/>
    <w:rsid w:val="007652ED"/>
    <w:rsid w:val="00770057"/>
    <w:rsid w:val="00780284"/>
    <w:rsid w:val="007823F4"/>
    <w:rsid w:val="007838B7"/>
    <w:rsid w:val="007854EB"/>
    <w:rsid w:val="00790E82"/>
    <w:rsid w:val="00796463"/>
    <w:rsid w:val="007A1C22"/>
    <w:rsid w:val="007A24DF"/>
    <w:rsid w:val="007A2ED5"/>
    <w:rsid w:val="007A7102"/>
    <w:rsid w:val="007B66E9"/>
    <w:rsid w:val="007C3A80"/>
    <w:rsid w:val="007C5D9C"/>
    <w:rsid w:val="007D018C"/>
    <w:rsid w:val="007E5250"/>
    <w:rsid w:val="007E765B"/>
    <w:rsid w:val="007F4C74"/>
    <w:rsid w:val="00807D08"/>
    <w:rsid w:val="0081202A"/>
    <w:rsid w:val="00814ED3"/>
    <w:rsid w:val="0082609F"/>
    <w:rsid w:val="00827988"/>
    <w:rsid w:val="00834DFC"/>
    <w:rsid w:val="008400D1"/>
    <w:rsid w:val="00855158"/>
    <w:rsid w:val="00862C37"/>
    <w:rsid w:val="008632AF"/>
    <w:rsid w:val="008645F4"/>
    <w:rsid w:val="0086519D"/>
    <w:rsid w:val="00865497"/>
    <w:rsid w:val="0087660E"/>
    <w:rsid w:val="008803E8"/>
    <w:rsid w:val="00880444"/>
    <w:rsid w:val="008829F2"/>
    <w:rsid w:val="008847EA"/>
    <w:rsid w:val="008A264E"/>
    <w:rsid w:val="008A6CAC"/>
    <w:rsid w:val="008B0505"/>
    <w:rsid w:val="008C4E62"/>
    <w:rsid w:val="008D0E77"/>
    <w:rsid w:val="008D1A91"/>
    <w:rsid w:val="008D6560"/>
    <w:rsid w:val="008E09E3"/>
    <w:rsid w:val="008E0C3C"/>
    <w:rsid w:val="008E5917"/>
    <w:rsid w:val="00901D32"/>
    <w:rsid w:val="00904A8C"/>
    <w:rsid w:val="009060C9"/>
    <w:rsid w:val="00920CCF"/>
    <w:rsid w:val="0092606F"/>
    <w:rsid w:val="00926A82"/>
    <w:rsid w:val="00953857"/>
    <w:rsid w:val="00953ECD"/>
    <w:rsid w:val="00956557"/>
    <w:rsid w:val="009726D7"/>
    <w:rsid w:val="009731B6"/>
    <w:rsid w:val="00975274"/>
    <w:rsid w:val="009A0307"/>
    <w:rsid w:val="009A6EE0"/>
    <w:rsid w:val="009B6984"/>
    <w:rsid w:val="009C23D4"/>
    <w:rsid w:val="009C282D"/>
    <w:rsid w:val="009C6CD9"/>
    <w:rsid w:val="009E2EB6"/>
    <w:rsid w:val="009F1011"/>
    <w:rsid w:val="009F4873"/>
    <w:rsid w:val="009F6F4A"/>
    <w:rsid w:val="00A106FC"/>
    <w:rsid w:val="00A1703F"/>
    <w:rsid w:val="00A17DD7"/>
    <w:rsid w:val="00A213F3"/>
    <w:rsid w:val="00A24F84"/>
    <w:rsid w:val="00A30C6A"/>
    <w:rsid w:val="00A35D5C"/>
    <w:rsid w:val="00A427DE"/>
    <w:rsid w:val="00A4721E"/>
    <w:rsid w:val="00A57588"/>
    <w:rsid w:val="00A62F5D"/>
    <w:rsid w:val="00A71525"/>
    <w:rsid w:val="00A92E0B"/>
    <w:rsid w:val="00A94B9A"/>
    <w:rsid w:val="00A95C61"/>
    <w:rsid w:val="00A9798A"/>
    <w:rsid w:val="00AA1B91"/>
    <w:rsid w:val="00AC02C1"/>
    <w:rsid w:val="00AC26E9"/>
    <w:rsid w:val="00AD0B3B"/>
    <w:rsid w:val="00AE5C6A"/>
    <w:rsid w:val="00B00A2F"/>
    <w:rsid w:val="00B00BB2"/>
    <w:rsid w:val="00B02F48"/>
    <w:rsid w:val="00B03AB1"/>
    <w:rsid w:val="00B0621B"/>
    <w:rsid w:val="00B073E8"/>
    <w:rsid w:val="00B16278"/>
    <w:rsid w:val="00B1654B"/>
    <w:rsid w:val="00B2168C"/>
    <w:rsid w:val="00B259D4"/>
    <w:rsid w:val="00B27B36"/>
    <w:rsid w:val="00B30B57"/>
    <w:rsid w:val="00B34E01"/>
    <w:rsid w:val="00B367E0"/>
    <w:rsid w:val="00B40CB7"/>
    <w:rsid w:val="00B7206F"/>
    <w:rsid w:val="00B86CEC"/>
    <w:rsid w:val="00B87544"/>
    <w:rsid w:val="00B8799A"/>
    <w:rsid w:val="00B92444"/>
    <w:rsid w:val="00B93C7E"/>
    <w:rsid w:val="00B94237"/>
    <w:rsid w:val="00B96EE3"/>
    <w:rsid w:val="00B96FBE"/>
    <w:rsid w:val="00BA0FD0"/>
    <w:rsid w:val="00BB5E4A"/>
    <w:rsid w:val="00BC5726"/>
    <w:rsid w:val="00BC6383"/>
    <w:rsid w:val="00BD69FA"/>
    <w:rsid w:val="00BF04DB"/>
    <w:rsid w:val="00BF19FB"/>
    <w:rsid w:val="00BF22E6"/>
    <w:rsid w:val="00BF410A"/>
    <w:rsid w:val="00C024E7"/>
    <w:rsid w:val="00C1484A"/>
    <w:rsid w:val="00C14C41"/>
    <w:rsid w:val="00C152D5"/>
    <w:rsid w:val="00C213E6"/>
    <w:rsid w:val="00C25BAF"/>
    <w:rsid w:val="00C431E3"/>
    <w:rsid w:val="00C43D0F"/>
    <w:rsid w:val="00C6269D"/>
    <w:rsid w:val="00C66941"/>
    <w:rsid w:val="00C70B95"/>
    <w:rsid w:val="00C7521B"/>
    <w:rsid w:val="00C819E0"/>
    <w:rsid w:val="00C862EC"/>
    <w:rsid w:val="00C87163"/>
    <w:rsid w:val="00CA513D"/>
    <w:rsid w:val="00CC4215"/>
    <w:rsid w:val="00CE4C35"/>
    <w:rsid w:val="00CF2D32"/>
    <w:rsid w:val="00CF5EA8"/>
    <w:rsid w:val="00CF64A3"/>
    <w:rsid w:val="00D11028"/>
    <w:rsid w:val="00D2741B"/>
    <w:rsid w:val="00D351C9"/>
    <w:rsid w:val="00D40DBB"/>
    <w:rsid w:val="00D41A61"/>
    <w:rsid w:val="00D55383"/>
    <w:rsid w:val="00D615E2"/>
    <w:rsid w:val="00D936A1"/>
    <w:rsid w:val="00D97510"/>
    <w:rsid w:val="00DB2ACA"/>
    <w:rsid w:val="00DC790D"/>
    <w:rsid w:val="00DC7FFE"/>
    <w:rsid w:val="00DE3CCF"/>
    <w:rsid w:val="00DE78E9"/>
    <w:rsid w:val="00DF1415"/>
    <w:rsid w:val="00DF1D1B"/>
    <w:rsid w:val="00DF4BB2"/>
    <w:rsid w:val="00DF5E7E"/>
    <w:rsid w:val="00DF7D52"/>
    <w:rsid w:val="00E0213B"/>
    <w:rsid w:val="00E06085"/>
    <w:rsid w:val="00E16693"/>
    <w:rsid w:val="00E17175"/>
    <w:rsid w:val="00E31B5E"/>
    <w:rsid w:val="00E3708A"/>
    <w:rsid w:val="00E468CC"/>
    <w:rsid w:val="00E84631"/>
    <w:rsid w:val="00E9168B"/>
    <w:rsid w:val="00EA7893"/>
    <w:rsid w:val="00EB1262"/>
    <w:rsid w:val="00EB17BD"/>
    <w:rsid w:val="00EB487A"/>
    <w:rsid w:val="00EC4B84"/>
    <w:rsid w:val="00ED0A07"/>
    <w:rsid w:val="00ED22F8"/>
    <w:rsid w:val="00ED4641"/>
    <w:rsid w:val="00EE6C25"/>
    <w:rsid w:val="00EF2D32"/>
    <w:rsid w:val="00EF5D48"/>
    <w:rsid w:val="00EF6B6F"/>
    <w:rsid w:val="00F0656F"/>
    <w:rsid w:val="00F13357"/>
    <w:rsid w:val="00F17490"/>
    <w:rsid w:val="00F27417"/>
    <w:rsid w:val="00F43B5C"/>
    <w:rsid w:val="00F43C1F"/>
    <w:rsid w:val="00F554D2"/>
    <w:rsid w:val="00F676CF"/>
    <w:rsid w:val="00F731B4"/>
    <w:rsid w:val="00F829B2"/>
    <w:rsid w:val="00F91099"/>
    <w:rsid w:val="00F95C1D"/>
    <w:rsid w:val="00FB0ADC"/>
    <w:rsid w:val="00FB73E9"/>
    <w:rsid w:val="00FC4187"/>
    <w:rsid w:val="00FC6E9B"/>
    <w:rsid w:val="00FE45CC"/>
    <w:rsid w:val="00FE7EB5"/>
    <w:rsid w:val="00FF1E2F"/>
    <w:rsid w:val="00FF648A"/>
    <w:rsid w:val="00FF7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2"/>
      <w:lang w:eastAsia="ar-SA"/>
    </w:rPr>
  </w:style>
  <w:style w:type="paragraph" w:styleId="Heading1">
    <w:name w:val="heading 1"/>
    <w:basedOn w:val="Normal"/>
    <w:next w:val="ParaNum"/>
    <w:qFormat/>
    <w:pPr>
      <w:keepNext/>
      <w:numPr>
        <w:numId w:val="3"/>
      </w:numPr>
      <w:tabs>
        <w:tab w:val="left" w:pos="720"/>
      </w:tab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 Char,Footnote Text Char1 Char Char Char,Footnote Text Char Char Char Char1 Char,Footnote Text Char2 Char Char Char Char Char,Footnote Text Char,Footnote Text Char1 Char2,Footnote Text Char1 Char"/>
    <w:link w:val="FootnoteTextChar1"/>
    <w:pPr>
      <w:spacing w:after="120"/>
    </w:pPr>
  </w:style>
  <w:style w:type="character" w:styleId="FootnoteReference">
    <w:name w:val="footnote reference"/>
    <w:aliases w:val="(NECG) Footnote Reference,o,fr,Style 3,Appel note de bas de p,Style 12,Style 124,Style 13,FR,Style 17,Style 6,Footnote Reference/"/>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ind w:left="360" w:right="720" w:hanging="360"/>
    </w:pPr>
    <w:rPr>
      <w:caps/>
      <w:noProof/>
    </w:rPr>
  </w:style>
  <w:style w:type="paragraph" w:styleId="TOC2">
    <w:name w:val="toc 2"/>
    <w:basedOn w:val="Normal"/>
    <w:next w:val="Normal"/>
    <w:semiHidden/>
    <w:pPr>
      <w:tabs>
        <w:tab w:val="left" w:pos="720"/>
        <w:tab w:val="right" w:leader="dot" w:pos="9360"/>
      </w:tabs>
      <w:ind w:left="720" w:right="720" w:hanging="360"/>
    </w:pPr>
    <w:rPr>
      <w:noProof/>
    </w:rPr>
  </w:style>
  <w:style w:type="paragraph" w:styleId="TOC3">
    <w:name w:val="toc 3"/>
    <w:basedOn w:val="Normal"/>
    <w:next w:val="Normal"/>
    <w:semiHidden/>
    <w:pPr>
      <w:tabs>
        <w:tab w:val="left" w:pos="1080"/>
        <w:tab w:val="right" w:leader="dot" w:pos="9360"/>
      </w:tabs>
      <w:ind w:left="1080" w:right="720" w:hanging="360"/>
    </w:pPr>
    <w:rPr>
      <w:noProof/>
    </w:rPr>
  </w:style>
  <w:style w:type="paragraph" w:styleId="TOC4">
    <w:name w:val="toc 4"/>
    <w:basedOn w:val="Normal"/>
    <w:next w:val="Normal"/>
    <w:autoRedefine/>
    <w:semiHidden/>
    <w:pPr>
      <w:tabs>
        <w:tab w:val="left" w:pos="1440"/>
        <w:tab w:val="right" w:leader="dot" w:pos="9360"/>
      </w:tabs>
      <w:ind w:left="1440" w:right="720" w:hanging="360"/>
    </w:pPr>
    <w:rPr>
      <w:noProof/>
    </w:rPr>
  </w:style>
  <w:style w:type="paragraph" w:styleId="TOC5">
    <w:name w:val="toc 5"/>
    <w:basedOn w:val="Normal"/>
    <w:next w:val="Normal"/>
    <w:autoRedefine/>
    <w:semiHidden/>
    <w:pPr>
      <w:tabs>
        <w:tab w:val="left" w:pos="1800"/>
        <w:tab w:val="right" w:leader="dot" w:pos="9360"/>
      </w:tabs>
      <w:ind w:left="1800" w:right="720" w:hanging="360"/>
    </w:pPr>
    <w:rPr>
      <w:noProof/>
    </w:rPr>
  </w:style>
  <w:style w:type="paragraph" w:styleId="TOC6">
    <w:name w:val="toc 6"/>
    <w:basedOn w:val="Normal"/>
    <w:next w:val="Normal"/>
    <w:autoRedefine/>
    <w:semiHidden/>
    <w:pPr>
      <w:tabs>
        <w:tab w:val="left" w:pos="2160"/>
        <w:tab w:val="right" w:leader="dot" w:pos="9360"/>
      </w:tabs>
      <w:ind w:left="2160" w:hanging="360"/>
    </w:pPr>
    <w:rPr>
      <w:noProof/>
    </w:rPr>
  </w:style>
  <w:style w:type="paragraph" w:styleId="TOC7">
    <w:name w:val="toc 7"/>
    <w:basedOn w:val="Normal"/>
    <w:next w:val="Normal"/>
    <w:autoRedefine/>
    <w:semiHidden/>
    <w:pPr>
      <w:tabs>
        <w:tab w:val="left" w:pos="2520"/>
        <w:tab w:val="right" w:leader="dot" w:pos="9360"/>
      </w:tabs>
      <w:ind w:left="2520" w:hanging="360"/>
    </w:pPr>
    <w:rPr>
      <w:noProof/>
    </w:rPr>
  </w:style>
  <w:style w:type="paragraph" w:styleId="TOC8">
    <w:name w:val="toc 8"/>
    <w:basedOn w:val="Normal"/>
    <w:next w:val="Normal"/>
    <w:autoRedefine/>
    <w:semiHidden/>
    <w:pPr>
      <w:tabs>
        <w:tab w:val="left" w:pos="2880"/>
        <w:tab w:val="right" w:leader="dot" w:pos="9360"/>
      </w:tabs>
      <w:ind w:left="2880" w:hanging="360"/>
    </w:pPr>
    <w:rPr>
      <w:noProof/>
    </w:rPr>
  </w:style>
  <w:style w:type="paragraph" w:styleId="TOC9">
    <w:name w:val="toc 9"/>
    <w:basedOn w:val="Normal"/>
    <w:next w:val="Normal"/>
    <w:autoRedefine/>
    <w:semiHidden/>
    <w:pPr>
      <w:tabs>
        <w:tab w:val="left" w:pos="3240"/>
        <w:tab w:val="right" w:leader="dot" w:pos="9360"/>
      </w:tabs>
      <w:ind w:left="3240" w:hanging="360"/>
    </w:pPr>
    <w:rPr>
      <w:noProof/>
    </w:rPr>
  </w:style>
  <w:style w:type="paragraph" w:styleId="TOAHeading">
    <w:name w:val="toa heading"/>
    <w:basedOn w:val="Normal"/>
    <w:next w:val="Normal"/>
    <w:semiHidden/>
    <w:pPr>
      <w:tabs>
        <w:tab w:val="right" w:pos="9360"/>
      </w:tab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paragraph" w:styleId="BodyTextIndent">
    <w:name w:val="Body Text Indent"/>
    <w:basedOn w:val="Normal"/>
    <w:pPr>
      <w:widowControl w:val="0"/>
      <w:ind w:firstLine="720"/>
    </w:pPr>
    <w:rPr>
      <w:kern w:val="1"/>
      <w:sz w:val="24"/>
    </w:rPr>
  </w:style>
  <w:style w:type="character" w:customStyle="1" w:styleId="FootnoteTextChar1">
    <w:name w:val="Footnote Text Char1"/>
    <w:aliases w:val="Footnote Text Char2 Char,Footnote Text Char Char Char Char,Footnote Text Char1 Char Char Char Char,Footnote Text Char Char Char Char1 Char Char,Footnote Text Char2 Char Char Char Char Char Char,Footnote Text Char Char"/>
    <w:link w:val="FootnoteText"/>
    <w:locked/>
    <w:rPr>
      <w:lang w:val="en-US" w:eastAsia="en-US" w:bidi="ar-SA"/>
    </w:rPr>
  </w:style>
  <w:style w:type="character" w:customStyle="1" w:styleId="ptext-1">
    <w:name w:val="ptext-1"/>
    <w:basedOn w:val="DefaultParagraphFont"/>
  </w:style>
  <w:style w:type="paragraph" w:styleId="PlainText">
    <w:name w:val="Plain Text"/>
    <w:basedOn w:val="Normal"/>
    <w:pPr>
      <w:suppressAutoHyphens w:val="0"/>
    </w:pPr>
    <w:rPr>
      <w:rFonts w:ascii="Courier New" w:hAnsi="Courier New" w:cs="Courier New"/>
      <w:sz w:val="20"/>
      <w:lang w:eastAsia="en-U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5Char">
    <w:name w:val="Footnote Text Char5 Char"/>
    <w:aliases w:val="Footnote Text Char1 Char Char,Footnote Text Char3 Char Char1 Char,Footnote Text Char2 Char1 Char Char1 Char,Footnote Text Char1 Char Char Char Char Char,Footnote Text Char2 Char Char Char Char Char1 Char Char"/>
    <w:rPr>
      <w:sz w:val="22"/>
      <w:lang w:val="en-US" w:eastAsia="en-US" w:bidi="ar-SA"/>
    </w:rPr>
  </w:style>
  <w:style w:type="character" w:customStyle="1" w:styleId="informationalsmall4">
    <w:name w:val="informationalsmall4"/>
    <w:rPr>
      <w:rFonts w:ascii="Verdana" w:hAnsi="Verdana" w:hint="default"/>
      <w:sz w:val="14"/>
      <w:szCs w:val="14"/>
    </w:rPr>
  </w:style>
  <w:style w:type="character" w:customStyle="1" w:styleId="ParaNumChar">
    <w:name w:val="ParaNum Char"/>
    <w:link w:val="ParaNum"/>
    <w:rPr>
      <w:sz w:val="22"/>
      <w:lang w:val="en-US" w:eastAsia="ar-SA" w:bidi="ar-SA"/>
    </w:rPr>
  </w:style>
  <w:style w:type="character" w:styleId="FollowedHyperlink">
    <w:name w:val="FollowedHyperlink"/>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2"/>
      <w:lang w:eastAsia="ar-SA"/>
    </w:rPr>
  </w:style>
  <w:style w:type="paragraph" w:styleId="Heading1">
    <w:name w:val="heading 1"/>
    <w:basedOn w:val="Normal"/>
    <w:next w:val="ParaNum"/>
    <w:qFormat/>
    <w:pPr>
      <w:keepNext/>
      <w:numPr>
        <w:numId w:val="3"/>
      </w:numPr>
      <w:tabs>
        <w:tab w:val="left" w:pos="720"/>
      </w:tab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 Char,Footnote Text Char1 Char Char Char,Footnote Text Char Char Char Char1 Char,Footnote Text Char2 Char Char Char Char Char,Footnote Text Char,Footnote Text Char1 Char2,Footnote Text Char1 Char"/>
    <w:link w:val="FootnoteTextChar1"/>
    <w:pPr>
      <w:spacing w:after="120"/>
    </w:pPr>
  </w:style>
  <w:style w:type="character" w:styleId="FootnoteReference">
    <w:name w:val="footnote reference"/>
    <w:aliases w:val="(NECG) Footnote Reference,o,fr,Style 3,Appel note de bas de p,Style 12,Style 124,Style 13,FR,Style 17,Style 6,Footnote Reference/"/>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ind w:left="360" w:right="720" w:hanging="360"/>
    </w:pPr>
    <w:rPr>
      <w:caps/>
      <w:noProof/>
    </w:rPr>
  </w:style>
  <w:style w:type="paragraph" w:styleId="TOC2">
    <w:name w:val="toc 2"/>
    <w:basedOn w:val="Normal"/>
    <w:next w:val="Normal"/>
    <w:semiHidden/>
    <w:pPr>
      <w:tabs>
        <w:tab w:val="left" w:pos="720"/>
        <w:tab w:val="right" w:leader="dot" w:pos="9360"/>
      </w:tabs>
      <w:ind w:left="720" w:right="720" w:hanging="360"/>
    </w:pPr>
    <w:rPr>
      <w:noProof/>
    </w:rPr>
  </w:style>
  <w:style w:type="paragraph" w:styleId="TOC3">
    <w:name w:val="toc 3"/>
    <w:basedOn w:val="Normal"/>
    <w:next w:val="Normal"/>
    <w:semiHidden/>
    <w:pPr>
      <w:tabs>
        <w:tab w:val="left" w:pos="1080"/>
        <w:tab w:val="right" w:leader="dot" w:pos="9360"/>
      </w:tabs>
      <w:ind w:left="1080" w:right="720" w:hanging="360"/>
    </w:pPr>
    <w:rPr>
      <w:noProof/>
    </w:rPr>
  </w:style>
  <w:style w:type="paragraph" w:styleId="TOC4">
    <w:name w:val="toc 4"/>
    <w:basedOn w:val="Normal"/>
    <w:next w:val="Normal"/>
    <w:autoRedefine/>
    <w:semiHidden/>
    <w:pPr>
      <w:tabs>
        <w:tab w:val="left" w:pos="1440"/>
        <w:tab w:val="right" w:leader="dot" w:pos="9360"/>
      </w:tabs>
      <w:ind w:left="1440" w:right="720" w:hanging="360"/>
    </w:pPr>
    <w:rPr>
      <w:noProof/>
    </w:rPr>
  </w:style>
  <w:style w:type="paragraph" w:styleId="TOC5">
    <w:name w:val="toc 5"/>
    <w:basedOn w:val="Normal"/>
    <w:next w:val="Normal"/>
    <w:autoRedefine/>
    <w:semiHidden/>
    <w:pPr>
      <w:tabs>
        <w:tab w:val="left" w:pos="1800"/>
        <w:tab w:val="right" w:leader="dot" w:pos="9360"/>
      </w:tabs>
      <w:ind w:left="1800" w:right="720" w:hanging="360"/>
    </w:pPr>
    <w:rPr>
      <w:noProof/>
    </w:rPr>
  </w:style>
  <w:style w:type="paragraph" w:styleId="TOC6">
    <w:name w:val="toc 6"/>
    <w:basedOn w:val="Normal"/>
    <w:next w:val="Normal"/>
    <w:autoRedefine/>
    <w:semiHidden/>
    <w:pPr>
      <w:tabs>
        <w:tab w:val="left" w:pos="2160"/>
        <w:tab w:val="right" w:leader="dot" w:pos="9360"/>
      </w:tabs>
      <w:ind w:left="2160" w:hanging="360"/>
    </w:pPr>
    <w:rPr>
      <w:noProof/>
    </w:rPr>
  </w:style>
  <w:style w:type="paragraph" w:styleId="TOC7">
    <w:name w:val="toc 7"/>
    <w:basedOn w:val="Normal"/>
    <w:next w:val="Normal"/>
    <w:autoRedefine/>
    <w:semiHidden/>
    <w:pPr>
      <w:tabs>
        <w:tab w:val="left" w:pos="2520"/>
        <w:tab w:val="right" w:leader="dot" w:pos="9360"/>
      </w:tabs>
      <w:ind w:left="2520" w:hanging="360"/>
    </w:pPr>
    <w:rPr>
      <w:noProof/>
    </w:rPr>
  </w:style>
  <w:style w:type="paragraph" w:styleId="TOC8">
    <w:name w:val="toc 8"/>
    <w:basedOn w:val="Normal"/>
    <w:next w:val="Normal"/>
    <w:autoRedefine/>
    <w:semiHidden/>
    <w:pPr>
      <w:tabs>
        <w:tab w:val="left" w:pos="2880"/>
        <w:tab w:val="right" w:leader="dot" w:pos="9360"/>
      </w:tabs>
      <w:ind w:left="2880" w:hanging="360"/>
    </w:pPr>
    <w:rPr>
      <w:noProof/>
    </w:rPr>
  </w:style>
  <w:style w:type="paragraph" w:styleId="TOC9">
    <w:name w:val="toc 9"/>
    <w:basedOn w:val="Normal"/>
    <w:next w:val="Normal"/>
    <w:autoRedefine/>
    <w:semiHidden/>
    <w:pPr>
      <w:tabs>
        <w:tab w:val="left" w:pos="3240"/>
        <w:tab w:val="right" w:leader="dot" w:pos="9360"/>
      </w:tabs>
      <w:ind w:left="3240" w:hanging="360"/>
    </w:pPr>
    <w:rPr>
      <w:noProof/>
    </w:rPr>
  </w:style>
  <w:style w:type="paragraph" w:styleId="TOAHeading">
    <w:name w:val="toa heading"/>
    <w:basedOn w:val="Normal"/>
    <w:next w:val="Normal"/>
    <w:semiHidden/>
    <w:pPr>
      <w:tabs>
        <w:tab w:val="right" w:pos="9360"/>
      </w:tab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paragraph" w:styleId="BodyTextIndent">
    <w:name w:val="Body Text Indent"/>
    <w:basedOn w:val="Normal"/>
    <w:pPr>
      <w:widowControl w:val="0"/>
      <w:ind w:firstLine="720"/>
    </w:pPr>
    <w:rPr>
      <w:kern w:val="1"/>
      <w:sz w:val="24"/>
    </w:rPr>
  </w:style>
  <w:style w:type="character" w:customStyle="1" w:styleId="FootnoteTextChar1">
    <w:name w:val="Footnote Text Char1"/>
    <w:aliases w:val="Footnote Text Char2 Char,Footnote Text Char Char Char Char,Footnote Text Char1 Char Char Char Char,Footnote Text Char Char Char Char1 Char Char,Footnote Text Char2 Char Char Char Char Char Char,Footnote Text Char Char"/>
    <w:link w:val="FootnoteText"/>
    <w:locked/>
    <w:rPr>
      <w:lang w:val="en-US" w:eastAsia="en-US" w:bidi="ar-SA"/>
    </w:rPr>
  </w:style>
  <w:style w:type="character" w:customStyle="1" w:styleId="ptext-1">
    <w:name w:val="ptext-1"/>
    <w:basedOn w:val="DefaultParagraphFont"/>
  </w:style>
  <w:style w:type="paragraph" w:styleId="PlainText">
    <w:name w:val="Plain Text"/>
    <w:basedOn w:val="Normal"/>
    <w:pPr>
      <w:suppressAutoHyphens w:val="0"/>
    </w:pPr>
    <w:rPr>
      <w:rFonts w:ascii="Courier New" w:hAnsi="Courier New" w:cs="Courier New"/>
      <w:sz w:val="20"/>
      <w:lang w:eastAsia="en-U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5Char">
    <w:name w:val="Footnote Text Char5 Char"/>
    <w:aliases w:val="Footnote Text Char1 Char Char,Footnote Text Char3 Char Char1 Char,Footnote Text Char2 Char1 Char Char1 Char,Footnote Text Char1 Char Char Char Char Char,Footnote Text Char2 Char Char Char Char Char1 Char Char"/>
    <w:rPr>
      <w:sz w:val="22"/>
      <w:lang w:val="en-US" w:eastAsia="en-US" w:bidi="ar-SA"/>
    </w:rPr>
  </w:style>
  <w:style w:type="character" w:customStyle="1" w:styleId="informationalsmall4">
    <w:name w:val="informationalsmall4"/>
    <w:rPr>
      <w:rFonts w:ascii="Verdana" w:hAnsi="Verdana" w:hint="default"/>
      <w:sz w:val="14"/>
      <w:szCs w:val="14"/>
    </w:rPr>
  </w:style>
  <w:style w:type="character" w:customStyle="1" w:styleId="ParaNumChar">
    <w:name w:val="ParaNum Char"/>
    <w:link w:val="ParaNum"/>
    <w:rPr>
      <w:sz w:val="22"/>
      <w:lang w:val="en-US" w:eastAsia="ar-SA" w:bidi="ar-SA"/>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anice.Wise@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ria.Mullarkey@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5</Pages>
  <Words>2059</Words>
  <Characters>11942</Characters>
  <Application>Microsoft Office Word</Application>
  <DocSecurity>0</DocSecurity>
  <Lines>165</Lines>
  <Paragraphs>29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14076</CharactersWithSpaces>
  <SharedDoc>false</SharedDoc>
  <HyperlinkBase> </HyperlinkBase>
  <HLinks>
    <vt:vector size="30" baseType="variant">
      <vt:variant>
        <vt:i4>3342401</vt:i4>
      </vt:variant>
      <vt:variant>
        <vt:i4>12</vt:i4>
      </vt:variant>
      <vt:variant>
        <vt:i4>0</vt:i4>
      </vt:variant>
      <vt:variant>
        <vt:i4>5</vt:i4>
      </vt:variant>
      <vt:variant>
        <vt:lpwstr>mailto:janice.wise@fcc.gov</vt:lpwstr>
      </vt:variant>
      <vt:variant>
        <vt:lpwstr/>
      </vt:variant>
      <vt:variant>
        <vt:i4>6422640</vt:i4>
      </vt:variant>
      <vt:variant>
        <vt:i4>9</vt:i4>
      </vt:variant>
      <vt:variant>
        <vt:i4>0</vt:i4>
      </vt:variant>
      <vt:variant>
        <vt:i4>5</vt:i4>
      </vt:variant>
      <vt:variant>
        <vt:lpwstr>mailto:</vt:lpwstr>
      </vt:variant>
      <vt:variant>
        <vt:lpwstr/>
      </vt:variant>
      <vt:variant>
        <vt:i4>7995392</vt:i4>
      </vt:variant>
      <vt:variant>
        <vt:i4>6</vt:i4>
      </vt:variant>
      <vt:variant>
        <vt:i4>0</vt:i4>
      </vt:variant>
      <vt:variant>
        <vt:i4>5</vt:i4>
      </vt:variant>
      <vt:variant>
        <vt:lpwstr>mailto:Maria.Mullarkey@fcc.gov</vt:lpwstr>
      </vt:variant>
      <vt:variant>
        <vt:lpwstr/>
      </vt:variant>
      <vt:variant>
        <vt:i4>3473482</vt:i4>
      </vt:variant>
      <vt:variant>
        <vt:i4>3</vt:i4>
      </vt:variant>
      <vt:variant>
        <vt:i4>0</vt:i4>
      </vt:variant>
      <vt:variant>
        <vt:i4>5</vt:i4>
      </vt:variant>
      <vt:variant>
        <vt:lpwstr>mailto:fcc504@fcc.gov</vt:lpwstr>
      </vt:variant>
      <vt:variant>
        <vt:lpwstr/>
      </vt:variant>
      <vt:variant>
        <vt:i4>7929897</vt:i4>
      </vt:variant>
      <vt:variant>
        <vt:i4>0</vt:i4>
      </vt:variant>
      <vt:variant>
        <vt:i4>0</vt:i4>
      </vt:variant>
      <vt:variant>
        <vt:i4>5</vt:i4>
      </vt:variant>
      <vt:variant>
        <vt:lpwstr>http://fjallfoss.fcc.gov/ecfs2/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2013-06-25T12:48:00Z</cp:lastPrinted>
  <dcterms:created xsi:type="dcterms:W3CDTF">2013-06-25T16:01:00Z</dcterms:created>
  <dcterms:modified xsi:type="dcterms:W3CDTF">2013-06-25T16:01:00Z</dcterms:modified>
  <cp:category> </cp:category>
  <cp:contentStatus> </cp:contentStatus>
</cp:coreProperties>
</file>