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7A" w:rsidRDefault="00D057A3" w:rsidP="00C5707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sectPr w:rsidR="00C5707A" w:rsidSect="00C5707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008" w:gutter="0"/>
          <w:cols w:space="720"/>
          <w:titlePg/>
          <w:docGrid w:linePitch="299"/>
        </w:sectPr>
      </w:pPr>
      <w:bookmarkStart w:id="1" w:name="_GoBack"/>
      <w:bookmarkEnd w:id="1"/>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lastRenderedPageBreak/>
        <w:t>DA 1</w:t>
      </w:r>
      <w:r w:rsidR="00926330">
        <w:rPr>
          <w:b/>
          <w:szCs w:val="22"/>
        </w:rPr>
        <w:t>3</w:t>
      </w:r>
      <w:r>
        <w:rPr>
          <w:b/>
          <w:szCs w:val="22"/>
        </w:rPr>
        <w:t>-</w:t>
      </w:r>
      <w:r w:rsidR="00285468">
        <w:rPr>
          <w:b/>
          <w:szCs w:val="22"/>
        </w:rPr>
        <w:t>1474</w:t>
      </w:r>
    </w:p>
    <w:p w:rsidR="00D057A3" w:rsidRDefault="007E7A22">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DB6094">
        <w:rPr>
          <w:b/>
          <w:szCs w:val="22"/>
        </w:rPr>
        <w:t>June</w:t>
      </w:r>
      <w:r w:rsidR="00D057A3">
        <w:rPr>
          <w:b/>
          <w:szCs w:val="22"/>
        </w:rPr>
        <w:t xml:space="preserve"> </w:t>
      </w:r>
      <w:r w:rsidR="00357F0A">
        <w:rPr>
          <w:b/>
          <w:szCs w:val="22"/>
        </w:rPr>
        <w:t>2</w:t>
      </w:r>
      <w:r w:rsidR="00137536">
        <w:rPr>
          <w:b/>
          <w:szCs w:val="22"/>
        </w:rPr>
        <w:t>8</w:t>
      </w:r>
      <w:r w:rsidR="00D057A3">
        <w:rPr>
          <w:b/>
          <w:szCs w:val="22"/>
        </w:rPr>
        <w:t>, 201</w:t>
      </w:r>
      <w:r w:rsidR="005B4826">
        <w:rPr>
          <w:b/>
          <w:szCs w:val="22"/>
        </w:rPr>
        <w:t>3</w:t>
      </w:r>
    </w:p>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D057A3" w:rsidRDefault="00D057A3" w:rsidP="007E7A2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B73D00">
        <w:rPr>
          <w:b/>
          <w:caps/>
          <w:kern w:val="0"/>
          <w:szCs w:val="22"/>
        </w:rPr>
        <w:t>Verizon new jersey inc. and verizon new york inc.</w:t>
      </w:r>
      <w:r>
        <w:rPr>
          <w:b/>
          <w:caps/>
          <w:kern w:val="0"/>
          <w:szCs w:val="22"/>
        </w:rPr>
        <w:t xml:space="preserve"> TO DISCONTINUE DOMESTIC</w:t>
      </w:r>
      <w:r>
        <w:rPr>
          <w:b/>
          <w:kern w:val="0"/>
          <w:szCs w:val="22"/>
        </w:rPr>
        <w:t xml:space="preserve"> TELECOMMUNICATIONS SERVICES</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926330">
        <w:rPr>
          <w:b/>
          <w:kern w:val="0"/>
          <w:szCs w:val="22"/>
        </w:rPr>
        <w:t>3</w:t>
      </w:r>
      <w:r>
        <w:rPr>
          <w:b/>
          <w:kern w:val="0"/>
          <w:szCs w:val="22"/>
        </w:rPr>
        <w:t>-</w:t>
      </w:r>
      <w:r w:rsidR="00181B01">
        <w:rPr>
          <w:b/>
          <w:kern w:val="0"/>
          <w:szCs w:val="22"/>
        </w:rPr>
        <w:t>1</w:t>
      </w:r>
      <w:r w:rsidR="002D3F4A">
        <w:rPr>
          <w:b/>
          <w:kern w:val="0"/>
          <w:szCs w:val="22"/>
        </w:rPr>
        <w:t>49</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DB6094">
        <w:rPr>
          <w:b/>
          <w:kern w:val="0"/>
          <w:szCs w:val="22"/>
        </w:rPr>
        <w:t>11</w:t>
      </w:r>
      <w:r w:rsidR="002D3F4A">
        <w:rPr>
          <w:b/>
          <w:kern w:val="0"/>
          <w:szCs w:val="22"/>
        </w:rPr>
        <w:t>2</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DB609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July </w:t>
      </w:r>
      <w:r w:rsidR="00357F0A">
        <w:rPr>
          <w:b/>
          <w:kern w:val="0"/>
          <w:szCs w:val="22"/>
        </w:rPr>
        <w:t>2</w:t>
      </w:r>
      <w:r w:rsidR="00137536">
        <w:rPr>
          <w:b/>
          <w:kern w:val="0"/>
          <w:szCs w:val="22"/>
        </w:rPr>
        <w:t>9</w:t>
      </w:r>
      <w:r w:rsidR="00D057A3">
        <w:rPr>
          <w:b/>
          <w:kern w:val="0"/>
          <w:szCs w:val="22"/>
        </w:rPr>
        <w:t>, 201</w:t>
      </w:r>
      <w:r w:rsidR="00E90D1A">
        <w:rPr>
          <w:b/>
          <w:kern w:val="0"/>
          <w:szCs w:val="22"/>
        </w:rPr>
        <w:t>3</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A33B19" w:rsidRPr="00A33B19">
        <w:rPr>
          <w:b/>
          <w:szCs w:val="22"/>
        </w:rPr>
        <w:t xml:space="preserve">Verizon </w:t>
      </w:r>
      <w:r w:rsidR="00B31CAE">
        <w:rPr>
          <w:b/>
          <w:szCs w:val="22"/>
        </w:rPr>
        <w:t>N</w:t>
      </w:r>
      <w:r w:rsidR="00A33B19" w:rsidRPr="00A33B19">
        <w:rPr>
          <w:b/>
          <w:szCs w:val="22"/>
        </w:rPr>
        <w:t xml:space="preserve">ew </w:t>
      </w:r>
      <w:r w:rsidR="00B31CAE">
        <w:rPr>
          <w:b/>
          <w:szCs w:val="22"/>
        </w:rPr>
        <w:t>J</w:t>
      </w:r>
      <w:r w:rsidR="00A33B19" w:rsidRPr="00A33B19">
        <w:rPr>
          <w:b/>
          <w:szCs w:val="22"/>
        </w:rPr>
        <w:t xml:space="preserve">ersey </w:t>
      </w:r>
      <w:r w:rsidR="00B31CAE">
        <w:rPr>
          <w:b/>
          <w:szCs w:val="22"/>
        </w:rPr>
        <w:t>I</w:t>
      </w:r>
      <w:r w:rsidR="00A33B19" w:rsidRPr="00A33B19">
        <w:rPr>
          <w:b/>
          <w:szCs w:val="22"/>
        </w:rPr>
        <w:t>nc.</w:t>
      </w:r>
      <w:r w:rsidR="00B73D00">
        <w:rPr>
          <w:b/>
          <w:szCs w:val="22"/>
        </w:rPr>
        <w:t xml:space="preserve"> and </w:t>
      </w:r>
      <w:r w:rsidR="00A33B19" w:rsidRPr="00A33B19">
        <w:rPr>
          <w:b/>
          <w:szCs w:val="22"/>
        </w:rPr>
        <w:t>Verizon</w:t>
      </w:r>
      <w:r w:rsidR="00B31CAE">
        <w:rPr>
          <w:b/>
          <w:szCs w:val="22"/>
        </w:rPr>
        <w:t xml:space="preserve"> N</w:t>
      </w:r>
      <w:r w:rsidR="00A33B19" w:rsidRPr="00A33B19">
        <w:rPr>
          <w:b/>
          <w:szCs w:val="22"/>
        </w:rPr>
        <w:t xml:space="preserve">ew York </w:t>
      </w:r>
      <w:r w:rsidR="00B31CAE">
        <w:rPr>
          <w:b/>
          <w:szCs w:val="22"/>
        </w:rPr>
        <w:t>I</w:t>
      </w:r>
      <w:r w:rsidR="00A33B19" w:rsidRPr="00A33B19">
        <w:rPr>
          <w:b/>
          <w:szCs w:val="22"/>
        </w:rPr>
        <w:t>nc.</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66351" w:rsidRDefault="00D057A3" w:rsidP="003663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366351">
        <w:rPr>
          <w:spacing w:val="-3"/>
          <w:szCs w:val="22"/>
        </w:rPr>
        <w:t xml:space="preserve">On </w:t>
      </w:r>
      <w:r w:rsidR="002D3F4A">
        <w:rPr>
          <w:b/>
          <w:spacing w:val="-3"/>
          <w:szCs w:val="22"/>
        </w:rPr>
        <w:t>May 24</w:t>
      </w:r>
      <w:r w:rsidR="00366351">
        <w:rPr>
          <w:b/>
          <w:spacing w:val="-3"/>
          <w:szCs w:val="22"/>
        </w:rPr>
        <w:t>, 201</w:t>
      </w:r>
      <w:r w:rsidR="00B73D00">
        <w:rPr>
          <w:b/>
          <w:spacing w:val="-3"/>
          <w:szCs w:val="22"/>
        </w:rPr>
        <w:t>3</w:t>
      </w:r>
      <w:r w:rsidR="00366351">
        <w:rPr>
          <w:b/>
          <w:spacing w:val="-3"/>
          <w:szCs w:val="22"/>
        </w:rPr>
        <w:t xml:space="preserve">, </w:t>
      </w:r>
      <w:r w:rsidR="00366351" w:rsidRPr="001C17EA">
        <w:rPr>
          <w:b/>
          <w:szCs w:val="22"/>
        </w:rPr>
        <w:t>Verizon New Jersey Inc.</w:t>
      </w:r>
      <w:r w:rsidR="00366351">
        <w:rPr>
          <w:szCs w:val="22"/>
        </w:rPr>
        <w:t xml:space="preserve">, located at </w:t>
      </w:r>
      <w:r w:rsidR="00366351" w:rsidRPr="001C17EA">
        <w:rPr>
          <w:b/>
          <w:szCs w:val="22"/>
        </w:rPr>
        <w:t>540 Broad Street, Newark, NJ 07102</w:t>
      </w:r>
      <w:r w:rsidR="00B73D00">
        <w:rPr>
          <w:szCs w:val="22"/>
        </w:rPr>
        <w:t xml:space="preserve"> and </w:t>
      </w:r>
      <w:r w:rsidR="00366351" w:rsidRPr="001C17EA">
        <w:rPr>
          <w:b/>
          <w:szCs w:val="22"/>
        </w:rPr>
        <w:t>Verizon New York Inc.</w:t>
      </w:r>
      <w:r w:rsidR="00366351">
        <w:rPr>
          <w:szCs w:val="22"/>
        </w:rPr>
        <w:t xml:space="preserve">, located at </w:t>
      </w:r>
      <w:r w:rsidR="00366351" w:rsidRPr="001C17EA">
        <w:rPr>
          <w:b/>
          <w:szCs w:val="22"/>
        </w:rPr>
        <w:t>140 West Street, New York, NY 10007</w:t>
      </w:r>
      <w:r w:rsidR="00366351">
        <w:rPr>
          <w:szCs w:val="22"/>
        </w:rPr>
        <w:t xml:space="preserve"> </w:t>
      </w:r>
      <w:r w:rsidR="00366351">
        <w:rPr>
          <w:spacing w:val="-3"/>
          <w:szCs w:val="22"/>
        </w:rPr>
        <w:t>(collectively</w:t>
      </w:r>
      <w:r w:rsidR="00900518">
        <w:rPr>
          <w:spacing w:val="-3"/>
          <w:szCs w:val="22"/>
        </w:rPr>
        <w:t>,</w:t>
      </w:r>
      <w:r w:rsidR="00366351">
        <w:rPr>
          <w:spacing w:val="-3"/>
          <w:szCs w:val="22"/>
        </w:rPr>
        <w:t xml:space="preserve"> Verizon or Applicants), filed a</w:t>
      </w:r>
      <w:r w:rsidR="00B45AFA">
        <w:rPr>
          <w:spacing w:val="-3"/>
          <w:szCs w:val="22"/>
        </w:rPr>
        <w:t>n</w:t>
      </w:r>
      <w:r w:rsidR="00366351">
        <w:rPr>
          <w:spacing w:val="-3"/>
          <w:szCs w:val="22"/>
        </w:rPr>
        <w:t xml:space="preserve"> application</w:t>
      </w:r>
      <w:r w:rsidR="00366351">
        <w:rPr>
          <w:szCs w:val="22"/>
        </w:rPr>
        <w:t xml:space="preserve"> under section 214 of the Communications Act of 1934, as amended, 47 U.S.C. §</w:t>
      </w:r>
      <w:r w:rsidR="00997907">
        <w:rPr>
          <w:szCs w:val="22"/>
        </w:rPr>
        <w:t> </w:t>
      </w:r>
      <w:r w:rsidR="00366351">
        <w:rPr>
          <w:szCs w:val="22"/>
        </w:rPr>
        <w:t xml:space="preserve">214, and section 63.71 of the </w:t>
      </w:r>
      <w:r w:rsidR="001470B7">
        <w:rPr>
          <w:szCs w:val="22"/>
        </w:rPr>
        <w:t xml:space="preserve">Federal Communications </w:t>
      </w:r>
      <w:r w:rsidR="00366351">
        <w:rPr>
          <w:szCs w:val="22"/>
        </w:rPr>
        <w:t xml:space="preserve">Commission’s </w:t>
      </w:r>
      <w:r w:rsidR="001470B7">
        <w:rPr>
          <w:szCs w:val="22"/>
        </w:rPr>
        <w:t xml:space="preserve">(FCC or Commission) </w:t>
      </w:r>
      <w:r w:rsidR="00366351">
        <w:rPr>
          <w:szCs w:val="22"/>
        </w:rPr>
        <w:t>rules, 47 C.F.R. § 63.71, to discontinue certain domestic telecommunications service</w:t>
      </w:r>
      <w:r w:rsidR="00DE55DB">
        <w:rPr>
          <w:szCs w:val="22"/>
        </w:rPr>
        <w:t>s</w:t>
      </w:r>
      <w:r w:rsidR="00366351">
        <w:rPr>
          <w:szCs w:val="22"/>
        </w:rPr>
        <w:t xml:space="preserve"> </w:t>
      </w:r>
      <w:r w:rsidR="00B73D00">
        <w:rPr>
          <w:szCs w:val="22"/>
        </w:rPr>
        <w:t xml:space="preserve">in </w:t>
      </w:r>
      <w:r w:rsidR="00AB508F">
        <w:rPr>
          <w:szCs w:val="22"/>
        </w:rPr>
        <w:t xml:space="preserve">certain </w:t>
      </w:r>
      <w:r w:rsidR="00B73D00">
        <w:rPr>
          <w:szCs w:val="22"/>
        </w:rPr>
        <w:t xml:space="preserve">parts of </w:t>
      </w:r>
      <w:r w:rsidR="00366351">
        <w:rPr>
          <w:szCs w:val="22"/>
        </w:rPr>
        <w:t>New Jersey</w:t>
      </w:r>
      <w:r w:rsidR="00B73D00">
        <w:rPr>
          <w:szCs w:val="22"/>
        </w:rPr>
        <w:t xml:space="preserve"> and </w:t>
      </w:r>
      <w:r w:rsidR="00366351">
        <w:rPr>
          <w:szCs w:val="22"/>
        </w:rPr>
        <w:t>New York</w:t>
      </w:r>
      <w:r w:rsidR="00572338">
        <w:rPr>
          <w:szCs w:val="22"/>
        </w:rPr>
        <w:t xml:space="preserve"> affected by Hurricane Sandy</w:t>
      </w:r>
      <w:r w:rsidR="00366351">
        <w:rPr>
          <w:szCs w:val="22"/>
        </w:rPr>
        <w:t>.</w:t>
      </w:r>
      <w:r w:rsidR="00DD6124">
        <w:rPr>
          <w:rStyle w:val="FootnoteReference"/>
          <w:szCs w:val="22"/>
        </w:rPr>
        <w:footnoteReference w:id="1"/>
      </w:r>
    </w:p>
    <w:p w:rsidR="00D057A3" w:rsidRDefault="00D057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45AFA" w:rsidRDefault="00D057A3" w:rsidP="00BD768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A72767">
        <w:rPr>
          <w:i/>
          <w:szCs w:val="22"/>
        </w:rPr>
        <w:t>Request to Discontinue Services.</w:t>
      </w:r>
      <w:r w:rsidR="00A72767">
        <w:rPr>
          <w:szCs w:val="22"/>
        </w:rPr>
        <w:t xml:space="preserve">  </w:t>
      </w:r>
      <w:r w:rsidR="00366351">
        <w:rPr>
          <w:szCs w:val="22"/>
        </w:rPr>
        <w:t>The app</w:t>
      </w:r>
      <w:r w:rsidR="009B3310">
        <w:rPr>
          <w:szCs w:val="22"/>
        </w:rPr>
        <w:t xml:space="preserve">lication indicates that Verizon </w:t>
      </w:r>
      <w:r w:rsidR="00B45AFA">
        <w:rPr>
          <w:szCs w:val="22"/>
        </w:rPr>
        <w:t xml:space="preserve">requests authority to discontinue </w:t>
      </w:r>
      <w:r w:rsidR="000B25C8">
        <w:rPr>
          <w:szCs w:val="22"/>
        </w:rPr>
        <w:t>three copper-based special access services</w:t>
      </w:r>
      <w:r w:rsidR="00B45AFA">
        <w:rPr>
          <w:szCs w:val="22"/>
        </w:rPr>
        <w:t>,</w:t>
      </w:r>
      <w:r w:rsidR="000B25C8">
        <w:rPr>
          <w:szCs w:val="22"/>
        </w:rPr>
        <w:t xml:space="preserve"> </w:t>
      </w:r>
      <w:r w:rsidR="007649AC">
        <w:rPr>
          <w:szCs w:val="22"/>
        </w:rPr>
        <w:t>Metallic Service, Program Audio Service and Telegraph Grade Service</w:t>
      </w:r>
      <w:r w:rsidR="005A3B6F">
        <w:rPr>
          <w:szCs w:val="22"/>
        </w:rPr>
        <w:t xml:space="preserve"> (collectively, Affected Services)</w:t>
      </w:r>
      <w:r w:rsidR="009B3310">
        <w:rPr>
          <w:szCs w:val="22"/>
        </w:rPr>
        <w:t xml:space="preserve">, to customers in </w:t>
      </w:r>
      <w:r w:rsidR="002F6D78">
        <w:rPr>
          <w:szCs w:val="22"/>
        </w:rPr>
        <w:t xml:space="preserve">some parts of </w:t>
      </w:r>
      <w:r w:rsidR="009B3310">
        <w:rPr>
          <w:szCs w:val="22"/>
        </w:rPr>
        <w:t xml:space="preserve">New Jersey and New York.  </w:t>
      </w:r>
      <w:r w:rsidR="007649AC">
        <w:rPr>
          <w:szCs w:val="22"/>
        </w:rPr>
        <w:t>Verizon explains that Metallic Service uses a metallic channel to transmit signals at low speeds up to 30 baud</w:t>
      </w:r>
      <w:r w:rsidR="005710DE">
        <w:rPr>
          <w:szCs w:val="22"/>
        </w:rPr>
        <w:t>;</w:t>
      </w:r>
      <w:r w:rsidR="007649AC">
        <w:rPr>
          <w:szCs w:val="22"/>
        </w:rPr>
        <w:t xml:space="preserve"> Telegraph Grade Service uses a telegraph grade channel to transmit binary signals at rates up to 150 baud</w:t>
      </w:r>
      <w:r w:rsidR="005710DE">
        <w:rPr>
          <w:szCs w:val="22"/>
        </w:rPr>
        <w:t>;</w:t>
      </w:r>
      <w:r w:rsidR="007649AC">
        <w:rPr>
          <w:szCs w:val="22"/>
        </w:rPr>
        <w:t xml:space="preserve"> and Program Audio Service </w:t>
      </w:r>
      <w:r w:rsidR="005710DE">
        <w:rPr>
          <w:szCs w:val="22"/>
        </w:rPr>
        <w:t>provides a channel for the one-way transmission of a complex signal voltage with the option for customers to choose a bandwidth tier of 50 to 15000 Hz, 200 to 3500 Hz, 100 to 5000 Hz, or 50 to 8000 Hz.</w:t>
      </w:r>
      <w:r w:rsidR="006C2AF6">
        <w:rPr>
          <w:rStyle w:val="FootnoteReference"/>
          <w:szCs w:val="22"/>
        </w:rPr>
        <w:footnoteReference w:id="2"/>
      </w:r>
      <w:r w:rsidR="005710DE">
        <w:rPr>
          <w:szCs w:val="22"/>
        </w:rPr>
        <w:t xml:space="preserve">  </w:t>
      </w:r>
      <w:r w:rsidR="00900518">
        <w:rPr>
          <w:szCs w:val="22"/>
        </w:rPr>
        <w:t xml:space="preserve">Verizon </w:t>
      </w:r>
      <w:r w:rsidR="0028292C">
        <w:rPr>
          <w:szCs w:val="22"/>
        </w:rPr>
        <w:t>asserts</w:t>
      </w:r>
      <w:r w:rsidR="00B45AFA">
        <w:rPr>
          <w:szCs w:val="22"/>
        </w:rPr>
        <w:t xml:space="preserve"> </w:t>
      </w:r>
      <w:r w:rsidR="00900518">
        <w:rPr>
          <w:szCs w:val="22"/>
        </w:rPr>
        <w:t xml:space="preserve">that copper wireline facilities used to provide these services in certain parts of New Jersey and New York were destroyed </w:t>
      </w:r>
      <w:r w:rsidR="003C15A8">
        <w:rPr>
          <w:szCs w:val="22"/>
        </w:rPr>
        <w:t>or</w:t>
      </w:r>
      <w:r w:rsidR="00900518">
        <w:rPr>
          <w:szCs w:val="22"/>
        </w:rPr>
        <w:t xml:space="preserve"> rendered inoperable by Hurricane Sandy on or after October 29, 2012.</w:t>
      </w:r>
      <w:r w:rsidR="00CD7E25">
        <w:rPr>
          <w:rStyle w:val="FootnoteReference"/>
          <w:szCs w:val="22"/>
        </w:rPr>
        <w:footnoteReference w:id="3"/>
      </w:r>
      <w:r w:rsidR="00900518">
        <w:rPr>
          <w:szCs w:val="22"/>
        </w:rPr>
        <w:t xml:space="preserve">  </w:t>
      </w:r>
      <w:r w:rsidR="0028292C">
        <w:rPr>
          <w:szCs w:val="22"/>
        </w:rPr>
        <w:t xml:space="preserve">Verizon </w:t>
      </w:r>
      <w:r w:rsidR="00950702">
        <w:rPr>
          <w:szCs w:val="22"/>
        </w:rPr>
        <w:t xml:space="preserve">indicates that the facilities are </w:t>
      </w:r>
      <w:r w:rsidR="00127645">
        <w:rPr>
          <w:szCs w:val="22"/>
        </w:rPr>
        <w:t xml:space="preserve">located in </w:t>
      </w:r>
      <w:r w:rsidR="00950702">
        <w:rPr>
          <w:szCs w:val="22"/>
        </w:rPr>
        <w:t xml:space="preserve">New Jersey and New York </w:t>
      </w:r>
      <w:r w:rsidR="00127645">
        <w:rPr>
          <w:szCs w:val="22"/>
        </w:rPr>
        <w:t xml:space="preserve">and are specifically </w:t>
      </w:r>
      <w:r w:rsidR="00950702">
        <w:rPr>
          <w:szCs w:val="22"/>
        </w:rPr>
        <w:t>referenced in network change notices</w:t>
      </w:r>
      <w:r w:rsidR="003D24D8">
        <w:rPr>
          <w:szCs w:val="22"/>
        </w:rPr>
        <w:t xml:space="preserve"> </w:t>
      </w:r>
      <w:r w:rsidR="00B45AFA">
        <w:rPr>
          <w:szCs w:val="22"/>
        </w:rPr>
        <w:t xml:space="preserve">that </w:t>
      </w:r>
      <w:r w:rsidR="00127645">
        <w:rPr>
          <w:szCs w:val="22"/>
        </w:rPr>
        <w:t xml:space="preserve">Verizon </w:t>
      </w:r>
      <w:r w:rsidR="003D24D8">
        <w:rPr>
          <w:szCs w:val="22"/>
        </w:rPr>
        <w:t xml:space="preserve">filed </w:t>
      </w:r>
      <w:r w:rsidR="00EC3FF7">
        <w:rPr>
          <w:szCs w:val="22"/>
        </w:rPr>
        <w:t>pursuant to</w:t>
      </w:r>
      <w:r w:rsidR="002C2908">
        <w:rPr>
          <w:szCs w:val="22"/>
        </w:rPr>
        <w:t xml:space="preserve"> its</w:t>
      </w:r>
      <w:r w:rsidR="00EC3FF7">
        <w:rPr>
          <w:szCs w:val="22"/>
        </w:rPr>
        <w:t xml:space="preserve"> </w:t>
      </w:r>
      <w:r w:rsidR="003D24D8">
        <w:rPr>
          <w:szCs w:val="22"/>
        </w:rPr>
        <w:t>waiver</w:t>
      </w:r>
      <w:r w:rsidR="00EC3FF7">
        <w:rPr>
          <w:szCs w:val="22"/>
        </w:rPr>
        <w:t xml:space="preserve"> for disaster planning and response</w:t>
      </w:r>
      <w:r w:rsidR="003D24D8">
        <w:rPr>
          <w:szCs w:val="22"/>
        </w:rPr>
        <w:t xml:space="preserve"> on May 10, 2013.</w:t>
      </w:r>
      <w:r w:rsidR="00997907">
        <w:rPr>
          <w:rStyle w:val="FootnoteReference"/>
          <w:szCs w:val="22"/>
        </w:rPr>
        <w:footnoteReference w:id="4"/>
      </w:r>
      <w:r w:rsidR="003D24D8">
        <w:rPr>
          <w:szCs w:val="22"/>
        </w:rPr>
        <w:t xml:space="preserve">  </w:t>
      </w:r>
    </w:p>
    <w:p w:rsidR="00B45AFA" w:rsidRDefault="00B45AFA" w:rsidP="00BD768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7680" w:rsidRDefault="00B45AFA" w:rsidP="00BD768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127645">
        <w:rPr>
          <w:szCs w:val="22"/>
        </w:rPr>
        <w:t xml:space="preserve">Verizon </w:t>
      </w:r>
      <w:r w:rsidR="00BD7680">
        <w:rPr>
          <w:szCs w:val="22"/>
        </w:rPr>
        <w:t>maintains that it has been working to replace the affected copper facilities in the Service Areas with more advanced fiber infrastructure that will be more resilient in the future and will provide access to expanded broadband and other services.  Verizon asserts, however, that the Affected Services are incompatible with fiber.</w:t>
      </w:r>
      <w:r w:rsidR="00834A34">
        <w:rPr>
          <w:rStyle w:val="FootnoteReference"/>
          <w:szCs w:val="22"/>
        </w:rPr>
        <w:footnoteReference w:id="5"/>
      </w:r>
      <w:r w:rsidR="00BD7680">
        <w:rPr>
          <w:szCs w:val="22"/>
        </w:rPr>
        <w:t xml:space="preserve">  Accordingly, Verizon seeks authority to discontinue the Affected Services lost in the Service Areas on or after October 29, 2012 as a result of damage from Hurricane Sandy.</w:t>
      </w:r>
      <w:r w:rsidR="00F15C5E">
        <w:rPr>
          <w:rStyle w:val="FootnoteReference"/>
          <w:szCs w:val="22"/>
        </w:rPr>
        <w:footnoteReference w:id="6"/>
      </w:r>
      <w:r w:rsidR="00BD7680">
        <w:rPr>
          <w:szCs w:val="22"/>
        </w:rPr>
        <w:t xml:space="preserve">  </w:t>
      </w:r>
      <w:r w:rsidR="007E1CAE">
        <w:rPr>
          <w:szCs w:val="22"/>
        </w:rPr>
        <w:t>Verizon submits that the public convenience and necessity will not be impaired by this discontinuance because very few customers will be impacted, and the services have largely been supplanted by newer technologies and services including standard voice and data services over fiber from Verizon and other providers, voice and data services from cable providers, and other communications offerings from wireless providers.</w:t>
      </w:r>
      <w:r w:rsidR="00F15C5E">
        <w:rPr>
          <w:rStyle w:val="FootnoteReference"/>
          <w:szCs w:val="22"/>
        </w:rPr>
        <w:footnoteReference w:id="7"/>
      </w:r>
      <w:r w:rsidR="007E1CAE">
        <w:rPr>
          <w:szCs w:val="22"/>
        </w:rPr>
        <w:t xml:space="preserve">  </w:t>
      </w:r>
      <w:r w:rsidR="00BD7680">
        <w:rPr>
          <w:szCs w:val="22"/>
        </w:rPr>
        <w:t xml:space="preserve">Verizon </w:t>
      </w:r>
      <w:r w:rsidR="003518C7">
        <w:rPr>
          <w:szCs w:val="22"/>
        </w:rPr>
        <w:t>states</w:t>
      </w:r>
      <w:r w:rsidR="007E1CAE">
        <w:rPr>
          <w:szCs w:val="22"/>
        </w:rPr>
        <w:t xml:space="preserve"> </w:t>
      </w:r>
      <w:r w:rsidR="00BD7680">
        <w:rPr>
          <w:szCs w:val="22"/>
        </w:rPr>
        <w:t xml:space="preserve">that just seven customers, including one Verizon affiliate, subscribed to the Affected Services </w:t>
      </w:r>
      <w:r w:rsidR="007E1CAE">
        <w:rPr>
          <w:szCs w:val="22"/>
        </w:rPr>
        <w:t xml:space="preserve">in the Service Areas prior to the storm.  In addition, Verizon asserts that none of these customers has complained about </w:t>
      </w:r>
      <w:r w:rsidR="003518C7">
        <w:rPr>
          <w:szCs w:val="22"/>
        </w:rPr>
        <w:t xml:space="preserve">the loss of </w:t>
      </w:r>
      <w:r w:rsidR="007E1CAE">
        <w:rPr>
          <w:szCs w:val="22"/>
        </w:rPr>
        <w:t xml:space="preserve">these services </w:t>
      </w:r>
      <w:r w:rsidR="003518C7">
        <w:rPr>
          <w:szCs w:val="22"/>
        </w:rPr>
        <w:t xml:space="preserve">following </w:t>
      </w:r>
      <w:r w:rsidR="007E1CAE">
        <w:rPr>
          <w:szCs w:val="22"/>
        </w:rPr>
        <w:t>the storm.</w:t>
      </w:r>
      <w:r w:rsidR="00F15C5E">
        <w:rPr>
          <w:rStyle w:val="FootnoteReference"/>
          <w:szCs w:val="22"/>
        </w:rPr>
        <w:footnoteReference w:id="8"/>
      </w:r>
      <w:r w:rsidR="007E1CAE">
        <w:rPr>
          <w:szCs w:val="22"/>
        </w:rPr>
        <w:t xml:space="preserve">  </w:t>
      </w:r>
      <w:r w:rsidR="00BD7680">
        <w:rPr>
          <w:szCs w:val="22"/>
        </w:rPr>
        <w:t xml:space="preserve">Verizon states that it provided notice to all </w:t>
      </w:r>
      <w:r w:rsidR="00F83745">
        <w:rPr>
          <w:szCs w:val="22"/>
        </w:rPr>
        <w:t xml:space="preserve">affected </w:t>
      </w:r>
      <w:r w:rsidR="00BD7680">
        <w:rPr>
          <w:szCs w:val="22"/>
        </w:rPr>
        <w:t xml:space="preserve">customers </w:t>
      </w:r>
      <w:r w:rsidR="00F83745">
        <w:rPr>
          <w:szCs w:val="22"/>
        </w:rPr>
        <w:t xml:space="preserve">by U.S. mail </w:t>
      </w:r>
      <w:r w:rsidR="00BD7680">
        <w:rPr>
          <w:szCs w:val="22"/>
        </w:rPr>
        <w:t xml:space="preserve">on </w:t>
      </w:r>
      <w:r w:rsidR="00ED5CD4">
        <w:rPr>
          <w:szCs w:val="22"/>
        </w:rPr>
        <w:t xml:space="preserve">or before May 24, </w:t>
      </w:r>
      <w:r w:rsidR="00BD7680">
        <w:rPr>
          <w:szCs w:val="22"/>
        </w:rPr>
        <w:t>2013.</w:t>
      </w:r>
      <w:r w:rsidR="00B96E1E">
        <w:rPr>
          <w:rStyle w:val="FootnoteReference"/>
          <w:szCs w:val="22"/>
        </w:rPr>
        <w:footnoteReference w:id="9"/>
      </w:r>
      <w:r w:rsidR="00BD7680">
        <w:rPr>
          <w:szCs w:val="22"/>
        </w:rPr>
        <w:t xml:space="preserve">  The application indicates that Verizon is considered dominant with respect to the services </w:t>
      </w:r>
      <w:r w:rsidR="000662A9">
        <w:rPr>
          <w:szCs w:val="22"/>
        </w:rPr>
        <w:t>subject to this discontinuance</w:t>
      </w:r>
      <w:r w:rsidR="00BD7680">
        <w:rPr>
          <w:szCs w:val="22"/>
        </w:rPr>
        <w:t>.</w:t>
      </w:r>
      <w:r w:rsidR="00B96E1E">
        <w:rPr>
          <w:rStyle w:val="FootnoteReference"/>
          <w:szCs w:val="22"/>
        </w:rPr>
        <w:footnoteReference w:id="10"/>
      </w:r>
    </w:p>
    <w:p w:rsidR="00BD7680" w:rsidRDefault="00BD768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57F0A" w:rsidRPr="00063EC4" w:rsidRDefault="00A72767" w:rsidP="00357F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357F0A">
        <w:rPr>
          <w:szCs w:val="22"/>
        </w:rPr>
        <w:tab/>
      </w:r>
      <w:r w:rsidR="00357F0A">
        <w:rPr>
          <w:i/>
          <w:szCs w:val="22"/>
        </w:rPr>
        <w:t>Request for Waiver of Timing Requirements</w:t>
      </w:r>
      <w:r w:rsidR="00357F0A" w:rsidRPr="00063EC4">
        <w:rPr>
          <w:szCs w:val="22"/>
        </w:rPr>
        <w:t>.</w:t>
      </w:r>
      <w:r w:rsidR="00357F0A">
        <w:rPr>
          <w:szCs w:val="22"/>
        </w:rPr>
        <w:t xml:space="preserve">  </w:t>
      </w:r>
      <w:r w:rsidR="00357F0A" w:rsidRPr="00063EC4">
        <w:rPr>
          <w:szCs w:val="22"/>
        </w:rPr>
        <w:t>Verizon also seeks a waiver of the timing provisions of sections 63.60(b), 63.63(a) and 63.71 of the Commission’s rules to the extent necessary.</w:t>
      </w:r>
      <w:r w:rsidR="00357F0A">
        <w:rPr>
          <w:rStyle w:val="FootnoteReference"/>
          <w:szCs w:val="22"/>
        </w:rPr>
        <w:footnoteReference w:id="11"/>
      </w:r>
      <w:r w:rsidR="00357F0A" w:rsidRPr="00063EC4">
        <w:rPr>
          <w:szCs w:val="22"/>
        </w:rPr>
        <w:t xml:space="preserve">  Although section 63.60(b) is not a timing provision, </w:t>
      </w:r>
      <w:r w:rsidR="00357F0A" w:rsidRPr="00560F72">
        <w:rPr>
          <w:szCs w:val="22"/>
        </w:rPr>
        <w:t xml:space="preserve">for purposes of </w:t>
      </w:r>
      <w:r w:rsidR="00357F0A">
        <w:rPr>
          <w:szCs w:val="22"/>
        </w:rPr>
        <w:t>p</w:t>
      </w:r>
      <w:r w:rsidR="00357F0A" w:rsidRPr="00560F72">
        <w:rPr>
          <w:szCs w:val="22"/>
        </w:rPr>
        <w:t>art 63,</w:t>
      </w:r>
      <w:r w:rsidR="00357F0A" w:rsidRPr="00063EC4">
        <w:rPr>
          <w:szCs w:val="22"/>
        </w:rPr>
        <w:t xml:space="preserve"> section 63.60(c) </w:t>
      </w:r>
      <w:r w:rsidR="00357F0A" w:rsidRPr="00560F72">
        <w:rPr>
          <w:szCs w:val="22"/>
        </w:rPr>
        <w:t>defines</w:t>
      </w:r>
      <w:r w:rsidR="00357F0A">
        <w:rPr>
          <w:szCs w:val="22"/>
        </w:rPr>
        <w:t xml:space="preserve"> </w:t>
      </w:r>
      <w:r w:rsidR="00357F0A" w:rsidRPr="00063EC4">
        <w:rPr>
          <w:szCs w:val="22"/>
        </w:rPr>
        <w:t>a reasonable time for the restoration of service or the establishment of comparable service after a discontinuance, reduction, or impairment of service occasioned by conditions beyond the control of a service provider as no more than 60 days in most cases.</w:t>
      </w:r>
      <w:r w:rsidR="00357F0A">
        <w:rPr>
          <w:rStyle w:val="FootnoteReference"/>
          <w:szCs w:val="22"/>
        </w:rPr>
        <w:footnoteReference w:id="12"/>
      </w:r>
      <w:r w:rsidR="00357F0A" w:rsidRPr="00063EC4">
        <w:rPr>
          <w:szCs w:val="22"/>
        </w:rPr>
        <w:t xml:space="preserve">  Section 63.63(a) states that informal requests for emergency discontinuance authority in most cases shall be made by filing not later than 65 days after the occurrence of the conditions which occasioned the discontinuance, reduction or impairment.</w:t>
      </w:r>
      <w:r w:rsidR="00357F0A">
        <w:rPr>
          <w:rStyle w:val="FootnoteReference"/>
          <w:szCs w:val="22"/>
        </w:rPr>
        <w:footnoteReference w:id="13"/>
      </w:r>
      <w:r w:rsidR="00357F0A" w:rsidRPr="00063EC4">
        <w:rPr>
          <w:szCs w:val="22"/>
        </w:rPr>
        <w:t xml:space="preserve">  In addition, for planned discontinuances of service, section 63.71 generally sets the timing for notice to </w:t>
      </w:r>
      <w:r w:rsidR="00357F0A" w:rsidRPr="00063EC4">
        <w:rPr>
          <w:szCs w:val="22"/>
        </w:rPr>
        <w:lastRenderedPageBreak/>
        <w:t>customers, as well as for comment and the possible automatic grant of authority after the release of a public notice seeking comment on the provider’s application.</w:t>
      </w:r>
      <w:r w:rsidR="00357F0A">
        <w:rPr>
          <w:rStyle w:val="FootnoteReference"/>
          <w:szCs w:val="22"/>
        </w:rPr>
        <w:footnoteReference w:id="14"/>
      </w:r>
      <w:r w:rsidR="00357F0A" w:rsidRPr="00063EC4">
        <w:rPr>
          <w:szCs w:val="22"/>
        </w:rPr>
        <w:t xml:space="preserve">  </w:t>
      </w:r>
    </w:p>
    <w:p w:rsidR="00A72767" w:rsidRPr="00A72767" w:rsidRDefault="00A7276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1F7" w:rsidRDefault="0066317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867934">
        <w:rPr>
          <w:i/>
          <w:szCs w:val="22"/>
        </w:rPr>
        <w:t>Standard of Review.</w:t>
      </w:r>
      <w:r w:rsidR="00867934">
        <w:rPr>
          <w:szCs w:val="22"/>
        </w:rPr>
        <w:t xml:space="preserve">  T</w:t>
      </w:r>
      <w:r w:rsidR="007B54CA" w:rsidRPr="007B54CA">
        <w:rPr>
          <w:szCs w:val="22"/>
        </w:rPr>
        <w:t>he Commission has discretion in determining whether to grant a carrier authority to discontinue service pursuant to section 214.</w:t>
      </w:r>
      <w:r w:rsidR="007B54CA" w:rsidRPr="007B54CA">
        <w:rPr>
          <w:szCs w:val="22"/>
          <w:vertAlign w:val="superscript"/>
        </w:rPr>
        <w:footnoteReference w:id="15"/>
      </w:r>
      <w:r w:rsidR="007B54CA" w:rsidRPr="007B54CA">
        <w:rPr>
          <w:szCs w:val="22"/>
        </w:rPr>
        <w:t xml:space="preserve">  The Commission also can delay grant of a discontinuance authorization if it believes </w:t>
      </w:r>
      <w:r w:rsidR="00AE685A">
        <w:rPr>
          <w:szCs w:val="22"/>
        </w:rPr>
        <w:t xml:space="preserve">that </w:t>
      </w:r>
      <w:r w:rsidR="007B54CA" w:rsidRPr="007B54CA">
        <w:rPr>
          <w:szCs w:val="22"/>
        </w:rPr>
        <w:t>an unreasonable degree of customer hardship would result.</w:t>
      </w:r>
      <w:r w:rsidR="007B54CA" w:rsidRPr="007B54CA">
        <w:rPr>
          <w:szCs w:val="22"/>
          <w:vertAlign w:val="superscript"/>
        </w:rPr>
        <w:footnoteReference w:id="16"/>
      </w:r>
      <w:r w:rsidR="007B54CA" w:rsidRPr="007B54CA">
        <w:rPr>
          <w:szCs w:val="22"/>
        </w:rPr>
        <w:t xml:space="preserve">  </w:t>
      </w:r>
      <w:r w:rsidR="00867934">
        <w:rPr>
          <w:szCs w:val="22"/>
        </w:rPr>
        <w:t>T</w:t>
      </w:r>
      <w:r w:rsidR="00385F4A">
        <w:rPr>
          <w:szCs w:val="22"/>
        </w:rPr>
        <w:t xml:space="preserve">he </w:t>
      </w:r>
      <w:r w:rsidR="007B54CA" w:rsidRPr="007B54CA">
        <w:rPr>
          <w:szCs w:val="22"/>
        </w:rPr>
        <w:t>Commission revie</w:t>
      </w:r>
      <w:r w:rsidR="00385F4A">
        <w:rPr>
          <w:szCs w:val="22"/>
        </w:rPr>
        <w:t>w</w:t>
      </w:r>
      <w:r w:rsidR="00867934">
        <w:rPr>
          <w:szCs w:val="22"/>
        </w:rPr>
        <w:t>s</w:t>
      </w:r>
      <w:r w:rsidR="00385F4A">
        <w:rPr>
          <w:szCs w:val="22"/>
        </w:rPr>
        <w:t xml:space="preserve"> each </w:t>
      </w:r>
      <w:r w:rsidR="00867934">
        <w:rPr>
          <w:szCs w:val="22"/>
        </w:rPr>
        <w:t xml:space="preserve">discontinuance </w:t>
      </w:r>
      <w:r w:rsidR="00385F4A">
        <w:rPr>
          <w:szCs w:val="22"/>
        </w:rPr>
        <w:t xml:space="preserve">application to determine, as applicable, issues </w:t>
      </w:r>
      <w:r w:rsidR="00867934">
        <w:rPr>
          <w:szCs w:val="22"/>
        </w:rPr>
        <w:t xml:space="preserve">such as </w:t>
      </w:r>
      <w:r w:rsidR="007B54CA" w:rsidRPr="007B54CA">
        <w:rPr>
          <w:szCs w:val="22"/>
        </w:rPr>
        <w:t>whether proper notice has been given, whether customers or other end users are able to receive the service or a reasonable substitute from another carrier, and whether the public convenience and necessity is otherwise adversely affected.</w:t>
      </w:r>
      <w:r w:rsidR="007B54CA" w:rsidRPr="007B54CA">
        <w:rPr>
          <w:szCs w:val="22"/>
          <w:vertAlign w:val="superscript"/>
        </w:rPr>
        <w:footnoteReference w:id="17"/>
      </w:r>
      <w:r w:rsidR="007B54CA" w:rsidRPr="007B54CA">
        <w:rPr>
          <w:szCs w:val="22"/>
        </w:rPr>
        <w:t xml:space="preserve">  Balancing the interests of the carrier and the affected user community, the Commission generally considers a number of factors including: (1) the financial impact on the carrier of continuing to provide the service; (2) the need for the service in general; (3) the need for the particular facilities in question; (4) the existence, availability, and adequacy of alternatives; and (5) increased charges for alternative services, although this factor may be outweighed by other considerations.</w:t>
      </w:r>
      <w:r w:rsidR="007B54CA" w:rsidRPr="007B54CA">
        <w:rPr>
          <w:szCs w:val="22"/>
          <w:vertAlign w:val="superscript"/>
        </w:rPr>
        <w:footnoteReference w:id="18"/>
      </w:r>
    </w:p>
    <w:p w:rsidR="00D057A3" w:rsidRPr="00036935"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D4580" w:rsidRDefault="00D057A3" w:rsidP="0043030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867934">
        <w:rPr>
          <w:i/>
          <w:szCs w:val="22"/>
        </w:rPr>
        <w:t>Request for Comment.</w:t>
      </w:r>
      <w:r w:rsidR="00867934">
        <w:rPr>
          <w:szCs w:val="22"/>
        </w:rPr>
        <w:t xml:space="preserve">  </w:t>
      </w:r>
      <w:r w:rsidR="00091F72">
        <w:rPr>
          <w:szCs w:val="22"/>
        </w:rPr>
        <w:t xml:space="preserve">We seek comment on Verizon’s request for authority </w:t>
      </w:r>
      <w:r w:rsidR="00430305">
        <w:rPr>
          <w:szCs w:val="22"/>
        </w:rPr>
        <w:t xml:space="preserve">to </w:t>
      </w:r>
      <w:r w:rsidR="00091F72">
        <w:rPr>
          <w:szCs w:val="22"/>
        </w:rPr>
        <w:t>discontinu</w:t>
      </w:r>
      <w:r w:rsidR="00430305">
        <w:rPr>
          <w:szCs w:val="22"/>
        </w:rPr>
        <w:t>e</w:t>
      </w:r>
      <w:r w:rsidR="00091F72">
        <w:rPr>
          <w:szCs w:val="22"/>
        </w:rPr>
        <w:t xml:space="preserve"> </w:t>
      </w:r>
      <w:r w:rsidR="004B4958">
        <w:rPr>
          <w:szCs w:val="22"/>
        </w:rPr>
        <w:t xml:space="preserve">the Affected Services in </w:t>
      </w:r>
      <w:r w:rsidR="00091F72">
        <w:rPr>
          <w:szCs w:val="22"/>
        </w:rPr>
        <w:t xml:space="preserve">the </w:t>
      </w:r>
      <w:r w:rsidR="0014430E">
        <w:rPr>
          <w:szCs w:val="22"/>
        </w:rPr>
        <w:t>Service Areas</w:t>
      </w:r>
      <w:r w:rsidR="00091F72">
        <w:rPr>
          <w:szCs w:val="22"/>
        </w:rPr>
        <w:t xml:space="preserve">, including </w:t>
      </w:r>
      <w:r w:rsidR="00F51B99">
        <w:rPr>
          <w:szCs w:val="22"/>
        </w:rPr>
        <w:t xml:space="preserve">comment on </w:t>
      </w:r>
      <w:r w:rsidR="00430305">
        <w:rPr>
          <w:szCs w:val="22"/>
        </w:rPr>
        <w:t>its requested waiver</w:t>
      </w:r>
      <w:r w:rsidR="004A7FBE">
        <w:rPr>
          <w:szCs w:val="22"/>
        </w:rPr>
        <w:t>,</w:t>
      </w:r>
      <w:r w:rsidR="00091F72">
        <w:rPr>
          <w:szCs w:val="22"/>
        </w:rPr>
        <w:t xml:space="preserve"> the steps it has taken to notify customers given the particular circumstances in this case, the </w:t>
      </w:r>
      <w:r w:rsidR="00DA716E">
        <w:rPr>
          <w:szCs w:val="22"/>
        </w:rPr>
        <w:t xml:space="preserve">availability of alternative services including the </w:t>
      </w:r>
      <w:r w:rsidR="00091F72">
        <w:rPr>
          <w:szCs w:val="22"/>
        </w:rPr>
        <w:t xml:space="preserve">steps </w:t>
      </w:r>
      <w:r w:rsidR="00DA716E">
        <w:rPr>
          <w:szCs w:val="22"/>
        </w:rPr>
        <w:t xml:space="preserve">Verizon has taken to offer </w:t>
      </w:r>
      <w:r w:rsidR="00091F72">
        <w:rPr>
          <w:szCs w:val="22"/>
        </w:rPr>
        <w:t>alternative service to customers</w:t>
      </w:r>
      <w:r w:rsidR="00A253E1">
        <w:rPr>
          <w:szCs w:val="22"/>
        </w:rPr>
        <w:t xml:space="preserve">, and any other relevant issues </w:t>
      </w:r>
      <w:r w:rsidR="00C5149B">
        <w:rPr>
          <w:szCs w:val="22"/>
        </w:rPr>
        <w:t xml:space="preserve">in light of </w:t>
      </w:r>
      <w:r w:rsidR="00A253E1">
        <w:rPr>
          <w:szCs w:val="22"/>
        </w:rPr>
        <w:t xml:space="preserve">the </w:t>
      </w:r>
      <w:r w:rsidR="00BA241A">
        <w:rPr>
          <w:szCs w:val="22"/>
        </w:rPr>
        <w:t xml:space="preserve">above mentioned </w:t>
      </w:r>
      <w:r w:rsidR="00A253E1">
        <w:rPr>
          <w:szCs w:val="22"/>
        </w:rPr>
        <w:t>factors</w:t>
      </w:r>
      <w:r w:rsidR="00091F72">
        <w:rPr>
          <w:szCs w:val="22"/>
        </w:rPr>
        <w:t xml:space="preserve">.  </w:t>
      </w:r>
      <w:r w:rsidR="00024B41" w:rsidRPr="00024B41">
        <w:rPr>
          <w:szCs w:val="22"/>
        </w:rPr>
        <w:t xml:space="preserve">What impact, if any, should the circumstances of this case have on the Commission’s traditional analysis, including the fact that many of the affected customers have already lost service?  </w:t>
      </w:r>
      <w:r w:rsidR="00085232">
        <w:rPr>
          <w:szCs w:val="22"/>
        </w:rPr>
        <w:t>Parties expressing concern should identify whether</w:t>
      </w:r>
      <w:r w:rsidR="00137536">
        <w:rPr>
          <w:szCs w:val="22"/>
        </w:rPr>
        <w:t xml:space="preserve"> </w:t>
      </w:r>
      <w:r w:rsidR="00024B41">
        <w:rPr>
          <w:szCs w:val="22"/>
        </w:rPr>
        <w:t xml:space="preserve">any conditions </w:t>
      </w:r>
      <w:r w:rsidR="00F05B66">
        <w:rPr>
          <w:szCs w:val="22"/>
        </w:rPr>
        <w:t>could</w:t>
      </w:r>
      <w:r w:rsidR="00024B41">
        <w:rPr>
          <w:szCs w:val="22"/>
        </w:rPr>
        <w:t xml:space="preserve"> ensure that the discontinuance </w:t>
      </w:r>
      <w:r w:rsidR="00137536">
        <w:rPr>
          <w:szCs w:val="22"/>
        </w:rPr>
        <w:t xml:space="preserve">does not harm </w:t>
      </w:r>
      <w:r w:rsidR="00024B41">
        <w:rPr>
          <w:szCs w:val="22"/>
        </w:rPr>
        <w:t>the public interest?</w:t>
      </w:r>
    </w:p>
    <w:p w:rsidR="00430305" w:rsidRDefault="00430305" w:rsidP="0043030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723A70" w:rsidRDefault="00430305" w:rsidP="0043030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D057A3">
        <w:rPr>
          <w:szCs w:val="22"/>
        </w:rPr>
        <w:t xml:space="preserve">In accordance with section 63.71(c) of the Commission’s rules, </w:t>
      </w:r>
      <w:r w:rsidR="002C4B8D">
        <w:rPr>
          <w:szCs w:val="22"/>
        </w:rPr>
        <w:t>Verizon</w:t>
      </w:r>
      <w:r w:rsidR="00D057A3">
        <w:rPr>
          <w:szCs w:val="22"/>
        </w:rPr>
        <w:t xml:space="preserve">’s </w:t>
      </w:r>
      <w:r w:rsidR="002271CC">
        <w:rPr>
          <w:szCs w:val="22"/>
        </w:rPr>
        <w:t xml:space="preserve">request to discontinue service </w:t>
      </w:r>
      <w:r w:rsidR="00D057A3">
        <w:rPr>
          <w:szCs w:val="22"/>
        </w:rPr>
        <w:t xml:space="preserve">will be deemed to be granted automatically on the </w:t>
      </w:r>
      <w:r w:rsidR="002C4B8D">
        <w:rPr>
          <w:szCs w:val="22"/>
        </w:rPr>
        <w:t>60th</w:t>
      </w:r>
      <w:r w:rsidR="00D057A3">
        <w:rPr>
          <w:szCs w:val="22"/>
        </w:rPr>
        <w:t xml:space="preserve"> day after the release date of this public notice, unless the Commission notifies </w:t>
      </w:r>
      <w:r w:rsidR="002C4B8D">
        <w:rPr>
          <w:szCs w:val="22"/>
        </w:rPr>
        <w:t>Verizon</w:t>
      </w:r>
      <w:r w:rsidR="00D057A3">
        <w:rPr>
          <w:szCs w:val="22"/>
        </w:rPr>
        <w:t xml:space="preserve"> that the grant will not be automatically effective.  In the </w:t>
      </w:r>
      <w:r w:rsidR="00DA6809">
        <w:rPr>
          <w:szCs w:val="22"/>
        </w:rPr>
        <w:t xml:space="preserve">application and </w:t>
      </w:r>
      <w:r w:rsidR="00D057A3">
        <w:rPr>
          <w:szCs w:val="22"/>
        </w:rPr>
        <w:t xml:space="preserve">notice to customers, </w:t>
      </w:r>
      <w:r w:rsidR="002C4B8D">
        <w:rPr>
          <w:szCs w:val="22"/>
        </w:rPr>
        <w:t xml:space="preserve">Verizon indicates that </w:t>
      </w:r>
      <w:r w:rsidR="00352905">
        <w:rPr>
          <w:szCs w:val="22"/>
        </w:rPr>
        <w:t xml:space="preserve">it seeks authority to discontinue </w:t>
      </w:r>
      <w:r w:rsidR="00B94026">
        <w:rPr>
          <w:szCs w:val="22"/>
        </w:rPr>
        <w:t xml:space="preserve">the three copper-based special access services </w:t>
      </w:r>
      <w:r w:rsidR="00352905">
        <w:rPr>
          <w:szCs w:val="22"/>
        </w:rPr>
        <w:t xml:space="preserve">lost </w:t>
      </w:r>
      <w:r w:rsidR="0077511A">
        <w:rPr>
          <w:szCs w:val="22"/>
        </w:rPr>
        <w:t xml:space="preserve">in the </w:t>
      </w:r>
      <w:r w:rsidR="0014430E">
        <w:rPr>
          <w:szCs w:val="22"/>
        </w:rPr>
        <w:t>Service Areas</w:t>
      </w:r>
      <w:r w:rsidR="0077511A">
        <w:rPr>
          <w:szCs w:val="22"/>
        </w:rPr>
        <w:t xml:space="preserve"> on or after October 29, 2012 </w:t>
      </w:r>
      <w:r w:rsidR="00352905">
        <w:rPr>
          <w:szCs w:val="22"/>
        </w:rPr>
        <w:t>as a result of damage from Hurricane Sandy</w:t>
      </w:r>
      <w:r w:rsidR="0077511A">
        <w:rPr>
          <w:szCs w:val="22"/>
        </w:rPr>
        <w:t>,</w:t>
      </w:r>
      <w:r w:rsidR="00352905">
        <w:rPr>
          <w:szCs w:val="22"/>
        </w:rPr>
        <w:t xml:space="preserve"> </w:t>
      </w:r>
      <w:r w:rsidR="00B94026">
        <w:rPr>
          <w:szCs w:val="22"/>
        </w:rPr>
        <w:t>including Metallic Service, Program Audio Service and Telegraph Grade Service</w:t>
      </w:r>
      <w:r w:rsidR="00B716BE">
        <w:rPr>
          <w:szCs w:val="22"/>
        </w:rPr>
        <w:t xml:space="preserve">.  </w:t>
      </w:r>
      <w:r w:rsidR="00D057A3">
        <w:rPr>
          <w:szCs w:val="22"/>
        </w:rPr>
        <w:t xml:space="preserve">Accordingly, pursuant to section 63.71(c) and the terms of </w:t>
      </w:r>
      <w:r w:rsidR="002C4B8D">
        <w:rPr>
          <w:szCs w:val="22"/>
        </w:rPr>
        <w:t>Verizon</w:t>
      </w:r>
      <w:r w:rsidR="00D057A3">
        <w:rPr>
          <w:szCs w:val="22"/>
        </w:rPr>
        <w:t xml:space="preserve">’s </w:t>
      </w:r>
      <w:r w:rsidR="00DA6809">
        <w:rPr>
          <w:szCs w:val="22"/>
        </w:rPr>
        <w:t xml:space="preserve">application and </w:t>
      </w:r>
      <w:r w:rsidR="00D057A3">
        <w:rPr>
          <w:szCs w:val="22"/>
        </w:rPr>
        <w:t xml:space="preserve">notice, absent further Commission action, </w:t>
      </w:r>
      <w:r w:rsidR="002C4B8D">
        <w:rPr>
          <w:szCs w:val="22"/>
        </w:rPr>
        <w:t>Verizon</w:t>
      </w:r>
      <w:r w:rsidR="00D057A3">
        <w:rPr>
          <w:szCs w:val="22"/>
        </w:rPr>
        <w:t xml:space="preserve"> </w:t>
      </w:r>
      <w:r w:rsidR="00C924D0">
        <w:rPr>
          <w:szCs w:val="22"/>
        </w:rPr>
        <w:t xml:space="preserve">will receive authority for the discontinuance of </w:t>
      </w:r>
      <w:r w:rsidR="00353484">
        <w:rPr>
          <w:szCs w:val="22"/>
        </w:rPr>
        <w:t xml:space="preserve">the Affected Services </w:t>
      </w:r>
      <w:r w:rsidR="000A3183">
        <w:rPr>
          <w:szCs w:val="22"/>
        </w:rPr>
        <w:t xml:space="preserve">in the Service Areas </w:t>
      </w:r>
      <w:r w:rsidR="00D057A3">
        <w:rPr>
          <w:szCs w:val="22"/>
        </w:rPr>
        <w:t xml:space="preserve">on or after </w:t>
      </w:r>
      <w:r w:rsidR="006E7C66">
        <w:rPr>
          <w:b/>
          <w:szCs w:val="22"/>
        </w:rPr>
        <w:t xml:space="preserve">August </w:t>
      </w:r>
      <w:r w:rsidR="00EF2FE0">
        <w:rPr>
          <w:b/>
          <w:szCs w:val="22"/>
        </w:rPr>
        <w:t>2</w:t>
      </w:r>
      <w:r w:rsidR="00577EAD">
        <w:rPr>
          <w:b/>
          <w:szCs w:val="22"/>
        </w:rPr>
        <w:t>7</w:t>
      </w:r>
      <w:r w:rsidR="00D057A3">
        <w:rPr>
          <w:b/>
          <w:szCs w:val="22"/>
        </w:rPr>
        <w:t>, 201</w:t>
      </w:r>
      <w:r w:rsidR="002C4B8D">
        <w:rPr>
          <w:b/>
          <w:szCs w:val="22"/>
        </w:rPr>
        <w:t>3</w:t>
      </w:r>
      <w:r w:rsidR="00D057A3">
        <w:rPr>
          <w:szCs w:val="22"/>
        </w:rPr>
        <w:t xml:space="preserve">, in accordance with </w:t>
      </w:r>
      <w:r w:rsidR="002C4B8D">
        <w:rPr>
          <w:szCs w:val="22"/>
        </w:rPr>
        <w:t>Verizon</w:t>
      </w:r>
      <w:r w:rsidR="00D057A3">
        <w:rPr>
          <w:szCs w:val="22"/>
        </w:rPr>
        <w:t>’s filed representations</w:t>
      </w:r>
      <w:r w:rsidR="00353484">
        <w:rPr>
          <w:szCs w:val="22"/>
        </w:rPr>
        <w:t xml:space="preserve">.  </w:t>
      </w:r>
      <w:r w:rsidR="00D057A3">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w:t>
      </w:r>
      <w:r w:rsidR="0062557C">
        <w:rPr>
          <w:szCs w:val="22"/>
        </w:rPr>
        <w:t xml:space="preserve">on </w:t>
      </w:r>
      <w:r>
        <w:rPr>
          <w:szCs w:val="22"/>
        </w:rPr>
        <w:t xml:space="preserve">this application must be filed with the Commission on or before </w:t>
      </w:r>
    </w:p>
    <w:p w:rsidR="00D057A3" w:rsidRPr="00E90D1A" w:rsidRDefault="00DB60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July </w:t>
      </w:r>
      <w:r w:rsidR="00EF2FE0">
        <w:rPr>
          <w:b/>
          <w:szCs w:val="22"/>
        </w:rPr>
        <w:t>2</w:t>
      </w:r>
      <w:r w:rsidR="00577EAD">
        <w:rPr>
          <w:b/>
          <w:szCs w:val="22"/>
        </w:rPr>
        <w:t>9</w:t>
      </w:r>
      <w:r w:rsidR="00D057A3">
        <w:rPr>
          <w:b/>
          <w:szCs w:val="22"/>
        </w:rPr>
        <w:t>, 201</w:t>
      </w:r>
      <w:r w:rsidR="002C4B8D">
        <w:rPr>
          <w:b/>
          <w:szCs w:val="22"/>
        </w:rPr>
        <w:t>3</w:t>
      </w:r>
      <w:r w:rsidR="00D057A3">
        <w:rPr>
          <w:szCs w:val="22"/>
        </w:rPr>
        <w:t xml:space="preserve">.  Such comments should refer to </w:t>
      </w:r>
      <w:r w:rsidR="00D057A3">
        <w:rPr>
          <w:b/>
          <w:szCs w:val="22"/>
        </w:rPr>
        <w:t>WC Docket No. 1</w:t>
      </w:r>
      <w:r w:rsidR="00926330">
        <w:rPr>
          <w:b/>
          <w:szCs w:val="22"/>
        </w:rPr>
        <w:t>3</w:t>
      </w:r>
      <w:r w:rsidR="00D057A3">
        <w:rPr>
          <w:b/>
          <w:szCs w:val="22"/>
        </w:rPr>
        <w:t>-</w:t>
      </w:r>
      <w:r w:rsidR="00181B01">
        <w:rPr>
          <w:b/>
          <w:szCs w:val="22"/>
        </w:rPr>
        <w:t>1</w:t>
      </w:r>
      <w:r w:rsidR="00047275">
        <w:rPr>
          <w:b/>
          <w:szCs w:val="22"/>
        </w:rPr>
        <w:t>49</w:t>
      </w:r>
      <w:r w:rsidR="00CF3A29">
        <w:rPr>
          <w:b/>
          <w:szCs w:val="22"/>
        </w:rPr>
        <w:t xml:space="preserve"> and Comp. Pol. File </w:t>
      </w:r>
      <w:r w:rsidR="00D057A3">
        <w:rPr>
          <w:b/>
          <w:szCs w:val="22"/>
        </w:rPr>
        <w:t>No. 1</w:t>
      </w:r>
      <w:r>
        <w:rPr>
          <w:b/>
          <w:szCs w:val="22"/>
        </w:rPr>
        <w:t>11</w:t>
      </w:r>
      <w:r w:rsidR="00047275">
        <w:rPr>
          <w:b/>
          <w:szCs w:val="22"/>
        </w:rPr>
        <w:t>2</w:t>
      </w:r>
      <w:r w:rsidR="00D057A3">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D057A3">
        <w:rPr>
          <w:i/>
          <w:szCs w:val="22"/>
        </w:rPr>
        <w:t>See Electronic Filing of Documents in Rulemaking Proceedings</w:t>
      </w:r>
      <w:r w:rsidR="00D057A3">
        <w:rPr>
          <w:szCs w:val="22"/>
        </w:rPr>
        <w:t xml:space="preserve">, 63 FR 24121 (1998).  Comments may be filed electronically using the Internet by accessing the ECFS: </w:t>
      </w:r>
      <w:hyperlink r:id="rId14" w:history="1">
        <w:r w:rsidR="00D057A3" w:rsidRPr="0029626B">
          <w:rPr>
            <w:rStyle w:val="Hyperlink"/>
            <w:szCs w:val="22"/>
          </w:rPr>
          <w:t>http://fjallfoss.fcc.gov/ecfs2/</w:t>
        </w:r>
      </w:hyperlink>
      <w:r w:rsidR="00D057A3">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Applicants.  Commenters are also requested to fax their comments to the FCC at (202) 418-1413, Attention: Carmell Weathers.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19"/>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sidR="00CE2996" w:rsidRPr="00CE2996">
          <w:rPr>
            <w:rStyle w:val="Hyperlink"/>
            <w:szCs w:val="22"/>
          </w:rPr>
          <w:t>fcc504@fcc.gov</w:t>
        </w:r>
      </w:hyperlink>
      <w:r>
        <w:rPr>
          <w:szCs w:val="22"/>
        </w:rPr>
        <w:t>or call the Consumer &amp; Governmental Affairs Bureau at (202) 418-0530 (voice), (202) 418-0432 (tty).</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hyperlink r:id="rId16" w:history="1">
        <w:r w:rsidRPr="00F11E09">
          <w:rPr>
            <w:rStyle w:val="Hyperlink"/>
            <w:szCs w:val="22"/>
          </w:rPr>
          <w:t>carmell.weathers@fcc.gov</w:t>
        </w:r>
      </w:hyperlink>
      <w:r>
        <w:rPr>
          <w:szCs w:val="22"/>
        </w:rPr>
        <w:t xml:space="preserve">, or </w:t>
      </w:r>
      <w:r w:rsidR="00DB6094">
        <w:rPr>
          <w:szCs w:val="22"/>
        </w:rPr>
        <w:t>Rodney</w:t>
      </w:r>
      <w:r w:rsidR="00D150F7">
        <w:rPr>
          <w:szCs w:val="22"/>
        </w:rPr>
        <w:t xml:space="preserve"> </w:t>
      </w:r>
      <w:r w:rsidR="00DB6094">
        <w:rPr>
          <w:szCs w:val="22"/>
        </w:rPr>
        <w:t>McDonald</w:t>
      </w:r>
      <w:r>
        <w:rPr>
          <w:szCs w:val="22"/>
        </w:rPr>
        <w:t>, (202) 418-</w:t>
      </w:r>
      <w:r w:rsidR="00D150F7">
        <w:rPr>
          <w:szCs w:val="22"/>
        </w:rPr>
        <w:t>7</w:t>
      </w:r>
      <w:r w:rsidR="00DB6094">
        <w:rPr>
          <w:szCs w:val="22"/>
        </w:rPr>
        <w:t>513</w:t>
      </w:r>
      <w:r>
        <w:rPr>
          <w:szCs w:val="22"/>
        </w:rPr>
        <w:t xml:space="preserve"> (voice), </w:t>
      </w:r>
      <w:hyperlink r:id="rId17" w:history="1">
        <w:r w:rsidR="00DB6094" w:rsidRPr="00F11E09">
          <w:rPr>
            <w:rStyle w:val="Hyperlink"/>
          </w:rPr>
          <w:t>rodney</w:t>
        </w:r>
        <w:r w:rsidRPr="00F11E09">
          <w:rPr>
            <w:rStyle w:val="Hyperlink"/>
          </w:rPr>
          <w:t>.</w:t>
        </w:r>
        <w:r w:rsidR="00DB6094" w:rsidRPr="00F11E09">
          <w:rPr>
            <w:rStyle w:val="Hyperlink"/>
          </w:rPr>
          <w:t>mcdonald</w:t>
        </w:r>
        <w:r w:rsidRPr="00F11E09">
          <w:rPr>
            <w:rStyle w:val="Hyperlink"/>
          </w:rPr>
          <w:t>@fcc.gov</w:t>
        </w:r>
      </w:hyperlink>
      <w:r>
        <w:rPr>
          <w:color w:val="000000"/>
        </w:rPr>
        <w:t>,</w:t>
      </w:r>
      <w:r>
        <w:rPr>
          <w:szCs w:val="22"/>
        </w:rPr>
        <w:t xml:space="preserve"> of the Competition Policy Division, Wireline Competition Bureau.  The tty number is (202) 418-0484.  For further information on procedures regarding section 214 please visit </w:t>
      </w:r>
      <w:hyperlink r:id="rId18" w:history="1">
        <w:r w:rsidRPr="00F11E09">
          <w:rPr>
            <w:rStyle w:val="Hyperlink"/>
            <w:szCs w:val="22"/>
          </w:rPr>
          <w:t>http://www.fcc.gov/wcb/c</w:t>
        </w:r>
        <w:bookmarkStart w:id="2" w:name="_Hlt6302429"/>
        <w:r w:rsidRPr="00F11E09">
          <w:rPr>
            <w:rStyle w:val="Hyperlink"/>
            <w:szCs w:val="22"/>
          </w:rPr>
          <w:t>p</w:t>
        </w:r>
        <w:bookmarkEnd w:id="2"/>
        <w:r w:rsidRPr="00F11E09">
          <w:rPr>
            <w:rStyle w:val="Hyperlink"/>
            <w:szCs w:val="22"/>
          </w:rPr>
          <w:t>d/other_adjud</w:t>
        </w:r>
      </w:hyperlink>
      <w:r>
        <w:rPr>
          <w:szCs w:val="22"/>
        </w:rPr>
        <w:t>.</w:t>
      </w:r>
    </w:p>
    <w:p w:rsidR="00D057A3" w:rsidRDefault="00D057A3" w:rsidP="00811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057A3" w:rsidRDefault="00D057A3" w:rsidP="00811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057A3" w:rsidRPr="003700E2"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3700E2">
        <w:rPr>
          <w:b/>
          <w:color w:val="000000"/>
          <w:szCs w:val="22"/>
        </w:rPr>
        <w:t>– FCC –</w:t>
      </w:r>
    </w:p>
    <w:sectPr w:rsidR="00D057A3" w:rsidRPr="003700E2" w:rsidSect="00C5707A">
      <w:type w:val="continuous"/>
      <w:pgSz w:w="12240" w:h="15840" w:code="1"/>
      <w:pgMar w:top="1440" w:right="1440" w:bottom="1440" w:left="1440" w:header="720"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39" w:rsidRDefault="00A36B39">
      <w:r>
        <w:separator/>
      </w:r>
    </w:p>
  </w:endnote>
  <w:endnote w:type="continuationSeparator" w:id="0">
    <w:p w:rsidR="00A36B39" w:rsidRDefault="00A3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35" w:rsidRDefault="00C22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99" w:rsidRDefault="00514E99">
    <w:pPr>
      <w:pStyle w:val="Footer"/>
      <w:jc w:val="center"/>
    </w:pPr>
    <w:r>
      <w:rPr>
        <w:rStyle w:val="PageNumber"/>
      </w:rPr>
      <w:fldChar w:fldCharType="begin"/>
    </w:r>
    <w:r>
      <w:rPr>
        <w:rStyle w:val="PageNumber"/>
      </w:rPr>
      <w:instrText xml:space="preserve"> PAGE </w:instrText>
    </w:r>
    <w:r>
      <w:rPr>
        <w:rStyle w:val="PageNumber"/>
      </w:rPr>
      <w:fldChar w:fldCharType="separate"/>
    </w:r>
    <w:r w:rsidR="00A45BB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35" w:rsidRDefault="00C22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39" w:rsidRDefault="00A36B39">
      <w:r>
        <w:separator/>
      </w:r>
    </w:p>
  </w:footnote>
  <w:footnote w:type="continuationSeparator" w:id="0">
    <w:p w:rsidR="00A36B39" w:rsidRDefault="00A36B39">
      <w:r>
        <w:continuationSeparator/>
      </w:r>
    </w:p>
  </w:footnote>
  <w:footnote w:id="1">
    <w:p w:rsidR="00DD6124" w:rsidRDefault="00DD6124" w:rsidP="00C5707A">
      <w:pPr>
        <w:pStyle w:val="FootnoteText"/>
        <w:spacing w:after="120"/>
      </w:pPr>
      <w:r>
        <w:rPr>
          <w:rStyle w:val="FootnoteReference"/>
        </w:rPr>
        <w:footnoteRef/>
      </w:r>
      <w:r>
        <w:t xml:space="preserve"> </w:t>
      </w:r>
      <w:r w:rsidR="00357F0A" w:rsidRPr="004A7568">
        <w:rPr>
          <w:sz w:val="20"/>
        </w:rPr>
        <w:t>Letter</w:t>
      </w:r>
      <w:r w:rsidR="00357F0A">
        <w:rPr>
          <w:sz w:val="20"/>
        </w:rPr>
        <w:t xml:space="preserve"> from </w:t>
      </w:r>
      <w:r w:rsidR="00357F0A" w:rsidRPr="00357F0A">
        <w:rPr>
          <w:sz w:val="20"/>
        </w:rPr>
        <w:t>Frederick Moacdieh</w:t>
      </w:r>
      <w:r w:rsidR="00357F0A">
        <w:rPr>
          <w:sz w:val="20"/>
        </w:rPr>
        <w:t xml:space="preserve">, Executive Director – Federal Regulatory Affairs, Verizon, to Marlene H. Dortch, Secretary, Federal Communications Commission, Attach. (filed May 24, 2013) (Verizon Application), </w:t>
      </w:r>
      <w:r w:rsidR="00357F0A" w:rsidRPr="004A7568">
        <w:rPr>
          <w:i/>
          <w:sz w:val="20"/>
        </w:rPr>
        <w:t>available at</w:t>
      </w:r>
      <w:r w:rsidR="00357F0A">
        <w:rPr>
          <w:sz w:val="20"/>
        </w:rPr>
        <w:t xml:space="preserve"> </w:t>
      </w:r>
      <w:hyperlink r:id="rId1" w:history="1">
        <w:r w:rsidR="00357F0A" w:rsidRPr="004A7568">
          <w:rPr>
            <w:rStyle w:val="Hyperlink"/>
            <w:sz w:val="20"/>
          </w:rPr>
          <w:t>http://apps.fcc.gov/ecfs/document/view?id=7022424987</w:t>
        </w:r>
      </w:hyperlink>
      <w:r w:rsidR="00357F0A" w:rsidRPr="004A7568">
        <w:rPr>
          <w:sz w:val="20"/>
        </w:rPr>
        <w:t>.</w:t>
      </w:r>
    </w:p>
  </w:footnote>
  <w:footnote w:id="2">
    <w:p w:rsidR="006C2AF6" w:rsidRPr="004A7568" w:rsidRDefault="006C2AF6" w:rsidP="00C5707A">
      <w:pPr>
        <w:pStyle w:val="FootnoteText"/>
        <w:spacing w:after="120"/>
        <w:rPr>
          <w:sz w:val="20"/>
        </w:rPr>
      </w:pPr>
      <w:r>
        <w:rPr>
          <w:rStyle w:val="FootnoteReference"/>
        </w:rPr>
        <w:footnoteRef/>
      </w:r>
      <w:r>
        <w:t xml:space="preserve"> </w:t>
      </w:r>
      <w:r>
        <w:rPr>
          <w:sz w:val="20"/>
        </w:rPr>
        <w:t>Verizon Application at 3.</w:t>
      </w:r>
    </w:p>
  </w:footnote>
  <w:footnote w:id="3">
    <w:p w:rsidR="00CD7E25" w:rsidRPr="004A7568" w:rsidRDefault="00CD7E25" w:rsidP="00C5707A">
      <w:pPr>
        <w:pStyle w:val="FootnoteText"/>
        <w:spacing w:after="120"/>
        <w:rPr>
          <w:sz w:val="20"/>
        </w:rPr>
      </w:pPr>
      <w:r>
        <w:rPr>
          <w:rStyle w:val="FootnoteReference"/>
        </w:rPr>
        <w:footnoteRef/>
      </w:r>
      <w:r>
        <w:t xml:space="preserve"> </w:t>
      </w:r>
      <w:r>
        <w:rPr>
          <w:sz w:val="20"/>
        </w:rPr>
        <w:t>Verizon Application at 1-2.</w:t>
      </w:r>
    </w:p>
  </w:footnote>
  <w:footnote w:id="4">
    <w:p w:rsidR="00997907" w:rsidRPr="00A82228" w:rsidRDefault="00997907" w:rsidP="00C5707A">
      <w:pPr>
        <w:pStyle w:val="FootnoteText"/>
        <w:spacing w:after="120"/>
        <w:rPr>
          <w:sz w:val="20"/>
        </w:rPr>
      </w:pPr>
      <w:r>
        <w:rPr>
          <w:rStyle w:val="FootnoteReference"/>
        </w:rPr>
        <w:footnoteRef/>
      </w:r>
      <w:r>
        <w:t xml:space="preserve"> </w:t>
      </w:r>
      <w:r w:rsidR="00CD7E25">
        <w:rPr>
          <w:sz w:val="20"/>
        </w:rPr>
        <w:t xml:space="preserve">Verizon Application at 3.  </w:t>
      </w:r>
      <w:r w:rsidRPr="00997907">
        <w:rPr>
          <w:sz w:val="20"/>
        </w:rPr>
        <w:t>These include addresses served by the following identified Verizon wire centers in New Jersey: Allentown, Asbury Park, Atlantic Highlands, Bedminster, Bergen, Bernardsville, Bloomfield, Bordentown, Bound Brook, Closter, Cranford, Dover, Dumont, East Dover, Eatontown, Elizabeth, Franklin Park, Freehold, Hackensack, Haledon, Hightstown, Holmdel, Hopewell, Jamesburg, Journal Square, Keansburg, Kearny, Keyport, Lakewood, Leonia, Little Ferry, Long Branch, Madison, Mendham, Mercerville, Millburn, Millington, Montclair, Morristown, Murray Hill, New Brunswick, Nutley, Oakland, Passaic, Pennington, Perth Amboy, Plainfield, Point Pleasant, Princeton, Prospect Plains, Ramsey, Red Bank, Ridgewood, Rochelle Park, Rockaway, Roselle, Rutherford, Seaside Park, Somerville, Spring Lake, Succasunna, Summit, Toms River, Trenton, Union City, West Orange, West Osbornville, Westfield, Westwood and Whippany.  These also include addresses served by the following identified Verizon wire centers in New York: Avenue U, Bell Harbor, Broad Street, East Northport, Hempstead, Huntington, Lindenhurst, Long Beach, Manhasset, Mineola, Oyster Bay, Sayville, Smithtown, Syosset, Wantagh and West Street (collectively, Service Areas).</w:t>
      </w:r>
      <w:r w:rsidR="00A82228">
        <w:rPr>
          <w:sz w:val="20"/>
        </w:rPr>
        <w:t xml:space="preserve">  </w:t>
      </w:r>
      <w:r w:rsidR="00A82228" w:rsidRPr="004A7568">
        <w:rPr>
          <w:i/>
          <w:sz w:val="20"/>
        </w:rPr>
        <w:t>See also</w:t>
      </w:r>
      <w:r w:rsidR="00A82228">
        <w:rPr>
          <w:sz w:val="20"/>
        </w:rPr>
        <w:t xml:space="preserve"> </w:t>
      </w:r>
      <w:r w:rsidR="00A82228" w:rsidRPr="004A7568">
        <w:rPr>
          <w:i/>
          <w:sz w:val="20"/>
        </w:rPr>
        <w:t>Petition of BellSouth Corporation for Special Temporary Authority and Waiver To Support Disaster Planning and Response, Petition of Verizon for Special Temporary Authority and Waiver To Support Disaster Planning and Response, Petition of Qwest Communications International Inc. for Special Temporary Authority and Waiver To Support Disaster Planning and Response</w:t>
      </w:r>
      <w:r w:rsidR="00A82228">
        <w:rPr>
          <w:sz w:val="20"/>
        </w:rPr>
        <w:t>, WC Docket No. 06-63, Order, 21 FCC Rcd 6518, 6525 (2006).</w:t>
      </w:r>
    </w:p>
  </w:footnote>
  <w:footnote w:id="5">
    <w:p w:rsidR="00834A34" w:rsidRDefault="00834A34" w:rsidP="00C5707A">
      <w:pPr>
        <w:pStyle w:val="FootnoteText"/>
        <w:spacing w:after="120"/>
      </w:pPr>
      <w:r>
        <w:rPr>
          <w:rStyle w:val="FootnoteReference"/>
        </w:rPr>
        <w:footnoteRef/>
      </w:r>
      <w:r w:rsidRPr="004A7568">
        <w:rPr>
          <w:sz w:val="20"/>
        </w:rPr>
        <w:t xml:space="preserve"> Verizon Application at 1-2.</w:t>
      </w:r>
    </w:p>
  </w:footnote>
  <w:footnote w:id="6">
    <w:p w:rsidR="00F15C5E" w:rsidRDefault="00F15C5E" w:rsidP="00C5707A">
      <w:pPr>
        <w:pStyle w:val="FootnoteText"/>
        <w:spacing w:after="120"/>
      </w:pPr>
      <w:r>
        <w:rPr>
          <w:rStyle w:val="FootnoteReference"/>
        </w:rPr>
        <w:footnoteRef/>
      </w:r>
      <w:r w:rsidRPr="004A7568">
        <w:rPr>
          <w:sz w:val="20"/>
        </w:rPr>
        <w:t xml:space="preserve"> Verizon Application at 2.</w:t>
      </w:r>
    </w:p>
  </w:footnote>
  <w:footnote w:id="7">
    <w:p w:rsidR="00F15C5E" w:rsidRPr="004A7568" w:rsidRDefault="00F15C5E" w:rsidP="00C5707A">
      <w:pPr>
        <w:pStyle w:val="FootnoteText"/>
        <w:spacing w:after="120"/>
        <w:rPr>
          <w:sz w:val="20"/>
        </w:rPr>
      </w:pPr>
      <w:r>
        <w:rPr>
          <w:rStyle w:val="FootnoteReference"/>
        </w:rPr>
        <w:footnoteRef/>
      </w:r>
      <w:r>
        <w:t xml:space="preserve"> </w:t>
      </w:r>
      <w:r>
        <w:rPr>
          <w:sz w:val="20"/>
        </w:rPr>
        <w:t>Verizon Application at 3-4.</w:t>
      </w:r>
    </w:p>
  </w:footnote>
  <w:footnote w:id="8">
    <w:p w:rsidR="00F15C5E" w:rsidRPr="004A7568" w:rsidRDefault="00F15C5E" w:rsidP="00C5707A">
      <w:pPr>
        <w:pStyle w:val="FootnoteText"/>
        <w:spacing w:after="120"/>
        <w:rPr>
          <w:sz w:val="20"/>
        </w:rPr>
      </w:pPr>
      <w:r>
        <w:rPr>
          <w:rStyle w:val="FootnoteReference"/>
        </w:rPr>
        <w:footnoteRef/>
      </w:r>
      <w:r>
        <w:t xml:space="preserve"> </w:t>
      </w:r>
      <w:r>
        <w:rPr>
          <w:sz w:val="20"/>
        </w:rPr>
        <w:t>Verizon Application at 2.</w:t>
      </w:r>
    </w:p>
  </w:footnote>
  <w:footnote w:id="9">
    <w:p w:rsidR="00B96E1E" w:rsidRPr="004A7568" w:rsidRDefault="00B96E1E" w:rsidP="00C5707A">
      <w:pPr>
        <w:pStyle w:val="FootnoteText"/>
        <w:spacing w:after="120"/>
        <w:rPr>
          <w:sz w:val="20"/>
        </w:rPr>
      </w:pPr>
      <w:r>
        <w:rPr>
          <w:rStyle w:val="FootnoteReference"/>
        </w:rPr>
        <w:footnoteRef/>
      </w:r>
      <w:r>
        <w:t xml:space="preserve"> </w:t>
      </w:r>
      <w:r>
        <w:rPr>
          <w:sz w:val="20"/>
        </w:rPr>
        <w:t>Verizon Application at 4.</w:t>
      </w:r>
    </w:p>
  </w:footnote>
  <w:footnote w:id="10">
    <w:p w:rsidR="00B96E1E" w:rsidRPr="004A7568" w:rsidRDefault="00B96E1E" w:rsidP="00C5707A">
      <w:pPr>
        <w:pStyle w:val="FootnoteText"/>
        <w:spacing w:after="120"/>
        <w:rPr>
          <w:sz w:val="20"/>
        </w:rPr>
      </w:pPr>
      <w:r>
        <w:rPr>
          <w:rStyle w:val="FootnoteReference"/>
        </w:rPr>
        <w:footnoteRef/>
      </w:r>
      <w:r>
        <w:t xml:space="preserve"> </w:t>
      </w:r>
      <w:r>
        <w:rPr>
          <w:sz w:val="20"/>
        </w:rPr>
        <w:t>Verizon Application at 4.</w:t>
      </w:r>
    </w:p>
  </w:footnote>
  <w:footnote w:id="11">
    <w:p w:rsidR="00357F0A" w:rsidRDefault="00357F0A" w:rsidP="00C5707A">
      <w:pPr>
        <w:pStyle w:val="FootnoteText"/>
        <w:spacing w:after="120"/>
      </w:pPr>
      <w:r>
        <w:rPr>
          <w:rStyle w:val="FootnoteReference"/>
        </w:rPr>
        <w:footnoteRef/>
      </w:r>
      <w:r>
        <w:t xml:space="preserve"> </w:t>
      </w:r>
      <w:r>
        <w:rPr>
          <w:sz w:val="20"/>
        </w:rPr>
        <w:t>Verizon Application at 1 n.1.</w:t>
      </w:r>
    </w:p>
  </w:footnote>
  <w:footnote w:id="12">
    <w:p w:rsidR="00357F0A" w:rsidRDefault="00357F0A" w:rsidP="00C5707A">
      <w:pPr>
        <w:pStyle w:val="FootnoteText"/>
        <w:spacing w:after="120"/>
      </w:pPr>
      <w:r>
        <w:rPr>
          <w:rStyle w:val="FootnoteReference"/>
        </w:rPr>
        <w:footnoteRef/>
      </w:r>
      <w:r>
        <w:t xml:space="preserve"> </w:t>
      </w:r>
      <w:r w:rsidRPr="008A3519">
        <w:rPr>
          <w:i/>
          <w:sz w:val="20"/>
        </w:rPr>
        <w:t xml:space="preserve">See </w:t>
      </w:r>
      <w:r w:rsidRPr="008A3519">
        <w:rPr>
          <w:sz w:val="20"/>
        </w:rPr>
        <w:t>47 C.F.R. §§ 63.60(</w:t>
      </w:r>
      <w:r>
        <w:rPr>
          <w:sz w:val="20"/>
        </w:rPr>
        <w:t>b)-(</w:t>
      </w:r>
      <w:r w:rsidRPr="008A3519">
        <w:rPr>
          <w:sz w:val="20"/>
        </w:rPr>
        <w:t>c)</w:t>
      </w:r>
      <w:r>
        <w:rPr>
          <w:sz w:val="20"/>
        </w:rPr>
        <w:t>.</w:t>
      </w:r>
    </w:p>
  </w:footnote>
  <w:footnote w:id="13">
    <w:p w:rsidR="00357F0A" w:rsidRDefault="00357F0A" w:rsidP="00C5707A">
      <w:pPr>
        <w:pStyle w:val="FootnoteText"/>
        <w:spacing w:after="120"/>
      </w:pPr>
      <w:r>
        <w:rPr>
          <w:rStyle w:val="FootnoteReference"/>
        </w:rPr>
        <w:footnoteRef/>
      </w:r>
      <w:r>
        <w:t xml:space="preserve"> </w:t>
      </w:r>
      <w:r w:rsidRPr="008A3519">
        <w:rPr>
          <w:i/>
          <w:sz w:val="20"/>
        </w:rPr>
        <w:t xml:space="preserve">See </w:t>
      </w:r>
      <w:r w:rsidRPr="008A3519">
        <w:rPr>
          <w:sz w:val="20"/>
        </w:rPr>
        <w:t>47 C.F.R. § 63.60(</w:t>
      </w:r>
      <w:r>
        <w:rPr>
          <w:sz w:val="20"/>
        </w:rPr>
        <w:t>a</w:t>
      </w:r>
      <w:r w:rsidRPr="008A3519">
        <w:rPr>
          <w:sz w:val="20"/>
        </w:rPr>
        <w:t>)</w:t>
      </w:r>
      <w:r>
        <w:rPr>
          <w:sz w:val="20"/>
        </w:rPr>
        <w:t>.</w:t>
      </w:r>
    </w:p>
  </w:footnote>
  <w:footnote w:id="14">
    <w:p w:rsidR="00357F0A" w:rsidRDefault="00357F0A" w:rsidP="00C5707A">
      <w:pPr>
        <w:pStyle w:val="FootnoteText"/>
        <w:spacing w:after="120"/>
      </w:pPr>
      <w:r>
        <w:rPr>
          <w:rStyle w:val="FootnoteReference"/>
        </w:rPr>
        <w:footnoteRef/>
      </w:r>
      <w:r>
        <w:t xml:space="preserve"> </w:t>
      </w:r>
      <w:r w:rsidRPr="008A3519">
        <w:rPr>
          <w:i/>
          <w:sz w:val="20"/>
        </w:rPr>
        <w:t xml:space="preserve">See </w:t>
      </w:r>
      <w:r w:rsidRPr="008A3519">
        <w:rPr>
          <w:sz w:val="20"/>
        </w:rPr>
        <w:t>47 C.F.R. §</w:t>
      </w:r>
      <w:r>
        <w:rPr>
          <w:sz w:val="20"/>
        </w:rPr>
        <w:t xml:space="preserve"> </w:t>
      </w:r>
      <w:r w:rsidRPr="008A3519">
        <w:rPr>
          <w:sz w:val="20"/>
        </w:rPr>
        <w:t>63.71.</w:t>
      </w:r>
      <w:r>
        <w:rPr>
          <w:sz w:val="20"/>
        </w:rPr>
        <w:t xml:space="preserve">  </w:t>
      </w:r>
    </w:p>
  </w:footnote>
  <w:footnote w:id="15">
    <w:p w:rsidR="007B54CA" w:rsidRPr="00271DDF" w:rsidRDefault="007B54CA" w:rsidP="00C5707A">
      <w:pPr>
        <w:pStyle w:val="FootnoteText"/>
        <w:tabs>
          <w:tab w:val="left" w:pos="0"/>
        </w:tabs>
        <w:spacing w:after="120"/>
        <w:rPr>
          <w:b/>
          <w:sz w:val="20"/>
        </w:rPr>
      </w:pPr>
      <w:r w:rsidRPr="00520F6B">
        <w:rPr>
          <w:rStyle w:val="FootnoteReference"/>
          <w:szCs w:val="22"/>
        </w:rPr>
        <w:footnoteRef/>
      </w:r>
      <w:r w:rsidRPr="00520F6B">
        <w:rPr>
          <w:szCs w:val="22"/>
        </w:rPr>
        <w:t xml:space="preserve"> </w:t>
      </w:r>
      <w:r w:rsidRPr="00271DDF">
        <w:rPr>
          <w:i/>
          <w:sz w:val="20"/>
        </w:rPr>
        <w:t>See</w:t>
      </w:r>
      <w:r w:rsidRPr="00271DDF">
        <w:rPr>
          <w:sz w:val="20"/>
        </w:rPr>
        <w:t xml:space="preserve"> </w:t>
      </w:r>
      <w:r w:rsidRPr="00271DDF">
        <w:rPr>
          <w:i/>
          <w:sz w:val="20"/>
        </w:rPr>
        <w:t>Verizon Telephone Companies, Section 63.71 Application to Discontinue Expanded Interconnection Service Through Physical Collocation</w:t>
      </w:r>
      <w:r w:rsidRPr="00271DDF">
        <w:rPr>
          <w:sz w:val="20"/>
        </w:rPr>
        <w:t>, WC Docket No. 02-237, Order, 18 FCC Rcd 22737 (2003) (</w:t>
      </w:r>
      <w:r w:rsidRPr="00271DDF">
        <w:rPr>
          <w:i/>
          <w:sz w:val="20"/>
        </w:rPr>
        <w:t>Verizon Expanded Interconnection Discontinuance Order</w:t>
      </w:r>
      <w:r w:rsidRPr="00271DDF">
        <w:rPr>
          <w:sz w:val="20"/>
        </w:rPr>
        <w:t xml:space="preserve">); </w:t>
      </w:r>
      <w:r w:rsidRPr="00271DDF">
        <w:rPr>
          <w:i/>
          <w:sz w:val="20"/>
        </w:rPr>
        <w:t>see also</w:t>
      </w:r>
      <w:r w:rsidRPr="00271DDF">
        <w:rPr>
          <w:sz w:val="20"/>
        </w:rPr>
        <w:t xml:space="preserve"> </w:t>
      </w:r>
      <w:r w:rsidRPr="00271DDF">
        <w:rPr>
          <w:i/>
          <w:sz w:val="20"/>
        </w:rPr>
        <w:t>FCC v. RCA Communications, Inc.</w:t>
      </w:r>
      <w:r w:rsidRPr="00271DDF">
        <w:rPr>
          <w:sz w:val="20"/>
        </w:rPr>
        <w:t>, 73 S. Ct. 998, 1002 (1953) (ruling that the Commission has considerable discretion in deciding how to make its section 214 public interest finding).</w:t>
      </w:r>
    </w:p>
  </w:footnote>
  <w:footnote w:id="16">
    <w:p w:rsidR="007B54CA" w:rsidRPr="00271DDF" w:rsidRDefault="007B54CA" w:rsidP="00C5707A">
      <w:pPr>
        <w:pStyle w:val="FootnoteText"/>
        <w:spacing w:after="120"/>
        <w:rPr>
          <w:sz w:val="20"/>
        </w:rPr>
      </w:pPr>
      <w:r w:rsidRPr="00271DDF">
        <w:rPr>
          <w:rStyle w:val="FootnoteReference"/>
          <w:sz w:val="20"/>
        </w:rPr>
        <w:footnoteRef/>
      </w:r>
      <w:r w:rsidRPr="00271DDF">
        <w:rPr>
          <w:sz w:val="20"/>
        </w:rPr>
        <w:t xml:space="preserve"> </w:t>
      </w:r>
      <w:r w:rsidRPr="00271DDF">
        <w:rPr>
          <w:i/>
          <w:sz w:val="20"/>
        </w:rPr>
        <w:t>Policy and Rules Concerning Rates for Competitive Common Carrier Services and Facilities Authorizations Therefor</w:t>
      </w:r>
      <w:r w:rsidRPr="00271DDF">
        <w:rPr>
          <w:sz w:val="20"/>
        </w:rPr>
        <w:t>, First Report and Order, CC Docket No. 79-252, 85 FCC 2d 1, 146 (1980) (</w:t>
      </w:r>
      <w:r w:rsidRPr="00271DDF">
        <w:rPr>
          <w:i/>
          <w:sz w:val="20"/>
        </w:rPr>
        <w:t>Competitive Carrier First Report and Order</w:t>
      </w:r>
      <w:r w:rsidRPr="00271DDF">
        <w:rPr>
          <w:sz w:val="20"/>
        </w:rPr>
        <w:t>).</w:t>
      </w:r>
    </w:p>
  </w:footnote>
  <w:footnote w:id="17">
    <w:p w:rsidR="007B54CA" w:rsidRPr="00271DDF" w:rsidRDefault="007B54CA" w:rsidP="00C5707A">
      <w:pPr>
        <w:pStyle w:val="FootnoteText"/>
        <w:tabs>
          <w:tab w:val="left" w:pos="0"/>
        </w:tabs>
        <w:spacing w:after="120"/>
        <w:rPr>
          <w:sz w:val="20"/>
        </w:rPr>
      </w:pPr>
      <w:r w:rsidRPr="00271DDF">
        <w:rPr>
          <w:rStyle w:val="FootnoteReference"/>
          <w:sz w:val="20"/>
        </w:rPr>
        <w:footnoteRef/>
      </w:r>
      <w:r w:rsidRPr="00271DDF">
        <w:rPr>
          <w:rStyle w:val="FootnoteReference"/>
          <w:sz w:val="20"/>
        </w:rPr>
        <w:t xml:space="preserve"> </w:t>
      </w:r>
      <w:r w:rsidRPr="00271DDF">
        <w:rPr>
          <w:i/>
          <w:sz w:val="20"/>
        </w:rPr>
        <w:t>See</w:t>
      </w:r>
      <w:r w:rsidRPr="00271DDF">
        <w:rPr>
          <w:spacing w:val="-3"/>
          <w:sz w:val="20"/>
        </w:rPr>
        <w:t xml:space="preserve"> 47 C.F.R. § 63.71(a);</w:t>
      </w:r>
      <w:r w:rsidRPr="00271DDF">
        <w:rPr>
          <w:sz w:val="20"/>
        </w:rPr>
        <w:t xml:space="preserve"> </w:t>
      </w:r>
      <w:r w:rsidRPr="00271DDF">
        <w:rPr>
          <w:i/>
          <w:sz w:val="20"/>
        </w:rPr>
        <w:t>see, e.g.</w:t>
      </w:r>
      <w:r w:rsidRPr="00271DDF">
        <w:rPr>
          <w:sz w:val="20"/>
        </w:rPr>
        <w:t>,</w:t>
      </w:r>
      <w:r w:rsidRPr="00271DDF">
        <w:rPr>
          <w:i/>
          <w:sz w:val="20"/>
        </w:rPr>
        <w:t xml:space="preserve"> AT&amp;T Application to Discontinue Interstate Sent-Paid Coin Service Not Automatically Granted</w:t>
      </w:r>
      <w:r w:rsidRPr="00271DDF">
        <w:rPr>
          <w:sz w:val="20"/>
        </w:rPr>
        <w:t>, Public Notice, NSD File No. W-P-D-497, 16 FCC Rcd 14935 (CCB 2001) (requiring AT&amp;T to show how it would minimize the negative impact on affected customers).</w:t>
      </w:r>
    </w:p>
  </w:footnote>
  <w:footnote w:id="18">
    <w:p w:rsidR="007B54CA" w:rsidRPr="00271DDF" w:rsidRDefault="007B54CA" w:rsidP="00C5707A">
      <w:pPr>
        <w:pStyle w:val="FootnoteText"/>
        <w:spacing w:after="120"/>
        <w:rPr>
          <w:sz w:val="20"/>
        </w:rPr>
      </w:pPr>
      <w:r w:rsidRPr="00271DDF">
        <w:rPr>
          <w:rStyle w:val="FootnoteReference"/>
          <w:sz w:val="20"/>
        </w:rPr>
        <w:footnoteRef/>
      </w:r>
      <w:r w:rsidRPr="00271DDF">
        <w:rPr>
          <w:sz w:val="20"/>
        </w:rPr>
        <w:t xml:space="preserve"> </w:t>
      </w:r>
      <w:r w:rsidRPr="00271DDF">
        <w:rPr>
          <w:i/>
          <w:sz w:val="20"/>
        </w:rPr>
        <w:t>Application for Authority Pursuant to Section 214 of the Communications Act of 1934 to Cease Providing Dark Fiber Service</w:t>
      </w:r>
      <w:r w:rsidRPr="00271DDF">
        <w:rPr>
          <w:sz w:val="20"/>
        </w:rPr>
        <w:t>, File Nos. W-P-C-6670 and W-P-D-364, 8 FCC Rcd 2589, 2600, para. 54 (1993) (</w:t>
      </w:r>
      <w:r w:rsidRPr="00271DDF">
        <w:rPr>
          <w:i/>
          <w:sz w:val="20"/>
        </w:rPr>
        <w:t>Dark Fiber Order</w:t>
      </w:r>
      <w:r w:rsidRPr="00271DDF">
        <w:rPr>
          <w:sz w:val="20"/>
        </w:rPr>
        <w:t xml:space="preserve">), </w:t>
      </w:r>
      <w:r w:rsidRPr="00271DDF">
        <w:rPr>
          <w:i/>
          <w:sz w:val="20"/>
        </w:rPr>
        <w:t>remanded on other grounds</w:t>
      </w:r>
      <w:r w:rsidRPr="00271DDF">
        <w:rPr>
          <w:sz w:val="20"/>
        </w:rPr>
        <w:t xml:space="preserve">, </w:t>
      </w:r>
      <w:r w:rsidRPr="00271DDF">
        <w:rPr>
          <w:i/>
          <w:sz w:val="20"/>
        </w:rPr>
        <w:t>Southwestern Bell v. FCC</w:t>
      </w:r>
      <w:r w:rsidRPr="00271DDF">
        <w:rPr>
          <w:sz w:val="20"/>
        </w:rPr>
        <w:t xml:space="preserve">, 19 F.3d 1475 (D.C. Cir. 1994); </w:t>
      </w:r>
      <w:r w:rsidRPr="00271DDF">
        <w:rPr>
          <w:i/>
          <w:sz w:val="20"/>
        </w:rPr>
        <w:t>see</w:t>
      </w:r>
      <w:r w:rsidRPr="00271DDF">
        <w:rPr>
          <w:sz w:val="20"/>
        </w:rPr>
        <w:t xml:space="preserve"> </w:t>
      </w:r>
      <w:r w:rsidRPr="00271DDF">
        <w:rPr>
          <w:i/>
          <w:sz w:val="20"/>
        </w:rPr>
        <w:t>Verizon Expanded Interconnection Discontinuance Order</w:t>
      </w:r>
      <w:r w:rsidRPr="00271DDF">
        <w:rPr>
          <w:sz w:val="20"/>
        </w:rPr>
        <w:t>.</w:t>
      </w:r>
    </w:p>
  </w:footnote>
  <w:footnote w:id="19">
    <w:p w:rsidR="00514E99" w:rsidRDefault="00514E99" w:rsidP="00C5707A">
      <w:pPr>
        <w:pStyle w:val="FootnoteText"/>
        <w:spacing w:after="120"/>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35" w:rsidRDefault="00C22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35" w:rsidRDefault="00C225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99" w:rsidRPr="00577EAD" w:rsidRDefault="0071087E">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99" w:rsidRDefault="00514E99">
                          <w:pPr>
                            <w:rPr>
                              <w:rFonts w:ascii="Arial" w:hAnsi="Arial"/>
                              <w:b/>
                            </w:rPr>
                          </w:pPr>
                          <w:r>
                            <w:rPr>
                              <w:rFonts w:ascii="Arial" w:hAnsi="Arial"/>
                              <w:b/>
                            </w:rPr>
                            <w:t>Federal Communications Commission</w:t>
                          </w:r>
                        </w:p>
                        <w:p w:rsidR="00514E99" w:rsidRDefault="00514E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14E99" w:rsidRDefault="00514E9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514E99" w:rsidRDefault="00514E99">
                    <w:pPr>
                      <w:rPr>
                        <w:rFonts w:ascii="Arial" w:hAnsi="Arial"/>
                        <w:b/>
                      </w:rPr>
                    </w:pPr>
                    <w:r>
                      <w:rPr>
                        <w:rFonts w:ascii="Arial" w:hAnsi="Arial"/>
                        <w:b/>
                      </w:rPr>
                      <w:t>Federal Communications Commission</w:t>
                    </w:r>
                  </w:p>
                  <w:p w:rsidR="00514E99" w:rsidRDefault="00514E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14E99" w:rsidRDefault="00514E99">
                    <w:pPr>
                      <w:rPr>
                        <w:rFonts w:ascii="Arial" w:hAnsi="Arial"/>
                        <w:sz w:val="24"/>
                      </w:rPr>
                    </w:pPr>
                    <w:r>
                      <w:rPr>
                        <w:rFonts w:ascii="Arial" w:hAnsi="Arial"/>
                        <w:b/>
                      </w:rPr>
                      <w:t>Washington, D.C. 20554</w:t>
                    </w:r>
                  </w:p>
                </w:txbxContent>
              </v:textbox>
            </v:shape>
          </w:pict>
        </mc:Fallback>
      </mc:AlternateContent>
    </w:r>
    <w:r>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14E99" w:rsidRPr="00577EAD">
      <w:rPr>
        <w:rFonts w:ascii="Arial" w:hAnsi="Arial" w:cs="Arial"/>
        <w:b/>
        <w:kern w:val="28"/>
        <w:sz w:val="96"/>
      </w:rPr>
      <w:t>PUBLIC NOTICE</w:t>
    </w:r>
  </w:p>
  <w:p w:rsidR="00514E99" w:rsidRDefault="0071087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2969895</wp:posOffset>
              </wp:positionH>
              <wp:positionV relativeFrom="paragraph">
                <wp:posOffset>76200</wp:posOffset>
              </wp:positionV>
              <wp:extent cx="2634615"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99" w:rsidRDefault="00514E99">
                          <w:pPr>
                            <w:spacing w:before="40"/>
                            <w:jc w:val="right"/>
                            <w:rPr>
                              <w:rFonts w:ascii="Arial" w:hAnsi="Arial"/>
                              <w:b/>
                              <w:sz w:val="16"/>
                              <w:szCs w:val="16"/>
                            </w:rPr>
                          </w:pPr>
                          <w:r>
                            <w:rPr>
                              <w:rFonts w:ascii="Arial" w:hAnsi="Arial"/>
                              <w:b/>
                              <w:sz w:val="16"/>
                              <w:szCs w:val="16"/>
                            </w:rPr>
                            <w:t>News Media Information 202 / 418-0500</w:t>
                          </w:r>
                        </w:p>
                        <w:p w:rsidR="00514E99" w:rsidRDefault="00514E99">
                          <w:pPr>
                            <w:jc w:val="right"/>
                            <w:rPr>
                              <w:rFonts w:ascii="Arial" w:hAnsi="Arial"/>
                              <w:b/>
                              <w:sz w:val="16"/>
                              <w:szCs w:val="16"/>
                            </w:rPr>
                          </w:pPr>
                          <w:r>
                            <w:rPr>
                              <w:rFonts w:ascii="Arial" w:hAnsi="Arial"/>
                              <w:b/>
                              <w:sz w:val="16"/>
                              <w:szCs w:val="16"/>
                            </w:rPr>
                            <w:tab/>
                            <w:t xml:space="preserve">Internet: </w:t>
                          </w:r>
                          <w:bookmarkStart w:id="0" w:name="_Hlt233824"/>
                          <w:r>
                            <w:rPr>
                              <w:rFonts w:ascii="Arial" w:hAnsi="Arial"/>
                              <w:b/>
                              <w:sz w:val="16"/>
                              <w:szCs w:val="16"/>
                            </w:rPr>
                            <w:t>h</w:t>
                          </w:r>
                          <w:bookmarkEnd w:id="0"/>
                          <w:r>
                            <w:rPr>
                              <w:rFonts w:ascii="Arial" w:hAnsi="Arial"/>
                              <w:b/>
                              <w:sz w:val="16"/>
                              <w:szCs w:val="16"/>
                            </w:rPr>
                            <w:t>ttp://www.fcc.gov</w:t>
                          </w:r>
                        </w:p>
                        <w:p w:rsidR="00514E99" w:rsidRDefault="00514E99">
                          <w:pPr>
                            <w:jc w:val="right"/>
                            <w:rPr>
                              <w:rFonts w:ascii="Arial" w:hAnsi="Arial"/>
                              <w:b/>
                              <w:szCs w:val="22"/>
                            </w:rPr>
                          </w:pPr>
                          <w:r>
                            <w:rPr>
                              <w:rFonts w:ascii="Arial" w:hAnsi="Arial"/>
                              <w:b/>
                              <w:sz w:val="16"/>
                              <w:szCs w:val="16"/>
                            </w:rPr>
                            <w:t>TTY: 1-888-835-5322</w:t>
                          </w:r>
                        </w:p>
                        <w:p w:rsidR="00514E99" w:rsidRDefault="00514E9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3.85pt;margin-top:6pt;width:207.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pigQIAAA4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" stroked="f">
              <v:textbox inset=",0,,0">
                <w:txbxContent>
                  <w:p w:rsidR="00514E99" w:rsidRDefault="00514E99">
                    <w:pPr>
                      <w:spacing w:before="40"/>
                      <w:jc w:val="right"/>
                      <w:rPr>
                        <w:rFonts w:ascii="Arial" w:hAnsi="Arial"/>
                        <w:b/>
                        <w:sz w:val="16"/>
                        <w:szCs w:val="16"/>
                      </w:rPr>
                    </w:pPr>
                    <w:r>
                      <w:rPr>
                        <w:rFonts w:ascii="Arial" w:hAnsi="Arial"/>
                        <w:b/>
                        <w:sz w:val="16"/>
                        <w:szCs w:val="16"/>
                      </w:rPr>
                      <w:t>News Media Information 202 / 418-0500</w:t>
                    </w:r>
                  </w:p>
                  <w:p w:rsidR="00514E99" w:rsidRDefault="00514E9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514E99" w:rsidRDefault="00514E99">
                    <w:pPr>
                      <w:jc w:val="right"/>
                      <w:rPr>
                        <w:rFonts w:ascii="Arial" w:hAnsi="Arial"/>
                        <w:b/>
                        <w:szCs w:val="22"/>
                      </w:rPr>
                    </w:pPr>
                    <w:r>
                      <w:rPr>
                        <w:rFonts w:ascii="Arial" w:hAnsi="Arial"/>
                        <w:b/>
                        <w:sz w:val="16"/>
                        <w:szCs w:val="16"/>
                      </w:rPr>
                      <w:t>TTY: 1-888-835-5322</w:t>
                    </w:r>
                  </w:p>
                  <w:p w:rsidR="00514E99" w:rsidRDefault="00514E99">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588010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922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9C"/>
    <w:rsid w:val="00004AFD"/>
    <w:rsid w:val="0000534F"/>
    <w:rsid w:val="00007B76"/>
    <w:rsid w:val="00022477"/>
    <w:rsid w:val="00024B41"/>
    <w:rsid w:val="00030413"/>
    <w:rsid w:val="00034383"/>
    <w:rsid w:val="00035E66"/>
    <w:rsid w:val="00036935"/>
    <w:rsid w:val="00047275"/>
    <w:rsid w:val="00050438"/>
    <w:rsid w:val="00054F57"/>
    <w:rsid w:val="000564D1"/>
    <w:rsid w:val="000660BF"/>
    <w:rsid w:val="000662A9"/>
    <w:rsid w:val="00085232"/>
    <w:rsid w:val="0008679C"/>
    <w:rsid w:val="00091F72"/>
    <w:rsid w:val="00092D01"/>
    <w:rsid w:val="00093E2A"/>
    <w:rsid w:val="000A05FF"/>
    <w:rsid w:val="000A178B"/>
    <w:rsid w:val="000A3183"/>
    <w:rsid w:val="000B0EFE"/>
    <w:rsid w:val="000B25C8"/>
    <w:rsid w:val="000B260C"/>
    <w:rsid w:val="000D010A"/>
    <w:rsid w:val="000E1597"/>
    <w:rsid w:val="000E2BC9"/>
    <w:rsid w:val="000E5612"/>
    <w:rsid w:val="00100BCE"/>
    <w:rsid w:val="00127645"/>
    <w:rsid w:val="00127963"/>
    <w:rsid w:val="00131B29"/>
    <w:rsid w:val="00133B23"/>
    <w:rsid w:val="00135625"/>
    <w:rsid w:val="00137536"/>
    <w:rsid w:val="0014430E"/>
    <w:rsid w:val="001470B7"/>
    <w:rsid w:val="001504CE"/>
    <w:rsid w:val="001658E2"/>
    <w:rsid w:val="00165FCA"/>
    <w:rsid w:val="001666C1"/>
    <w:rsid w:val="00173F56"/>
    <w:rsid w:val="00177944"/>
    <w:rsid w:val="00181B01"/>
    <w:rsid w:val="0019032F"/>
    <w:rsid w:val="00192793"/>
    <w:rsid w:val="0019772F"/>
    <w:rsid w:val="001A4138"/>
    <w:rsid w:val="001B11F7"/>
    <w:rsid w:val="001B40B6"/>
    <w:rsid w:val="001C10F0"/>
    <w:rsid w:val="001C17EA"/>
    <w:rsid w:val="001D0D97"/>
    <w:rsid w:val="001D2636"/>
    <w:rsid w:val="00202DB3"/>
    <w:rsid w:val="002068B7"/>
    <w:rsid w:val="00210947"/>
    <w:rsid w:val="002147B0"/>
    <w:rsid w:val="00224AF9"/>
    <w:rsid w:val="002258CE"/>
    <w:rsid w:val="002271CC"/>
    <w:rsid w:val="00230F24"/>
    <w:rsid w:val="00246A74"/>
    <w:rsid w:val="00251299"/>
    <w:rsid w:val="00264DE2"/>
    <w:rsid w:val="00271DDF"/>
    <w:rsid w:val="002803D9"/>
    <w:rsid w:val="0028292C"/>
    <w:rsid w:val="002852CF"/>
    <w:rsid w:val="00285468"/>
    <w:rsid w:val="00287E17"/>
    <w:rsid w:val="00291EFF"/>
    <w:rsid w:val="0029626B"/>
    <w:rsid w:val="002A28E6"/>
    <w:rsid w:val="002A6983"/>
    <w:rsid w:val="002C2908"/>
    <w:rsid w:val="002C4B8D"/>
    <w:rsid w:val="002D3F4A"/>
    <w:rsid w:val="002F5B2B"/>
    <w:rsid w:val="002F6D78"/>
    <w:rsid w:val="00305297"/>
    <w:rsid w:val="00311FF5"/>
    <w:rsid w:val="00314606"/>
    <w:rsid w:val="00315F4E"/>
    <w:rsid w:val="00350C67"/>
    <w:rsid w:val="003518C7"/>
    <w:rsid w:val="00352905"/>
    <w:rsid w:val="00353484"/>
    <w:rsid w:val="00357F0A"/>
    <w:rsid w:val="00366351"/>
    <w:rsid w:val="00367C46"/>
    <w:rsid w:val="003700E2"/>
    <w:rsid w:val="0037306B"/>
    <w:rsid w:val="0038135A"/>
    <w:rsid w:val="00385F4A"/>
    <w:rsid w:val="00393DBE"/>
    <w:rsid w:val="003971A3"/>
    <w:rsid w:val="0039734E"/>
    <w:rsid w:val="003C15A8"/>
    <w:rsid w:val="003C7D3B"/>
    <w:rsid w:val="003D24D8"/>
    <w:rsid w:val="003E05BE"/>
    <w:rsid w:val="003F69EE"/>
    <w:rsid w:val="003F6A08"/>
    <w:rsid w:val="003F6B1C"/>
    <w:rsid w:val="00404EE7"/>
    <w:rsid w:val="00414406"/>
    <w:rsid w:val="00430305"/>
    <w:rsid w:val="004363BA"/>
    <w:rsid w:val="00445290"/>
    <w:rsid w:val="0046189A"/>
    <w:rsid w:val="004633BD"/>
    <w:rsid w:val="00464153"/>
    <w:rsid w:val="00467CCF"/>
    <w:rsid w:val="004A242E"/>
    <w:rsid w:val="004A618B"/>
    <w:rsid w:val="004A7568"/>
    <w:rsid w:val="004A7FBE"/>
    <w:rsid w:val="004B4958"/>
    <w:rsid w:val="004B5A3E"/>
    <w:rsid w:val="004B6D86"/>
    <w:rsid w:val="004D5C1D"/>
    <w:rsid w:val="004F7B2C"/>
    <w:rsid w:val="00506235"/>
    <w:rsid w:val="005078CA"/>
    <w:rsid w:val="00514E99"/>
    <w:rsid w:val="00520C6A"/>
    <w:rsid w:val="00524AAA"/>
    <w:rsid w:val="005260F0"/>
    <w:rsid w:val="00541247"/>
    <w:rsid w:val="00550771"/>
    <w:rsid w:val="00555EA3"/>
    <w:rsid w:val="00560F98"/>
    <w:rsid w:val="005710DE"/>
    <w:rsid w:val="00571BB0"/>
    <w:rsid w:val="00571C77"/>
    <w:rsid w:val="00572338"/>
    <w:rsid w:val="00572A5B"/>
    <w:rsid w:val="00577EAD"/>
    <w:rsid w:val="00593402"/>
    <w:rsid w:val="005A3B6F"/>
    <w:rsid w:val="005B0658"/>
    <w:rsid w:val="005B082E"/>
    <w:rsid w:val="005B4826"/>
    <w:rsid w:val="005B4B26"/>
    <w:rsid w:val="005C5619"/>
    <w:rsid w:val="005E1940"/>
    <w:rsid w:val="005E7A9A"/>
    <w:rsid w:val="005F6B2B"/>
    <w:rsid w:val="005F6B49"/>
    <w:rsid w:val="0062557C"/>
    <w:rsid w:val="00626E38"/>
    <w:rsid w:val="0063291D"/>
    <w:rsid w:val="00632F15"/>
    <w:rsid w:val="00632FBE"/>
    <w:rsid w:val="006533EA"/>
    <w:rsid w:val="00655CD9"/>
    <w:rsid w:val="00656969"/>
    <w:rsid w:val="00663176"/>
    <w:rsid w:val="00691CB9"/>
    <w:rsid w:val="006A17E0"/>
    <w:rsid w:val="006A281A"/>
    <w:rsid w:val="006A7FBF"/>
    <w:rsid w:val="006B0606"/>
    <w:rsid w:val="006B4D40"/>
    <w:rsid w:val="006C03E5"/>
    <w:rsid w:val="006C2AF6"/>
    <w:rsid w:val="006D4043"/>
    <w:rsid w:val="006E7C66"/>
    <w:rsid w:val="00704934"/>
    <w:rsid w:val="0071087E"/>
    <w:rsid w:val="00723A70"/>
    <w:rsid w:val="007244BC"/>
    <w:rsid w:val="007306F8"/>
    <w:rsid w:val="00734154"/>
    <w:rsid w:val="00735180"/>
    <w:rsid w:val="007405BA"/>
    <w:rsid w:val="007442F1"/>
    <w:rsid w:val="00747975"/>
    <w:rsid w:val="00750AB5"/>
    <w:rsid w:val="007547A0"/>
    <w:rsid w:val="007649AC"/>
    <w:rsid w:val="0077511A"/>
    <w:rsid w:val="00777FA7"/>
    <w:rsid w:val="00794F7C"/>
    <w:rsid w:val="007A080C"/>
    <w:rsid w:val="007A3C2F"/>
    <w:rsid w:val="007A52E6"/>
    <w:rsid w:val="007B54CA"/>
    <w:rsid w:val="007D401A"/>
    <w:rsid w:val="007E1CAE"/>
    <w:rsid w:val="007E649C"/>
    <w:rsid w:val="007E7A22"/>
    <w:rsid w:val="007F4507"/>
    <w:rsid w:val="007F6416"/>
    <w:rsid w:val="008009EA"/>
    <w:rsid w:val="00802A22"/>
    <w:rsid w:val="00803C2B"/>
    <w:rsid w:val="00804049"/>
    <w:rsid w:val="00811859"/>
    <w:rsid w:val="00815441"/>
    <w:rsid w:val="00820DB4"/>
    <w:rsid w:val="00834463"/>
    <w:rsid w:val="00834A34"/>
    <w:rsid w:val="0083628F"/>
    <w:rsid w:val="00845042"/>
    <w:rsid w:val="008508CE"/>
    <w:rsid w:val="00852C84"/>
    <w:rsid w:val="00863598"/>
    <w:rsid w:val="008644F4"/>
    <w:rsid w:val="00867934"/>
    <w:rsid w:val="008767D2"/>
    <w:rsid w:val="00881645"/>
    <w:rsid w:val="0088647B"/>
    <w:rsid w:val="0088790C"/>
    <w:rsid w:val="008A3519"/>
    <w:rsid w:val="008A757B"/>
    <w:rsid w:val="008B0036"/>
    <w:rsid w:val="008B6692"/>
    <w:rsid w:val="008C1C91"/>
    <w:rsid w:val="008C492D"/>
    <w:rsid w:val="008C7D29"/>
    <w:rsid w:val="008E5F41"/>
    <w:rsid w:val="008F01CD"/>
    <w:rsid w:val="008F65C4"/>
    <w:rsid w:val="00900518"/>
    <w:rsid w:val="0090664F"/>
    <w:rsid w:val="0091110E"/>
    <w:rsid w:val="0092013F"/>
    <w:rsid w:val="00920439"/>
    <w:rsid w:val="00926330"/>
    <w:rsid w:val="00926B43"/>
    <w:rsid w:val="00934A55"/>
    <w:rsid w:val="00935E2F"/>
    <w:rsid w:val="00950702"/>
    <w:rsid w:val="00950A73"/>
    <w:rsid w:val="00951F8F"/>
    <w:rsid w:val="00974D5E"/>
    <w:rsid w:val="0097526F"/>
    <w:rsid w:val="0098279E"/>
    <w:rsid w:val="00985B65"/>
    <w:rsid w:val="009901F7"/>
    <w:rsid w:val="00997907"/>
    <w:rsid w:val="009A5613"/>
    <w:rsid w:val="009B3310"/>
    <w:rsid w:val="009B428D"/>
    <w:rsid w:val="009B4EDD"/>
    <w:rsid w:val="009B65E6"/>
    <w:rsid w:val="009B74D2"/>
    <w:rsid w:val="009C362C"/>
    <w:rsid w:val="009C6A9C"/>
    <w:rsid w:val="009D1329"/>
    <w:rsid w:val="009F0B1F"/>
    <w:rsid w:val="009F2281"/>
    <w:rsid w:val="009F249D"/>
    <w:rsid w:val="009F5F13"/>
    <w:rsid w:val="00A03171"/>
    <w:rsid w:val="00A146A2"/>
    <w:rsid w:val="00A1782F"/>
    <w:rsid w:val="00A215DF"/>
    <w:rsid w:val="00A253E1"/>
    <w:rsid w:val="00A33B19"/>
    <w:rsid w:val="00A36362"/>
    <w:rsid w:val="00A36B39"/>
    <w:rsid w:val="00A40415"/>
    <w:rsid w:val="00A45BBC"/>
    <w:rsid w:val="00A54E22"/>
    <w:rsid w:val="00A71204"/>
    <w:rsid w:val="00A72767"/>
    <w:rsid w:val="00A778E6"/>
    <w:rsid w:val="00A82228"/>
    <w:rsid w:val="00A82FA8"/>
    <w:rsid w:val="00AA74CD"/>
    <w:rsid w:val="00AB018E"/>
    <w:rsid w:val="00AB29A0"/>
    <w:rsid w:val="00AB3751"/>
    <w:rsid w:val="00AB3955"/>
    <w:rsid w:val="00AB508F"/>
    <w:rsid w:val="00AB5E88"/>
    <w:rsid w:val="00AC3D9E"/>
    <w:rsid w:val="00AC6DE1"/>
    <w:rsid w:val="00AD02CC"/>
    <w:rsid w:val="00AD0443"/>
    <w:rsid w:val="00AE63CA"/>
    <w:rsid w:val="00AE685A"/>
    <w:rsid w:val="00AF019B"/>
    <w:rsid w:val="00AF12A1"/>
    <w:rsid w:val="00B05746"/>
    <w:rsid w:val="00B1723D"/>
    <w:rsid w:val="00B200E3"/>
    <w:rsid w:val="00B226EC"/>
    <w:rsid w:val="00B31CAE"/>
    <w:rsid w:val="00B35377"/>
    <w:rsid w:val="00B35B78"/>
    <w:rsid w:val="00B40891"/>
    <w:rsid w:val="00B45AFA"/>
    <w:rsid w:val="00B563DE"/>
    <w:rsid w:val="00B648AB"/>
    <w:rsid w:val="00B703B4"/>
    <w:rsid w:val="00B716BE"/>
    <w:rsid w:val="00B72AC1"/>
    <w:rsid w:val="00B72ADF"/>
    <w:rsid w:val="00B73D00"/>
    <w:rsid w:val="00B771BC"/>
    <w:rsid w:val="00B844B5"/>
    <w:rsid w:val="00B94026"/>
    <w:rsid w:val="00B96E1E"/>
    <w:rsid w:val="00B976AB"/>
    <w:rsid w:val="00BA241A"/>
    <w:rsid w:val="00BA781C"/>
    <w:rsid w:val="00BB553F"/>
    <w:rsid w:val="00BC1EDE"/>
    <w:rsid w:val="00BC5E9C"/>
    <w:rsid w:val="00BD4354"/>
    <w:rsid w:val="00BD44A7"/>
    <w:rsid w:val="00BD7680"/>
    <w:rsid w:val="00BE1E76"/>
    <w:rsid w:val="00C07550"/>
    <w:rsid w:val="00C105BB"/>
    <w:rsid w:val="00C22535"/>
    <w:rsid w:val="00C5149B"/>
    <w:rsid w:val="00C54C6D"/>
    <w:rsid w:val="00C5707A"/>
    <w:rsid w:val="00C646EB"/>
    <w:rsid w:val="00C65E96"/>
    <w:rsid w:val="00C75046"/>
    <w:rsid w:val="00C76118"/>
    <w:rsid w:val="00C82191"/>
    <w:rsid w:val="00C84AC8"/>
    <w:rsid w:val="00C924D0"/>
    <w:rsid w:val="00C95CDE"/>
    <w:rsid w:val="00CC53F1"/>
    <w:rsid w:val="00CC6C39"/>
    <w:rsid w:val="00CC77A9"/>
    <w:rsid w:val="00CD235F"/>
    <w:rsid w:val="00CD4448"/>
    <w:rsid w:val="00CD7E25"/>
    <w:rsid w:val="00CE1C0B"/>
    <w:rsid w:val="00CE2996"/>
    <w:rsid w:val="00CF3A29"/>
    <w:rsid w:val="00D013B0"/>
    <w:rsid w:val="00D03177"/>
    <w:rsid w:val="00D057A3"/>
    <w:rsid w:val="00D150F7"/>
    <w:rsid w:val="00D27839"/>
    <w:rsid w:val="00D27F03"/>
    <w:rsid w:val="00D36EAD"/>
    <w:rsid w:val="00D501F1"/>
    <w:rsid w:val="00D830D0"/>
    <w:rsid w:val="00D857ED"/>
    <w:rsid w:val="00D9128B"/>
    <w:rsid w:val="00D94D93"/>
    <w:rsid w:val="00DA2A42"/>
    <w:rsid w:val="00DA6809"/>
    <w:rsid w:val="00DA6B0D"/>
    <w:rsid w:val="00DA716E"/>
    <w:rsid w:val="00DB33CF"/>
    <w:rsid w:val="00DB6094"/>
    <w:rsid w:val="00DC13BC"/>
    <w:rsid w:val="00DD6124"/>
    <w:rsid w:val="00DE55DB"/>
    <w:rsid w:val="00DE5640"/>
    <w:rsid w:val="00DF065A"/>
    <w:rsid w:val="00DF2139"/>
    <w:rsid w:val="00E1230F"/>
    <w:rsid w:val="00E21CFB"/>
    <w:rsid w:val="00E233C1"/>
    <w:rsid w:val="00E27BDC"/>
    <w:rsid w:val="00E31946"/>
    <w:rsid w:val="00E47B74"/>
    <w:rsid w:val="00E613EA"/>
    <w:rsid w:val="00E64896"/>
    <w:rsid w:val="00E6602B"/>
    <w:rsid w:val="00E77BF8"/>
    <w:rsid w:val="00E82C82"/>
    <w:rsid w:val="00E909B7"/>
    <w:rsid w:val="00E90D1A"/>
    <w:rsid w:val="00E93E61"/>
    <w:rsid w:val="00EA5998"/>
    <w:rsid w:val="00EB1DB4"/>
    <w:rsid w:val="00EC3FF7"/>
    <w:rsid w:val="00ED4580"/>
    <w:rsid w:val="00ED4F63"/>
    <w:rsid w:val="00ED5CD4"/>
    <w:rsid w:val="00EE3C8B"/>
    <w:rsid w:val="00EF0DA4"/>
    <w:rsid w:val="00EF2FE0"/>
    <w:rsid w:val="00EF3AB4"/>
    <w:rsid w:val="00EF5232"/>
    <w:rsid w:val="00F0217E"/>
    <w:rsid w:val="00F05B66"/>
    <w:rsid w:val="00F11E09"/>
    <w:rsid w:val="00F12F1E"/>
    <w:rsid w:val="00F15C5E"/>
    <w:rsid w:val="00F32073"/>
    <w:rsid w:val="00F322B2"/>
    <w:rsid w:val="00F32E4F"/>
    <w:rsid w:val="00F41F12"/>
    <w:rsid w:val="00F50B4A"/>
    <w:rsid w:val="00F51B99"/>
    <w:rsid w:val="00F61284"/>
    <w:rsid w:val="00F75632"/>
    <w:rsid w:val="00F7583C"/>
    <w:rsid w:val="00F75A31"/>
    <w:rsid w:val="00F80304"/>
    <w:rsid w:val="00F83745"/>
    <w:rsid w:val="00F87911"/>
    <w:rsid w:val="00FE0458"/>
    <w:rsid w:val="00FE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aliases w:val="Style 4,Appel note de bas de p,Style 12,(NECG) Footnote Reference,Style 124,Style 13,o,fr,Style 3,Footnote Reference1"/>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
    <w:basedOn w:val="Normal"/>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CommentReference">
    <w:name w:val="annotation reference"/>
    <w:rsid w:val="003518C7"/>
    <w:rPr>
      <w:sz w:val="16"/>
      <w:szCs w:val="16"/>
    </w:rPr>
  </w:style>
  <w:style w:type="paragraph" w:styleId="CommentText">
    <w:name w:val="annotation text"/>
    <w:basedOn w:val="Normal"/>
    <w:link w:val="CommentTextChar"/>
    <w:rsid w:val="003518C7"/>
    <w:rPr>
      <w:sz w:val="20"/>
    </w:rPr>
  </w:style>
  <w:style w:type="character" w:customStyle="1" w:styleId="CommentTextChar">
    <w:name w:val="Comment Text Char"/>
    <w:link w:val="CommentText"/>
    <w:rsid w:val="003518C7"/>
    <w:rPr>
      <w:rFonts w:eastAsia="Times New Roman"/>
    </w:rPr>
  </w:style>
  <w:style w:type="paragraph" w:styleId="CommentSubject">
    <w:name w:val="annotation subject"/>
    <w:basedOn w:val="CommentText"/>
    <w:next w:val="CommentText"/>
    <w:link w:val="CommentSubjectChar"/>
    <w:rsid w:val="003518C7"/>
    <w:rPr>
      <w:b/>
      <w:bCs/>
    </w:rPr>
  </w:style>
  <w:style w:type="character" w:customStyle="1" w:styleId="CommentSubjectChar">
    <w:name w:val="Comment Subject Char"/>
    <w:link w:val="CommentSubject"/>
    <w:rsid w:val="003518C7"/>
    <w:rPr>
      <w:rFonts w:eastAsia="Times New Roman"/>
      <w:b/>
      <w:bCs/>
    </w:rPr>
  </w:style>
  <w:style w:type="paragraph" w:customStyle="1" w:styleId="ColorfulShading-Accent11">
    <w:name w:val="Colorful Shading - Accent 11"/>
    <w:hidden/>
    <w:uiPriority w:val="99"/>
    <w:semiHidden/>
    <w:rsid w:val="007244BC"/>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aliases w:val="Style 4,Appel note de bas de p,Style 12,(NECG) Footnote Reference,Style 124,Style 13,o,fr,Style 3,Footnote Reference1"/>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
    <w:basedOn w:val="Normal"/>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CommentReference">
    <w:name w:val="annotation reference"/>
    <w:rsid w:val="003518C7"/>
    <w:rPr>
      <w:sz w:val="16"/>
      <w:szCs w:val="16"/>
    </w:rPr>
  </w:style>
  <w:style w:type="paragraph" w:styleId="CommentText">
    <w:name w:val="annotation text"/>
    <w:basedOn w:val="Normal"/>
    <w:link w:val="CommentTextChar"/>
    <w:rsid w:val="003518C7"/>
    <w:rPr>
      <w:sz w:val="20"/>
    </w:rPr>
  </w:style>
  <w:style w:type="character" w:customStyle="1" w:styleId="CommentTextChar">
    <w:name w:val="Comment Text Char"/>
    <w:link w:val="CommentText"/>
    <w:rsid w:val="003518C7"/>
    <w:rPr>
      <w:rFonts w:eastAsia="Times New Roman"/>
    </w:rPr>
  </w:style>
  <w:style w:type="paragraph" w:styleId="CommentSubject">
    <w:name w:val="annotation subject"/>
    <w:basedOn w:val="CommentText"/>
    <w:next w:val="CommentText"/>
    <w:link w:val="CommentSubjectChar"/>
    <w:rsid w:val="003518C7"/>
    <w:rPr>
      <w:b/>
      <w:bCs/>
    </w:rPr>
  </w:style>
  <w:style w:type="character" w:customStyle="1" w:styleId="CommentSubjectChar">
    <w:name w:val="Comment Subject Char"/>
    <w:link w:val="CommentSubject"/>
    <w:rsid w:val="003518C7"/>
    <w:rPr>
      <w:rFonts w:eastAsia="Times New Roman"/>
      <w:b/>
      <w:bCs/>
    </w:rPr>
  </w:style>
  <w:style w:type="paragraph" w:customStyle="1" w:styleId="ColorfulShading-Accent11">
    <w:name w:val="Colorful Shading - Accent 11"/>
    <w:hidden/>
    <w:uiPriority w:val="99"/>
    <w:semiHidden/>
    <w:rsid w:val="007244BC"/>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cc.gov/wcb/cpd/other_adju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dney.mcdonald@fcc.gov" TargetMode="External"/><Relationship Id="rId2" Type="http://schemas.openxmlformats.org/officeDocument/2006/relationships/styles" Target="styles.xml"/><Relationship Id="rId16" Type="http://schemas.openxmlformats.org/officeDocument/2006/relationships/hyperlink" Target="mailto:carmell.weathers@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702242498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1901</Words>
  <Characters>10733</Characters>
  <Application>Microsoft Office Word</Application>
  <DocSecurity>0</DocSecurity>
  <Lines>158</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12700</CharactersWithSpaces>
  <SharedDoc>false</SharedDoc>
  <HyperlinkBase> </HyperlinkBase>
  <HLinks>
    <vt:vector size="6" baseType="variant">
      <vt:variant>
        <vt:i4>5636172</vt:i4>
      </vt:variant>
      <vt:variant>
        <vt:i4>0</vt:i4>
      </vt:variant>
      <vt:variant>
        <vt:i4>0</vt:i4>
      </vt:variant>
      <vt:variant>
        <vt:i4>5</vt:i4>
      </vt:variant>
      <vt:variant>
        <vt:lpwstr>http://apps.fcc.gov/ecfs/document/view?id=7022424987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2011-10-14T15:41:00Z</cp:lastPrinted>
  <dcterms:created xsi:type="dcterms:W3CDTF">2013-06-28T19:40:00Z</dcterms:created>
  <dcterms:modified xsi:type="dcterms:W3CDTF">2013-06-28T19:40:00Z</dcterms:modified>
  <cp:category> </cp:category>
  <cp:contentStatus> </cp:contentStatus>
</cp:coreProperties>
</file>