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F7"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sectPr w:rsidR="00777BF7" w:rsidSect="00777B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cols w:space="720"/>
          <w:titlePg/>
          <w:docGrid w:linePitch="299"/>
        </w:sectPr>
      </w:pPr>
      <w:bookmarkStart w:id="1" w:name="_GoBack"/>
      <w:bookmarkEnd w:id="1"/>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lastRenderedPageBreak/>
        <w:t>DA 1</w:t>
      </w:r>
      <w:r w:rsidR="00926330">
        <w:rPr>
          <w:b/>
          <w:szCs w:val="22"/>
        </w:rPr>
        <w:t>3</w:t>
      </w:r>
      <w:r>
        <w:rPr>
          <w:b/>
          <w:szCs w:val="22"/>
        </w:rPr>
        <w:t>-</w:t>
      </w:r>
      <w:r w:rsidR="00DF5BD4">
        <w:rPr>
          <w:b/>
          <w:szCs w:val="22"/>
        </w:rPr>
        <w:t>1475</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B6094">
        <w:rPr>
          <w:b/>
          <w:szCs w:val="22"/>
        </w:rPr>
        <w:t>June</w:t>
      </w:r>
      <w:r w:rsidR="00D057A3">
        <w:rPr>
          <w:b/>
          <w:szCs w:val="22"/>
        </w:rPr>
        <w:t xml:space="preserve"> </w:t>
      </w:r>
      <w:r w:rsidR="002C277E">
        <w:rPr>
          <w:b/>
          <w:szCs w:val="22"/>
        </w:rPr>
        <w:t>2</w:t>
      </w:r>
      <w:r w:rsidR="00FC76A3">
        <w:rPr>
          <w:b/>
          <w:szCs w:val="22"/>
        </w:rPr>
        <w:t>8</w:t>
      </w:r>
      <w:r w:rsidR="00D057A3">
        <w:rPr>
          <w:b/>
          <w:szCs w:val="22"/>
        </w:rPr>
        <w:t>, 201</w:t>
      </w:r>
      <w:r w:rsidR="005B4826">
        <w:rPr>
          <w:b/>
          <w:szCs w:val="22"/>
        </w:rPr>
        <w:t>3</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B73D00">
        <w:rPr>
          <w:b/>
          <w:caps/>
          <w:kern w:val="0"/>
          <w:szCs w:val="22"/>
        </w:rPr>
        <w:t>Verizon new jersey inc. and verizon new york inc.</w:t>
      </w:r>
      <w:r>
        <w:rPr>
          <w:b/>
          <w:caps/>
          <w:kern w:val="0"/>
          <w:szCs w:val="22"/>
        </w:rPr>
        <w:t xml:space="preserve"> TO DISCONTINUE DOMESTIC</w:t>
      </w:r>
      <w:r>
        <w:rPr>
          <w:b/>
          <w:kern w:val="0"/>
          <w:szCs w:val="22"/>
        </w:rPr>
        <w:t xml:space="preserve"> TELECOMMUNICATIONS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926330">
        <w:rPr>
          <w:b/>
          <w:kern w:val="0"/>
          <w:szCs w:val="22"/>
        </w:rPr>
        <w:t>3</w:t>
      </w:r>
      <w:r>
        <w:rPr>
          <w:b/>
          <w:kern w:val="0"/>
          <w:szCs w:val="22"/>
        </w:rPr>
        <w:t>-</w:t>
      </w:r>
      <w:r w:rsidR="00181B01">
        <w:rPr>
          <w:b/>
          <w:kern w:val="0"/>
          <w:szCs w:val="22"/>
        </w:rPr>
        <w:t>150</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B6094">
        <w:rPr>
          <w:b/>
          <w:kern w:val="0"/>
          <w:szCs w:val="22"/>
        </w:rPr>
        <w:t>115</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B60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July </w:t>
      </w:r>
      <w:r w:rsidR="002C277E">
        <w:rPr>
          <w:b/>
          <w:kern w:val="0"/>
          <w:szCs w:val="22"/>
        </w:rPr>
        <w:t>2</w:t>
      </w:r>
      <w:r w:rsidR="00203892">
        <w:rPr>
          <w:b/>
          <w:kern w:val="0"/>
          <w:szCs w:val="22"/>
        </w:rPr>
        <w:t>9</w:t>
      </w:r>
      <w:r w:rsidR="00D057A3">
        <w:rPr>
          <w:b/>
          <w:kern w:val="0"/>
          <w:szCs w:val="22"/>
        </w:rPr>
        <w:t>, 201</w:t>
      </w:r>
      <w:r w:rsidR="00E90D1A">
        <w:rPr>
          <w:b/>
          <w:kern w:val="0"/>
          <w:szCs w:val="22"/>
        </w:rPr>
        <w:t>3</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A33B19" w:rsidRPr="00A33B19">
        <w:rPr>
          <w:b/>
          <w:szCs w:val="22"/>
        </w:rPr>
        <w:t xml:space="preserve">Verizon </w:t>
      </w:r>
      <w:r w:rsidR="00B31CAE">
        <w:rPr>
          <w:b/>
          <w:szCs w:val="22"/>
        </w:rPr>
        <w:t>N</w:t>
      </w:r>
      <w:r w:rsidR="00A33B19" w:rsidRPr="00A33B19">
        <w:rPr>
          <w:b/>
          <w:szCs w:val="22"/>
        </w:rPr>
        <w:t xml:space="preserve">ew </w:t>
      </w:r>
      <w:r w:rsidR="00B31CAE">
        <w:rPr>
          <w:b/>
          <w:szCs w:val="22"/>
        </w:rPr>
        <w:t>J</w:t>
      </w:r>
      <w:r w:rsidR="00A33B19" w:rsidRPr="00A33B19">
        <w:rPr>
          <w:b/>
          <w:szCs w:val="22"/>
        </w:rPr>
        <w:t xml:space="preserve">ersey </w:t>
      </w:r>
      <w:r w:rsidR="00B31CAE">
        <w:rPr>
          <w:b/>
          <w:szCs w:val="22"/>
        </w:rPr>
        <w:t>I</w:t>
      </w:r>
      <w:r w:rsidR="00A33B19" w:rsidRPr="00A33B19">
        <w:rPr>
          <w:b/>
          <w:szCs w:val="22"/>
        </w:rPr>
        <w:t>nc.</w:t>
      </w:r>
      <w:r w:rsidR="00B73D00">
        <w:rPr>
          <w:b/>
          <w:szCs w:val="22"/>
        </w:rPr>
        <w:t xml:space="preserve"> and </w:t>
      </w:r>
      <w:r w:rsidR="00A33B19" w:rsidRPr="00A33B19">
        <w:rPr>
          <w:b/>
          <w:szCs w:val="22"/>
        </w:rPr>
        <w:t>Verizon</w:t>
      </w:r>
      <w:r w:rsidR="00B31CAE">
        <w:rPr>
          <w:b/>
          <w:szCs w:val="22"/>
        </w:rPr>
        <w:t xml:space="preserve"> N</w:t>
      </w:r>
      <w:r w:rsidR="00A33B19" w:rsidRPr="00A33B19">
        <w:rPr>
          <w:b/>
          <w:szCs w:val="22"/>
        </w:rPr>
        <w:t xml:space="preserve">ew York </w:t>
      </w:r>
      <w:r w:rsidR="00B31CAE">
        <w:rPr>
          <w:b/>
          <w:szCs w:val="22"/>
        </w:rPr>
        <w:t>I</w:t>
      </w:r>
      <w:r w:rsidR="00A33B19" w:rsidRPr="00A33B19">
        <w:rPr>
          <w:b/>
          <w:szCs w:val="22"/>
        </w:rPr>
        <w:t>nc.</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66351"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B73D00">
        <w:rPr>
          <w:b/>
          <w:spacing w:val="-3"/>
          <w:szCs w:val="22"/>
        </w:rPr>
        <w:t>June 7</w:t>
      </w:r>
      <w:r w:rsidR="00366351">
        <w:rPr>
          <w:b/>
          <w:spacing w:val="-3"/>
          <w:szCs w:val="22"/>
        </w:rPr>
        <w:t>, 201</w:t>
      </w:r>
      <w:r w:rsidR="00B73D00">
        <w:rPr>
          <w:b/>
          <w:spacing w:val="-3"/>
          <w:szCs w:val="22"/>
        </w:rPr>
        <w:t>3</w:t>
      </w:r>
      <w:r w:rsidR="00366351">
        <w:rPr>
          <w:b/>
          <w:spacing w:val="-3"/>
          <w:szCs w:val="22"/>
        </w:rPr>
        <w:t xml:space="preserve">, </w:t>
      </w:r>
      <w:r w:rsidR="00366351" w:rsidRPr="001C17EA">
        <w:rPr>
          <w:b/>
          <w:szCs w:val="22"/>
        </w:rPr>
        <w:t>Verizon New Jersey Inc.</w:t>
      </w:r>
      <w:r w:rsidR="00366351">
        <w:rPr>
          <w:szCs w:val="22"/>
        </w:rPr>
        <w:t xml:space="preserve">, located at </w:t>
      </w:r>
      <w:r w:rsidR="00366351" w:rsidRPr="001C17EA">
        <w:rPr>
          <w:b/>
          <w:szCs w:val="22"/>
        </w:rPr>
        <w:t>540 Broad Street, Newark, NJ 07102</w:t>
      </w:r>
      <w:r w:rsidR="00B73D00">
        <w:rPr>
          <w:szCs w:val="22"/>
        </w:rPr>
        <w:t xml:space="preserve"> and </w:t>
      </w:r>
      <w:r w:rsidR="00366351" w:rsidRPr="001C17EA">
        <w:rPr>
          <w:b/>
          <w:szCs w:val="22"/>
        </w:rPr>
        <w:t>Verizon New York Inc.</w:t>
      </w:r>
      <w:r w:rsidR="00366351">
        <w:rPr>
          <w:szCs w:val="22"/>
        </w:rPr>
        <w:t xml:space="preserve">, located at </w:t>
      </w:r>
      <w:r w:rsidR="00366351" w:rsidRPr="001C17EA">
        <w:rPr>
          <w:b/>
          <w:szCs w:val="22"/>
        </w:rPr>
        <w:t>140 West Street, New York, NY 10007</w:t>
      </w:r>
      <w:r w:rsidR="00366351">
        <w:rPr>
          <w:szCs w:val="22"/>
        </w:rPr>
        <w:t xml:space="preserve"> </w:t>
      </w:r>
      <w:r w:rsidR="00366351">
        <w:rPr>
          <w:spacing w:val="-3"/>
          <w:szCs w:val="22"/>
        </w:rPr>
        <w:t>(collectively</w:t>
      </w:r>
      <w:r w:rsidR="00900518">
        <w:rPr>
          <w:spacing w:val="-3"/>
          <w:szCs w:val="22"/>
        </w:rPr>
        <w:t>,</w:t>
      </w:r>
      <w:r w:rsidR="00366351">
        <w:rPr>
          <w:spacing w:val="-3"/>
          <w:szCs w:val="22"/>
        </w:rPr>
        <w:t xml:space="preserve"> Verizon or Applicants), filed a</w:t>
      </w:r>
      <w:r w:rsidR="00063EC4">
        <w:rPr>
          <w:spacing w:val="-3"/>
          <w:szCs w:val="22"/>
        </w:rPr>
        <w:t>n</w:t>
      </w:r>
      <w:r w:rsidR="00366351">
        <w:rPr>
          <w:spacing w:val="-3"/>
          <w:szCs w:val="22"/>
        </w:rPr>
        <w:t xml:space="preserve"> application </w:t>
      </w:r>
      <w:r w:rsidR="00366351">
        <w:rPr>
          <w:szCs w:val="22"/>
        </w:rPr>
        <w:t>requesting authority under section 214 of the Communications Act of 1934, as amended, 47 U.S.C. §</w:t>
      </w:r>
      <w:r w:rsidR="007506E8">
        <w:rPr>
          <w:szCs w:val="22"/>
        </w:rPr>
        <w:t> </w:t>
      </w:r>
      <w:r w:rsidR="00366351">
        <w:rPr>
          <w:szCs w:val="22"/>
        </w:rPr>
        <w:t xml:space="preserve">214, and section 63.71 of the </w:t>
      </w:r>
      <w:r w:rsidR="00063EC4">
        <w:rPr>
          <w:szCs w:val="22"/>
        </w:rPr>
        <w:t xml:space="preserve">Federal Communications Commission’s (FCC or Commission) </w:t>
      </w:r>
      <w:r w:rsidR="00366351">
        <w:rPr>
          <w:szCs w:val="22"/>
        </w:rPr>
        <w:t>rules, 47 C.F.R. § 63.71, to discontinue certain domestic telecommunications service</w:t>
      </w:r>
      <w:r w:rsidR="00DE55DB">
        <w:rPr>
          <w:szCs w:val="22"/>
        </w:rPr>
        <w:t>s</w:t>
      </w:r>
      <w:r w:rsidR="00366351">
        <w:rPr>
          <w:szCs w:val="22"/>
        </w:rPr>
        <w:t xml:space="preserve"> </w:t>
      </w:r>
      <w:r w:rsidR="00B73D00">
        <w:rPr>
          <w:szCs w:val="22"/>
        </w:rPr>
        <w:t xml:space="preserve">in </w:t>
      </w:r>
      <w:r w:rsidR="000474A1">
        <w:rPr>
          <w:szCs w:val="22"/>
        </w:rPr>
        <w:t xml:space="preserve">certain </w:t>
      </w:r>
      <w:r w:rsidR="00B73D00">
        <w:rPr>
          <w:szCs w:val="22"/>
        </w:rPr>
        <w:t xml:space="preserve">parts of </w:t>
      </w:r>
      <w:r w:rsidR="00366351">
        <w:rPr>
          <w:szCs w:val="22"/>
        </w:rPr>
        <w:t>New Jersey</w:t>
      </w:r>
      <w:r w:rsidR="00B73D00">
        <w:rPr>
          <w:szCs w:val="22"/>
        </w:rPr>
        <w:t xml:space="preserve"> and </w:t>
      </w:r>
      <w:r w:rsidR="00366351">
        <w:rPr>
          <w:szCs w:val="22"/>
        </w:rPr>
        <w:t>New York</w:t>
      </w:r>
      <w:r w:rsidR="00572338">
        <w:rPr>
          <w:szCs w:val="22"/>
        </w:rPr>
        <w:t xml:space="preserve"> affected by Hurricane Sandy</w:t>
      </w:r>
      <w:r w:rsidR="00366351">
        <w:rPr>
          <w:szCs w:val="22"/>
        </w:rPr>
        <w:t>.</w:t>
      </w:r>
      <w:r w:rsidR="003275E6">
        <w:rPr>
          <w:rStyle w:val="FootnoteReference"/>
          <w:szCs w:val="22"/>
        </w:rPr>
        <w:footnoteReference w:id="2"/>
      </w:r>
      <w:r w:rsidR="003D1F8D">
        <w:rPr>
          <w:szCs w:val="22"/>
        </w:rPr>
        <w:t xml:space="preserve">  On June 14, 2013, Verizon filed a letter to update the record regarding notice to affected customers.</w:t>
      </w:r>
      <w:r w:rsidR="003D1F8D">
        <w:rPr>
          <w:rStyle w:val="FootnoteReference"/>
          <w:szCs w:val="22"/>
        </w:rPr>
        <w:footnoteReference w:id="3"/>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4507" w:rsidRPr="00063EC4"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063EC4" w:rsidRPr="00063EC4">
        <w:rPr>
          <w:i/>
          <w:szCs w:val="22"/>
        </w:rPr>
        <w:t>Request to Discontinue Service</w:t>
      </w:r>
      <w:r w:rsidR="00063EC4">
        <w:rPr>
          <w:i/>
          <w:szCs w:val="22"/>
        </w:rPr>
        <w:t>s</w:t>
      </w:r>
      <w:r w:rsidR="00063EC4" w:rsidRPr="00D93398">
        <w:rPr>
          <w:szCs w:val="22"/>
        </w:rPr>
        <w:t>.</w:t>
      </w:r>
      <w:r w:rsidR="00063EC4">
        <w:rPr>
          <w:b/>
          <w:szCs w:val="22"/>
        </w:rPr>
        <w:t xml:space="preserve">  </w:t>
      </w:r>
      <w:r w:rsidR="00366351">
        <w:rPr>
          <w:szCs w:val="22"/>
        </w:rPr>
        <w:t>The app</w:t>
      </w:r>
      <w:r w:rsidR="009B3310">
        <w:rPr>
          <w:szCs w:val="22"/>
        </w:rPr>
        <w:t>lication indicates that Verizon has been offering interstate wireline telecommunications services, including interstate interexchange and exchange access service</w:t>
      </w:r>
      <w:r w:rsidR="005A3B6F">
        <w:rPr>
          <w:szCs w:val="22"/>
        </w:rPr>
        <w:t xml:space="preserve"> (collectively, Affected Services)</w:t>
      </w:r>
      <w:r w:rsidR="009B3310">
        <w:rPr>
          <w:szCs w:val="22"/>
        </w:rPr>
        <w:t>, to customers in New Jersey and New York.</w:t>
      </w:r>
      <w:r w:rsidR="000474A1">
        <w:rPr>
          <w:rStyle w:val="FootnoteReference"/>
          <w:szCs w:val="22"/>
        </w:rPr>
        <w:footnoteReference w:id="4"/>
      </w:r>
      <w:r w:rsidR="009B3310">
        <w:rPr>
          <w:szCs w:val="22"/>
        </w:rPr>
        <w:t xml:space="preserve">  </w:t>
      </w:r>
      <w:r w:rsidR="00900518">
        <w:rPr>
          <w:szCs w:val="22"/>
        </w:rPr>
        <w:t xml:space="preserve">Verizon </w:t>
      </w:r>
      <w:r w:rsidR="0028292C">
        <w:rPr>
          <w:szCs w:val="22"/>
        </w:rPr>
        <w:t>asserts</w:t>
      </w:r>
      <w:r w:rsidR="00900518">
        <w:rPr>
          <w:szCs w:val="22"/>
        </w:rPr>
        <w:t xml:space="preserve"> that copper wireline facilities used to provide these services in certain parts of New Jersey and New York were destroyed </w:t>
      </w:r>
      <w:r w:rsidR="003C15A8">
        <w:rPr>
          <w:szCs w:val="22"/>
        </w:rPr>
        <w:t>or</w:t>
      </w:r>
      <w:r w:rsidR="00900518">
        <w:rPr>
          <w:szCs w:val="22"/>
        </w:rPr>
        <w:t xml:space="preserve"> rendered inoperable by Hurricane Sandy on or after October 29, 2012.</w:t>
      </w:r>
      <w:r w:rsidR="000474A1">
        <w:rPr>
          <w:rStyle w:val="FootnoteReference"/>
          <w:szCs w:val="22"/>
        </w:rPr>
        <w:footnoteReference w:id="5"/>
      </w:r>
      <w:r w:rsidR="00900518">
        <w:rPr>
          <w:szCs w:val="22"/>
        </w:rPr>
        <w:t xml:space="preserve">  </w:t>
      </w:r>
      <w:r w:rsidR="0028292C">
        <w:rPr>
          <w:szCs w:val="22"/>
        </w:rPr>
        <w:t xml:space="preserve">Verizon specifies </w:t>
      </w:r>
      <w:r w:rsidR="003C15A8">
        <w:rPr>
          <w:szCs w:val="22"/>
        </w:rPr>
        <w:t xml:space="preserve">that </w:t>
      </w:r>
      <w:r w:rsidR="007405BA">
        <w:rPr>
          <w:szCs w:val="22"/>
        </w:rPr>
        <w:t xml:space="preserve">areas particularly affected by the storm include </w:t>
      </w:r>
      <w:r w:rsidR="0028292C">
        <w:rPr>
          <w:szCs w:val="22"/>
        </w:rPr>
        <w:t xml:space="preserve">the western and central region of Fire Island in New York, starting at the far western section of Kismet and ending at the far eastern section of Point O’ Woods, and portions of the </w:t>
      </w:r>
      <w:r w:rsidR="00793046">
        <w:rPr>
          <w:szCs w:val="22"/>
        </w:rPr>
        <w:t>b</w:t>
      </w:r>
      <w:r w:rsidR="0028292C">
        <w:rPr>
          <w:szCs w:val="22"/>
        </w:rPr>
        <w:t xml:space="preserve">arrier </w:t>
      </w:r>
      <w:r w:rsidR="00793046">
        <w:rPr>
          <w:szCs w:val="22"/>
        </w:rPr>
        <w:t>i</w:t>
      </w:r>
      <w:r w:rsidR="0028292C">
        <w:rPr>
          <w:szCs w:val="22"/>
        </w:rPr>
        <w:t xml:space="preserve">sland communities of </w:t>
      </w:r>
      <w:r w:rsidR="00BC1EDE">
        <w:rPr>
          <w:szCs w:val="22"/>
        </w:rPr>
        <w:t xml:space="preserve">Bay Head, Brick and </w:t>
      </w:r>
      <w:r w:rsidR="0028292C">
        <w:rPr>
          <w:szCs w:val="22"/>
        </w:rPr>
        <w:t xml:space="preserve">Mantoloking in New </w:t>
      </w:r>
      <w:r w:rsidR="0028292C">
        <w:rPr>
          <w:szCs w:val="22"/>
        </w:rPr>
        <w:lastRenderedPageBreak/>
        <w:t>Jersey (</w:t>
      </w:r>
      <w:r w:rsidR="0014430E">
        <w:rPr>
          <w:szCs w:val="22"/>
        </w:rPr>
        <w:t>Service</w:t>
      </w:r>
      <w:r w:rsidR="0028292C">
        <w:rPr>
          <w:szCs w:val="22"/>
        </w:rPr>
        <w:t xml:space="preserve"> Areas)</w:t>
      </w:r>
      <w:r w:rsidR="00BC1EDE">
        <w:rPr>
          <w:szCs w:val="22"/>
        </w:rPr>
        <w:t>.</w:t>
      </w:r>
      <w:r w:rsidR="000474A1">
        <w:rPr>
          <w:rStyle w:val="FootnoteReference"/>
          <w:szCs w:val="22"/>
        </w:rPr>
        <w:footnoteReference w:id="6"/>
      </w:r>
      <w:r w:rsidR="00BC1EDE">
        <w:rPr>
          <w:szCs w:val="22"/>
        </w:rPr>
        <w:t xml:space="preserve">  </w:t>
      </w:r>
      <w:r w:rsidR="007405BA">
        <w:rPr>
          <w:szCs w:val="22"/>
        </w:rPr>
        <w:t xml:space="preserve">Verizon </w:t>
      </w:r>
      <w:r w:rsidR="00766ED5">
        <w:rPr>
          <w:szCs w:val="22"/>
        </w:rPr>
        <w:t>states</w:t>
      </w:r>
      <w:r w:rsidR="007405BA">
        <w:rPr>
          <w:szCs w:val="22"/>
        </w:rPr>
        <w:t xml:space="preserve"> that the extent of the destruction from Hurricane Sandy required substantial effort to ascertain which facilities were no longer working and to identify possible solutions in storm-vulnerable areas.  According to Verizon, residents in portions of the </w:t>
      </w:r>
      <w:r w:rsidR="0058037F">
        <w:rPr>
          <w:szCs w:val="22"/>
        </w:rPr>
        <w:t>b</w:t>
      </w:r>
      <w:r w:rsidR="007405BA">
        <w:rPr>
          <w:szCs w:val="22"/>
        </w:rPr>
        <w:t xml:space="preserve">arrier </w:t>
      </w:r>
      <w:r w:rsidR="0058037F">
        <w:rPr>
          <w:szCs w:val="22"/>
        </w:rPr>
        <w:t>i</w:t>
      </w:r>
      <w:r w:rsidR="007405BA">
        <w:rPr>
          <w:szCs w:val="22"/>
        </w:rPr>
        <w:t>slands</w:t>
      </w:r>
      <w:r w:rsidR="003C15A8">
        <w:rPr>
          <w:szCs w:val="22"/>
        </w:rPr>
        <w:t xml:space="preserve"> </w:t>
      </w:r>
      <w:r w:rsidR="007405BA">
        <w:rPr>
          <w:szCs w:val="22"/>
        </w:rPr>
        <w:t>are just starting to return</w:t>
      </w:r>
      <w:r w:rsidR="009D1329">
        <w:rPr>
          <w:szCs w:val="22"/>
        </w:rPr>
        <w:t>,</w:t>
      </w:r>
      <w:r w:rsidR="007405BA">
        <w:rPr>
          <w:szCs w:val="22"/>
        </w:rPr>
        <w:t xml:space="preserve"> and damage varies from house to house in parts of western Fire Island</w:t>
      </w:r>
      <w:r w:rsidR="0064000B">
        <w:rPr>
          <w:szCs w:val="22"/>
        </w:rPr>
        <w:t>,</w:t>
      </w:r>
      <w:r w:rsidR="007405BA">
        <w:rPr>
          <w:szCs w:val="22"/>
        </w:rPr>
        <w:t xml:space="preserve"> </w:t>
      </w:r>
      <w:r w:rsidR="003C15A8">
        <w:rPr>
          <w:szCs w:val="22"/>
        </w:rPr>
        <w:t>w</w:t>
      </w:r>
      <w:r w:rsidR="007405BA">
        <w:rPr>
          <w:szCs w:val="22"/>
        </w:rPr>
        <w:t xml:space="preserve">ith some homes </w:t>
      </w:r>
      <w:r w:rsidR="003B60BB">
        <w:rPr>
          <w:szCs w:val="22"/>
        </w:rPr>
        <w:t xml:space="preserve">having no </w:t>
      </w:r>
      <w:r w:rsidR="007405BA">
        <w:rPr>
          <w:szCs w:val="22"/>
        </w:rPr>
        <w:t xml:space="preserve">service and others able to </w:t>
      </w:r>
      <w:r w:rsidR="00B05746">
        <w:rPr>
          <w:szCs w:val="22"/>
        </w:rPr>
        <w:t xml:space="preserve">receive service over </w:t>
      </w:r>
      <w:r w:rsidR="007405BA">
        <w:rPr>
          <w:szCs w:val="22"/>
        </w:rPr>
        <w:t>existing copper facilities</w:t>
      </w:r>
      <w:r w:rsidR="007F4507">
        <w:rPr>
          <w:szCs w:val="22"/>
        </w:rPr>
        <w:t>.</w:t>
      </w:r>
      <w:r w:rsidR="00302186">
        <w:rPr>
          <w:rStyle w:val="FootnoteReference"/>
          <w:szCs w:val="22"/>
        </w:rPr>
        <w:footnoteReference w:id="7"/>
      </w:r>
    </w:p>
    <w:p w:rsidR="007F4507" w:rsidRDefault="007F45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4896" w:rsidRDefault="007F45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D1329">
        <w:rPr>
          <w:szCs w:val="22"/>
        </w:rPr>
        <w:t xml:space="preserve">Verizon asserts that new deployment of wireline facilities in the </w:t>
      </w:r>
      <w:r w:rsidR="0014430E">
        <w:rPr>
          <w:szCs w:val="22"/>
        </w:rPr>
        <w:t>Service Areas</w:t>
      </w:r>
      <w:r w:rsidR="009D1329">
        <w:rPr>
          <w:szCs w:val="22"/>
        </w:rPr>
        <w:t xml:space="preserve"> would be impractical </w:t>
      </w:r>
      <w:r w:rsidR="00036935">
        <w:rPr>
          <w:szCs w:val="22"/>
        </w:rPr>
        <w:t xml:space="preserve">because </w:t>
      </w:r>
      <w:r w:rsidR="009D1329">
        <w:rPr>
          <w:szCs w:val="22"/>
        </w:rPr>
        <w:t xml:space="preserve">the repair or replacement of damaged facilities </w:t>
      </w:r>
      <w:r w:rsidR="00626DBC">
        <w:rPr>
          <w:szCs w:val="22"/>
        </w:rPr>
        <w:t>“</w:t>
      </w:r>
      <w:r w:rsidR="003B60BB">
        <w:rPr>
          <w:szCs w:val="22"/>
        </w:rPr>
        <w:t xml:space="preserve">would </w:t>
      </w:r>
      <w:r w:rsidR="009D1329">
        <w:rPr>
          <w:szCs w:val="22"/>
        </w:rPr>
        <w:t>requir</w:t>
      </w:r>
      <w:r w:rsidR="003B60BB">
        <w:rPr>
          <w:szCs w:val="22"/>
        </w:rPr>
        <w:t xml:space="preserve">e </w:t>
      </w:r>
      <w:r w:rsidR="009D1329">
        <w:rPr>
          <w:szCs w:val="22"/>
        </w:rPr>
        <w:t>significant work</w:t>
      </w:r>
      <w:r w:rsidR="00626DBC">
        <w:rPr>
          <w:szCs w:val="22"/>
        </w:rPr>
        <w:t>”</w:t>
      </w:r>
      <w:r w:rsidR="003B60BB">
        <w:rPr>
          <w:szCs w:val="22"/>
        </w:rPr>
        <w:t xml:space="preserve"> and </w:t>
      </w:r>
      <w:r w:rsidR="00626DBC">
        <w:rPr>
          <w:szCs w:val="22"/>
        </w:rPr>
        <w:t>“</w:t>
      </w:r>
      <w:r w:rsidR="009D1329">
        <w:rPr>
          <w:szCs w:val="22"/>
        </w:rPr>
        <w:t>exacerbate existing infrastructure issues</w:t>
      </w:r>
      <w:r w:rsidR="00626DBC">
        <w:rPr>
          <w:szCs w:val="22"/>
        </w:rPr>
        <w:t>,</w:t>
      </w:r>
      <w:r w:rsidR="009D1329">
        <w:rPr>
          <w:szCs w:val="22"/>
        </w:rPr>
        <w:t xml:space="preserve"> and </w:t>
      </w:r>
      <w:r w:rsidR="00054F57">
        <w:rPr>
          <w:szCs w:val="22"/>
        </w:rPr>
        <w:t xml:space="preserve">would </w:t>
      </w:r>
      <w:r w:rsidR="009D1329">
        <w:rPr>
          <w:szCs w:val="22"/>
        </w:rPr>
        <w:t>delay the restoration of service for many customers for several months.</w:t>
      </w:r>
      <w:r w:rsidR="00626DBC">
        <w:rPr>
          <w:szCs w:val="22"/>
        </w:rPr>
        <w:t>”</w:t>
      </w:r>
      <w:r w:rsidR="009D1329">
        <w:rPr>
          <w:szCs w:val="22"/>
        </w:rPr>
        <w:t xml:space="preserve">  </w:t>
      </w:r>
      <w:r w:rsidR="007A080C">
        <w:rPr>
          <w:szCs w:val="22"/>
        </w:rPr>
        <w:t xml:space="preserve">For example, </w:t>
      </w:r>
      <w:r w:rsidR="009D1329">
        <w:rPr>
          <w:szCs w:val="22"/>
        </w:rPr>
        <w:t xml:space="preserve">Verizon states that the extent of the damage on Fire Island </w:t>
      </w:r>
      <w:r w:rsidR="00626DBC">
        <w:rPr>
          <w:szCs w:val="22"/>
        </w:rPr>
        <w:t>“</w:t>
      </w:r>
      <w:r w:rsidR="009D1329">
        <w:rPr>
          <w:szCs w:val="22"/>
        </w:rPr>
        <w:t>would require digging up the island’s main road at repeated intervals</w:t>
      </w:r>
      <w:r w:rsidR="00626DBC">
        <w:rPr>
          <w:szCs w:val="22"/>
        </w:rPr>
        <w:t>”</w:t>
      </w:r>
      <w:r w:rsidR="00063EC4">
        <w:rPr>
          <w:szCs w:val="22"/>
        </w:rPr>
        <w:t>,</w:t>
      </w:r>
      <w:r w:rsidR="009D1329">
        <w:rPr>
          <w:szCs w:val="22"/>
        </w:rPr>
        <w:t xml:space="preserve"> causing inconvenience to customers</w:t>
      </w:r>
      <w:r w:rsidR="005A3B6F">
        <w:rPr>
          <w:szCs w:val="22"/>
        </w:rPr>
        <w:t xml:space="preserve">.  Verizon also maintains that </w:t>
      </w:r>
      <w:r w:rsidR="009D1329">
        <w:rPr>
          <w:szCs w:val="22"/>
        </w:rPr>
        <w:t xml:space="preserve">it is likely that </w:t>
      </w:r>
      <w:r w:rsidR="007A080C">
        <w:rPr>
          <w:szCs w:val="22"/>
        </w:rPr>
        <w:t>restoration</w:t>
      </w:r>
      <w:r w:rsidR="009D1329">
        <w:rPr>
          <w:szCs w:val="22"/>
        </w:rPr>
        <w:t xml:space="preserve"> attempts would be temporary, </w:t>
      </w:r>
      <w:r w:rsidR="00035EBF">
        <w:rPr>
          <w:szCs w:val="22"/>
        </w:rPr>
        <w:t>“</w:t>
      </w:r>
      <w:r w:rsidR="009D1329">
        <w:rPr>
          <w:szCs w:val="22"/>
        </w:rPr>
        <w:t>given the prevalence of storms</w:t>
      </w:r>
      <w:r w:rsidR="00035EBF">
        <w:rPr>
          <w:szCs w:val="22"/>
        </w:rPr>
        <w:t>”</w:t>
      </w:r>
      <w:r w:rsidR="009D1329">
        <w:rPr>
          <w:szCs w:val="22"/>
        </w:rPr>
        <w:t xml:space="preserve"> and ongoing possibility of </w:t>
      </w:r>
      <w:r w:rsidR="00035EBF">
        <w:rPr>
          <w:szCs w:val="22"/>
        </w:rPr>
        <w:t>“</w:t>
      </w:r>
      <w:r w:rsidR="009D1329">
        <w:rPr>
          <w:szCs w:val="22"/>
        </w:rPr>
        <w:t>ground and seawater contamination</w:t>
      </w:r>
      <w:r w:rsidR="00035EBF">
        <w:rPr>
          <w:szCs w:val="22"/>
        </w:rPr>
        <w:t>”</w:t>
      </w:r>
      <w:r w:rsidR="009D1329">
        <w:rPr>
          <w:szCs w:val="22"/>
        </w:rPr>
        <w:t xml:space="preserve"> </w:t>
      </w:r>
      <w:r w:rsidR="0000534F">
        <w:rPr>
          <w:szCs w:val="22"/>
        </w:rPr>
        <w:t xml:space="preserve">in the </w:t>
      </w:r>
      <w:r w:rsidR="0014430E">
        <w:rPr>
          <w:szCs w:val="22"/>
        </w:rPr>
        <w:t>Service Areas</w:t>
      </w:r>
      <w:r w:rsidR="0000534F">
        <w:rPr>
          <w:szCs w:val="22"/>
        </w:rPr>
        <w:t>.</w:t>
      </w:r>
      <w:r w:rsidR="00993366">
        <w:rPr>
          <w:rStyle w:val="FootnoteReference"/>
          <w:szCs w:val="22"/>
        </w:rPr>
        <w:footnoteReference w:id="8"/>
      </w:r>
      <w:r w:rsidR="0000534F">
        <w:rPr>
          <w:szCs w:val="22"/>
        </w:rPr>
        <w:t xml:space="preserve">  </w:t>
      </w:r>
      <w:r w:rsidR="00036935">
        <w:rPr>
          <w:szCs w:val="22"/>
        </w:rPr>
        <w:t xml:space="preserve">Accordingly, Verizon </w:t>
      </w:r>
      <w:r w:rsidR="000E2BC9">
        <w:rPr>
          <w:szCs w:val="22"/>
        </w:rPr>
        <w:t xml:space="preserve">seeks authority to discontinue interstate wireline telecommunications services including interstate interexchange and exchange access services in the </w:t>
      </w:r>
      <w:r w:rsidR="0014430E">
        <w:rPr>
          <w:szCs w:val="22"/>
        </w:rPr>
        <w:t>Service Areas</w:t>
      </w:r>
      <w:r w:rsidR="000E2BC9">
        <w:rPr>
          <w:szCs w:val="22"/>
        </w:rPr>
        <w:t xml:space="preserve"> on or after October 29, 2012 as a result of damage from Hurricane Sandy, and to grandfather these services </w:t>
      </w:r>
      <w:r w:rsidR="00094607">
        <w:rPr>
          <w:szCs w:val="22"/>
        </w:rPr>
        <w:t xml:space="preserve">in the Service Areas </w:t>
      </w:r>
      <w:r w:rsidR="000E2BC9">
        <w:rPr>
          <w:szCs w:val="22"/>
        </w:rPr>
        <w:t xml:space="preserve">for customers </w:t>
      </w:r>
      <w:r w:rsidR="00094607">
        <w:rPr>
          <w:szCs w:val="22"/>
        </w:rPr>
        <w:t xml:space="preserve">using </w:t>
      </w:r>
      <w:r w:rsidR="000E2BC9">
        <w:rPr>
          <w:szCs w:val="22"/>
        </w:rPr>
        <w:t xml:space="preserve">copper facilities </w:t>
      </w:r>
      <w:r w:rsidR="00094607">
        <w:rPr>
          <w:szCs w:val="22"/>
        </w:rPr>
        <w:t xml:space="preserve">that </w:t>
      </w:r>
      <w:r w:rsidR="000E2BC9">
        <w:rPr>
          <w:szCs w:val="22"/>
        </w:rPr>
        <w:t>are still working</w:t>
      </w:r>
      <w:r w:rsidR="005A3B6F">
        <w:rPr>
          <w:szCs w:val="22"/>
        </w:rPr>
        <w:t>.</w:t>
      </w:r>
      <w:r w:rsidR="000E2BC9">
        <w:rPr>
          <w:rStyle w:val="FootnoteReference"/>
          <w:szCs w:val="22"/>
        </w:rPr>
        <w:footnoteReference w:id="9"/>
      </w:r>
      <w:r w:rsidR="005A3B6F">
        <w:rPr>
          <w:szCs w:val="22"/>
        </w:rPr>
        <w:t xml:space="preserve">  </w:t>
      </w:r>
      <w:r w:rsidR="00DA716E">
        <w:rPr>
          <w:szCs w:val="22"/>
        </w:rPr>
        <w:t xml:space="preserve">Verizon states that it provided notice to all retail wireline customers in the </w:t>
      </w:r>
      <w:r w:rsidR="0014430E">
        <w:rPr>
          <w:szCs w:val="22"/>
        </w:rPr>
        <w:t>Service Areas</w:t>
      </w:r>
      <w:r w:rsidR="00DA716E">
        <w:rPr>
          <w:szCs w:val="22"/>
        </w:rPr>
        <w:t xml:space="preserve"> via U.S. mail on June 6 and 7, 2013.  </w:t>
      </w:r>
      <w:r w:rsidR="00E64896">
        <w:rPr>
          <w:szCs w:val="22"/>
        </w:rPr>
        <w:t xml:space="preserve">In addition, Verizon states that, on June 7, 2013, it provided notice to </w:t>
      </w:r>
      <w:r w:rsidR="00094607">
        <w:rPr>
          <w:szCs w:val="22"/>
        </w:rPr>
        <w:t>a</w:t>
      </w:r>
      <w:r w:rsidR="00E64896">
        <w:rPr>
          <w:szCs w:val="22"/>
        </w:rPr>
        <w:t xml:space="preserve">ll </w:t>
      </w:r>
      <w:r w:rsidR="00094607">
        <w:rPr>
          <w:szCs w:val="22"/>
        </w:rPr>
        <w:t>u</w:t>
      </w:r>
      <w:r w:rsidR="00E64896">
        <w:rPr>
          <w:szCs w:val="22"/>
        </w:rPr>
        <w:t xml:space="preserve">sers of </w:t>
      </w:r>
      <w:r w:rsidR="00094607">
        <w:rPr>
          <w:szCs w:val="22"/>
        </w:rPr>
        <w:t>a</w:t>
      </w:r>
      <w:r w:rsidR="00E64896">
        <w:rPr>
          <w:szCs w:val="22"/>
        </w:rPr>
        <w:t>ccess via email and by posting on its website, in accordance with established procedures for notification to those entities.</w:t>
      </w:r>
      <w:r w:rsidR="0026401C">
        <w:rPr>
          <w:rStyle w:val="FootnoteReference"/>
          <w:szCs w:val="22"/>
        </w:rPr>
        <w:footnoteReference w:id="10"/>
      </w:r>
      <w:r w:rsidR="00E64896">
        <w:rPr>
          <w:szCs w:val="22"/>
        </w:rPr>
        <w:t xml:space="preserve">  </w:t>
      </w:r>
      <w:r w:rsidR="00DA716E">
        <w:rPr>
          <w:szCs w:val="22"/>
        </w:rPr>
        <w:t xml:space="preserve">The application indicates that Verizon is considered dominant </w:t>
      </w:r>
      <w:r w:rsidR="00E64896">
        <w:rPr>
          <w:szCs w:val="22"/>
        </w:rPr>
        <w:t xml:space="preserve">under the Commission’s rules </w:t>
      </w:r>
      <w:r w:rsidR="00DA716E">
        <w:rPr>
          <w:szCs w:val="22"/>
        </w:rPr>
        <w:t>with respect to the services to be discontinued.</w:t>
      </w:r>
      <w:r w:rsidR="0026401C">
        <w:rPr>
          <w:rStyle w:val="FootnoteReference"/>
          <w:szCs w:val="22"/>
        </w:rPr>
        <w:footnoteReference w:id="11"/>
      </w:r>
    </w:p>
    <w:p w:rsidR="00E64896" w:rsidRDefault="00E648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63EC4" w:rsidRPr="00063EC4" w:rsidRDefault="00063E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Pr>
          <w:i/>
          <w:szCs w:val="22"/>
        </w:rPr>
        <w:t>Request for Waiver of Timing Requirements</w:t>
      </w:r>
      <w:r w:rsidRPr="00063EC4">
        <w:rPr>
          <w:szCs w:val="22"/>
        </w:rPr>
        <w:t>.</w:t>
      </w:r>
      <w:r>
        <w:rPr>
          <w:szCs w:val="22"/>
        </w:rPr>
        <w:t xml:space="preserve">  </w:t>
      </w:r>
      <w:r w:rsidRPr="00063EC4">
        <w:rPr>
          <w:szCs w:val="22"/>
        </w:rPr>
        <w:t>Verizon also seeks a waiver of the timing provisions of sections 63.60(b), 63.63(a) and 63.71 of the Commission’s rules to the extent necessary.</w:t>
      </w:r>
      <w:r w:rsidR="00DA3BCF">
        <w:rPr>
          <w:rStyle w:val="FootnoteReference"/>
          <w:szCs w:val="22"/>
        </w:rPr>
        <w:footnoteReference w:id="12"/>
      </w:r>
      <w:r w:rsidRPr="00063EC4">
        <w:rPr>
          <w:szCs w:val="22"/>
        </w:rPr>
        <w:t xml:space="preserve">  Although section 63.60(b) is not a timing provision, </w:t>
      </w:r>
      <w:r w:rsidR="00DA3BCF" w:rsidRPr="00560F72">
        <w:rPr>
          <w:szCs w:val="22"/>
        </w:rPr>
        <w:t>for purposes of part 63,</w:t>
      </w:r>
      <w:r w:rsidR="00DA3BCF" w:rsidRPr="00063EC4">
        <w:rPr>
          <w:szCs w:val="22"/>
        </w:rPr>
        <w:t xml:space="preserve"> </w:t>
      </w:r>
      <w:r w:rsidRPr="00063EC4">
        <w:rPr>
          <w:szCs w:val="22"/>
        </w:rPr>
        <w:t xml:space="preserve">section 63.60(c) </w:t>
      </w:r>
      <w:r w:rsidRPr="00560F72">
        <w:rPr>
          <w:szCs w:val="22"/>
        </w:rPr>
        <w:t>defines</w:t>
      </w:r>
      <w:r w:rsidR="00DA3BCF">
        <w:rPr>
          <w:szCs w:val="22"/>
        </w:rPr>
        <w:t xml:space="preserve"> </w:t>
      </w:r>
      <w:r w:rsidRPr="00063EC4">
        <w:rPr>
          <w:szCs w:val="22"/>
        </w:rPr>
        <w:t>a reasonable time for the restoration of service or the establishment of comparable service after a discontinuance, reduction, or impairment of service occasioned by conditions beyond the control of a service provider as no more than 60 days in most cases.</w:t>
      </w:r>
      <w:r w:rsidR="00D403E0">
        <w:rPr>
          <w:rStyle w:val="FootnoteReference"/>
          <w:szCs w:val="22"/>
        </w:rPr>
        <w:footnoteReference w:id="13"/>
      </w:r>
      <w:r w:rsidRPr="00063EC4">
        <w:rPr>
          <w:szCs w:val="22"/>
        </w:rPr>
        <w:t xml:space="preserve">  Section 63.63(a) states that informal requests for emergency discontinuance authority in most cases shall be made by filing not later than 65 days after the occurrence of the conditions which occasioned the discontinuance, reduction or impairment.</w:t>
      </w:r>
      <w:r w:rsidR="00D403E0">
        <w:rPr>
          <w:rStyle w:val="FootnoteReference"/>
          <w:szCs w:val="22"/>
        </w:rPr>
        <w:footnoteReference w:id="14"/>
      </w:r>
      <w:r w:rsidRPr="00063EC4">
        <w:rPr>
          <w:szCs w:val="22"/>
        </w:rPr>
        <w:t xml:space="preserve">  In addition, for planned discontinuances of service, section 63.71 generally sets the timing for notice to customers, as well as for comment and the possible automatic grant of authority after the release of a public notice seeking comment on the provider’s application.</w:t>
      </w:r>
      <w:r>
        <w:rPr>
          <w:rStyle w:val="FootnoteReference"/>
          <w:szCs w:val="22"/>
        </w:rPr>
        <w:footnoteReference w:id="15"/>
      </w:r>
      <w:r w:rsidRPr="00063EC4">
        <w:rPr>
          <w:szCs w:val="22"/>
        </w:rPr>
        <w:t xml:space="preserve">  </w:t>
      </w:r>
    </w:p>
    <w:p w:rsidR="00063EC4" w:rsidRDefault="00063E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703B4" w:rsidRDefault="00E648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EC4">
        <w:rPr>
          <w:i/>
          <w:szCs w:val="22"/>
        </w:rPr>
        <w:t xml:space="preserve">Description of Voice Link </w:t>
      </w:r>
      <w:r w:rsidR="00063EC4" w:rsidRPr="00063EC4">
        <w:rPr>
          <w:i/>
          <w:szCs w:val="22"/>
        </w:rPr>
        <w:t>Service</w:t>
      </w:r>
      <w:r w:rsidR="00063EC4">
        <w:rPr>
          <w:szCs w:val="22"/>
        </w:rPr>
        <w:t xml:space="preserve">.  </w:t>
      </w:r>
      <w:r w:rsidR="0014430E">
        <w:rPr>
          <w:szCs w:val="22"/>
        </w:rPr>
        <w:t xml:space="preserve">Verizon </w:t>
      </w:r>
      <w:r w:rsidR="00063EC4">
        <w:rPr>
          <w:szCs w:val="22"/>
        </w:rPr>
        <w:t xml:space="preserve">asserts that it </w:t>
      </w:r>
      <w:r w:rsidR="0014430E">
        <w:rPr>
          <w:szCs w:val="22"/>
        </w:rPr>
        <w:t xml:space="preserve">is offering its Voice Link service </w:t>
      </w:r>
      <w:r w:rsidR="00063EC4">
        <w:rPr>
          <w:szCs w:val="22"/>
        </w:rPr>
        <w:t xml:space="preserve">as a replacement for the Affected Services </w:t>
      </w:r>
      <w:r w:rsidR="0014430E">
        <w:rPr>
          <w:szCs w:val="22"/>
        </w:rPr>
        <w:t>to customers</w:t>
      </w:r>
      <w:r w:rsidR="008508CE">
        <w:rPr>
          <w:szCs w:val="22"/>
        </w:rPr>
        <w:t xml:space="preserve"> in the Service Areas.</w:t>
      </w:r>
      <w:r w:rsidR="000F34FF">
        <w:rPr>
          <w:rStyle w:val="FootnoteReference"/>
          <w:szCs w:val="22"/>
        </w:rPr>
        <w:footnoteReference w:id="16"/>
      </w:r>
      <w:r w:rsidR="008508CE">
        <w:rPr>
          <w:szCs w:val="22"/>
        </w:rPr>
        <w:t xml:space="preserve">  Verizon describes Voice Link as a wireless voice service that uses regular home telephone handsets and existing wiring and jacks in the customer’s home.  </w:t>
      </w:r>
      <w:r w:rsidR="009A5613">
        <w:rPr>
          <w:szCs w:val="22"/>
        </w:rPr>
        <w:t>Verizon states that</w:t>
      </w:r>
      <w:r w:rsidR="00135625">
        <w:rPr>
          <w:szCs w:val="22"/>
        </w:rPr>
        <w:t xml:space="preserve"> </w:t>
      </w:r>
      <w:r w:rsidR="009A5613">
        <w:rPr>
          <w:szCs w:val="22"/>
        </w:rPr>
        <w:t xml:space="preserve">the Verizon wireline operating companies will provide Voice Link service to customers </w:t>
      </w:r>
      <w:r w:rsidR="00135625">
        <w:rPr>
          <w:szCs w:val="22"/>
        </w:rPr>
        <w:t xml:space="preserve">using a small device, provided free of charge, that can plug into </w:t>
      </w:r>
      <w:r w:rsidR="00094607">
        <w:rPr>
          <w:szCs w:val="22"/>
        </w:rPr>
        <w:t xml:space="preserve">an </w:t>
      </w:r>
      <w:r w:rsidR="00135625">
        <w:rPr>
          <w:szCs w:val="22"/>
        </w:rPr>
        <w:t>existing telephone jack</w:t>
      </w:r>
      <w:r w:rsidR="00094607">
        <w:rPr>
          <w:szCs w:val="22"/>
        </w:rPr>
        <w:t xml:space="preserve">.  The device uses wireless technology rather than </w:t>
      </w:r>
      <w:r w:rsidR="008054A9">
        <w:rPr>
          <w:szCs w:val="22"/>
        </w:rPr>
        <w:t xml:space="preserve">wireline </w:t>
      </w:r>
      <w:r w:rsidR="00094607">
        <w:rPr>
          <w:szCs w:val="22"/>
        </w:rPr>
        <w:t>facilities to transmit and receive calls</w:t>
      </w:r>
      <w:r w:rsidR="004C622D">
        <w:rPr>
          <w:szCs w:val="22"/>
        </w:rPr>
        <w:t xml:space="preserve"> between a customer’s home or business and Verizon’s network</w:t>
      </w:r>
      <w:r w:rsidR="00094607">
        <w:rPr>
          <w:szCs w:val="22"/>
        </w:rPr>
        <w:t>.  C</w:t>
      </w:r>
      <w:r w:rsidR="00135625">
        <w:rPr>
          <w:szCs w:val="22"/>
        </w:rPr>
        <w:t xml:space="preserve">ustomers </w:t>
      </w:r>
      <w:r w:rsidR="00094607">
        <w:rPr>
          <w:szCs w:val="22"/>
        </w:rPr>
        <w:t xml:space="preserve">may </w:t>
      </w:r>
      <w:r w:rsidR="00135625">
        <w:rPr>
          <w:szCs w:val="22"/>
        </w:rPr>
        <w:t>use their same telephone number</w:t>
      </w:r>
      <w:r w:rsidR="00094607">
        <w:rPr>
          <w:szCs w:val="22"/>
        </w:rPr>
        <w:t>.</w:t>
      </w:r>
      <w:r w:rsidR="000F34FF">
        <w:rPr>
          <w:rStyle w:val="FootnoteReference"/>
          <w:szCs w:val="22"/>
        </w:rPr>
        <w:footnoteReference w:id="17"/>
      </w:r>
      <w:r w:rsidR="00094607">
        <w:rPr>
          <w:szCs w:val="22"/>
        </w:rPr>
        <w:t xml:space="preserve">  Verizon </w:t>
      </w:r>
      <w:r w:rsidR="004A248E">
        <w:rPr>
          <w:szCs w:val="22"/>
        </w:rPr>
        <w:t xml:space="preserve">states that the service will be offered </w:t>
      </w:r>
      <w:r w:rsidR="00135625">
        <w:rPr>
          <w:szCs w:val="22"/>
        </w:rPr>
        <w:t>at the same or lower price</w:t>
      </w:r>
      <w:r w:rsidR="004A248E">
        <w:rPr>
          <w:szCs w:val="22"/>
        </w:rPr>
        <w:t>s</w:t>
      </w:r>
      <w:r w:rsidR="00135625">
        <w:rPr>
          <w:szCs w:val="22"/>
        </w:rPr>
        <w:t xml:space="preserve"> as the prior wireline service</w:t>
      </w:r>
      <w:r w:rsidR="004A248E">
        <w:rPr>
          <w:szCs w:val="22"/>
        </w:rPr>
        <w:t>s</w:t>
      </w:r>
      <w:r w:rsidR="00135625">
        <w:rPr>
          <w:szCs w:val="22"/>
        </w:rPr>
        <w:t>.</w:t>
      </w:r>
      <w:r w:rsidR="000F34FF">
        <w:rPr>
          <w:rStyle w:val="FootnoteReference"/>
          <w:szCs w:val="22"/>
        </w:rPr>
        <w:footnoteReference w:id="18"/>
      </w:r>
      <w:r w:rsidR="00135625">
        <w:rPr>
          <w:szCs w:val="22"/>
        </w:rPr>
        <w:t xml:space="preserve">  </w:t>
      </w:r>
      <w:r w:rsidR="00E82C82">
        <w:rPr>
          <w:szCs w:val="22"/>
        </w:rPr>
        <w:t>According to Verizon, Voice Link service will provide address-specific E911 capability, nationwide calling, assistance services, telecommunications relay services, directory listings and, depending on the customer’s plan, additional features including Call Waiting, Call Forwarding, 3-way Calling, Voice Mail, 411</w:t>
      </w:r>
      <w:r w:rsidR="00DD4757">
        <w:rPr>
          <w:szCs w:val="22"/>
        </w:rPr>
        <w:t>,</w:t>
      </w:r>
      <w:r w:rsidR="00E82C82">
        <w:rPr>
          <w:szCs w:val="22"/>
        </w:rPr>
        <w:t xml:space="preserve"> Caller ID (with Return Call) and Caller ID Block.</w:t>
      </w:r>
      <w:r w:rsidR="000B450E">
        <w:rPr>
          <w:rStyle w:val="FootnoteReference"/>
          <w:szCs w:val="22"/>
        </w:rPr>
        <w:footnoteReference w:id="19"/>
      </w:r>
      <w:r w:rsidR="00B703B4">
        <w:rPr>
          <w:szCs w:val="22"/>
        </w:rPr>
        <w:t xml:space="preserve">  For data services, Verizon states that it will refer customers to a Verizon Wireless specialist for 4G LTE broadband services in Voice Link areas.</w:t>
      </w:r>
      <w:r w:rsidR="000B450E">
        <w:rPr>
          <w:rStyle w:val="FootnoteReference"/>
          <w:szCs w:val="22"/>
        </w:rPr>
        <w:footnoteReference w:id="20"/>
      </w:r>
      <w:r w:rsidR="00B703B4">
        <w:rPr>
          <w:szCs w:val="22"/>
        </w:rPr>
        <w:t xml:space="preserve">  Verizon submits that its Voice Link service offers consumers a voice communications capability that is comparable to what they received before, and that consumers in some areas</w:t>
      </w:r>
      <w:r w:rsidR="00063EC4">
        <w:rPr>
          <w:szCs w:val="22"/>
        </w:rPr>
        <w:t>,</w:t>
      </w:r>
      <w:r w:rsidR="00B703B4">
        <w:rPr>
          <w:szCs w:val="22"/>
        </w:rPr>
        <w:t xml:space="preserve"> including the </w:t>
      </w:r>
      <w:r w:rsidR="004A248E">
        <w:rPr>
          <w:szCs w:val="22"/>
        </w:rPr>
        <w:t>b</w:t>
      </w:r>
      <w:r w:rsidR="00B703B4">
        <w:rPr>
          <w:szCs w:val="22"/>
        </w:rPr>
        <w:t xml:space="preserve">arrier </w:t>
      </w:r>
      <w:r w:rsidR="004A248E">
        <w:rPr>
          <w:szCs w:val="22"/>
        </w:rPr>
        <w:t>i</w:t>
      </w:r>
      <w:r w:rsidR="00B703B4">
        <w:rPr>
          <w:szCs w:val="22"/>
        </w:rPr>
        <w:t xml:space="preserve">slands, have the option of alternative services from cable and/or wireless providers. </w:t>
      </w:r>
      <w:r w:rsidR="00E82C82">
        <w:rPr>
          <w:szCs w:val="22"/>
        </w:rPr>
        <w:t xml:space="preserve"> </w:t>
      </w:r>
      <w:r w:rsidR="007B54CA">
        <w:rPr>
          <w:szCs w:val="22"/>
        </w:rPr>
        <w:t>Verizon th</w:t>
      </w:r>
      <w:r w:rsidR="00B703B4">
        <w:rPr>
          <w:szCs w:val="22"/>
        </w:rPr>
        <w:t>us</w:t>
      </w:r>
      <w:r w:rsidR="007B54CA">
        <w:rPr>
          <w:szCs w:val="22"/>
        </w:rPr>
        <w:t xml:space="preserve"> asserts that the public convenience and necessity will not be harmed by the proposed discontinuance of </w:t>
      </w:r>
      <w:r w:rsidR="007B54CA">
        <w:rPr>
          <w:caps/>
          <w:szCs w:val="22"/>
        </w:rPr>
        <w:t>A</w:t>
      </w:r>
      <w:r w:rsidR="007B54CA">
        <w:rPr>
          <w:szCs w:val="22"/>
        </w:rPr>
        <w:t>ffected Services</w:t>
      </w:r>
      <w:r w:rsidR="00B703B4">
        <w:rPr>
          <w:szCs w:val="22"/>
        </w:rPr>
        <w:t xml:space="preserve"> given the extent of the destruction from the storm and the difficulties and delay inherent in rebuilding</w:t>
      </w:r>
      <w:r w:rsidR="007B54CA">
        <w:rPr>
          <w:szCs w:val="22"/>
        </w:rPr>
        <w:t>.</w:t>
      </w:r>
      <w:r w:rsidR="005D7046">
        <w:rPr>
          <w:rStyle w:val="FootnoteReference"/>
          <w:szCs w:val="22"/>
        </w:rPr>
        <w:footnoteReference w:id="21"/>
      </w:r>
    </w:p>
    <w:p w:rsidR="00B703B4" w:rsidRDefault="00B703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4A9" w:rsidRDefault="008054A9" w:rsidP="008054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The New York Public Service Commission (NYPSC) identified several potential distinctions between Verizon’s Voice Link service and its copper-based wireline services.  For instance, the NYPSC states that Verizon’s Voice Link service: 1) will not allow for digital subscriber line (DSL) services; 2) will be incompatible with medical alert systems and credit card machines; 3) will require the use of mandatory 10-digit dialing; and 4) will not allow customers to make certain types of calls that they could make using a wireline phone.</w:t>
      </w:r>
      <w:r>
        <w:rPr>
          <w:rStyle w:val="FootnoteReference"/>
          <w:szCs w:val="22"/>
        </w:rPr>
        <w:footnoteReference w:id="22"/>
      </w:r>
      <w:r>
        <w:rPr>
          <w:szCs w:val="22"/>
        </w:rPr>
        <w:t xml:space="preserve">  According to the Voice Link Terms of Service filed in New York State: </w:t>
      </w:r>
      <w:r w:rsidRPr="003333CB">
        <w:rPr>
          <w:szCs w:val="22"/>
        </w:rPr>
        <w:t>“</w:t>
      </w:r>
      <w:r>
        <w:rPr>
          <w:szCs w:val="22"/>
        </w:rPr>
        <w:t>[t]</w:t>
      </w:r>
      <w:r w:rsidRPr="00884E0E">
        <w:rPr>
          <w:szCs w:val="22"/>
        </w:rPr>
        <w:t xml:space="preserve">he Service does not allow the Customer to make 500, 700, 900, 950, 976, 0, 00, 01, 0+, calling card or dial-around calls (e.g., 10-10-XXXX). </w:t>
      </w:r>
      <w:r>
        <w:rPr>
          <w:szCs w:val="22"/>
        </w:rPr>
        <w:t xml:space="preserve"> </w:t>
      </w:r>
      <w:r w:rsidRPr="00884E0E">
        <w:rPr>
          <w:szCs w:val="22"/>
        </w:rPr>
        <w:t>The Service does not allow the Customer to accept collect calls or third number billed calls.”</w:t>
      </w:r>
      <w:r>
        <w:rPr>
          <w:rStyle w:val="FootnoteReference"/>
          <w:szCs w:val="22"/>
        </w:rPr>
        <w:footnoteReference w:id="23"/>
      </w:r>
      <w:r>
        <w:rPr>
          <w:szCs w:val="22"/>
        </w:rPr>
        <w:t xml:space="preserve">  Because the Voice Link service does not provide a broadband connection, it also is not compatible with Video Relay services.</w:t>
      </w:r>
    </w:p>
    <w:p w:rsidR="008054A9" w:rsidRDefault="008054A9" w:rsidP="008054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E2096" w:rsidRDefault="00B703B4" w:rsidP="00F05E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B6C8C">
        <w:rPr>
          <w:szCs w:val="22"/>
        </w:rPr>
        <w:t>Verizon’s application states that “certain interstate wireline telecommunications services … will no longer be available</w:t>
      </w:r>
      <w:r w:rsidR="00B05823">
        <w:rPr>
          <w:szCs w:val="22"/>
        </w:rPr>
        <w:t>.</w:t>
      </w:r>
      <w:r w:rsidR="000B6C8C">
        <w:rPr>
          <w:szCs w:val="22"/>
        </w:rPr>
        <w:t>”</w:t>
      </w:r>
      <w:r w:rsidR="000B6C8C">
        <w:rPr>
          <w:rStyle w:val="FootnoteReference"/>
          <w:szCs w:val="22"/>
        </w:rPr>
        <w:footnoteReference w:id="24"/>
      </w:r>
      <w:r w:rsidR="00B05823">
        <w:rPr>
          <w:szCs w:val="22"/>
        </w:rPr>
        <w:t xml:space="preserve">  </w:t>
      </w:r>
      <w:r w:rsidR="000B6C8C">
        <w:rPr>
          <w:szCs w:val="22"/>
        </w:rPr>
        <w:t>We also note that</w:t>
      </w:r>
      <w:r w:rsidR="00F05EFA">
        <w:rPr>
          <w:szCs w:val="22"/>
        </w:rPr>
        <w:t xml:space="preserve">, </w:t>
      </w:r>
      <w:r w:rsidR="00063EC4">
        <w:rPr>
          <w:szCs w:val="22"/>
        </w:rPr>
        <w:t xml:space="preserve">although </w:t>
      </w:r>
      <w:r w:rsidR="00F05EFA">
        <w:rPr>
          <w:szCs w:val="22"/>
        </w:rPr>
        <w:t xml:space="preserve">Verizon </w:t>
      </w:r>
      <w:r w:rsidR="0050755C">
        <w:rPr>
          <w:szCs w:val="22"/>
        </w:rPr>
        <w:t xml:space="preserve">indicates </w:t>
      </w:r>
      <w:r w:rsidR="00F05EFA">
        <w:rPr>
          <w:szCs w:val="22"/>
        </w:rPr>
        <w:t xml:space="preserve">that the Voice Link service will provide </w:t>
      </w:r>
      <w:r w:rsidR="00795742">
        <w:rPr>
          <w:szCs w:val="22"/>
        </w:rPr>
        <w:t>”fully enabled”</w:t>
      </w:r>
      <w:r w:rsidR="00F05EFA">
        <w:rPr>
          <w:szCs w:val="22"/>
        </w:rPr>
        <w:t xml:space="preserve"> E911 capability, the </w:t>
      </w:r>
      <w:r w:rsidR="00DA5F30">
        <w:rPr>
          <w:szCs w:val="22"/>
        </w:rPr>
        <w:t>Voice Link Terms of Service</w:t>
      </w:r>
      <w:r w:rsidR="00F05EFA">
        <w:rPr>
          <w:szCs w:val="22"/>
        </w:rPr>
        <w:t xml:space="preserve"> </w:t>
      </w:r>
      <w:r w:rsidR="00DA5F30">
        <w:rPr>
          <w:szCs w:val="22"/>
        </w:rPr>
        <w:t>state</w:t>
      </w:r>
      <w:r w:rsidR="00063EC4">
        <w:rPr>
          <w:szCs w:val="22"/>
        </w:rPr>
        <w:t>,</w:t>
      </w:r>
      <w:r w:rsidR="00DA5F30">
        <w:rPr>
          <w:szCs w:val="22"/>
        </w:rPr>
        <w:t xml:space="preserve"> “[The customer] </w:t>
      </w:r>
      <w:r w:rsidR="00DA5F30" w:rsidRPr="00DA5F30">
        <w:rPr>
          <w:szCs w:val="22"/>
        </w:rPr>
        <w:t>agree</w:t>
      </w:r>
      <w:r w:rsidR="00DA5F30">
        <w:rPr>
          <w:szCs w:val="22"/>
        </w:rPr>
        <w:t>[s]</w:t>
      </w:r>
      <w:r w:rsidR="00DA5F30" w:rsidRPr="00DA5F30">
        <w:rPr>
          <w:szCs w:val="22"/>
        </w:rPr>
        <w:t xml:space="preserve"> that any 911 calls made using the Service may be subject to network congestion and/or reduc</w:t>
      </w:r>
      <w:r w:rsidR="00FF117D">
        <w:rPr>
          <w:szCs w:val="22"/>
        </w:rPr>
        <w:t>ed routing or processing speed.</w:t>
      </w:r>
      <w:r w:rsidR="00DA5F30">
        <w:rPr>
          <w:szCs w:val="22"/>
        </w:rPr>
        <w:t>”</w:t>
      </w:r>
      <w:r w:rsidR="00DA5F30">
        <w:rPr>
          <w:rStyle w:val="FootnoteReference"/>
          <w:szCs w:val="22"/>
        </w:rPr>
        <w:footnoteReference w:id="25"/>
      </w:r>
      <w:r w:rsidR="00DA5F30">
        <w:rPr>
          <w:szCs w:val="22"/>
        </w:rPr>
        <w:t xml:space="preserve">  </w:t>
      </w:r>
      <w:r w:rsidR="007442F1">
        <w:rPr>
          <w:szCs w:val="22"/>
        </w:rPr>
        <w:t xml:space="preserve">Verizon </w:t>
      </w:r>
      <w:r w:rsidR="007F6416">
        <w:rPr>
          <w:szCs w:val="22"/>
        </w:rPr>
        <w:t xml:space="preserve">also </w:t>
      </w:r>
      <w:r w:rsidR="00127963">
        <w:rPr>
          <w:szCs w:val="22"/>
        </w:rPr>
        <w:t xml:space="preserve">acknowledges </w:t>
      </w:r>
      <w:r w:rsidR="007442F1">
        <w:rPr>
          <w:szCs w:val="22"/>
        </w:rPr>
        <w:t xml:space="preserve">that certain </w:t>
      </w:r>
      <w:r w:rsidR="004A1002">
        <w:rPr>
          <w:szCs w:val="22"/>
        </w:rPr>
        <w:t>customer equipment</w:t>
      </w:r>
      <w:r w:rsidR="007442F1">
        <w:rPr>
          <w:szCs w:val="22"/>
        </w:rPr>
        <w:t xml:space="preserve"> may not work over Voice Link</w:t>
      </w:r>
      <w:r w:rsidR="00926B43">
        <w:rPr>
          <w:szCs w:val="22"/>
        </w:rPr>
        <w:t xml:space="preserve"> service</w:t>
      </w:r>
      <w:r w:rsidR="007442F1">
        <w:rPr>
          <w:szCs w:val="22"/>
        </w:rPr>
        <w:t xml:space="preserve">, </w:t>
      </w:r>
      <w:r w:rsidR="00EE2096">
        <w:rPr>
          <w:szCs w:val="22"/>
        </w:rPr>
        <w:t xml:space="preserve">such as </w:t>
      </w:r>
      <w:r w:rsidR="007442F1">
        <w:rPr>
          <w:szCs w:val="22"/>
        </w:rPr>
        <w:t xml:space="preserve">alarm systems or facsimile machines.  </w:t>
      </w:r>
      <w:r w:rsidR="00FF117D">
        <w:rPr>
          <w:szCs w:val="22"/>
        </w:rPr>
        <w:t>Verizon states that the customer provides the power for Voice Link from a standard home electrical outlet</w:t>
      </w:r>
      <w:r w:rsidR="00FF117D">
        <w:t xml:space="preserve">, and that the unit includes a built-in battery backup option with 36 hours of standby and </w:t>
      </w:r>
      <w:r w:rsidR="00040BD1">
        <w:t xml:space="preserve">up to </w:t>
      </w:r>
      <w:r w:rsidR="00FF117D">
        <w:t xml:space="preserve">two </w:t>
      </w:r>
      <w:r w:rsidR="00040BD1">
        <w:t xml:space="preserve">and a half </w:t>
      </w:r>
      <w:r w:rsidR="00FF117D">
        <w:t>hours of talk life.</w:t>
      </w:r>
      <w:r w:rsidR="0050322B">
        <w:rPr>
          <w:rStyle w:val="FootnoteReference"/>
        </w:rPr>
        <w:footnoteReference w:id="26"/>
      </w:r>
      <w:r w:rsidR="00F05EFA">
        <w:rPr>
          <w:szCs w:val="22"/>
        </w:rPr>
        <w:t xml:space="preserve">  </w:t>
      </w:r>
    </w:p>
    <w:p w:rsidR="00EE2096" w:rsidRDefault="00EE2096" w:rsidP="00F05E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1F7" w:rsidRDefault="00271DD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E2096">
        <w:rPr>
          <w:i/>
          <w:szCs w:val="22"/>
        </w:rPr>
        <w:t xml:space="preserve">Standard of </w:t>
      </w:r>
      <w:r w:rsidR="00EE2096" w:rsidRPr="00EE2096">
        <w:rPr>
          <w:i/>
          <w:szCs w:val="22"/>
        </w:rPr>
        <w:t>Review</w:t>
      </w:r>
      <w:r w:rsidR="00EE2096" w:rsidRPr="00EE2096">
        <w:rPr>
          <w:szCs w:val="22"/>
        </w:rPr>
        <w:t>.</w:t>
      </w:r>
      <w:r w:rsidR="00EE2096">
        <w:rPr>
          <w:i/>
          <w:szCs w:val="22"/>
        </w:rPr>
        <w:t xml:space="preserve">  </w:t>
      </w:r>
      <w:r w:rsidR="00FF117D" w:rsidRPr="00EE2096">
        <w:rPr>
          <w:szCs w:val="22"/>
        </w:rPr>
        <w:t>T</w:t>
      </w:r>
      <w:r w:rsidR="007B54CA" w:rsidRPr="00EE2096">
        <w:rPr>
          <w:szCs w:val="22"/>
        </w:rPr>
        <w:t>he</w:t>
      </w:r>
      <w:r w:rsidR="007B54CA" w:rsidRPr="007B54CA">
        <w:rPr>
          <w:szCs w:val="22"/>
        </w:rPr>
        <w:t xml:space="preserve"> Commission has discretion in determining whether to grant a carrier authority to discontinue service pursuant to section 214.</w:t>
      </w:r>
      <w:r w:rsidR="007B54CA" w:rsidRPr="007B54CA">
        <w:rPr>
          <w:szCs w:val="22"/>
          <w:vertAlign w:val="superscript"/>
        </w:rPr>
        <w:footnoteReference w:id="27"/>
      </w:r>
      <w:r w:rsidR="007B54CA" w:rsidRPr="007B54CA">
        <w:rPr>
          <w:szCs w:val="22"/>
        </w:rPr>
        <w:t xml:space="preserve">  The Commission also can delay grant of a discontinuance authorization if it believes an unreasonable degree of customer hardship would result.</w:t>
      </w:r>
      <w:r w:rsidR="007B54CA" w:rsidRPr="007B54CA">
        <w:rPr>
          <w:szCs w:val="22"/>
          <w:vertAlign w:val="superscript"/>
        </w:rPr>
        <w:footnoteReference w:id="28"/>
      </w:r>
      <w:r w:rsidR="007B54CA" w:rsidRPr="007B54CA">
        <w:rPr>
          <w:szCs w:val="22"/>
        </w:rPr>
        <w:t xml:space="preserve">  </w:t>
      </w:r>
      <w:r w:rsidR="00C5029D">
        <w:rPr>
          <w:szCs w:val="22"/>
        </w:rPr>
        <w:t>T</w:t>
      </w:r>
      <w:r w:rsidR="00385F4A">
        <w:rPr>
          <w:szCs w:val="22"/>
        </w:rPr>
        <w:t xml:space="preserve">he </w:t>
      </w:r>
      <w:r w:rsidR="007B54CA" w:rsidRPr="007B54CA">
        <w:rPr>
          <w:szCs w:val="22"/>
        </w:rPr>
        <w:t>Commission revie</w:t>
      </w:r>
      <w:r w:rsidR="00385F4A">
        <w:rPr>
          <w:szCs w:val="22"/>
        </w:rPr>
        <w:t>w</w:t>
      </w:r>
      <w:r w:rsidR="00C5029D">
        <w:rPr>
          <w:szCs w:val="22"/>
        </w:rPr>
        <w:t>s</w:t>
      </w:r>
      <w:r w:rsidR="00385F4A">
        <w:rPr>
          <w:szCs w:val="22"/>
        </w:rPr>
        <w:t xml:space="preserve"> each </w:t>
      </w:r>
      <w:r w:rsidR="00C5029D">
        <w:rPr>
          <w:szCs w:val="22"/>
        </w:rPr>
        <w:t xml:space="preserve">discontinuance </w:t>
      </w:r>
      <w:r w:rsidR="00385F4A">
        <w:rPr>
          <w:szCs w:val="22"/>
        </w:rPr>
        <w:t xml:space="preserve">application to determine, as applicable, issues </w:t>
      </w:r>
      <w:r w:rsidR="00C5029D">
        <w:rPr>
          <w:szCs w:val="22"/>
        </w:rPr>
        <w:t xml:space="preserve">such as </w:t>
      </w:r>
      <w:r w:rsidR="007B54CA" w:rsidRPr="007B54CA">
        <w:rPr>
          <w:szCs w:val="22"/>
        </w:rPr>
        <w:t>whether proper notice has been given, whether customers or other end users are able to receive the service or a reasonable substitute from another carrier, and whether the public convenience and necessity is otherwise adversely affected.</w:t>
      </w:r>
      <w:r w:rsidR="007B54CA" w:rsidRPr="007B54CA">
        <w:rPr>
          <w:szCs w:val="22"/>
          <w:vertAlign w:val="superscript"/>
        </w:rPr>
        <w:footnoteReference w:id="29"/>
      </w:r>
      <w:r w:rsidR="007B54CA" w:rsidRPr="007B54CA">
        <w:rPr>
          <w:szCs w:val="22"/>
        </w:rPr>
        <w:t xml:space="preserve">  Balancing the interests of the carrier and the affected user community, the Commission generally considers a number of factors including: (1) the financial impact on the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rsidR="007B54CA" w:rsidRPr="007B54CA">
        <w:rPr>
          <w:szCs w:val="22"/>
          <w:vertAlign w:val="superscript"/>
        </w:rPr>
        <w:footnoteReference w:id="30"/>
      </w:r>
    </w:p>
    <w:p w:rsidR="004862CF" w:rsidRDefault="004862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4000B"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E2096">
        <w:rPr>
          <w:i/>
          <w:szCs w:val="22"/>
        </w:rPr>
        <w:t xml:space="preserve">Request for </w:t>
      </w:r>
      <w:r w:rsidR="00EE2096" w:rsidRPr="00EE2096">
        <w:rPr>
          <w:i/>
          <w:szCs w:val="22"/>
        </w:rPr>
        <w:t>Comment</w:t>
      </w:r>
      <w:r w:rsidR="00EE2096">
        <w:rPr>
          <w:szCs w:val="22"/>
        </w:rPr>
        <w:t xml:space="preserve">.  </w:t>
      </w:r>
      <w:r w:rsidR="00091F72" w:rsidRPr="00EE2096">
        <w:rPr>
          <w:szCs w:val="22"/>
        </w:rPr>
        <w:t>We</w:t>
      </w:r>
      <w:r w:rsidR="00091F72">
        <w:rPr>
          <w:szCs w:val="22"/>
        </w:rPr>
        <w:t xml:space="preserve"> seek comment on Verizon’s requests for authority </w:t>
      </w:r>
      <w:r w:rsidR="00C5029D">
        <w:rPr>
          <w:szCs w:val="22"/>
        </w:rPr>
        <w:t xml:space="preserve">to </w:t>
      </w:r>
      <w:r w:rsidR="00091F72">
        <w:rPr>
          <w:szCs w:val="22"/>
        </w:rPr>
        <w:t>discontinu</w:t>
      </w:r>
      <w:r w:rsidR="00C5029D">
        <w:rPr>
          <w:szCs w:val="22"/>
        </w:rPr>
        <w:t xml:space="preserve">e the Affected Services </w:t>
      </w:r>
      <w:r w:rsidR="00091F72">
        <w:rPr>
          <w:szCs w:val="22"/>
        </w:rPr>
        <w:t xml:space="preserve">in the </w:t>
      </w:r>
      <w:r w:rsidR="0014430E">
        <w:rPr>
          <w:szCs w:val="22"/>
        </w:rPr>
        <w:t>Service Areas</w:t>
      </w:r>
      <w:r w:rsidR="00091F72">
        <w:rPr>
          <w:szCs w:val="22"/>
        </w:rPr>
        <w:t xml:space="preserve">, including </w:t>
      </w:r>
      <w:r w:rsidR="00F51B99">
        <w:rPr>
          <w:szCs w:val="22"/>
        </w:rPr>
        <w:t xml:space="preserve">comment on </w:t>
      </w:r>
      <w:r w:rsidR="00C5029D">
        <w:rPr>
          <w:szCs w:val="22"/>
        </w:rPr>
        <w:t>its waiver request</w:t>
      </w:r>
      <w:r w:rsidR="004A7FBE">
        <w:rPr>
          <w:szCs w:val="22"/>
        </w:rPr>
        <w:t>,</w:t>
      </w:r>
      <w:r w:rsidR="00091F72">
        <w:rPr>
          <w:szCs w:val="22"/>
        </w:rPr>
        <w:t xml:space="preserve"> the steps it has taken to notify customers given the particular circumstances in this case, the </w:t>
      </w:r>
      <w:r w:rsidR="00DA716E">
        <w:rPr>
          <w:szCs w:val="22"/>
        </w:rPr>
        <w:t xml:space="preserve">availability of alternative services including the </w:t>
      </w:r>
      <w:r w:rsidR="00091F72">
        <w:rPr>
          <w:szCs w:val="22"/>
        </w:rPr>
        <w:t xml:space="preserve">steps </w:t>
      </w:r>
      <w:r w:rsidR="00DA716E">
        <w:rPr>
          <w:szCs w:val="22"/>
        </w:rPr>
        <w:t xml:space="preserve">Verizon has taken to offer </w:t>
      </w:r>
      <w:r w:rsidR="00091F72">
        <w:rPr>
          <w:szCs w:val="22"/>
        </w:rPr>
        <w:t>alternative service to customers</w:t>
      </w:r>
      <w:r w:rsidR="00A253E1">
        <w:rPr>
          <w:szCs w:val="22"/>
        </w:rPr>
        <w:t xml:space="preserve">, and any other relevant issues </w:t>
      </w:r>
      <w:r w:rsidR="00C5149B">
        <w:rPr>
          <w:szCs w:val="22"/>
        </w:rPr>
        <w:t xml:space="preserve">in light of </w:t>
      </w:r>
      <w:r w:rsidR="00A253E1">
        <w:rPr>
          <w:szCs w:val="22"/>
        </w:rPr>
        <w:t xml:space="preserve">the </w:t>
      </w:r>
      <w:r w:rsidR="00BA241A">
        <w:rPr>
          <w:szCs w:val="22"/>
        </w:rPr>
        <w:t xml:space="preserve">above mentioned </w:t>
      </w:r>
      <w:r w:rsidR="00A253E1">
        <w:rPr>
          <w:szCs w:val="22"/>
        </w:rPr>
        <w:t>factors</w:t>
      </w:r>
      <w:r w:rsidR="00091F72">
        <w:rPr>
          <w:szCs w:val="22"/>
        </w:rPr>
        <w:t xml:space="preserve">.  </w:t>
      </w:r>
      <w:r w:rsidR="00067BF7">
        <w:rPr>
          <w:szCs w:val="22"/>
        </w:rPr>
        <w:t>What impact, if any, should the circumstances of this case have on the Commission’s traditional analysis</w:t>
      </w:r>
      <w:r w:rsidR="00442120">
        <w:rPr>
          <w:szCs w:val="22"/>
        </w:rPr>
        <w:t xml:space="preserve">, including the fact that many of the </w:t>
      </w:r>
      <w:r w:rsidR="00CC105D">
        <w:rPr>
          <w:szCs w:val="22"/>
        </w:rPr>
        <w:t xml:space="preserve">affected customers </w:t>
      </w:r>
      <w:r w:rsidR="00442120">
        <w:rPr>
          <w:szCs w:val="22"/>
        </w:rPr>
        <w:t>have already lost service</w:t>
      </w:r>
      <w:r w:rsidR="00067BF7">
        <w:rPr>
          <w:szCs w:val="22"/>
        </w:rPr>
        <w:t xml:space="preserve">? </w:t>
      </w:r>
      <w:r w:rsidR="003B1007">
        <w:rPr>
          <w:szCs w:val="22"/>
        </w:rPr>
        <w:t xml:space="preserve"> </w:t>
      </w:r>
      <w:r w:rsidR="0064000B">
        <w:rPr>
          <w:szCs w:val="22"/>
        </w:rPr>
        <w:t xml:space="preserve">Is </w:t>
      </w:r>
      <w:r w:rsidR="00EE2096">
        <w:rPr>
          <w:szCs w:val="22"/>
        </w:rPr>
        <w:t xml:space="preserve">Voice Link service a reasonable substitute for the </w:t>
      </w:r>
      <w:r w:rsidR="00A644FF">
        <w:rPr>
          <w:szCs w:val="22"/>
        </w:rPr>
        <w:t>Affected Services</w:t>
      </w:r>
      <w:r w:rsidR="0064000B">
        <w:rPr>
          <w:szCs w:val="22"/>
        </w:rPr>
        <w:t xml:space="preserve">?  </w:t>
      </w:r>
      <w:r w:rsidR="00CB1A67">
        <w:rPr>
          <w:szCs w:val="22"/>
        </w:rPr>
        <w:t xml:space="preserve">In addition to those discussed above, are there </w:t>
      </w:r>
      <w:r w:rsidR="0064000B">
        <w:rPr>
          <w:szCs w:val="22"/>
        </w:rPr>
        <w:t>features, functions, or capabilities</w:t>
      </w:r>
      <w:r w:rsidR="00CB1A67">
        <w:rPr>
          <w:szCs w:val="22"/>
        </w:rPr>
        <w:t xml:space="preserve"> that</w:t>
      </w:r>
      <w:r w:rsidR="0064000B">
        <w:rPr>
          <w:szCs w:val="22"/>
        </w:rPr>
        <w:t xml:space="preserve"> were available over the </w:t>
      </w:r>
      <w:r w:rsidR="00A644FF">
        <w:rPr>
          <w:szCs w:val="22"/>
        </w:rPr>
        <w:t>Affected Services</w:t>
      </w:r>
      <w:r w:rsidR="0064000B">
        <w:rPr>
          <w:szCs w:val="22"/>
        </w:rPr>
        <w:t xml:space="preserve"> that would not be available over the Voice Link service</w:t>
      </w:r>
      <w:r w:rsidR="00CB1A67">
        <w:rPr>
          <w:szCs w:val="22"/>
        </w:rPr>
        <w:t xml:space="preserve">?  </w:t>
      </w:r>
      <w:r w:rsidR="0050755C">
        <w:rPr>
          <w:szCs w:val="22"/>
        </w:rPr>
        <w:t xml:space="preserve">We seek comment on the significance of </w:t>
      </w:r>
      <w:r w:rsidR="00CB1A67">
        <w:rPr>
          <w:szCs w:val="22"/>
        </w:rPr>
        <w:t xml:space="preserve">the </w:t>
      </w:r>
      <w:r w:rsidR="0064000B">
        <w:rPr>
          <w:szCs w:val="22"/>
        </w:rPr>
        <w:t>features, functions and capabilities</w:t>
      </w:r>
      <w:r w:rsidR="00CB1A67" w:rsidRPr="00CB1A67">
        <w:rPr>
          <w:szCs w:val="22"/>
        </w:rPr>
        <w:t xml:space="preserve"> </w:t>
      </w:r>
      <w:r w:rsidR="00CB1A67">
        <w:rPr>
          <w:szCs w:val="22"/>
        </w:rPr>
        <w:t xml:space="preserve">that </w:t>
      </w:r>
      <w:r w:rsidR="000040CA">
        <w:rPr>
          <w:szCs w:val="22"/>
        </w:rPr>
        <w:t xml:space="preserve">are </w:t>
      </w:r>
      <w:r w:rsidR="00CB1A67">
        <w:rPr>
          <w:szCs w:val="22"/>
        </w:rPr>
        <w:t xml:space="preserve">not </w:t>
      </w:r>
      <w:r w:rsidR="0050755C">
        <w:rPr>
          <w:szCs w:val="22"/>
        </w:rPr>
        <w:t xml:space="preserve">currently </w:t>
      </w:r>
      <w:r w:rsidR="00CB1A67">
        <w:rPr>
          <w:szCs w:val="22"/>
        </w:rPr>
        <w:t>available over the Voice Link service</w:t>
      </w:r>
      <w:r w:rsidR="0050755C">
        <w:rPr>
          <w:szCs w:val="22"/>
        </w:rPr>
        <w:t xml:space="preserve">.   Parties expressing concern should identify whether </w:t>
      </w:r>
      <w:r w:rsidR="00214AFB" w:rsidRPr="00214AFB">
        <w:rPr>
          <w:szCs w:val="22"/>
        </w:rPr>
        <w:t xml:space="preserve">any conditions </w:t>
      </w:r>
      <w:r w:rsidR="0050755C">
        <w:rPr>
          <w:szCs w:val="22"/>
        </w:rPr>
        <w:t>could</w:t>
      </w:r>
      <w:r w:rsidR="0050755C" w:rsidRPr="00214AFB">
        <w:rPr>
          <w:szCs w:val="22"/>
        </w:rPr>
        <w:t xml:space="preserve"> </w:t>
      </w:r>
      <w:r w:rsidR="00214AFB" w:rsidRPr="00214AFB">
        <w:rPr>
          <w:szCs w:val="22"/>
        </w:rPr>
        <w:t xml:space="preserve">ensure that </w:t>
      </w:r>
      <w:r w:rsidR="00E2590D">
        <w:rPr>
          <w:szCs w:val="22"/>
        </w:rPr>
        <w:t xml:space="preserve">the </w:t>
      </w:r>
      <w:r w:rsidR="00214AFB" w:rsidRPr="00214AFB">
        <w:rPr>
          <w:szCs w:val="22"/>
        </w:rPr>
        <w:t xml:space="preserve">discontinuance of </w:t>
      </w:r>
      <w:r w:rsidR="00E2590D">
        <w:rPr>
          <w:szCs w:val="22"/>
        </w:rPr>
        <w:t>Verizon’s</w:t>
      </w:r>
      <w:r w:rsidR="00214AFB" w:rsidRPr="00214AFB">
        <w:rPr>
          <w:szCs w:val="22"/>
        </w:rPr>
        <w:t xml:space="preserve"> wireline service </w:t>
      </w:r>
      <w:r w:rsidR="00203892">
        <w:rPr>
          <w:szCs w:val="22"/>
        </w:rPr>
        <w:t xml:space="preserve">does not </w:t>
      </w:r>
      <w:r w:rsidR="00153BDF">
        <w:rPr>
          <w:szCs w:val="22"/>
        </w:rPr>
        <w:t xml:space="preserve">harm </w:t>
      </w:r>
      <w:r w:rsidR="00153BDF" w:rsidRPr="00214AFB">
        <w:rPr>
          <w:szCs w:val="22"/>
        </w:rPr>
        <w:t>the</w:t>
      </w:r>
      <w:r w:rsidR="00214AFB" w:rsidRPr="00214AFB">
        <w:rPr>
          <w:szCs w:val="22"/>
        </w:rPr>
        <w:t xml:space="preserve"> public interest?  </w:t>
      </w:r>
    </w:p>
    <w:p w:rsidR="00DE7C7E" w:rsidRDefault="00DE7C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64000B" w:rsidRDefault="006400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D057A3">
        <w:rPr>
          <w:szCs w:val="22"/>
        </w:rPr>
        <w:t xml:space="preserve">In accordance with section 63.71(c) of the Commission’s rules, </w:t>
      </w:r>
      <w:r w:rsidR="002C4B8D">
        <w:rPr>
          <w:szCs w:val="22"/>
        </w:rPr>
        <w:t>Verizon</w:t>
      </w:r>
      <w:r w:rsidR="00D057A3">
        <w:rPr>
          <w:szCs w:val="22"/>
        </w:rPr>
        <w:t xml:space="preserve">’s </w:t>
      </w:r>
      <w:r w:rsidR="002675FF">
        <w:rPr>
          <w:szCs w:val="22"/>
        </w:rPr>
        <w:t xml:space="preserve">request to discontinue service </w:t>
      </w:r>
      <w:r w:rsidR="00D057A3">
        <w:rPr>
          <w:szCs w:val="22"/>
        </w:rPr>
        <w:t xml:space="preserve">will be deemed to be granted automatically on the </w:t>
      </w:r>
      <w:r w:rsidR="002C4B8D">
        <w:rPr>
          <w:szCs w:val="22"/>
        </w:rPr>
        <w:t>60th</w:t>
      </w:r>
      <w:r w:rsidR="00D057A3">
        <w:rPr>
          <w:szCs w:val="22"/>
        </w:rPr>
        <w:t xml:space="preserve"> day after the release date of this public notice, unless the Commission notifies </w:t>
      </w:r>
      <w:r w:rsidR="002C4B8D">
        <w:rPr>
          <w:szCs w:val="22"/>
        </w:rPr>
        <w:t>Verizon</w:t>
      </w:r>
      <w:r w:rsidR="00D057A3">
        <w:rPr>
          <w:szCs w:val="22"/>
        </w:rPr>
        <w:t xml:space="preserve"> that the grant will not be automatically effective.  In the </w:t>
      </w:r>
      <w:r w:rsidR="00DA6809">
        <w:rPr>
          <w:szCs w:val="22"/>
        </w:rPr>
        <w:t xml:space="preserve">application and </w:t>
      </w:r>
      <w:r w:rsidR="00D057A3">
        <w:rPr>
          <w:szCs w:val="22"/>
        </w:rPr>
        <w:t xml:space="preserve">notice to customers, </w:t>
      </w:r>
      <w:r w:rsidR="002C4B8D">
        <w:rPr>
          <w:szCs w:val="22"/>
        </w:rPr>
        <w:t xml:space="preserve">Verizon indicates that </w:t>
      </w:r>
      <w:r w:rsidR="00352905">
        <w:rPr>
          <w:szCs w:val="22"/>
        </w:rPr>
        <w:t xml:space="preserve">it seeks authority to discontinue </w:t>
      </w:r>
      <w:r w:rsidR="006533EA">
        <w:rPr>
          <w:szCs w:val="22"/>
        </w:rPr>
        <w:t xml:space="preserve">interstate wireline telecommunications services including interstate interexchange and exchange access services </w:t>
      </w:r>
      <w:r w:rsidR="00352905">
        <w:rPr>
          <w:szCs w:val="22"/>
        </w:rPr>
        <w:t xml:space="preserve">lost </w:t>
      </w:r>
      <w:r w:rsidR="0077511A">
        <w:rPr>
          <w:szCs w:val="22"/>
        </w:rPr>
        <w:t xml:space="preserve">in the </w:t>
      </w:r>
      <w:r w:rsidR="0014430E">
        <w:rPr>
          <w:szCs w:val="22"/>
        </w:rPr>
        <w:t>Service Areas</w:t>
      </w:r>
      <w:r w:rsidR="0077511A">
        <w:rPr>
          <w:szCs w:val="22"/>
        </w:rPr>
        <w:t xml:space="preserve"> on or after October 29, 2012</w:t>
      </w:r>
      <w:r w:rsidR="00C5029D">
        <w:rPr>
          <w:szCs w:val="22"/>
        </w:rPr>
        <w:t>,</w:t>
      </w:r>
      <w:r w:rsidR="0077511A">
        <w:rPr>
          <w:szCs w:val="22"/>
        </w:rPr>
        <w:t xml:space="preserve"> </w:t>
      </w:r>
      <w:r w:rsidR="00352905">
        <w:rPr>
          <w:szCs w:val="22"/>
        </w:rPr>
        <w:t>as a result of damage from Hurricane Sandy</w:t>
      </w:r>
      <w:r w:rsidR="00373502">
        <w:rPr>
          <w:szCs w:val="22"/>
        </w:rPr>
        <w:t>.</w:t>
      </w:r>
      <w:r w:rsidR="00B716BE">
        <w:rPr>
          <w:szCs w:val="22"/>
        </w:rPr>
        <w:t xml:space="preserve">  </w:t>
      </w:r>
      <w:r w:rsidR="00D057A3">
        <w:rPr>
          <w:szCs w:val="22"/>
        </w:rPr>
        <w:t xml:space="preserve">Accordingly, pursuant to section 63.71(c) and the terms of </w:t>
      </w:r>
      <w:r w:rsidR="002C4B8D">
        <w:rPr>
          <w:szCs w:val="22"/>
        </w:rPr>
        <w:t>Verizon</w:t>
      </w:r>
      <w:r w:rsidR="00D057A3">
        <w:rPr>
          <w:szCs w:val="22"/>
        </w:rPr>
        <w:t xml:space="preserve">’s </w:t>
      </w:r>
      <w:r w:rsidR="00DA6809">
        <w:rPr>
          <w:szCs w:val="22"/>
        </w:rPr>
        <w:t xml:space="preserve">application and </w:t>
      </w:r>
      <w:r w:rsidR="00D057A3">
        <w:rPr>
          <w:szCs w:val="22"/>
        </w:rPr>
        <w:t xml:space="preserve">notice, absent further Commission action, </w:t>
      </w:r>
      <w:r w:rsidR="002C4B8D">
        <w:rPr>
          <w:szCs w:val="22"/>
        </w:rPr>
        <w:t>Verizon</w:t>
      </w:r>
      <w:r w:rsidR="00D057A3">
        <w:rPr>
          <w:szCs w:val="22"/>
        </w:rPr>
        <w:t xml:space="preserve"> </w:t>
      </w:r>
      <w:r w:rsidR="00874421">
        <w:rPr>
          <w:szCs w:val="22"/>
        </w:rPr>
        <w:t>will receive authority for the discontinuance of</w:t>
      </w:r>
      <w:r w:rsidR="00D057A3">
        <w:rPr>
          <w:szCs w:val="22"/>
        </w:rPr>
        <w:t xml:space="preserve"> </w:t>
      </w:r>
      <w:r w:rsidR="000A3183">
        <w:rPr>
          <w:szCs w:val="22"/>
        </w:rPr>
        <w:t>interstate wireline telecommunications services including interstate interexchange and exchange access services</w:t>
      </w:r>
      <w:r w:rsidR="00B716BE">
        <w:rPr>
          <w:szCs w:val="22"/>
        </w:rPr>
        <w:t xml:space="preserve"> </w:t>
      </w:r>
      <w:r w:rsidR="000A3183">
        <w:rPr>
          <w:szCs w:val="22"/>
        </w:rPr>
        <w:t xml:space="preserve">in the Service Areas </w:t>
      </w:r>
      <w:r w:rsidR="00D057A3">
        <w:rPr>
          <w:szCs w:val="22"/>
        </w:rPr>
        <w:t xml:space="preserve">on or after </w:t>
      </w:r>
      <w:r w:rsidR="006E7C66">
        <w:rPr>
          <w:b/>
          <w:szCs w:val="22"/>
        </w:rPr>
        <w:t xml:space="preserve">August </w:t>
      </w:r>
      <w:r w:rsidR="00783551">
        <w:rPr>
          <w:b/>
          <w:szCs w:val="22"/>
        </w:rPr>
        <w:t>2</w:t>
      </w:r>
      <w:r w:rsidR="00203892">
        <w:rPr>
          <w:b/>
          <w:szCs w:val="22"/>
        </w:rPr>
        <w:t>7</w:t>
      </w:r>
      <w:r w:rsidR="00D057A3">
        <w:rPr>
          <w:b/>
          <w:szCs w:val="22"/>
        </w:rPr>
        <w:t>, 201</w:t>
      </w:r>
      <w:r w:rsidR="002C4B8D">
        <w:rPr>
          <w:b/>
          <w:szCs w:val="22"/>
        </w:rPr>
        <w:t>3</w:t>
      </w:r>
      <w:r w:rsidR="00D057A3">
        <w:rPr>
          <w:szCs w:val="22"/>
        </w:rPr>
        <w:t xml:space="preserve">, in accordance with </w:t>
      </w:r>
      <w:r w:rsidR="002C4B8D">
        <w:rPr>
          <w:szCs w:val="22"/>
        </w:rPr>
        <w:t>Verizon</w:t>
      </w:r>
      <w:r w:rsidR="00D057A3">
        <w:rPr>
          <w:szCs w:val="22"/>
        </w:rPr>
        <w:t>’s filed representations</w:t>
      </w:r>
      <w:r w:rsidR="00874421">
        <w:rPr>
          <w:szCs w:val="22"/>
        </w:rPr>
        <w:t>.</w:t>
      </w:r>
      <w:r w:rsidR="00D057A3">
        <w:rPr>
          <w:szCs w:val="22"/>
        </w:rPr>
        <w:t xml:space="preserve">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w:t>
      </w:r>
      <w:r w:rsidR="006D6043">
        <w:rPr>
          <w:szCs w:val="22"/>
        </w:rPr>
        <w:t xml:space="preserve">on </w:t>
      </w:r>
      <w:r>
        <w:rPr>
          <w:szCs w:val="22"/>
        </w:rPr>
        <w:t xml:space="preserve">this application must be filed with the Commission on or before </w:t>
      </w:r>
    </w:p>
    <w:p w:rsidR="00D057A3" w:rsidRPr="00E90D1A" w:rsidRDefault="00DB60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July </w:t>
      </w:r>
      <w:r w:rsidR="003275E6">
        <w:rPr>
          <w:b/>
          <w:szCs w:val="22"/>
        </w:rPr>
        <w:t>2</w:t>
      </w:r>
      <w:r w:rsidR="00203892">
        <w:rPr>
          <w:b/>
          <w:szCs w:val="22"/>
        </w:rPr>
        <w:t>9</w:t>
      </w:r>
      <w:r w:rsidR="00D057A3">
        <w:rPr>
          <w:b/>
          <w:szCs w:val="22"/>
        </w:rPr>
        <w:t>, 201</w:t>
      </w:r>
      <w:r w:rsidR="002C4B8D">
        <w:rPr>
          <w:b/>
          <w:szCs w:val="22"/>
        </w:rPr>
        <w:t>3</w:t>
      </w:r>
      <w:r w:rsidR="00D057A3">
        <w:rPr>
          <w:szCs w:val="22"/>
        </w:rPr>
        <w:t xml:space="preserve">.  Such comments should refer to </w:t>
      </w:r>
      <w:r w:rsidR="00D057A3">
        <w:rPr>
          <w:b/>
          <w:szCs w:val="22"/>
        </w:rPr>
        <w:t>WC Docket No. 1</w:t>
      </w:r>
      <w:r w:rsidR="00926330">
        <w:rPr>
          <w:b/>
          <w:szCs w:val="22"/>
        </w:rPr>
        <w:t>3</w:t>
      </w:r>
      <w:r w:rsidR="00D057A3">
        <w:rPr>
          <w:b/>
          <w:szCs w:val="22"/>
        </w:rPr>
        <w:t>-</w:t>
      </w:r>
      <w:r w:rsidR="00181B01">
        <w:rPr>
          <w:b/>
          <w:szCs w:val="22"/>
        </w:rPr>
        <w:t>150</w:t>
      </w:r>
      <w:r w:rsidR="00CF3A29">
        <w:rPr>
          <w:b/>
          <w:szCs w:val="22"/>
        </w:rPr>
        <w:t xml:space="preserve"> and Comp. Pol. File </w:t>
      </w:r>
      <w:r w:rsidR="00D057A3">
        <w:rPr>
          <w:b/>
          <w:szCs w:val="22"/>
        </w:rPr>
        <w:t>No. 1</w:t>
      </w:r>
      <w:r>
        <w:rPr>
          <w:b/>
          <w:szCs w:val="22"/>
        </w:rPr>
        <w:t>115</w:t>
      </w:r>
      <w:r w:rsidR="00D057A3">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D057A3">
        <w:rPr>
          <w:i/>
          <w:szCs w:val="22"/>
        </w:rPr>
        <w:t>See Electronic Filing of Documents in Rulemaking Proceedings</w:t>
      </w:r>
      <w:r w:rsidR="00D057A3">
        <w:rPr>
          <w:szCs w:val="22"/>
        </w:rPr>
        <w:t xml:space="preserve">, 63 FR 24121 (1998).  Comments may be filed electronically using the Internet by accessing the ECFS: </w:t>
      </w:r>
      <w:hyperlink r:id="rId14" w:history="1">
        <w:r w:rsidR="00D057A3" w:rsidRPr="00783C52">
          <w:rPr>
            <w:rStyle w:val="Hyperlink"/>
            <w:szCs w:val="22"/>
          </w:rPr>
          <w:t xml:space="preserve">http://fjallfoss.fcc.gov/ecfs2/. </w:t>
        </w:r>
      </w:hyperlink>
      <w:r w:rsidR="00D057A3">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Applicants.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sidR="00783C52" w:rsidRPr="00783C52">
          <w:rPr>
            <w:rStyle w:val="Hyperlink"/>
            <w:szCs w:val="22"/>
          </w:rPr>
          <w:t>fcc504@fcc.gov</w:t>
        </w:r>
      </w:hyperlink>
      <w:r>
        <w:rPr>
          <w:szCs w:val="22"/>
        </w:rPr>
        <w:t>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hyperlink r:id="rId16" w:history="1">
        <w:r w:rsidRPr="00783C52">
          <w:rPr>
            <w:rStyle w:val="Hyperlink"/>
            <w:szCs w:val="22"/>
          </w:rPr>
          <w:t>carmell.weathers@fcc.gov</w:t>
        </w:r>
      </w:hyperlink>
      <w:r>
        <w:rPr>
          <w:szCs w:val="22"/>
        </w:rPr>
        <w:t xml:space="preserve">, or </w:t>
      </w:r>
      <w:r w:rsidR="00DB6094">
        <w:rPr>
          <w:szCs w:val="22"/>
        </w:rPr>
        <w:t>Rodney</w:t>
      </w:r>
      <w:r w:rsidR="00D150F7">
        <w:rPr>
          <w:szCs w:val="22"/>
        </w:rPr>
        <w:t xml:space="preserve"> </w:t>
      </w:r>
      <w:r w:rsidR="00DB6094">
        <w:rPr>
          <w:szCs w:val="22"/>
        </w:rPr>
        <w:t>McDonald</w:t>
      </w:r>
      <w:r>
        <w:rPr>
          <w:szCs w:val="22"/>
        </w:rPr>
        <w:t>, (202) 418-</w:t>
      </w:r>
      <w:r w:rsidR="00D150F7">
        <w:rPr>
          <w:szCs w:val="22"/>
        </w:rPr>
        <w:t>7</w:t>
      </w:r>
      <w:r w:rsidR="00DB6094">
        <w:rPr>
          <w:szCs w:val="22"/>
        </w:rPr>
        <w:t>513</w:t>
      </w:r>
      <w:r>
        <w:rPr>
          <w:szCs w:val="22"/>
        </w:rPr>
        <w:t xml:space="preserve"> (voice), </w:t>
      </w:r>
      <w:hyperlink r:id="rId17" w:history="1">
        <w:r w:rsidR="00DB6094" w:rsidRPr="00783C52">
          <w:rPr>
            <w:rStyle w:val="Hyperlink"/>
          </w:rPr>
          <w:t>rodney</w:t>
        </w:r>
        <w:r w:rsidRPr="00783C52">
          <w:rPr>
            <w:rStyle w:val="Hyperlink"/>
          </w:rPr>
          <w:t>.</w:t>
        </w:r>
        <w:r w:rsidR="00DB6094" w:rsidRPr="00783C52">
          <w:rPr>
            <w:rStyle w:val="Hyperlink"/>
          </w:rPr>
          <w:t>mcdonald</w:t>
        </w:r>
        <w:r w:rsidRPr="00783C52">
          <w:rPr>
            <w:rStyle w:val="Hyperlink"/>
          </w:rPr>
          <w:t>@fcc.gov</w:t>
        </w:r>
      </w:hyperlink>
      <w:r>
        <w:rPr>
          <w:color w:val="000000"/>
        </w:rPr>
        <w:t>,</w:t>
      </w:r>
      <w:r>
        <w:rPr>
          <w:szCs w:val="22"/>
        </w:rPr>
        <w:t xml:space="preserve"> of the Competition Policy Division, Wireline Competition Bureau.  The tty number is (202) 418-0484.  For further information on procedures regarding section 214 please visit </w:t>
      </w:r>
      <w:hyperlink r:id="rId18" w:history="1">
        <w:r w:rsidRPr="00783C52">
          <w:rPr>
            <w:rStyle w:val="Hyperlink"/>
            <w:szCs w:val="22"/>
          </w:rPr>
          <w:t>http://www.fcc.gov/wcb/c</w:t>
        </w:r>
        <w:bookmarkStart w:id="2" w:name="_Hlt6302429"/>
        <w:r w:rsidRPr="00783C52">
          <w:rPr>
            <w:rStyle w:val="Hyperlink"/>
            <w:szCs w:val="22"/>
          </w:rPr>
          <w:t>p</w:t>
        </w:r>
        <w:bookmarkEnd w:id="2"/>
        <w:r w:rsidRPr="00783C52">
          <w:rPr>
            <w:rStyle w:val="Hyperlink"/>
            <w:szCs w:val="22"/>
          </w:rPr>
          <w:t>d/other_adjud</w:t>
        </w:r>
      </w:hyperlink>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Pr="003B1007"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3B1007">
        <w:rPr>
          <w:b/>
          <w:color w:val="000000"/>
          <w:szCs w:val="22"/>
        </w:rPr>
        <w:t>– FCC –</w:t>
      </w:r>
    </w:p>
    <w:sectPr w:rsidR="00D057A3" w:rsidRPr="003B1007" w:rsidSect="00777BF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79" w:rsidRDefault="00F42B79">
      <w:r>
        <w:separator/>
      </w:r>
    </w:p>
  </w:endnote>
  <w:endnote w:type="continuationSeparator" w:id="0">
    <w:p w:rsidR="00F42B79" w:rsidRDefault="00F42B79">
      <w:r>
        <w:continuationSeparator/>
      </w:r>
    </w:p>
  </w:endnote>
  <w:endnote w:type="continuationNotice" w:id="1">
    <w:p w:rsidR="00F42B79" w:rsidRDefault="00F42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B" w:rsidRDefault="00375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Default="00514E99">
    <w:pPr>
      <w:pStyle w:val="Footer"/>
      <w:jc w:val="center"/>
    </w:pPr>
    <w:r>
      <w:rPr>
        <w:rStyle w:val="PageNumber"/>
      </w:rPr>
      <w:fldChar w:fldCharType="begin"/>
    </w:r>
    <w:r>
      <w:rPr>
        <w:rStyle w:val="PageNumber"/>
      </w:rPr>
      <w:instrText xml:space="preserve"> PAGE </w:instrText>
    </w:r>
    <w:r>
      <w:rPr>
        <w:rStyle w:val="PageNumber"/>
      </w:rPr>
      <w:fldChar w:fldCharType="separate"/>
    </w:r>
    <w:r w:rsidR="00306AAD">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B" w:rsidRDefault="0037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79" w:rsidRDefault="00F42B79">
      <w:r>
        <w:separator/>
      </w:r>
    </w:p>
  </w:footnote>
  <w:footnote w:type="continuationSeparator" w:id="0">
    <w:p w:rsidR="00F42B79" w:rsidRDefault="00F42B79">
      <w:r>
        <w:continuationSeparator/>
      </w:r>
    </w:p>
  </w:footnote>
  <w:footnote w:type="continuationNotice" w:id="1">
    <w:p w:rsidR="00F42B79" w:rsidRDefault="00F42B79"/>
  </w:footnote>
  <w:footnote w:id="2">
    <w:p w:rsidR="003275E6" w:rsidRDefault="003275E6" w:rsidP="00E309E6">
      <w:pPr>
        <w:pStyle w:val="FootnoteText"/>
        <w:spacing w:after="120"/>
      </w:pPr>
      <w:r>
        <w:rPr>
          <w:rStyle w:val="FootnoteReference"/>
        </w:rPr>
        <w:footnoteRef/>
      </w:r>
      <w:r>
        <w:t xml:space="preserve"> </w:t>
      </w:r>
      <w:r>
        <w:rPr>
          <w:sz w:val="20"/>
        </w:rPr>
        <w:t xml:space="preserve">Letter from Frederick E. Moacdieh, Executive Director – Federal Regulatory Affairs, Verizon, to Ms. Marlene H. Dortch, Secretary, Federal Communications Commission, Attach. (filed June 7, 2013) (Verizon Application), </w:t>
      </w:r>
      <w:r>
        <w:rPr>
          <w:i/>
          <w:sz w:val="20"/>
        </w:rPr>
        <w:t>available at</w:t>
      </w:r>
      <w:r>
        <w:rPr>
          <w:sz w:val="20"/>
        </w:rPr>
        <w:t xml:space="preserve"> </w:t>
      </w:r>
      <w:r w:rsidRPr="003275E6">
        <w:rPr>
          <w:color w:val="0000FF"/>
          <w:sz w:val="20"/>
          <w:u w:val="single"/>
        </w:rPr>
        <w:t>http://apps.fcc.gov/ecfs/document/view?id=7022424983</w:t>
      </w:r>
      <w:r>
        <w:rPr>
          <w:sz w:val="20"/>
        </w:rPr>
        <w:t>.</w:t>
      </w:r>
    </w:p>
  </w:footnote>
  <w:footnote w:id="3">
    <w:p w:rsidR="003D1F8D" w:rsidRPr="00D403E0" w:rsidRDefault="003D1F8D" w:rsidP="00E309E6">
      <w:pPr>
        <w:pStyle w:val="FootnoteText"/>
        <w:spacing w:after="120"/>
        <w:rPr>
          <w:sz w:val="20"/>
        </w:rPr>
      </w:pPr>
      <w:r>
        <w:rPr>
          <w:rStyle w:val="FootnoteReference"/>
        </w:rPr>
        <w:footnoteRef/>
      </w:r>
      <w:r>
        <w:t xml:space="preserve"> </w:t>
      </w:r>
      <w:r>
        <w:rPr>
          <w:i/>
          <w:sz w:val="20"/>
        </w:rPr>
        <w:t>See</w:t>
      </w:r>
      <w:r>
        <w:rPr>
          <w:sz w:val="20"/>
        </w:rPr>
        <w:t xml:space="preserve"> Letter from Frederick E. Moacdieh, Executive </w:t>
      </w:r>
      <w:r w:rsidR="00155BBD">
        <w:rPr>
          <w:sz w:val="20"/>
        </w:rPr>
        <w:t xml:space="preserve">Director – Federal </w:t>
      </w:r>
      <w:r>
        <w:rPr>
          <w:sz w:val="20"/>
        </w:rPr>
        <w:t>Regulatory Affairs, Verizon, to Ms. Marlene H. Dortch, Secretary, Federal Communications Commission (filed June 14, 2013)</w:t>
      </w:r>
      <w:r w:rsidR="00A32F9B">
        <w:rPr>
          <w:sz w:val="20"/>
        </w:rPr>
        <w:t xml:space="preserve"> (</w:t>
      </w:r>
      <w:r w:rsidR="00210AB7">
        <w:rPr>
          <w:sz w:val="20"/>
        </w:rPr>
        <w:t>stating</w:t>
      </w:r>
      <w:r w:rsidR="00A32F9B">
        <w:rPr>
          <w:sz w:val="20"/>
        </w:rPr>
        <w:t xml:space="preserve"> that Verizon is sending additional notice to the billing address of a number of customers that were previously notified at their service address, and that Verizon has since identified an additional </w:t>
      </w:r>
      <w:r w:rsidR="00F33AB7">
        <w:rPr>
          <w:sz w:val="20"/>
        </w:rPr>
        <w:t>65</w:t>
      </w:r>
      <w:r w:rsidR="00A32F9B">
        <w:rPr>
          <w:sz w:val="20"/>
        </w:rPr>
        <w:t xml:space="preserve"> affected customers that are being provided with the notice attached to the application)</w:t>
      </w:r>
      <w:r>
        <w:rPr>
          <w:sz w:val="20"/>
        </w:rPr>
        <w:t xml:space="preserve">.  The Competition Policy Division of the Wireline Competition Bureau subsequently received </w:t>
      </w:r>
      <w:r w:rsidR="00A32F9B">
        <w:rPr>
          <w:sz w:val="20"/>
        </w:rPr>
        <w:t>Verizon’s</w:t>
      </w:r>
      <w:r>
        <w:rPr>
          <w:sz w:val="20"/>
        </w:rPr>
        <w:t xml:space="preserve"> letter on June 18, 2013.</w:t>
      </w:r>
    </w:p>
  </w:footnote>
  <w:footnote w:id="4">
    <w:p w:rsidR="000474A1" w:rsidRDefault="000474A1" w:rsidP="00E309E6">
      <w:pPr>
        <w:pStyle w:val="FootnoteText"/>
        <w:spacing w:after="120"/>
      </w:pPr>
      <w:r>
        <w:rPr>
          <w:rStyle w:val="FootnoteReference"/>
        </w:rPr>
        <w:footnoteRef/>
      </w:r>
      <w:r>
        <w:t xml:space="preserve"> </w:t>
      </w:r>
      <w:r>
        <w:rPr>
          <w:sz w:val="20"/>
        </w:rPr>
        <w:t>Verizon Application at 1-2.</w:t>
      </w:r>
    </w:p>
  </w:footnote>
  <w:footnote w:id="5">
    <w:p w:rsidR="000474A1" w:rsidRPr="00D403E0" w:rsidRDefault="000474A1" w:rsidP="00E309E6">
      <w:pPr>
        <w:pStyle w:val="FootnoteText"/>
        <w:spacing w:after="120"/>
        <w:rPr>
          <w:sz w:val="20"/>
        </w:rPr>
      </w:pPr>
      <w:r>
        <w:rPr>
          <w:rStyle w:val="FootnoteReference"/>
        </w:rPr>
        <w:footnoteRef/>
      </w:r>
      <w:r>
        <w:t xml:space="preserve"> </w:t>
      </w:r>
      <w:r>
        <w:rPr>
          <w:sz w:val="20"/>
        </w:rPr>
        <w:t>Verizon Application at 3.</w:t>
      </w:r>
    </w:p>
  </w:footnote>
  <w:footnote w:id="6">
    <w:p w:rsidR="000474A1" w:rsidRDefault="000474A1" w:rsidP="00E309E6">
      <w:pPr>
        <w:pStyle w:val="FootnoteText"/>
        <w:spacing w:after="120"/>
      </w:pPr>
      <w:r>
        <w:rPr>
          <w:rStyle w:val="FootnoteReference"/>
        </w:rPr>
        <w:footnoteRef/>
      </w:r>
      <w:r>
        <w:t xml:space="preserve"> </w:t>
      </w:r>
      <w:r>
        <w:rPr>
          <w:sz w:val="20"/>
        </w:rPr>
        <w:t>Verizon Application at 3.</w:t>
      </w:r>
    </w:p>
  </w:footnote>
  <w:footnote w:id="7">
    <w:p w:rsidR="00302186" w:rsidRDefault="00302186" w:rsidP="00E309E6">
      <w:pPr>
        <w:pStyle w:val="FootnoteText"/>
        <w:spacing w:after="120"/>
      </w:pPr>
      <w:r>
        <w:rPr>
          <w:rStyle w:val="FootnoteReference"/>
        </w:rPr>
        <w:footnoteRef/>
      </w:r>
      <w:r>
        <w:t xml:space="preserve"> </w:t>
      </w:r>
      <w:r>
        <w:rPr>
          <w:sz w:val="20"/>
        </w:rPr>
        <w:t>Verizon Application at 1-2.</w:t>
      </w:r>
    </w:p>
  </w:footnote>
  <w:footnote w:id="8">
    <w:p w:rsidR="00993366" w:rsidRDefault="00993366" w:rsidP="00E309E6">
      <w:pPr>
        <w:pStyle w:val="FootnoteText"/>
        <w:spacing w:after="120"/>
      </w:pPr>
      <w:r>
        <w:rPr>
          <w:rStyle w:val="FootnoteReference"/>
        </w:rPr>
        <w:footnoteRef/>
      </w:r>
      <w:r>
        <w:t xml:space="preserve"> </w:t>
      </w:r>
      <w:r>
        <w:rPr>
          <w:sz w:val="20"/>
        </w:rPr>
        <w:t>Verizon Application at 3-4.</w:t>
      </w:r>
    </w:p>
  </w:footnote>
  <w:footnote w:id="9">
    <w:p w:rsidR="000E2BC9" w:rsidRPr="005A3B6F" w:rsidRDefault="000E2BC9" w:rsidP="00E309E6">
      <w:pPr>
        <w:pStyle w:val="FootnoteText"/>
        <w:spacing w:after="120"/>
        <w:rPr>
          <w:sz w:val="20"/>
        </w:rPr>
      </w:pPr>
      <w:r>
        <w:rPr>
          <w:rStyle w:val="FootnoteReference"/>
        </w:rPr>
        <w:footnoteRef/>
      </w:r>
      <w:r>
        <w:t xml:space="preserve"> </w:t>
      </w:r>
      <w:r w:rsidR="00993366">
        <w:rPr>
          <w:sz w:val="20"/>
        </w:rPr>
        <w:t xml:space="preserve">Verizon Application at 2-3.  </w:t>
      </w:r>
      <w:r w:rsidR="002A0E30" w:rsidRPr="00D403E0">
        <w:rPr>
          <w:sz w:val="20"/>
        </w:rPr>
        <w:t xml:space="preserve">A </w:t>
      </w:r>
      <w:r w:rsidR="002A0E30">
        <w:rPr>
          <w:sz w:val="20"/>
        </w:rPr>
        <w:t xml:space="preserve">“grandfathered” customer can continue receiving service over the copper facilities until the copper stops working, after which Verizon will provide service to the customer using Voice Link.  </w:t>
      </w:r>
      <w:r w:rsidR="005A3B6F">
        <w:rPr>
          <w:sz w:val="20"/>
        </w:rPr>
        <w:t xml:space="preserve">Verizon maintains that it is grandfathering </w:t>
      </w:r>
      <w:r w:rsidR="00A71204">
        <w:rPr>
          <w:sz w:val="20"/>
        </w:rPr>
        <w:t>the Affected Services given the impracticality of repairing these copper facilities in the future.  Nevertheless, i</w:t>
      </w:r>
      <w:r w:rsidR="005A3B6F" w:rsidRPr="005A3B6F">
        <w:rPr>
          <w:sz w:val="20"/>
        </w:rPr>
        <w:t>n its notice to some customers, Verizon</w:t>
      </w:r>
      <w:r w:rsidR="005A3B6F">
        <w:rPr>
          <w:sz w:val="20"/>
        </w:rPr>
        <w:t xml:space="preserve"> states that it will deploy and repair copper facilities to provide landline service on an as-needed basis to firehouses, police stations</w:t>
      </w:r>
      <w:r w:rsidR="00A71204">
        <w:rPr>
          <w:sz w:val="20"/>
        </w:rPr>
        <w:t xml:space="preserve"> and other government buildings.</w:t>
      </w:r>
    </w:p>
  </w:footnote>
  <w:footnote w:id="10">
    <w:p w:rsidR="0026401C" w:rsidRDefault="0026401C" w:rsidP="00E309E6">
      <w:pPr>
        <w:pStyle w:val="FootnoteText"/>
        <w:spacing w:after="120"/>
      </w:pPr>
      <w:r>
        <w:rPr>
          <w:rStyle w:val="FootnoteReference"/>
        </w:rPr>
        <w:footnoteRef/>
      </w:r>
      <w:r>
        <w:t xml:space="preserve"> </w:t>
      </w:r>
      <w:r>
        <w:rPr>
          <w:sz w:val="20"/>
        </w:rPr>
        <w:t>Verizon Application at 5.</w:t>
      </w:r>
    </w:p>
  </w:footnote>
  <w:footnote w:id="11">
    <w:p w:rsidR="0026401C" w:rsidRDefault="0026401C" w:rsidP="00E309E6">
      <w:pPr>
        <w:pStyle w:val="FootnoteText"/>
        <w:spacing w:after="120"/>
      </w:pPr>
      <w:r>
        <w:rPr>
          <w:rStyle w:val="FootnoteReference"/>
        </w:rPr>
        <w:footnoteRef/>
      </w:r>
      <w:r>
        <w:t xml:space="preserve"> </w:t>
      </w:r>
      <w:r>
        <w:rPr>
          <w:sz w:val="20"/>
        </w:rPr>
        <w:t>Verizon Application at 6.</w:t>
      </w:r>
    </w:p>
  </w:footnote>
  <w:footnote w:id="12">
    <w:p w:rsidR="00DA3BCF" w:rsidRDefault="00DA3BCF" w:rsidP="00E309E6">
      <w:pPr>
        <w:pStyle w:val="FootnoteText"/>
        <w:spacing w:after="120"/>
      </w:pPr>
      <w:r>
        <w:rPr>
          <w:rStyle w:val="FootnoteReference"/>
        </w:rPr>
        <w:footnoteRef/>
      </w:r>
      <w:r>
        <w:t xml:space="preserve"> </w:t>
      </w:r>
      <w:r>
        <w:rPr>
          <w:sz w:val="20"/>
        </w:rPr>
        <w:t>Verizon Application at 1 n.1.</w:t>
      </w:r>
    </w:p>
  </w:footnote>
  <w:footnote w:id="13">
    <w:p w:rsidR="00D403E0" w:rsidRDefault="00D403E0" w:rsidP="00E309E6">
      <w:pPr>
        <w:pStyle w:val="FootnoteText"/>
        <w:spacing w:after="120"/>
      </w:pPr>
      <w:r>
        <w:rPr>
          <w:rStyle w:val="FootnoteReference"/>
        </w:rPr>
        <w:footnoteRef/>
      </w:r>
      <w:r>
        <w:t xml:space="preserve"> </w:t>
      </w:r>
      <w:r w:rsidRPr="008A3519">
        <w:rPr>
          <w:i/>
          <w:sz w:val="20"/>
        </w:rPr>
        <w:t xml:space="preserve">See </w:t>
      </w:r>
      <w:r w:rsidRPr="008A3519">
        <w:rPr>
          <w:sz w:val="20"/>
        </w:rPr>
        <w:t>47 C.F.R. §§ 63.60(</w:t>
      </w:r>
      <w:r>
        <w:rPr>
          <w:sz w:val="20"/>
        </w:rPr>
        <w:t>b)-(</w:t>
      </w:r>
      <w:r w:rsidRPr="008A3519">
        <w:rPr>
          <w:sz w:val="20"/>
        </w:rPr>
        <w:t>c)</w:t>
      </w:r>
      <w:r>
        <w:rPr>
          <w:sz w:val="20"/>
        </w:rPr>
        <w:t>.</w:t>
      </w:r>
    </w:p>
  </w:footnote>
  <w:footnote w:id="14">
    <w:p w:rsidR="00D403E0" w:rsidRDefault="00D403E0" w:rsidP="00E309E6">
      <w:pPr>
        <w:pStyle w:val="FootnoteText"/>
        <w:spacing w:after="120"/>
      </w:pPr>
      <w:r>
        <w:rPr>
          <w:rStyle w:val="FootnoteReference"/>
        </w:rPr>
        <w:footnoteRef/>
      </w:r>
      <w:r>
        <w:t xml:space="preserve"> </w:t>
      </w:r>
      <w:r w:rsidRPr="008A3519">
        <w:rPr>
          <w:i/>
          <w:sz w:val="20"/>
        </w:rPr>
        <w:t xml:space="preserve">See </w:t>
      </w:r>
      <w:r w:rsidRPr="008A3519">
        <w:rPr>
          <w:sz w:val="20"/>
        </w:rPr>
        <w:t>47 C.F.R. § 63.60(</w:t>
      </w:r>
      <w:r>
        <w:rPr>
          <w:sz w:val="20"/>
        </w:rPr>
        <w:t>a</w:t>
      </w:r>
      <w:r w:rsidRPr="008A3519">
        <w:rPr>
          <w:sz w:val="20"/>
        </w:rPr>
        <w:t>)</w:t>
      </w:r>
      <w:r>
        <w:rPr>
          <w:sz w:val="20"/>
        </w:rPr>
        <w:t>.</w:t>
      </w:r>
    </w:p>
  </w:footnote>
  <w:footnote w:id="15">
    <w:p w:rsidR="00063EC4" w:rsidRDefault="00063EC4" w:rsidP="00E309E6">
      <w:pPr>
        <w:pStyle w:val="FootnoteText"/>
        <w:spacing w:after="120"/>
      </w:pPr>
      <w:r>
        <w:rPr>
          <w:rStyle w:val="FootnoteReference"/>
        </w:rPr>
        <w:footnoteRef/>
      </w:r>
      <w:r>
        <w:t xml:space="preserve"> </w:t>
      </w:r>
      <w:r w:rsidRPr="008A3519">
        <w:rPr>
          <w:i/>
          <w:sz w:val="20"/>
        </w:rPr>
        <w:t xml:space="preserve">See </w:t>
      </w:r>
      <w:r w:rsidRPr="008A3519">
        <w:rPr>
          <w:sz w:val="20"/>
        </w:rPr>
        <w:t>47 C.F.R. §</w:t>
      </w:r>
      <w:r w:rsidR="00D403E0">
        <w:rPr>
          <w:sz w:val="20"/>
        </w:rPr>
        <w:t xml:space="preserve"> </w:t>
      </w:r>
      <w:r w:rsidRPr="008A3519">
        <w:rPr>
          <w:sz w:val="20"/>
        </w:rPr>
        <w:t>63.71.</w:t>
      </w:r>
      <w:r>
        <w:rPr>
          <w:sz w:val="20"/>
        </w:rPr>
        <w:t xml:space="preserve">  </w:t>
      </w:r>
    </w:p>
  </w:footnote>
  <w:footnote w:id="16">
    <w:p w:rsidR="000F34FF" w:rsidRDefault="000F34FF" w:rsidP="00E309E6">
      <w:pPr>
        <w:pStyle w:val="FootnoteText"/>
        <w:spacing w:after="120"/>
      </w:pPr>
      <w:r>
        <w:rPr>
          <w:rStyle w:val="FootnoteReference"/>
        </w:rPr>
        <w:footnoteRef/>
      </w:r>
      <w:r>
        <w:t xml:space="preserve"> </w:t>
      </w:r>
      <w:r>
        <w:rPr>
          <w:sz w:val="20"/>
        </w:rPr>
        <w:t>Verizon Application at 4.</w:t>
      </w:r>
    </w:p>
  </w:footnote>
  <w:footnote w:id="17">
    <w:p w:rsidR="000F34FF" w:rsidRDefault="000F34FF" w:rsidP="00E309E6">
      <w:pPr>
        <w:pStyle w:val="FootnoteText"/>
        <w:spacing w:after="120"/>
      </w:pPr>
      <w:r>
        <w:rPr>
          <w:rStyle w:val="FootnoteReference"/>
        </w:rPr>
        <w:footnoteRef/>
      </w:r>
      <w:r>
        <w:t xml:space="preserve"> </w:t>
      </w:r>
      <w:r>
        <w:rPr>
          <w:sz w:val="20"/>
        </w:rPr>
        <w:t>Verizon Application at 4-5.</w:t>
      </w:r>
    </w:p>
  </w:footnote>
  <w:footnote w:id="18">
    <w:p w:rsidR="000F34FF" w:rsidRDefault="000F34FF" w:rsidP="00E309E6">
      <w:pPr>
        <w:pStyle w:val="FootnoteText"/>
        <w:spacing w:after="120"/>
      </w:pPr>
      <w:r>
        <w:rPr>
          <w:rStyle w:val="FootnoteReference"/>
        </w:rPr>
        <w:footnoteRef/>
      </w:r>
      <w:r>
        <w:t xml:space="preserve"> </w:t>
      </w:r>
      <w:r>
        <w:rPr>
          <w:sz w:val="20"/>
        </w:rPr>
        <w:t>Verizon Application at 2.</w:t>
      </w:r>
    </w:p>
  </w:footnote>
  <w:footnote w:id="19">
    <w:p w:rsidR="000B450E" w:rsidRDefault="000B450E" w:rsidP="00E309E6">
      <w:pPr>
        <w:pStyle w:val="FootnoteText"/>
        <w:spacing w:after="120"/>
      </w:pPr>
      <w:r>
        <w:rPr>
          <w:rStyle w:val="FootnoteReference"/>
        </w:rPr>
        <w:footnoteRef/>
      </w:r>
      <w:r>
        <w:t xml:space="preserve"> </w:t>
      </w:r>
      <w:r>
        <w:rPr>
          <w:sz w:val="20"/>
        </w:rPr>
        <w:t>Verizon Application at 4.</w:t>
      </w:r>
    </w:p>
  </w:footnote>
  <w:footnote w:id="20">
    <w:p w:rsidR="000B450E" w:rsidRDefault="000B450E" w:rsidP="00E309E6">
      <w:pPr>
        <w:pStyle w:val="FootnoteText"/>
        <w:spacing w:after="120"/>
      </w:pPr>
      <w:r>
        <w:rPr>
          <w:rStyle w:val="FootnoteReference"/>
        </w:rPr>
        <w:footnoteRef/>
      </w:r>
      <w:r>
        <w:t xml:space="preserve"> </w:t>
      </w:r>
      <w:r>
        <w:rPr>
          <w:sz w:val="20"/>
        </w:rPr>
        <w:t>Verizon Application at 5.</w:t>
      </w:r>
    </w:p>
  </w:footnote>
  <w:footnote w:id="21">
    <w:p w:rsidR="005D7046" w:rsidRDefault="005D7046" w:rsidP="00E309E6">
      <w:pPr>
        <w:pStyle w:val="FootnoteText"/>
        <w:spacing w:after="120"/>
      </w:pPr>
      <w:r>
        <w:rPr>
          <w:rStyle w:val="FootnoteReference"/>
        </w:rPr>
        <w:footnoteRef/>
      </w:r>
      <w:r>
        <w:t xml:space="preserve"> </w:t>
      </w:r>
      <w:r>
        <w:rPr>
          <w:sz w:val="20"/>
        </w:rPr>
        <w:t>Verizon Application at 5.</w:t>
      </w:r>
    </w:p>
  </w:footnote>
  <w:footnote w:id="22">
    <w:p w:rsidR="008054A9" w:rsidRPr="00BE1E76" w:rsidRDefault="008054A9" w:rsidP="00E309E6">
      <w:pPr>
        <w:pStyle w:val="FootnoteText"/>
        <w:spacing w:after="120"/>
        <w:rPr>
          <w:sz w:val="20"/>
        </w:rPr>
      </w:pPr>
      <w:r>
        <w:rPr>
          <w:rStyle w:val="FootnoteReference"/>
        </w:rPr>
        <w:footnoteRef/>
      </w:r>
      <w:r>
        <w:t xml:space="preserve"> </w:t>
      </w:r>
      <w:r w:rsidRPr="00BE1E76">
        <w:rPr>
          <w:i/>
          <w:sz w:val="20"/>
        </w:rPr>
        <w:t>See</w:t>
      </w:r>
      <w:r w:rsidRPr="00BE1E76">
        <w:rPr>
          <w:sz w:val="20"/>
        </w:rPr>
        <w:t xml:space="preserve"> State of New York Public Service Commission Order Conditionally Approving Tariff Amendments In Part, Revising in Part, and Directing Further Comments (May 16, 2013) (NYPSC May Order)</w:t>
      </w:r>
      <w:r>
        <w:rPr>
          <w:sz w:val="20"/>
        </w:rPr>
        <w:t>.</w:t>
      </w:r>
    </w:p>
  </w:footnote>
  <w:footnote w:id="23">
    <w:p w:rsidR="008054A9" w:rsidRPr="00BE1E76" w:rsidRDefault="008054A9" w:rsidP="00E309E6">
      <w:pPr>
        <w:pStyle w:val="FootnoteText"/>
        <w:spacing w:after="120"/>
        <w:rPr>
          <w:sz w:val="20"/>
        </w:rPr>
      </w:pPr>
      <w:r>
        <w:rPr>
          <w:rStyle w:val="FootnoteReference"/>
        </w:rPr>
        <w:footnoteRef/>
      </w:r>
      <w:r>
        <w:t xml:space="preserve"> </w:t>
      </w:r>
      <w:r w:rsidR="00EC7873" w:rsidRPr="00865A2F">
        <w:rPr>
          <w:i/>
          <w:iCs/>
          <w:sz w:val="20"/>
        </w:rPr>
        <w:t>See</w:t>
      </w:r>
      <w:r w:rsidR="00EC7873" w:rsidRPr="00865A2F">
        <w:rPr>
          <w:sz w:val="20"/>
        </w:rPr>
        <w:t xml:space="preserve"> Letter from Joseph A. Post, Deputy General Counsel – New York, Verizon New York Inc., to Hon. Jeffrey C. Cohen, Acting Secretary, New York State Public Service Commission, NY PSC Case No. 13-C-0197, Attach. at </w:t>
      </w:r>
      <w:r w:rsidR="00EC7873">
        <w:rPr>
          <w:sz w:val="20"/>
        </w:rPr>
        <w:t>2, para. 1(g)</w:t>
      </w:r>
      <w:r w:rsidR="00EC7873" w:rsidRPr="00865A2F">
        <w:rPr>
          <w:sz w:val="20"/>
        </w:rPr>
        <w:t xml:space="preserve"> (filed June 12, 2013) (Voice Link Terms of Service), </w:t>
      </w:r>
      <w:r w:rsidR="00EC7873" w:rsidRPr="00865A2F">
        <w:rPr>
          <w:i/>
          <w:iCs/>
          <w:sz w:val="20"/>
        </w:rPr>
        <w:t>available at</w:t>
      </w:r>
      <w:r w:rsidR="00EC7873" w:rsidRPr="00865A2F">
        <w:rPr>
          <w:sz w:val="20"/>
        </w:rPr>
        <w:t xml:space="preserve"> </w:t>
      </w:r>
      <w:hyperlink r:id="rId1" w:history="1">
        <w:r w:rsidR="00EC7873" w:rsidRPr="00783C52">
          <w:rPr>
            <w:rStyle w:val="Hyperlink"/>
            <w:sz w:val="20"/>
          </w:rPr>
          <w:t>http://documents.dps.ny.gov/public/Common/ViewDoc.aspx?DocRefId={0241FDFA-D31F-4063-B9B9-988D97C1AADA}. </w:t>
        </w:r>
      </w:hyperlink>
      <w:r w:rsidR="00EC7873" w:rsidRPr="00DC00BD">
        <w:rPr>
          <w:sz w:val="20"/>
        </w:rPr>
        <w:t xml:space="preserve"> </w:t>
      </w:r>
    </w:p>
  </w:footnote>
  <w:footnote w:id="24">
    <w:p w:rsidR="000B6C8C" w:rsidRDefault="000B6C8C" w:rsidP="00E309E6">
      <w:pPr>
        <w:pStyle w:val="FootnoteText"/>
        <w:spacing w:after="120"/>
      </w:pPr>
      <w:r>
        <w:rPr>
          <w:rStyle w:val="FootnoteReference"/>
        </w:rPr>
        <w:footnoteRef/>
      </w:r>
      <w:r>
        <w:t xml:space="preserve"> </w:t>
      </w:r>
      <w:r>
        <w:rPr>
          <w:sz w:val="20"/>
        </w:rPr>
        <w:t>Verizon Application at 5.</w:t>
      </w:r>
    </w:p>
  </w:footnote>
  <w:footnote w:id="25">
    <w:p w:rsidR="00DA5F30" w:rsidRPr="00DA52C9" w:rsidRDefault="00DA5F30" w:rsidP="00E309E6">
      <w:pPr>
        <w:pStyle w:val="FootnoteText"/>
        <w:spacing w:after="120"/>
        <w:rPr>
          <w:sz w:val="20"/>
        </w:rPr>
      </w:pPr>
      <w:r>
        <w:rPr>
          <w:rStyle w:val="FootnoteReference"/>
        </w:rPr>
        <w:footnoteRef/>
      </w:r>
      <w:r>
        <w:t xml:space="preserve"> </w:t>
      </w:r>
      <w:r w:rsidR="00865A2F" w:rsidRPr="00865A2F">
        <w:rPr>
          <w:i/>
          <w:iCs/>
          <w:sz w:val="20"/>
        </w:rPr>
        <w:t>See</w:t>
      </w:r>
      <w:r w:rsidR="00865A2F" w:rsidRPr="00865A2F">
        <w:rPr>
          <w:sz w:val="20"/>
        </w:rPr>
        <w:t xml:space="preserve"> Letter from Joseph A. Post, Deputy General Counsel – New York, Verizon New York Inc., to Hon. Jeffrey C. Cohen, Acting Secretary, New York State Public Service Commission, NY PSC Case No. 13-C-0197, Attach. at 5 (filed June 12, 2013) (Verizon Voice Link Terms of Service), </w:t>
      </w:r>
      <w:r w:rsidR="00865A2F" w:rsidRPr="00865A2F">
        <w:rPr>
          <w:i/>
          <w:iCs/>
          <w:sz w:val="20"/>
        </w:rPr>
        <w:t>available at</w:t>
      </w:r>
      <w:r w:rsidR="00865A2F" w:rsidRPr="00865A2F">
        <w:rPr>
          <w:sz w:val="20"/>
        </w:rPr>
        <w:t xml:space="preserve"> </w:t>
      </w:r>
      <w:hyperlink r:id="rId2" w:history="1">
        <w:r w:rsidR="00865A2F" w:rsidRPr="00783C52">
          <w:rPr>
            <w:rStyle w:val="Hyperlink"/>
            <w:sz w:val="20"/>
          </w:rPr>
          <w:t>http://documents.dps.ny.gov/public/Common/ViewDoc.aspx?DocRefId={0241FDFA-D31F-4063-B9B9-988D97C1AADA}.</w:t>
        </w:r>
        <w:r w:rsidR="00FF117D" w:rsidRPr="00783C52">
          <w:rPr>
            <w:rStyle w:val="Hyperlink"/>
            <w:sz w:val="20"/>
          </w:rPr>
          <w:t xml:space="preserve"> </w:t>
        </w:r>
      </w:hyperlink>
      <w:r w:rsidR="00FF117D" w:rsidRPr="00DC00BD">
        <w:rPr>
          <w:sz w:val="20"/>
        </w:rPr>
        <w:t xml:space="preserve"> </w:t>
      </w:r>
      <w:r w:rsidR="00EC7873" w:rsidRPr="00BE1E76">
        <w:rPr>
          <w:i/>
          <w:sz w:val="20"/>
        </w:rPr>
        <w:t>See</w:t>
      </w:r>
      <w:r w:rsidR="00EC7873" w:rsidRPr="00BE1E76">
        <w:rPr>
          <w:sz w:val="20"/>
        </w:rPr>
        <w:t xml:space="preserve"> </w:t>
      </w:r>
      <w:r w:rsidR="00795742">
        <w:rPr>
          <w:sz w:val="20"/>
        </w:rPr>
        <w:t xml:space="preserve">Verizon Application at 4; </w:t>
      </w:r>
      <w:r w:rsidR="00EC7873" w:rsidRPr="00770807">
        <w:rPr>
          <w:sz w:val="20"/>
        </w:rPr>
        <w:t>Voice Link Terms of Service</w:t>
      </w:r>
      <w:r w:rsidR="00EC7873">
        <w:rPr>
          <w:sz w:val="20"/>
        </w:rPr>
        <w:t xml:space="preserve">, Attach. at 5, </w:t>
      </w:r>
      <w:r w:rsidR="00EC7873" w:rsidRPr="00770807">
        <w:rPr>
          <w:sz w:val="20"/>
        </w:rPr>
        <w:t xml:space="preserve">para. </w:t>
      </w:r>
      <w:r w:rsidR="00EC7873">
        <w:rPr>
          <w:sz w:val="20"/>
        </w:rPr>
        <w:t>7</w:t>
      </w:r>
      <w:r w:rsidR="00EC7873" w:rsidRPr="00770807">
        <w:rPr>
          <w:sz w:val="20"/>
        </w:rPr>
        <w:t>(</w:t>
      </w:r>
      <w:r w:rsidR="00EC7873">
        <w:rPr>
          <w:sz w:val="20"/>
        </w:rPr>
        <w:t>c</w:t>
      </w:r>
      <w:r w:rsidR="00EC7873" w:rsidRPr="00770807">
        <w:rPr>
          <w:sz w:val="20"/>
        </w:rPr>
        <w:t>)</w:t>
      </w:r>
      <w:r w:rsidR="00EC7873">
        <w:rPr>
          <w:sz w:val="20"/>
        </w:rPr>
        <w:t xml:space="preserve">.  </w:t>
      </w:r>
      <w:r w:rsidR="00865A2F" w:rsidRPr="00865A2F">
        <w:rPr>
          <w:sz w:val="20"/>
        </w:rPr>
        <w:t xml:space="preserve">The Voice Link Terms of Service also explain that if the subscriber has “Call Forwarding, or other features programmed and in use at the time you dial a 911 call and your call is interrupted, the emergency dispatcher may not be able to call you back at the phone from which you dialed the call.”  </w:t>
      </w:r>
      <w:r w:rsidR="00865A2F" w:rsidRPr="00865A2F">
        <w:rPr>
          <w:i/>
          <w:iCs/>
          <w:sz w:val="20"/>
        </w:rPr>
        <w:t>See id.</w:t>
      </w:r>
    </w:p>
  </w:footnote>
  <w:footnote w:id="26">
    <w:p w:rsidR="0050322B" w:rsidRDefault="0050322B" w:rsidP="00E309E6">
      <w:pPr>
        <w:pStyle w:val="FootnoteText"/>
        <w:spacing w:after="120"/>
      </w:pPr>
      <w:r>
        <w:rPr>
          <w:rStyle w:val="FootnoteReference"/>
        </w:rPr>
        <w:footnoteRef/>
      </w:r>
      <w:r>
        <w:t xml:space="preserve"> </w:t>
      </w:r>
      <w:r w:rsidRPr="00865A2F">
        <w:rPr>
          <w:sz w:val="20"/>
        </w:rPr>
        <w:t>Voice Link Terms of Service</w:t>
      </w:r>
      <w:r w:rsidR="00040BD1">
        <w:rPr>
          <w:sz w:val="20"/>
        </w:rPr>
        <w:t>, Attach.</w:t>
      </w:r>
      <w:r>
        <w:rPr>
          <w:sz w:val="20"/>
        </w:rPr>
        <w:t xml:space="preserve"> at 2-3</w:t>
      </w:r>
      <w:r w:rsidR="00040BD1">
        <w:rPr>
          <w:sz w:val="20"/>
        </w:rPr>
        <w:t>, para. 2(b)</w:t>
      </w:r>
      <w:r>
        <w:rPr>
          <w:sz w:val="20"/>
        </w:rPr>
        <w:t>.</w:t>
      </w:r>
    </w:p>
  </w:footnote>
  <w:footnote w:id="27">
    <w:p w:rsidR="007B54CA" w:rsidRPr="00271DDF" w:rsidRDefault="007B54CA" w:rsidP="00E309E6">
      <w:pPr>
        <w:pStyle w:val="FootnoteText"/>
        <w:tabs>
          <w:tab w:val="left" w:pos="0"/>
        </w:tabs>
        <w:spacing w:after="120"/>
        <w:rPr>
          <w:b/>
          <w:sz w:val="20"/>
        </w:rPr>
      </w:pPr>
      <w:r w:rsidRPr="00520F6B">
        <w:rPr>
          <w:rStyle w:val="FootnoteReference"/>
          <w:szCs w:val="22"/>
        </w:rPr>
        <w:footnoteRef/>
      </w:r>
      <w:r w:rsidRPr="00520F6B">
        <w:rPr>
          <w:szCs w:val="22"/>
        </w:rPr>
        <w:t xml:space="preserve"> </w:t>
      </w:r>
      <w:r w:rsidRPr="00271DDF">
        <w:rPr>
          <w:i/>
          <w:sz w:val="20"/>
        </w:rPr>
        <w:t>See</w:t>
      </w:r>
      <w:r w:rsidRPr="00271DDF">
        <w:rPr>
          <w:sz w:val="20"/>
        </w:rPr>
        <w:t xml:space="preserve"> </w:t>
      </w:r>
      <w:r w:rsidRPr="00271DDF">
        <w:rPr>
          <w:i/>
          <w:sz w:val="20"/>
        </w:rPr>
        <w:t>Verizon Telephone Companies, Section 63.71 Application to Discontinue Expanded Interconnection Service Through Physical Collocation</w:t>
      </w:r>
      <w:r w:rsidRPr="00271DDF">
        <w:rPr>
          <w:sz w:val="20"/>
        </w:rPr>
        <w:t>, WC Docket No. 02-237, Order, 18 FCC Rcd 22737 (2003) (</w:t>
      </w:r>
      <w:r w:rsidRPr="00271DDF">
        <w:rPr>
          <w:i/>
          <w:sz w:val="20"/>
        </w:rPr>
        <w:t>Verizon Expanded Interconnection Discontinuance Order</w:t>
      </w:r>
      <w:r w:rsidRPr="00271DDF">
        <w:rPr>
          <w:sz w:val="20"/>
        </w:rPr>
        <w:t xml:space="preserve">); </w:t>
      </w:r>
      <w:r w:rsidRPr="00271DDF">
        <w:rPr>
          <w:i/>
          <w:sz w:val="20"/>
        </w:rPr>
        <w:t>see also</w:t>
      </w:r>
      <w:r w:rsidRPr="00271DDF">
        <w:rPr>
          <w:sz w:val="20"/>
        </w:rPr>
        <w:t xml:space="preserve"> </w:t>
      </w:r>
      <w:r w:rsidRPr="00271DDF">
        <w:rPr>
          <w:i/>
          <w:sz w:val="20"/>
        </w:rPr>
        <w:t>FCC v. RCA Communications, Inc.</w:t>
      </w:r>
      <w:r w:rsidRPr="00271DDF">
        <w:rPr>
          <w:sz w:val="20"/>
        </w:rPr>
        <w:t>, 73 S. Ct. 998, 1002 (1953) (ruling that the Commission has considerable discretion in deciding how to make its section 214 public interest finding).</w:t>
      </w:r>
    </w:p>
  </w:footnote>
  <w:footnote w:id="28">
    <w:p w:rsidR="007B54CA" w:rsidRPr="00271DDF" w:rsidRDefault="007B54CA" w:rsidP="00E309E6">
      <w:pPr>
        <w:pStyle w:val="FootnoteText"/>
        <w:spacing w:after="120"/>
        <w:rPr>
          <w:sz w:val="20"/>
        </w:rPr>
      </w:pPr>
      <w:r w:rsidRPr="00271DDF">
        <w:rPr>
          <w:rStyle w:val="FootnoteReference"/>
          <w:sz w:val="20"/>
        </w:rPr>
        <w:footnoteRef/>
      </w:r>
      <w:r w:rsidRPr="00271DDF">
        <w:rPr>
          <w:sz w:val="20"/>
        </w:rPr>
        <w:t xml:space="preserve"> </w:t>
      </w:r>
      <w:r w:rsidRPr="00271DDF">
        <w:rPr>
          <w:i/>
          <w:sz w:val="20"/>
        </w:rPr>
        <w:t>Policy and Rules Concerning Rates for Competitive Common Carrier Services and Facilities Authorizations Therefor</w:t>
      </w:r>
      <w:r w:rsidRPr="00271DDF">
        <w:rPr>
          <w:sz w:val="20"/>
        </w:rPr>
        <w:t>, First Report and Order, CC Docket No. 79-252, 85 FCC 2d 1, 146 (1980) (</w:t>
      </w:r>
      <w:r w:rsidRPr="00271DDF">
        <w:rPr>
          <w:i/>
          <w:sz w:val="20"/>
        </w:rPr>
        <w:t>Competitive Carrier First Report and Order</w:t>
      </w:r>
      <w:r w:rsidRPr="00271DDF">
        <w:rPr>
          <w:sz w:val="20"/>
        </w:rPr>
        <w:t>).</w:t>
      </w:r>
    </w:p>
  </w:footnote>
  <w:footnote w:id="29">
    <w:p w:rsidR="007B54CA" w:rsidRPr="00271DDF" w:rsidRDefault="007B54CA" w:rsidP="00E309E6">
      <w:pPr>
        <w:pStyle w:val="FootnoteText"/>
        <w:tabs>
          <w:tab w:val="left" w:pos="0"/>
        </w:tabs>
        <w:spacing w:after="120"/>
        <w:rPr>
          <w:sz w:val="20"/>
        </w:rPr>
      </w:pPr>
      <w:r w:rsidRPr="00271DDF">
        <w:rPr>
          <w:rStyle w:val="FootnoteReference"/>
          <w:sz w:val="20"/>
        </w:rPr>
        <w:footnoteRef/>
      </w:r>
      <w:r w:rsidRPr="00271DDF">
        <w:rPr>
          <w:rStyle w:val="FootnoteReference"/>
          <w:sz w:val="20"/>
        </w:rPr>
        <w:t xml:space="preserve"> </w:t>
      </w:r>
      <w:r w:rsidRPr="00271DDF">
        <w:rPr>
          <w:i/>
          <w:sz w:val="20"/>
        </w:rPr>
        <w:t>See</w:t>
      </w:r>
      <w:r w:rsidRPr="00271DDF">
        <w:rPr>
          <w:spacing w:val="-3"/>
          <w:sz w:val="20"/>
        </w:rPr>
        <w:t xml:space="preserve"> 47 C.F.R. § 63.71(a);</w:t>
      </w:r>
      <w:r w:rsidRPr="00271DDF">
        <w:rPr>
          <w:sz w:val="20"/>
        </w:rPr>
        <w:t xml:space="preserve"> </w:t>
      </w:r>
      <w:r w:rsidRPr="00271DDF">
        <w:rPr>
          <w:i/>
          <w:sz w:val="20"/>
        </w:rPr>
        <w:t>see, e.g.</w:t>
      </w:r>
      <w:r w:rsidRPr="00271DDF">
        <w:rPr>
          <w:sz w:val="20"/>
        </w:rPr>
        <w:t>,</w:t>
      </w:r>
      <w:r w:rsidRPr="00271DDF">
        <w:rPr>
          <w:i/>
          <w:sz w:val="20"/>
        </w:rPr>
        <w:t xml:space="preserve"> AT&amp;T Application to Discontinue Interstate Sent-Paid Coin Service Not Automatically Granted</w:t>
      </w:r>
      <w:r w:rsidRPr="00271DDF">
        <w:rPr>
          <w:sz w:val="20"/>
        </w:rPr>
        <w:t>, Public Notice, NSD File No. W-P-D-497, 16 FCC Rcd 14935 (CCB 2001) (requiring AT&amp;T to show how it would minimize the negative impact on affected customers).</w:t>
      </w:r>
    </w:p>
  </w:footnote>
  <w:footnote w:id="30">
    <w:p w:rsidR="007B54CA" w:rsidRPr="00271DDF" w:rsidRDefault="007B54CA" w:rsidP="00E309E6">
      <w:pPr>
        <w:pStyle w:val="FootnoteText"/>
        <w:spacing w:after="120"/>
        <w:rPr>
          <w:sz w:val="20"/>
        </w:rPr>
      </w:pPr>
      <w:r w:rsidRPr="00271DDF">
        <w:rPr>
          <w:rStyle w:val="FootnoteReference"/>
          <w:sz w:val="20"/>
        </w:rPr>
        <w:footnoteRef/>
      </w:r>
      <w:r w:rsidRPr="00271DDF">
        <w:rPr>
          <w:sz w:val="20"/>
        </w:rPr>
        <w:t xml:space="preserve"> </w:t>
      </w:r>
      <w:r w:rsidRPr="00271DDF">
        <w:rPr>
          <w:i/>
          <w:sz w:val="20"/>
        </w:rPr>
        <w:t>Application for Authority Pursuant to Section 214 of the Communications Act of 1934 to Cease Providing Dark Fiber Service</w:t>
      </w:r>
      <w:r w:rsidRPr="00271DDF">
        <w:rPr>
          <w:sz w:val="20"/>
        </w:rPr>
        <w:t>, File Nos. W-P-C-6670 and W-P-D-364, 8 FCC Rcd 2589, 2600, para. 54 (1993) (</w:t>
      </w:r>
      <w:r w:rsidRPr="00271DDF">
        <w:rPr>
          <w:i/>
          <w:sz w:val="20"/>
        </w:rPr>
        <w:t>Dark Fiber Order</w:t>
      </w:r>
      <w:r w:rsidRPr="00271DDF">
        <w:rPr>
          <w:sz w:val="20"/>
        </w:rPr>
        <w:t xml:space="preserve">), </w:t>
      </w:r>
      <w:r w:rsidRPr="00271DDF">
        <w:rPr>
          <w:i/>
          <w:sz w:val="20"/>
        </w:rPr>
        <w:t>remanded on other grounds</w:t>
      </w:r>
      <w:r w:rsidRPr="00271DDF">
        <w:rPr>
          <w:sz w:val="20"/>
        </w:rPr>
        <w:t xml:space="preserve">, </w:t>
      </w:r>
      <w:r w:rsidRPr="00271DDF">
        <w:rPr>
          <w:i/>
          <w:sz w:val="20"/>
        </w:rPr>
        <w:t>Southwestern Bell v. FCC</w:t>
      </w:r>
      <w:r w:rsidRPr="00271DDF">
        <w:rPr>
          <w:sz w:val="20"/>
        </w:rPr>
        <w:t xml:space="preserve">, 19 F.3d 1475 (D.C. Cir. 1994); </w:t>
      </w:r>
      <w:r w:rsidRPr="00271DDF">
        <w:rPr>
          <w:i/>
          <w:sz w:val="20"/>
        </w:rPr>
        <w:t>see</w:t>
      </w:r>
      <w:r w:rsidRPr="00271DDF">
        <w:rPr>
          <w:sz w:val="20"/>
        </w:rPr>
        <w:t xml:space="preserve"> </w:t>
      </w:r>
      <w:r w:rsidRPr="00271DDF">
        <w:rPr>
          <w:i/>
          <w:sz w:val="20"/>
        </w:rPr>
        <w:t>Verizon Expanded Interconnection Discontinuance Order</w:t>
      </w:r>
      <w:r w:rsidRPr="00271DDF">
        <w:rPr>
          <w:sz w:val="20"/>
        </w:rPr>
        <w:t>.</w:t>
      </w:r>
    </w:p>
  </w:footnote>
  <w:footnote w:id="31">
    <w:p w:rsidR="00514E99" w:rsidRDefault="00514E99" w:rsidP="00E309E6">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B" w:rsidRDefault="00375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5B" w:rsidRDefault="00375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Pr="00D45E3E" w:rsidRDefault="0060755E">
    <w:pPr>
      <w:pStyle w:val="Header"/>
      <w:tabs>
        <w:tab w:val="clear" w:pos="4320"/>
        <w:tab w:val="clear" w:pos="8640"/>
      </w:tabs>
      <w:spacing w:before="40"/>
      <w:ind w:firstLine="1080"/>
      <w:rPr>
        <w:rFonts w:ascii="Arial" w:hAnsi="Arial"/>
        <w:b/>
        <w:kern w:val="28"/>
        <w:sz w:val="96"/>
      </w:rPr>
    </w:pPr>
    <w:r>
      <w:rPr>
        <w:rFonts w:ascii="Arial" w:hAnsi="Arial"/>
        <w:b/>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v:textbox>
        </v:shape>
      </w:pict>
    </w:r>
    <w:r>
      <w:rPr>
        <w:rFonts w:ascii="Arial" w:hAnsi="Arial"/>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514E99" w:rsidRPr="00D45E3E">
      <w:rPr>
        <w:rFonts w:ascii="Arial" w:hAnsi="Arial"/>
        <w:b/>
        <w:kern w:val="28"/>
        <w:sz w:val="96"/>
      </w:rPr>
      <w:t>PUBLIC NOTICE</w:t>
    </w:r>
  </w:p>
  <w:p w:rsidR="00514E99" w:rsidRDefault="0060755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0" w:name="_Hlt233824"/>
                <w:r>
                  <w:rPr>
                    <w:rFonts w:ascii="Arial" w:hAnsi="Arial"/>
                    <w:b/>
                    <w:sz w:val="16"/>
                    <w:szCs w:val="16"/>
                  </w:rPr>
                  <w:t>h</w:t>
                </w:r>
                <w:bookmarkEnd w:id="0"/>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D63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A9C"/>
    <w:rsid w:val="000024DC"/>
    <w:rsid w:val="000040CA"/>
    <w:rsid w:val="0000534F"/>
    <w:rsid w:val="0001270C"/>
    <w:rsid w:val="00022477"/>
    <w:rsid w:val="00025770"/>
    <w:rsid w:val="00030413"/>
    <w:rsid w:val="00034383"/>
    <w:rsid w:val="00035EBF"/>
    <w:rsid w:val="00036935"/>
    <w:rsid w:val="00040BD1"/>
    <w:rsid w:val="000420A1"/>
    <w:rsid w:val="000474A1"/>
    <w:rsid w:val="00051F89"/>
    <w:rsid w:val="00054F57"/>
    <w:rsid w:val="000564D1"/>
    <w:rsid w:val="00063EC4"/>
    <w:rsid w:val="000660BF"/>
    <w:rsid w:val="00067BF7"/>
    <w:rsid w:val="0008389C"/>
    <w:rsid w:val="00084F7E"/>
    <w:rsid w:val="00091F72"/>
    <w:rsid w:val="00094607"/>
    <w:rsid w:val="000A05FF"/>
    <w:rsid w:val="000A3183"/>
    <w:rsid w:val="000B0EFE"/>
    <w:rsid w:val="000B260C"/>
    <w:rsid w:val="000B2F41"/>
    <w:rsid w:val="000B450E"/>
    <w:rsid w:val="000B6C8C"/>
    <w:rsid w:val="000C25C6"/>
    <w:rsid w:val="000C415E"/>
    <w:rsid w:val="000E1597"/>
    <w:rsid w:val="000E2BC9"/>
    <w:rsid w:val="000F34FF"/>
    <w:rsid w:val="00100BCE"/>
    <w:rsid w:val="00127963"/>
    <w:rsid w:val="00131B29"/>
    <w:rsid w:val="00133B23"/>
    <w:rsid w:val="00135625"/>
    <w:rsid w:val="0014430E"/>
    <w:rsid w:val="00153BDF"/>
    <w:rsid w:val="00155BBD"/>
    <w:rsid w:val="001567D4"/>
    <w:rsid w:val="001658E2"/>
    <w:rsid w:val="00165FCA"/>
    <w:rsid w:val="001666C1"/>
    <w:rsid w:val="00170677"/>
    <w:rsid w:val="00173F56"/>
    <w:rsid w:val="00175B15"/>
    <w:rsid w:val="00177944"/>
    <w:rsid w:val="00181B01"/>
    <w:rsid w:val="00190EB7"/>
    <w:rsid w:val="001948B8"/>
    <w:rsid w:val="0019772F"/>
    <w:rsid w:val="001A4138"/>
    <w:rsid w:val="001B11F7"/>
    <w:rsid w:val="001B40B6"/>
    <w:rsid w:val="001B6BD8"/>
    <w:rsid w:val="001C10F0"/>
    <w:rsid w:val="001C17EA"/>
    <w:rsid w:val="001E2753"/>
    <w:rsid w:val="001E3B2D"/>
    <w:rsid w:val="001E6E59"/>
    <w:rsid w:val="001F0B10"/>
    <w:rsid w:val="001F5D1A"/>
    <w:rsid w:val="00201FBB"/>
    <w:rsid w:val="0020250D"/>
    <w:rsid w:val="00202DB3"/>
    <w:rsid w:val="00203892"/>
    <w:rsid w:val="002049A1"/>
    <w:rsid w:val="002068B7"/>
    <w:rsid w:val="00210947"/>
    <w:rsid w:val="00210AB7"/>
    <w:rsid w:val="00214AFB"/>
    <w:rsid w:val="00217483"/>
    <w:rsid w:val="00224AF9"/>
    <w:rsid w:val="002258CE"/>
    <w:rsid w:val="002319CB"/>
    <w:rsid w:val="00246A74"/>
    <w:rsid w:val="00263E20"/>
    <w:rsid w:val="0026401C"/>
    <w:rsid w:val="002675FF"/>
    <w:rsid w:val="00271DDF"/>
    <w:rsid w:val="002803D9"/>
    <w:rsid w:val="0028292C"/>
    <w:rsid w:val="00291EFF"/>
    <w:rsid w:val="002A0E30"/>
    <w:rsid w:val="002A6983"/>
    <w:rsid w:val="002B6F91"/>
    <w:rsid w:val="002C277E"/>
    <w:rsid w:val="002C4B8D"/>
    <w:rsid w:val="002E1623"/>
    <w:rsid w:val="002E6C41"/>
    <w:rsid w:val="002F5B2B"/>
    <w:rsid w:val="002F6D95"/>
    <w:rsid w:val="00302186"/>
    <w:rsid w:val="00302C88"/>
    <w:rsid w:val="00306AAD"/>
    <w:rsid w:val="00313AFA"/>
    <w:rsid w:val="00314606"/>
    <w:rsid w:val="00315F4E"/>
    <w:rsid w:val="003275E6"/>
    <w:rsid w:val="00332810"/>
    <w:rsid w:val="003333CB"/>
    <w:rsid w:val="00347E1F"/>
    <w:rsid w:val="00351493"/>
    <w:rsid w:val="00352905"/>
    <w:rsid w:val="00356186"/>
    <w:rsid w:val="00362901"/>
    <w:rsid w:val="00366199"/>
    <w:rsid w:val="00366351"/>
    <w:rsid w:val="0037306B"/>
    <w:rsid w:val="00373502"/>
    <w:rsid w:val="00374958"/>
    <w:rsid w:val="00375D5B"/>
    <w:rsid w:val="00376F1C"/>
    <w:rsid w:val="0038135A"/>
    <w:rsid w:val="00385F4A"/>
    <w:rsid w:val="00393DBE"/>
    <w:rsid w:val="003971A3"/>
    <w:rsid w:val="003B1007"/>
    <w:rsid w:val="003B60BB"/>
    <w:rsid w:val="003C15A8"/>
    <w:rsid w:val="003D1F8D"/>
    <w:rsid w:val="003E41CE"/>
    <w:rsid w:val="003E78F3"/>
    <w:rsid w:val="003F6A08"/>
    <w:rsid w:val="003F6B1C"/>
    <w:rsid w:val="00404EE7"/>
    <w:rsid w:val="004134FF"/>
    <w:rsid w:val="00414406"/>
    <w:rsid w:val="004363BA"/>
    <w:rsid w:val="00442120"/>
    <w:rsid w:val="00464153"/>
    <w:rsid w:val="004646A3"/>
    <w:rsid w:val="00467CCF"/>
    <w:rsid w:val="004862CF"/>
    <w:rsid w:val="004926E4"/>
    <w:rsid w:val="004A0754"/>
    <w:rsid w:val="004A1002"/>
    <w:rsid w:val="004A242E"/>
    <w:rsid w:val="004A248E"/>
    <w:rsid w:val="004A5FFA"/>
    <w:rsid w:val="004A7FBE"/>
    <w:rsid w:val="004B09B6"/>
    <w:rsid w:val="004B5A3E"/>
    <w:rsid w:val="004B6D86"/>
    <w:rsid w:val="004C5280"/>
    <w:rsid w:val="004C622D"/>
    <w:rsid w:val="004D5C1D"/>
    <w:rsid w:val="004E4061"/>
    <w:rsid w:val="004E6174"/>
    <w:rsid w:val="004F7B2C"/>
    <w:rsid w:val="0050322B"/>
    <w:rsid w:val="00504F71"/>
    <w:rsid w:val="00506235"/>
    <w:rsid w:val="0050755C"/>
    <w:rsid w:val="005078CA"/>
    <w:rsid w:val="00514E99"/>
    <w:rsid w:val="005260F0"/>
    <w:rsid w:val="00541247"/>
    <w:rsid w:val="00550771"/>
    <w:rsid w:val="00555EA3"/>
    <w:rsid w:val="00560F72"/>
    <w:rsid w:val="00560F98"/>
    <w:rsid w:val="00571BB0"/>
    <w:rsid w:val="00572338"/>
    <w:rsid w:val="00572A5B"/>
    <w:rsid w:val="0058037F"/>
    <w:rsid w:val="00587F12"/>
    <w:rsid w:val="005A3B6F"/>
    <w:rsid w:val="005B0658"/>
    <w:rsid w:val="005B11DE"/>
    <w:rsid w:val="005B4826"/>
    <w:rsid w:val="005B4B26"/>
    <w:rsid w:val="005B6819"/>
    <w:rsid w:val="005C32EC"/>
    <w:rsid w:val="005C3B0B"/>
    <w:rsid w:val="005C5619"/>
    <w:rsid w:val="005D7046"/>
    <w:rsid w:val="005E108F"/>
    <w:rsid w:val="005E1940"/>
    <w:rsid w:val="005E7A9A"/>
    <w:rsid w:val="005F6B2B"/>
    <w:rsid w:val="00601693"/>
    <w:rsid w:val="0060755E"/>
    <w:rsid w:val="00626DBC"/>
    <w:rsid w:val="00626E38"/>
    <w:rsid w:val="0063291D"/>
    <w:rsid w:val="0064000B"/>
    <w:rsid w:val="006533EA"/>
    <w:rsid w:val="00655CD9"/>
    <w:rsid w:val="00661B3A"/>
    <w:rsid w:val="00675D56"/>
    <w:rsid w:val="00680591"/>
    <w:rsid w:val="00682234"/>
    <w:rsid w:val="00691CB9"/>
    <w:rsid w:val="006958FA"/>
    <w:rsid w:val="006A17E0"/>
    <w:rsid w:val="006A7FBF"/>
    <w:rsid w:val="006B4D40"/>
    <w:rsid w:val="006B5F76"/>
    <w:rsid w:val="006C03E5"/>
    <w:rsid w:val="006C4AD0"/>
    <w:rsid w:val="006D4043"/>
    <w:rsid w:val="006D6043"/>
    <w:rsid w:val="006E7C66"/>
    <w:rsid w:val="006F7654"/>
    <w:rsid w:val="00704934"/>
    <w:rsid w:val="007148C9"/>
    <w:rsid w:val="00723A70"/>
    <w:rsid w:val="007405BA"/>
    <w:rsid w:val="0074325A"/>
    <w:rsid w:val="007442F1"/>
    <w:rsid w:val="007506E8"/>
    <w:rsid w:val="00750AB5"/>
    <w:rsid w:val="007547A0"/>
    <w:rsid w:val="00765186"/>
    <w:rsid w:val="00766ED5"/>
    <w:rsid w:val="00770807"/>
    <w:rsid w:val="0077511A"/>
    <w:rsid w:val="00777BF7"/>
    <w:rsid w:val="00783551"/>
    <w:rsid w:val="00783C52"/>
    <w:rsid w:val="00793046"/>
    <w:rsid w:val="00794F7C"/>
    <w:rsid w:val="00795742"/>
    <w:rsid w:val="007A080C"/>
    <w:rsid w:val="007A3C2F"/>
    <w:rsid w:val="007B54CA"/>
    <w:rsid w:val="007D7C40"/>
    <w:rsid w:val="007E3F4D"/>
    <w:rsid w:val="007E649C"/>
    <w:rsid w:val="007E7A22"/>
    <w:rsid w:val="007F2A20"/>
    <w:rsid w:val="007F4507"/>
    <w:rsid w:val="007F6416"/>
    <w:rsid w:val="008009EA"/>
    <w:rsid w:val="00800A2F"/>
    <w:rsid w:val="00802A22"/>
    <w:rsid w:val="00803C2B"/>
    <w:rsid w:val="008054A9"/>
    <w:rsid w:val="00811859"/>
    <w:rsid w:val="00815441"/>
    <w:rsid w:val="00820DB4"/>
    <w:rsid w:val="00834463"/>
    <w:rsid w:val="0083628F"/>
    <w:rsid w:val="00843EB3"/>
    <w:rsid w:val="00845042"/>
    <w:rsid w:val="008508CE"/>
    <w:rsid w:val="00854584"/>
    <w:rsid w:val="00863598"/>
    <w:rsid w:val="008644F4"/>
    <w:rsid w:val="00865A2F"/>
    <w:rsid w:val="00874421"/>
    <w:rsid w:val="008767D2"/>
    <w:rsid w:val="00881645"/>
    <w:rsid w:val="00881AAF"/>
    <w:rsid w:val="00884E0E"/>
    <w:rsid w:val="0088647B"/>
    <w:rsid w:val="0088790C"/>
    <w:rsid w:val="008B0036"/>
    <w:rsid w:val="008B3926"/>
    <w:rsid w:val="008B5757"/>
    <w:rsid w:val="008B6692"/>
    <w:rsid w:val="008C2FF4"/>
    <w:rsid w:val="008C3A33"/>
    <w:rsid w:val="008D2AE9"/>
    <w:rsid w:val="00900518"/>
    <w:rsid w:val="0090664F"/>
    <w:rsid w:val="0091110E"/>
    <w:rsid w:val="0092013F"/>
    <w:rsid w:val="00920439"/>
    <w:rsid w:val="00924872"/>
    <w:rsid w:val="00926330"/>
    <w:rsid w:val="00926B43"/>
    <w:rsid w:val="00931ED6"/>
    <w:rsid w:val="0093447B"/>
    <w:rsid w:val="00935E2F"/>
    <w:rsid w:val="00944B88"/>
    <w:rsid w:val="00951F8F"/>
    <w:rsid w:val="0097526F"/>
    <w:rsid w:val="00975CF4"/>
    <w:rsid w:val="0098279E"/>
    <w:rsid w:val="009901F7"/>
    <w:rsid w:val="00993366"/>
    <w:rsid w:val="009A4439"/>
    <w:rsid w:val="009A5613"/>
    <w:rsid w:val="009B0247"/>
    <w:rsid w:val="009B3310"/>
    <w:rsid w:val="009B428D"/>
    <w:rsid w:val="009B4EDD"/>
    <w:rsid w:val="009B52CD"/>
    <w:rsid w:val="009B65E6"/>
    <w:rsid w:val="009C362C"/>
    <w:rsid w:val="009C6A9C"/>
    <w:rsid w:val="009D1329"/>
    <w:rsid w:val="009D7E7D"/>
    <w:rsid w:val="009F0B1F"/>
    <w:rsid w:val="009F2846"/>
    <w:rsid w:val="009F6BE1"/>
    <w:rsid w:val="00A03171"/>
    <w:rsid w:val="00A14D9C"/>
    <w:rsid w:val="00A24018"/>
    <w:rsid w:val="00A2434F"/>
    <w:rsid w:val="00A253E1"/>
    <w:rsid w:val="00A32F9B"/>
    <w:rsid w:val="00A33B19"/>
    <w:rsid w:val="00A34E79"/>
    <w:rsid w:val="00A36362"/>
    <w:rsid w:val="00A40415"/>
    <w:rsid w:val="00A44576"/>
    <w:rsid w:val="00A54E22"/>
    <w:rsid w:val="00A644FF"/>
    <w:rsid w:val="00A71204"/>
    <w:rsid w:val="00A80599"/>
    <w:rsid w:val="00AA383A"/>
    <w:rsid w:val="00AB018E"/>
    <w:rsid w:val="00AB3751"/>
    <w:rsid w:val="00AC3D9E"/>
    <w:rsid w:val="00AC645E"/>
    <w:rsid w:val="00AC6DE1"/>
    <w:rsid w:val="00AD02CC"/>
    <w:rsid w:val="00AD53FD"/>
    <w:rsid w:val="00AE63CA"/>
    <w:rsid w:val="00B00FEC"/>
    <w:rsid w:val="00B046DE"/>
    <w:rsid w:val="00B05746"/>
    <w:rsid w:val="00B05823"/>
    <w:rsid w:val="00B1723D"/>
    <w:rsid w:val="00B226EC"/>
    <w:rsid w:val="00B31CAE"/>
    <w:rsid w:val="00B35377"/>
    <w:rsid w:val="00B35B78"/>
    <w:rsid w:val="00B37AE9"/>
    <w:rsid w:val="00B40891"/>
    <w:rsid w:val="00B46EA5"/>
    <w:rsid w:val="00B563DE"/>
    <w:rsid w:val="00B668DB"/>
    <w:rsid w:val="00B703B4"/>
    <w:rsid w:val="00B716BE"/>
    <w:rsid w:val="00B72AC1"/>
    <w:rsid w:val="00B72ADF"/>
    <w:rsid w:val="00B73D00"/>
    <w:rsid w:val="00B771BC"/>
    <w:rsid w:val="00B86FD8"/>
    <w:rsid w:val="00B976AB"/>
    <w:rsid w:val="00BA241A"/>
    <w:rsid w:val="00BA781C"/>
    <w:rsid w:val="00BA7B05"/>
    <w:rsid w:val="00BC1EDE"/>
    <w:rsid w:val="00BC506C"/>
    <w:rsid w:val="00BC5E9C"/>
    <w:rsid w:val="00BC6584"/>
    <w:rsid w:val="00BD44A7"/>
    <w:rsid w:val="00BE1E76"/>
    <w:rsid w:val="00BF1844"/>
    <w:rsid w:val="00C04145"/>
    <w:rsid w:val="00C11BD4"/>
    <w:rsid w:val="00C306D3"/>
    <w:rsid w:val="00C5029D"/>
    <w:rsid w:val="00C5149B"/>
    <w:rsid w:val="00C54C6D"/>
    <w:rsid w:val="00C60709"/>
    <w:rsid w:val="00C62369"/>
    <w:rsid w:val="00C76118"/>
    <w:rsid w:val="00C82191"/>
    <w:rsid w:val="00C95CDE"/>
    <w:rsid w:val="00CA21A3"/>
    <w:rsid w:val="00CA3F57"/>
    <w:rsid w:val="00CB05C4"/>
    <w:rsid w:val="00CB13F3"/>
    <w:rsid w:val="00CB1A67"/>
    <w:rsid w:val="00CC105D"/>
    <w:rsid w:val="00CC53F1"/>
    <w:rsid w:val="00CC6C39"/>
    <w:rsid w:val="00CD235F"/>
    <w:rsid w:val="00CD4155"/>
    <w:rsid w:val="00CD4448"/>
    <w:rsid w:val="00CE1C0B"/>
    <w:rsid w:val="00CE45C6"/>
    <w:rsid w:val="00CF3A29"/>
    <w:rsid w:val="00D013B0"/>
    <w:rsid w:val="00D03177"/>
    <w:rsid w:val="00D057A3"/>
    <w:rsid w:val="00D150F7"/>
    <w:rsid w:val="00D16AC2"/>
    <w:rsid w:val="00D403E0"/>
    <w:rsid w:val="00D45E3E"/>
    <w:rsid w:val="00D857ED"/>
    <w:rsid w:val="00D9128B"/>
    <w:rsid w:val="00D93398"/>
    <w:rsid w:val="00D94D93"/>
    <w:rsid w:val="00DA3BCF"/>
    <w:rsid w:val="00DA52C9"/>
    <w:rsid w:val="00DA5F30"/>
    <w:rsid w:val="00DA6809"/>
    <w:rsid w:val="00DA6B0D"/>
    <w:rsid w:val="00DA716E"/>
    <w:rsid w:val="00DB6094"/>
    <w:rsid w:val="00DC0022"/>
    <w:rsid w:val="00DC00BD"/>
    <w:rsid w:val="00DC13BC"/>
    <w:rsid w:val="00DD4757"/>
    <w:rsid w:val="00DE2E4E"/>
    <w:rsid w:val="00DE55DB"/>
    <w:rsid w:val="00DE7C7E"/>
    <w:rsid w:val="00DF065A"/>
    <w:rsid w:val="00DF5BD4"/>
    <w:rsid w:val="00E1230F"/>
    <w:rsid w:val="00E233C1"/>
    <w:rsid w:val="00E2590D"/>
    <w:rsid w:val="00E27BDC"/>
    <w:rsid w:val="00E309E6"/>
    <w:rsid w:val="00E64896"/>
    <w:rsid w:val="00E6602B"/>
    <w:rsid w:val="00E74308"/>
    <w:rsid w:val="00E82C82"/>
    <w:rsid w:val="00E909B7"/>
    <w:rsid w:val="00E90D1A"/>
    <w:rsid w:val="00E93E61"/>
    <w:rsid w:val="00EA5998"/>
    <w:rsid w:val="00EB5EBC"/>
    <w:rsid w:val="00EC7873"/>
    <w:rsid w:val="00EE2096"/>
    <w:rsid w:val="00EE3C8B"/>
    <w:rsid w:val="00EF3AB4"/>
    <w:rsid w:val="00EF4183"/>
    <w:rsid w:val="00EF5232"/>
    <w:rsid w:val="00F05EFA"/>
    <w:rsid w:val="00F0616C"/>
    <w:rsid w:val="00F12F1E"/>
    <w:rsid w:val="00F32073"/>
    <w:rsid w:val="00F33AB7"/>
    <w:rsid w:val="00F40B47"/>
    <w:rsid w:val="00F41F12"/>
    <w:rsid w:val="00F42B79"/>
    <w:rsid w:val="00F50B4A"/>
    <w:rsid w:val="00F51B99"/>
    <w:rsid w:val="00F65223"/>
    <w:rsid w:val="00F75508"/>
    <w:rsid w:val="00F75632"/>
    <w:rsid w:val="00F7583C"/>
    <w:rsid w:val="00F87911"/>
    <w:rsid w:val="00F95F29"/>
    <w:rsid w:val="00FA3A48"/>
    <w:rsid w:val="00FC76A3"/>
    <w:rsid w:val="00FE3E39"/>
    <w:rsid w:val="00FF117D"/>
    <w:rsid w:val="00FF44B5"/>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1E3B2D"/>
    <w:rPr>
      <w:sz w:val="16"/>
      <w:szCs w:val="16"/>
    </w:rPr>
  </w:style>
  <w:style w:type="paragraph" w:styleId="CommentText">
    <w:name w:val="annotation text"/>
    <w:basedOn w:val="Normal"/>
    <w:link w:val="CommentTextChar"/>
    <w:rsid w:val="001E3B2D"/>
    <w:rPr>
      <w:sz w:val="20"/>
    </w:rPr>
  </w:style>
  <w:style w:type="character" w:customStyle="1" w:styleId="CommentTextChar">
    <w:name w:val="Comment Text Char"/>
    <w:link w:val="CommentText"/>
    <w:rsid w:val="001E3B2D"/>
    <w:rPr>
      <w:rFonts w:eastAsia="Times New Roman"/>
    </w:rPr>
  </w:style>
  <w:style w:type="paragraph" w:styleId="CommentSubject">
    <w:name w:val="annotation subject"/>
    <w:basedOn w:val="CommentText"/>
    <w:next w:val="CommentText"/>
    <w:link w:val="CommentSubjectChar"/>
    <w:rsid w:val="001E3B2D"/>
    <w:rPr>
      <w:b/>
      <w:bCs/>
    </w:rPr>
  </w:style>
  <w:style w:type="character" w:customStyle="1" w:styleId="CommentSubjectChar">
    <w:name w:val="Comment Subject Char"/>
    <w:link w:val="CommentSubject"/>
    <w:rsid w:val="001E3B2D"/>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1E3B2D"/>
    <w:rPr>
      <w:sz w:val="16"/>
      <w:szCs w:val="16"/>
    </w:rPr>
  </w:style>
  <w:style w:type="paragraph" w:styleId="CommentText">
    <w:name w:val="annotation text"/>
    <w:basedOn w:val="Normal"/>
    <w:link w:val="CommentTextChar"/>
    <w:rsid w:val="001E3B2D"/>
    <w:rPr>
      <w:sz w:val="20"/>
    </w:rPr>
  </w:style>
  <w:style w:type="character" w:customStyle="1" w:styleId="CommentTextChar">
    <w:name w:val="Comment Text Char"/>
    <w:link w:val="CommentText"/>
    <w:rsid w:val="001E3B2D"/>
    <w:rPr>
      <w:rFonts w:eastAsia="Times New Roman"/>
    </w:rPr>
  </w:style>
  <w:style w:type="paragraph" w:styleId="CommentSubject">
    <w:name w:val="annotation subject"/>
    <w:basedOn w:val="CommentText"/>
    <w:next w:val="CommentText"/>
    <w:link w:val="CommentSubjectChar"/>
    <w:rsid w:val="001E3B2D"/>
    <w:rPr>
      <w:b/>
      <w:bCs/>
    </w:rPr>
  </w:style>
  <w:style w:type="character" w:customStyle="1" w:styleId="CommentSubjectChar">
    <w:name w:val="Comment Subject Char"/>
    <w:link w:val="CommentSubject"/>
    <w:rsid w:val="001E3B2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wcb/cpd/other_adju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dney.mcdonald@fcc.gov" TargetMode="Externa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uments.dps.ny.gov/public/Common/ViewDoc.aspx?DocRefId=%7b0241FDFA-D31F-4063-B9B9-988D97C1AADA%7d.%20%20" TargetMode="External"/><Relationship Id="rId1" Type="http://schemas.openxmlformats.org/officeDocument/2006/relationships/hyperlink" Target="http://documents.dps.ny.gov/public/Common/ViewDoc.aspx?DocRefId=%7b0241FDFA-D31F-4063-B9B9-988D97C1AADA%7d.&#16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2576</Words>
  <Characters>14604</Characters>
  <Application>Microsoft Office Word</Application>
  <DocSecurity>0</DocSecurity>
  <Lines>206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17269</CharactersWithSpaces>
  <SharedDoc>false</SharedDoc>
  <HyperlinkBase> </HyperlinkBase>
  <HLinks>
    <vt:vector size="6" baseType="variant">
      <vt:variant>
        <vt:i4>6684797</vt:i4>
      </vt:variant>
      <vt:variant>
        <vt:i4>0</vt:i4>
      </vt:variant>
      <vt:variant>
        <vt:i4>0</vt:i4>
      </vt:variant>
      <vt:variant>
        <vt:i4>5</vt:i4>
      </vt:variant>
      <vt:variant>
        <vt:lpwstr>http://documents.dps.ny.gov/public/Common/ViewDoc.aspx?DocRefId=%7b0241FDFA-D31F-4063-B9B9-988D97C1AADA%7d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2013-06-28T19:34:00Z</dcterms:created>
  <dcterms:modified xsi:type="dcterms:W3CDTF">2013-06-28T19:34:00Z</dcterms:modified>
  <cp:category> </cp:category>
  <cp:contentStatus> </cp:contentStatus>
</cp:coreProperties>
</file>