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93" w:rsidRPr="0064234E" w:rsidRDefault="00DA4F93" w:rsidP="00DA4F93">
      <w:pPr>
        <w:widowControl/>
        <w:jc w:val="right"/>
      </w:pPr>
      <w:bookmarkStart w:id="0" w:name="_GoBack"/>
      <w:bookmarkEnd w:id="0"/>
    </w:p>
    <w:p w:rsidR="00577ED5" w:rsidRPr="0064234E" w:rsidRDefault="00577ED5" w:rsidP="00DA4F93">
      <w:pPr>
        <w:widowControl/>
        <w:jc w:val="right"/>
      </w:pPr>
      <w:r w:rsidRPr="0064234E">
        <w:t>DA 1</w:t>
      </w:r>
      <w:r w:rsidR="000F4A91" w:rsidRPr="0064234E">
        <w:t>3</w:t>
      </w:r>
      <w:r w:rsidRPr="0064234E">
        <w:t>-</w:t>
      </w:r>
      <w:r w:rsidR="009E47D7">
        <w:t>1540</w:t>
      </w:r>
    </w:p>
    <w:p w:rsidR="00577ED5" w:rsidRPr="0064234E" w:rsidRDefault="002C706B" w:rsidP="00DA4F93">
      <w:pPr>
        <w:widowControl/>
        <w:jc w:val="right"/>
      </w:pPr>
      <w:r w:rsidRPr="0064234E">
        <w:t>July</w:t>
      </w:r>
      <w:r w:rsidR="00AE1125" w:rsidRPr="0064234E">
        <w:t xml:space="preserve"> </w:t>
      </w:r>
      <w:r w:rsidR="007C459D">
        <w:t>1</w:t>
      </w:r>
      <w:r w:rsidR="009B1119">
        <w:t>5</w:t>
      </w:r>
      <w:r w:rsidR="00577ED5" w:rsidRPr="0064234E">
        <w:t>, 201</w:t>
      </w:r>
      <w:r w:rsidR="000F4A91" w:rsidRPr="0064234E">
        <w:t>3</w:t>
      </w:r>
    </w:p>
    <w:p w:rsidR="00577ED5" w:rsidRPr="0064234E" w:rsidRDefault="00577ED5" w:rsidP="00DA4F93">
      <w:pPr>
        <w:widowControl/>
        <w:jc w:val="right"/>
      </w:pPr>
    </w:p>
    <w:p w:rsidR="00577ED5" w:rsidRPr="0064234E" w:rsidRDefault="00577ED5" w:rsidP="00661940">
      <w:pPr>
        <w:widowControl/>
        <w:spacing w:after="120"/>
        <w:jc w:val="center"/>
        <w:rPr>
          <w:b/>
          <w:sz w:val="24"/>
        </w:rPr>
      </w:pPr>
      <w:r w:rsidRPr="0064234E">
        <w:rPr>
          <w:b/>
          <w:sz w:val="24"/>
        </w:rPr>
        <w:t xml:space="preserve">AUCTION OF </w:t>
      </w:r>
      <w:r w:rsidR="00F87C05" w:rsidRPr="0064234E">
        <w:rPr>
          <w:b/>
          <w:sz w:val="24"/>
        </w:rPr>
        <w:t>H BLOCK</w:t>
      </w:r>
      <w:r w:rsidR="005B3FFA" w:rsidRPr="0064234E">
        <w:rPr>
          <w:b/>
          <w:sz w:val="24"/>
        </w:rPr>
        <w:t xml:space="preserve"> </w:t>
      </w:r>
      <w:r w:rsidR="000F4A91" w:rsidRPr="0064234E">
        <w:rPr>
          <w:b/>
          <w:sz w:val="24"/>
        </w:rPr>
        <w:t>LICENSES</w:t>
      </w:r>
      <w:r w:rsidR="00F541D5" w:rsidRPr="0064234E">
        <w:rPr>
          <w:b/>
          <w:sz w:val="24"/>
        </w:rPr>
        <w:t xml:space="preserve"> IN THE 1915</w:t>
      </w:r>
      <w:r w:rsidR="00A94ACF">
        <w:rPr>
          <w:b/>
          <w:sz w:val="24"/>
        </w:rPr>
        <w:noBreakHyphen/>
      </w:r>
      <w:r w:rsidR="00F541D5" w:rsidRPr="0064234E">
        <w:rPr>
          <w:b/>
          <w:sz w:val="24"/>
        </w:rPr>
        <w:t>1920 MHz and 1995</w:t>
      </w:r>
      <w:r w:rsidR="00A94ACF">
        <w:rPr>
          <w:b/>
          <w:sz w:val="24"/>
        </w:rPr>
        <w:noBreakHyphen/>
      </w:r>
      <w:r w:rsidR="00F541D5" w:rsidRPr="0064234E">
        <w:rPr>
          <w:b/>
          <w:sz w:val="24"/>
        </w:rPr>
        <w:t>2000</w:t>
      </w:r>
      <w:r w:rsidR="00A94ACF">
        <w:rPr>
          <w:b/>
          <w:sz w:val="24"/>
        </w:rPr>
        <w:t> </w:t>
      </w:r>
      <w:r w:rsidR="00F541D5" w:rsidRPr="0064234E">
        <w:rPr>
          <w:b/>
          <w:sz w:val="24"/>
        </w:rPr>
        <w:t>MHz BANDS</w:t>
      </w:r>
      <w:r w:rsidR="0002020A">
        <w:rPr>
          <w:b/>
          <w:sz w:val="24"/>
        </w:rPr>
        <w:t>;</w:t>
      </w:r>
      <w:r w:rsidR="00F541D5" w:rsidRPr="0064234E">
        <w:rPr>
          <w:b/>
          <w:sz w:val="24"/>
        </w:rPr>
        <w:t xml:space="preserve"> </w:t>
      </w:r>
      <w:r w:rsidRPr="0064234E">
        <w:rPr>
          <w:b/>
          <w:sz w:val="24"/>
        </w:rPr>
        <w:t>COMMENT SOUGHT ON COMPETITIVE BIDDING PROCEDURES</w:t>
      </w:r>
      <w:r w:rsidRPr="0064234E">
        <w:rPr>
          <w:b/>
          <w:sz w:val="24"/>
        </w:rPr>
        <w:br/>
      </w:r>
      <w:bookmarkStart w:id="1" w:name="OLE_LINK1"/>
      <w:bookmarkStart w:id="2" w:name="OLE_LINK2"/>
      <w:r w:rsidRPr="0064234E">
        <w:rPr>
          <w:b/>
          <w:sz w:val="24"/>
        </w:rPr>
        <w:t xml:space="preserve">FOR </w:t>
      </w:r>
      <w:r w:rsidR="00F87C05" w:rsidRPr="0064234E">
        <w:rPr>
          <w:b/>
          <w:sz w:val="24"/>
        </w:rPr>
        <w:t>AUCTION 96</w:t>
      </w:r>
    </w:p>
    <w:bookmarkEnd w:id="1"/>
    <w:bookmarkEnd w:id="2"/>
    <w:p w:rsidR="00577ED5" w:rsidRPr="0064234E" w:rsidRDefault="00577ED5" w:rsidP="007B0488">
      <w:pPr>
        <w:widowControl/>
        <w:jc w:val="center"/>
        <w:rPr>
          <w:sz w:val="24"/>
        </w:rPr>
      </w:pPr>
    </w:p>
    <w:p w:rsidR="00577ED5" w:rsidRPr="00AC68B5" w:rsidRDefault="00577ED5" w:rsidP="007B0488">
      <w:pPr>
        <w:widowControl/>
        <w:jc w:val="center"/>
      </w:pPr>
      <w:r w:rsidRPr="00AC68B5">
        <w:t>AU Docket No. 1</w:t>
      </w:r>
      <w:r w:rsidR="000F4A91" w:rsidRPr="00AC68B5">
        <w:t>3</w:t>
      </w:r>
      <w:r w:rsidRPr="00AC68B5">
        <w:t>-</w:t>
      </w:r>
      <w:r w:rsidR="00F576A7" w:rsidRPr="00AC68B5">
        <w:t>178</w:t>
      </w:r>
    </w:p>
    <w:p w:rsidR="00577ED5" w:rsidRPr="0064234E" w:rsidRDefault="00577ED5" w:rsidP="007B0488">
      <w:pPr>
        <w:widowControl/>
        <w:jc w:val="center"/>
        <w:rPr>
          <w:szCs w:val="22"/>
        </w:rPr>
      </w:pPr>
    </w:p>
    <w:p w:rsidR="00577ED5" w:rsidRPr="0064234E" w:rsidRDefault="00A94ACF" w:rsidP="00A94ACF">
      <w:pPr>
        <w:widowControl/>
        <w:tabs>
          <w:tab w:val="right" w:pos="9360"/>
        </w:tabs>
        <w:rPr>
          <w:b/>
          <w:szCs w:val="22"/>
        </w:rPr>
      </w:pPr>
      <w:r>
        <w:rPr>
          <w:szCs w:val="22"/>
        </w:rPr>
        <w:t xml:space="preserve">Comments Due: </w:t>
      </w:r>
      <w:r w:rsidR="00577ED5" w:rsidRPr="0064234E">
        <w:rPr>
          <w:szCs w:val="22"/>
        </w:rPr>
        <w:t xml:space="preserve"> </w:t>
      </w:r>
      <w:r w:rsidR="00FB6351" w:rsidRPr="0064234E">
        <w:rPr>
          <w:szCs w:val="22"/>
        </w:rPr>
        <w:t>August</w:t>
      </w:r>
      <w:r w:rsidR="000F4A91" w:rsidRPr="0064234E">
        <w:rPr>
          <w:szCs w:val="22"/>
        </w:rPr>
        <w:t xml:space="preserve"> </w:t>
      </w:r>
      <w:r w:rsidR="009B1119">
        <w:rPr>
          <w:szCs w:val="22"/>
        </w:rPr>
        <w:t>5</w:t>
      </w:r>
      <w:r w:rsidR="00577ED5" w:rsidRPr="0064234E">
        <w:rPr>
          <w:szCs w:val="22"/>
        </w:rPr>
        <w:t>, 201</w:t>
      </w:r>
      <w:r w:rsidR="000F4A91" w:rsidRPr="0064234E">
        <w:rPr>
          <w:szCs w:val="22"/>
        </w:rPr>
        <w:t>3</w:t>
      </w:r>
      <w:r>
        <w:rPr>
          <w:szCs w:val="22"/>
        </w:rPr>
        <w:tab/>
      </w:r>
      <w:r w:rsidR="00577ED5" w:rsidRPr="0064234E">
        <w:rPr>
          <w:szCs w:val="22"/>
        </w:rPr>
        <w:t xml:space="preserve">Reply Comments Due: </w:t>
      </w:r>
      <w:r>
        <w:rPr>
          <w:szCs w:val="22"/>
        </w:rPr>
        <w:t xml:space="preserve"> </w:t>
      </w:r>
      <w:r w:rsidR="00AE1125" w:rsidRPr="0064234E">
        <w:rPr>
          <w:szCs w:val="22"/>
        </w:rPr>
        <w:t>August</w:t>
      </w:r>
      <w:r w:rsidR="008804C6" w:rsidRPr="0064234E">
        <w:rPr>
          <w:szCs w:val="22"/>
        </w:rPr>
        <w:t xml:space="preserve"> </w:t>
      </w:r>
      <w:r w:rsidR="00342BB3">
        <w:rPr>
          <w:szCs w:val="22"/>
        </w:rPr>
        <w:t>16</w:t>
      </w:r>
      <w:r w:rsidR="00577ED5" w:rsidRPr="0064234E">
        <w:rPr>
          <w:szCs w:val="22"/>
        </w:rPr>
        <w:t>, 201</w:t>
      </w:r>
      <w:r w:rsidR="000F4A91" w:rsidRPr="0064234E">
        <w:rPr>
          <w:szCs w:val="22"/>
        </w:rPr>
        <w:t>3</w:t>
      </w:r>
    </w:p>
    <w:p w:rsidR="00577ED5" w:rsidRPr="0064234E" w:rsidRDefault="00577ED5" w:rsidP="007B0488">
      <w:pPr>
        <w:widowControl/>
      </w:pPr>
    </w:p>
    <w:p w:rsidR="009A7250" w:rsidRDefault="009A7250" w:rsidP="009A7250">
      <w:pPr>
        <w:pStyle w:val="TOCTitle"/>
      </w:pPr>
      <w:bookmarkStart w:id="3" w:name="TOChere"/>
      <w:r>
        <w:t>Table of Contents</w:t>
      </w:r>
    </w:p>
    <w:p w:rsidR="009A7250" w:rsidRDefault="009A7250" w:rsidP="009A7250">
      <w:pPr>
        <w:pStyle w:val="Paratitle"/>
      </w:pPr>
      <w:r>
        <w:t>Heading</w:t>
      </w:r>
      <w:r>
        <w:tab/>
        <w:t>Paragraph #</w:t>
      </w:r>
      <w:bookmarkStart w:id="4" w:name="start_here"/>
      <w:bookmarkEnd w:id="4"/>
    </w:p>
    <w:p w:rsidR="009A7250" w:rsidRDefault="009A7250" w:rsidP="009A725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A7250" w:rsidRDefault="009A7250" w:rsidP="009A725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LICENSES TO BE OFFERED IN AUCTION 96</w:t>
      </w:r>
      <w:r>
        <w:tab/>
        <w:t>3</w:t>
      </w:r>
    </w:p>
    <w:p w:rsidR="009A7250" w:rsidRDefault="009A7250" w:rsidP="009A725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Licenses</w:t>
      </w:r>
      <w:r>
        <w:tab/>
        <w:t>3</w:t>
      </w:r>
    </w:p>
    <w:p w:rsidR="009A7250" w:rsidRDefault="009A7250" w:rsidP="009A725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Cost-Sharing Obligations</w:t>
      </w:r>
      <w:r>
        <w:tab/>
        <w:t>5</w:t>
      </w:r>
    </w:p>
    <w:p w:rsidR="009A7250" w:rsidRDefault="009A7250" w:rsidP="009A725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DUE DILIGENCE</w:t>
      </w:r>
      <w:r>
        <w:tab/>
        <w:t>11</w:t>
      </w:r>
    </w:p>
    <w:p w:rsidR="009A7250" w:rsidRDefault="009A7250" w:rsidP="009A725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BUREAU SEEKS COMMENT ON AUCTION PROCEDURES</w:t>
      </w:r>
      <w:r>
        <w:tab/>
        <w:t>15</w:t>
      </w:r>
    </w:p>
    <w:p w:rsidR="009A7250" w:rsidRDefault="009A7250" w:rsidP="009A725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Design</w:t>
      </w:r>
      <w:r>
        <w:tab/>
        <w:t>16</w:t>
      </w:r>
    </w:p>
    <w:p w:rsidR="009A7250" w:rsidRDefault="009A7250" w:rsidP="009A725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 — With or Without Package Bidding</w:t>
      </w:r>
      <w:r>
        <w:tab/>
        <w:t>16</w:t>
      </w:r>
    </w:p>
    <w:p w:rsidR="009A7250" w:rsidRDefault="009A7250" w:rsidP="009A725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Anonymous Bidding</w:t>
      </w:r>
      <w:r>
        <w:tab/>
        <w:t>24</w:t>
      </w:r>
    </w:p>
    <w:p w:rsidR="009A7250" w:rsidRDefault="009A7250" w:rsidP="009A725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Auction Structure</w:t>
      </w:r>
      <w:r>
        <w:tab/>
        <w:t>30</w:t>
      </w:r>
    </w:p>
    <w:p w:rsidR="009A7250" w:rsidRDefault="009A7250" w:rsidP="009A725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Bidding Rounds</w:t>
      </w:r>
      <w:r>
        <w:tab/>
        <w:t>30</w:t>
      </w:r>
    </w:p>
    <w:p w:rsidR="009A7250" w:rsidRDefault="009A7250" w:rsidP="009A725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Stopping Rule</w:t>
      </w:r>
      <w:r>
        <w:tab/>
        <w:t>33</w:t>
      </w:r>
    </w:p>
    <w:p w:rsidR="009A7250" w:rsidRDefault="009A7250" w:rsidP="009A725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Information Relating to Auction Delay, Suspension, or Cancellation</w:t>
      </w:r>
      <w:r>
        <w:tab/>
        <w:t>36</w:t>
      </w:r>
    </w:p>
    <w:p w:rsidR="009A7250" w:rsidRDefault="009A7250" w:rsidP="009A725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Procedures</w:t>
      </w:r>
      <w:r>
        <w:tab/>
        <w:t>37</w:t>
      </w:r>
    </w:p>
    <w:p w:rsidR="009A7250" w:rsidRDefault="009A7250" w:rsidP="009A725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Upfront Payments and Bidding Eligibility</w:t>
      </w:r>
      <w:r>
        <w:tab/>
        <w:t>37</w:t>
      </w:r>
    </w:p>
    <w:p w:rsidR="009A7250" w:rsidRDefault="009A7250" w:rsidP="009A725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Activity Rule</w:t>
      </w:r>
      <w:r>
        <w:tab/>
        <w:t>40</w:t>
      </w:r>
    </w:p>
    <w:p w:rsidR="009A7250" w:rsidRDefault="009A7250" w:rsidP="009A725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 and Reducing Eligibility</w:t>
      </w:r>
      <w:r>
        <w:tab/>
        <w:t>44</w:t>
      </w:r>
    </w:p>
    <w:p w:rsidR="009A7250" w:rsidRDefault="009A7250" w:rsidP="009A725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 and Minimum Opening Bids</w:t>
      </w:r>
      <w:r>
        <w:tab/>
        <w:t>49</w:t>
      </w:r>
    </w:p>
    <w:p w:rsidR="009A7250" w:rsidRDefault="009A7250" w:rsidP="009A725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Reserve Price</w:t>
      </w:r>
      <w:r>
        <w:tab/>
        <w:t>52</w:t>
      </w:r>
    </w:p>
    <w:p w:rsidR="009A7250" w:rsidRDefault="009A7250" w:rsidP="009A725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Minimum Opening Bids</w:t>
      </w:r>
      <w:r>
        <w:tab/>
        <w:t>54</w:t>
      </w:r>
    </w:p>
    <w:p w:rsidR="009A7250" w:rsidRDefault="009A7250" w:rsidP="009A725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Amounts</w:t>
      </w:r>
      <w:r>
        <w:tab/>
        <w:t>60</w:t>
      </w:r>
    </w:p>
    <w:p w:rsidR="009A7250" w:rsidRDefault="009A7250" w:rsidP="009A725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Minimum Acceptable Bids</w:t>
      </w:r>
      <w:r>
        <w:tab/>
        <w:t>61</w:t>
      </w:r>
    </w:p>
    <w:p w:rsidR="009A7250" w:rsidRDefault="009A7250" w:rsidP="009A725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Additional Bid Amounts</w:t>
      </w:r>
      <w:r>
        <w:tab/>
        <w:t>65</w:t>
      </w:r>
    </w:p>
    <w:p w:rsidR="009A7250" w:rsidRDefault="009A7250" w:rsidP="009A725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 Amount Changes</w:t>
      </w:r>
      <w:r>
        <w:tab/>
        <w:t>67</w:t>
      </w:r>
    </w:p>
    <w:p w:rsidR="009A7250" w:rsidRDefault="009A7250" w:rsidP="009A725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Provisionally Winning Bids</w:t>
      </w:r>
      <w:r>
        <w:tab/>
        <w:t>69</w:t>
      </w:r>
    </w:p>
    <w:p w:rsidR="009A7250" w:rsidRDefault="009A7250" w:rsidP="009A725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Bid Removal</w:t>
      </w:r>
      <w:r>
        <w:tab/>
        <w:t>72</w:t>
      </w:r>
    </w:p>
    <w:p w:rsidR="009A7250" w:rsidRDefault="009A7250" w:rsidP="009A7250">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Bid Withdrawal</w:t>
      </w:r>
      <w:r>
        <w:tab/>
        <w:t>73</w:t>
      </w:r>
    </w:p>
    <w:p w:rsidR="009A7250" w:rsidRDefault="009A7250" w:rsidP="009A725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Post-Auction Payments</w:t>
      </w:r>
      <w:r>
        <w:tab/>
        <w:t>76</w:t>
      </w:r>
    </w:p>
    <w:p w:rsidR="009A7250" w:rsidRDefault="009A7250" w:rsidP="009A7250">
      <w:pPr>
        <w:pStyle w:val="TOC3"/>
        <w:tabs>
          <w:tab w:val="left" w:pos="360"/>
        </w:tabs>
        <w:rPr>
          <w:rFonts w:asciiTheme="minorHAnsi" w:eastAsiaTheme="minorEastAsia" w:hAnsiTheme="minorHAnsi" w:cstheme="minorBidi"/>
          <w:snapToGrid/>
          <w:kern w:val="0"/>
          <w:szCs w:val="22"/>
        </w:rPr>
      </w:pPr>
      <w:r>
        <w:lastRenderedPageBreak/>
        <w:t>1.</w:t>
      </w:r>
      <w:r>
        <w:rPr>
          <w:rFonts w:asciiTheme="minorHAnsi" w:eastAsiaTheme="minorEastAsia" w:hAnsiTheme="minorHAnsi" w:cstheme="minorBidi"/>
          <w:snapToGrid/>
          <w:kern w:val="0"/>
          <w:szCs w:val="22"/>
        </w:rPr>
        <w:tab/>
      </w:r>
      <w:r>
        <w:t>Apportioning Package Bids</w:t>
      </w:r>
      <w:r>
        <w:tab/>
        <w:t>76</w:t>
      </w:r>
    </w:p>
    <w:p w:rsidR="009A7250" w:rsidRDefault="009A7250" w:rsidP="009A725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Interim Withdrawal Payment Percentage</w:t>
      </w:r>
      <w:r>
        <w:tab/>
        <w:t>78</w:t>
      </w:r>
    </w:p>
    <w:p w:rsidR="009A7250" w:rsidRDefault="009A7250" w:rsidP="009A725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Additional Default Payment Percentage</w:t>
      </w:r>
      <w:r>
        <w:tab/>
        <w:t>81</w:t>
      </w:r>
    </w:p>
    <w:p w:rsidR="009A7250" w:rsidRDefault="009A7250" w:rsidP="009A7250">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DEADLINES AND FILING PROCEDURES</w:t>
      </w:r>
      <w:r>
        <w:tab/>
        <w:t>84</w:t>
      </w:r>
    </w:p>
    <w:p w:rsidR="009A7250" w:rsidRDefault="009A7250" w:rsidP="009A7250">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CONTACTS</w:t>
      </w:r>
      <w:r>
        <w:tab/>
        <w:t>91</w:t>
      </w:r>
    </w:p>
    <w:bookmarkEnd w:id="3"/>
    <w:p w:rsidR="0053706A" w:rsidRPr="0064234E" w:rsidRDefault="0053706A" w:rsidP="0053706A">
      <w:pPr>
        <w:widowControl/>
        <w:tabs>
          <w:tab w:val="left" w:pos="1980"/>
        </w:tabs>
        <w:spacing w:line="252" w:lineRule="auto"/>
      </w:pPr>
      <w:r w:rsidRPr="0064234E">
        <w:t>ATTACHMENT A:</w:t>
      </w:r>
      <w:r w:rsidRPr="0064234E">
        <w:tab/>
        <w:t>Licenses to Be Auctioned</w:t>
      </w:r>
    </w:p>
    <w:p w:rsidR="0053706A" w:rsidRDefault="0053706A" w:rsidP="0053706A">
      <w:pPr>
        <w:widowControl/>
        <w:tabs>
          <w:tab w:val="left" w:pos="1980"/>
        </w:tabs>
        <w:spacing w:line="252" w:lineRule="auto"/>
      </w:pPr>
      <w:r w:rsidRPr="0064234E">
        <w:t>ATTACHMENT B:</w:t>
      </w:r>
      <w:r w:rsidRPr="0064234E">
        <w:tab/>
      </w:r>
      <w:r w:rsidRPr="0032023D">
        <w:t>Determining Provisionally Winning Bids and Current Price Estimates</w:t>
      </w:r>
    </w:p>
    <w:p w:rsidR="0032023D" w:rsidRPr="0064234E" w:rsidRDefault="0053706A" w:rsidP="0053706A">
      <w:pPr>
        <w:widowControl/>
        <w:tabs>
          <w:tab w:val="left" w:pos="1980"/>
        </w:tabs>
        <w:spacing w:line="252" w:lineRule="auto"/>
      </w:pPr>
      <w:r w:rsidRPr="0064234E">
        <w:t xml:space="preserve">ATTACHMENT </w:t>
      </w:r>
      <w:r>
        <w:t>C</w:t>
      </w:r>
      <w:r w:rsidRPr="0064234E">
        <w:t>:</w:t>
      </w:r>
      <w:r w:rsidRPr="0064234E">
        <w:tab/>
      </w:r>
      <w:r w:rsidRPr="0032023D">
        <w:t>Minimum Acceptable Bid Formula</w:t>
      </w:r>
    </w:p>
    <w:p w:rsidR="00DA4F93" w:rsidRDefault="00DA4F93" w:rsidP="007B0488">
      <w:pPr>
        <w:widowControl/>
        <w:tabs>
          <w:tab w:val="left" w:pos="1980"/>
        </w:tabs>
      </w:pPr>
    </w:p>
    <w:p w:rsidR="0032023D" w:rsidRPr="0064234E" w:rsidRDefault="0032023D" w:rsidP="007B0488">
      <w:pPr>
        <w:widowControl/>
        <w:tabs>
          <w:tab w:val="left" w:pos="1980"/>
        </w:tabs>
      </w:pPr>
    </w:p>
    <w:p w:rsidR="00577ED5" w:rsidRPr="0064234E" w:rsidRDefault="00577ED5" w:rsidP="009C292E">
      <w:pPr>
        <w:pStyle w:val="Heading1"/>
        <w:widowControl/>
      </w:pPr>
      <w:bookmarkStart w:id="5" w:name="_Toc151201039"/>
      <w:bookmarkStart w:id="6" w:name="_Toc153165389"/>
      <w:bookmarkStart w:id="7" w:name="_Toc153190400"/>
      <w:bookmarkStart w:id="8" w:name="_Toc190859707"/>
      <w:bookmarkStart w:id="9" w:name="_Toc190867584"/>
      <w:bookmarkStart w:id="10" w:name="_Toc191282377"/>
      <w:bookmarkStart w:id="11" w:name="_Toc191296784"/>
      <w:bookmarkStart w:id="12" w:name="_Toc203461485"/>
      <w:bookmarkStart w:id="13" w:name="_Toc214427383"/>
      <w:bookmarkStart w:id="14" w:name="_Toc252353621"/>
      <w:bookmarkStart w:id="15" w:name="_Toc252456310"/>
      <w:bookmarkStart w:id="16" w:name="_Toc252881311"/>
      <w:bookmarkStart w:id="17" w:name="_Toc266452572"/>
      <w:bookmarkStart w:id="18" w:name="_Toc267580101"/>
      <w:bookmarkStart w:id="19" w:name="_Toc268005346"/>
      <w:bookmarkStart w:id="20" w:name="_Toc268513851"/>
      <w:bookmarkStart w:id="21" w:name="_Toc271880866"/>
      <w:bookmarkStart w:id="22" w:name="_Toc272760366"/>
      <w:bookmarkStart w:id="23" w:name="_Toc303331679"/>
      <w:bookmarkStart w:id="24" w:name="_Toc334798930"/>
      <w:bookmarkStart w:id="25" w:name="_Toc346007135"/>
      <w:bookmarkStart w:id="26" w:name="_Toc360525951"/>
      <w:bookmarkStart w:id="27" w:name="_Toc360797623"/>
      <w:bookmarkStart w:id="28" w:name="_Toc361136986"/>
      <w:bookmarkStart w:id="29" w:name="_Toc361153048"/>
      <w:bookmarkStart w:id="30" w:name="_Toc361667806"/>
      <w:bookmarkStart w:id="31" w:name="_Toc357766144"/>
      <w:bookmarkStart w:id="32" w:name="_Toc357766216"/>
      <w:bookmarkStart w:id="33" w:name="_Toc357801005"/>
      <w:bookmarkStart w:id="34" w:name="_Toc357801069"/>
      <w:r w:rsidRPr="0064234E">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D71755" w:rsidRPr="0064234E">
        <w:t xml:space="preserve"> </w:t>
      </w:r>
      <w:bookmarkEnd w:id="31"/>
      <w:bookmarkEnd w:id="32"/>
      <w:bookmarkEnd w:id="33"/>
      <w:bookmarkEnd w:id="34"/>
    </w:p>
    <w:p w:rsidR="00645D66" w:rsidRPr="0064234E" w:rsidRDefault="00F17609" w:rsidP="007B0488">
      <w:pPr>
        <w:pStyle w:val="ParaNum0"/>
        <w:widowControl/>
      </w:pPr>
      <w:r w:rsidRPr="0064234E">
        <w:t>By this Public Notice, the Wireless Telecommunications Bureau (“Bureau”) announces</w:t>
      </w:r>
      <w:r>
        <w:t xml:space="preserve"> its intention to hold an</w:t>
      </w:r>
      <w:r w:rsidRPr="0064234E">
        <w:t xml:space="preserve"> auction of licenses in the 1915-1920 MHz (“Lower H Block”) and 1995-2000 MHz (“Upper H Block”) bands (collectively, the “H Block”),</w:t>
      </w:r>
      <w:r w:rsidRPr="0064234E">
        <w:rPr>
          <w:rStyle w:val="FootnoteReference"/>
        </w:rPr>
        <w:footnoteReference w:id="2"/>
      </w:r>
      <w:r w:rsidRPr="0064234E">
        <w:t xml:space="preserve"> and seeks comment on the procedures to be used for this auction.  </w:t>
      </w:r>
      <w:r w:rsidRPr="00D46DE6">
        <w:t>The staff will be prepared to conduct this Auction, which will be designated Auction 96, by or as early as January 14, 2014</w:t>
      </w:r>
      <w:r>
        <w:t>.</w:t>
      </w:r>
    </w:p>
    <w:p w:rsidR="0039313C" w:rsidRPr="0064234E" w:rsidRDefault="0039313C" w:rsidP="007B0488">
      <w:pPr>
        <w:pStyle w:val="ParaNum0"/>
        <w:widowControl/>
      </w:pPr>
      <w:r w:rsidRPr="0064234E">
        <w:t xml:space="preserve">The Commission is offering the licenses in </w:t>
      </w:r>
      <w:r w:rsidR="00F87C05" w:rsidRPr="0064234E">
        <w:t>Auction 96</w:t>
      </w:r>
      <w:r w:rsidRPr="0064234E">
        <w:t xml:space="preserve"> </w:t>
      </w:r>
      <w:r w:rsidR="004C5E12" w:rsidRPr="0064234E">
        <w:t>pursuant to the</w:t>
      </w:r>
      <w:r w:rsidR="00D20844" w:rsidRPr="0064234E">
        <w:t xml:space="preserve"> Middle Class Tax Relief and Job Creation Act of 2012 (“Spectrum Act”).</w:t>
      </w:r>
      <w:r w:rsidR="00D20844" w:rsidRPr="0064234E">
        <w:rPr>
          <w:rStyle w:val="FootnoteReference"/>
        </w:rPr>
        <w:footnoteReference w:id="3"/>
      </w:r>
      <w:r w:rsidR="00D20844" w:rsidRPr="0064234E">
        <w:t xml:space="preserve">  The Spectrum Act</w:t>
      </w:r>
      <w:r w:rsidR="000F1DFD" w:rsidRPr="0064234E">
        <w:t xml:space="preserve"> requires</w:t>
      </w:r>
      <w:r w:rsidR="00D20844" w:rsidRPr="0064234E">
        <w:t xml:space="preserve">, among other </w:t>
      </w:r>
      <w:r w:rsidR="000F1DFD" w:rsidRPr="0064234E">
        <w:t>things</w:t>
      </w:r>
      <w:r w:rsidR="00D20844" w:rsidRPr="0064234E">
        <w:t xml:space="preserve">, that the Commission allocate for commercial use and license </w:t>
      </w:r>
      <w:r w:rsidR="005168FD" w:rsidRPr="0064234E">
        <w:t xml:space="preserve">spectrum in the </w:t>
      </w:r>
      <w:r w:rsidR="00F87C05" w:rsidRPr="0064234E">
        <w:t>H Block</w:t>
      </w:r>
      <w:r w:rsidR="005168FD" w:rsidRPr="0064234E">
        <w:t xml:space="preserve"> </w:t>
      </w:r>
      <w:r w:rsidR="00D20844" w:rsidRPr="0064234E">
        <w:t>using a system of competitive bidding no later than February 23, 2015.</w:t>
      </w:r>
      <w:r w:rsidR="00D20844" w:rsidRPr="0064234E">
        <w:rPr>
          <w:rStyle w:val="FootnoteReference"/>
        </w:rPr>
        <w:footnoteReference w:id="4"/>
      </w:r>
    </w:p>
    <w:p w:rsidR="00577ED5" w:rsidRPr="0064234E" w:rsidRDefault="000F4A91" w:rsidP="009C292E">
      <w:pPr>
        <w:pStyle w:val="Heading1"/>
        <w:widowControl/>
      </w:pPr>
      <w:bookmarkStart w:id="35" w:name="_Toc252353626"/>
      <w:bookmarkStart w:id="36" w:name="_Toc252456315"/>
      <w:bookmarkStart w:id="37" w:name="_Toc252881313"/>
      <w:bookmarkStart w:id="38" w:name="_Toc266452574"/>
      <w:bookmarkStart w:id="39" w:name="_Toc267580103"/>
      <w:bookmarkStart w:id="40" w:name="_Toc268005348"/>
      <w:bookmarkStart w:id="41" w:name="_Toc268513852"/>
      <w:bookmarkStart w:id="42" w:name="_Toc271880867"/>
      <w:bookmarkStart w:id="43" w:name="_Toc272760367"/>
      <w:bookmarkStart w:id="44" w:name="_Toc303331680"/>
      <w:bookmarkStart w:id="45" w:name="_Toc334798931"/>
      <w:bookmarkStart w:id="46" w:name="_Toc346007136"/>
      <w:bookmarkStart w:id="47" w:name="_Toc357766146"/>
      <w:bookmarkStart w:id="48" w:name="_Toc357766218"/>
      <w:bookmarkStart w:id="49" w:name="_Toc357801007"/>
      <w:bookmarkStart w:id="50" w:name="_Toc357801071"/>
      <w:bookmarkStart w:id="51" w:name="_Toc360525952"/>
      <w:bookmarkStart w:id="52" w:name="_Toc360797624"/>
      <w:bookmarkStart w:id="53" w:name="_Toc361136987"/>
      <w:bookmarkStart w:id="54" w:name="_Toc361153049"/>
      <w:bookmarkStart w:id="55" w:name="_Toc361667807"/>
      <w:bookmarkStart w:id="56" w:name="_Toc190859709"/>
      <w:bookmarkStart w:id="57" w:name="_Toc190867586"/>
      <w:bookmarkStart w:id="58" w:name="_Toc191282379"/>
      <w:bookmarkStart w:id="59" w:name="_Toc191296786"/>
      <w:bookmarkStart w:id="60" w:name="_Toc203461487"/>
      <w:bookmarkStart w:id="61" w:name="_Toc214427384"/>
      <w:r w:rsidRPr="0064234E">
        <w:t>LICENSES</w:t>
      </w:r>
      <w:r w:rsidR="00577ED5" w:rsidRPr="0064234E">
        <w:t xml:space="preserve"> </w:t>
      </w:r>
      <w:r w:rsidRPr="0064234E">
        <w:t xml:space="preserve">TO BE OFFERED </w:t>
      </w:r>
      <w:r w:rsidR="00577ED5" w:rsidRPr="0064234E">
        <w:t xml:space="preserve">IN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F87C05" w:rsidRPr="0064234E">
        <w:t>AUCTION 96</w:t>
      </w:r>
      <w:bookmarkEnd w:id="53"/>
      <w:bookmarkEnd w:id="54"/>
      <w:bookmarkEnd w:id="55"/>
    </w:p>
    <w:p w:rsidR="006C0D99" w:rsidRPr="0064234E" w:rsidRDefault="006C0D99" w:rsidP="007B0488">
      <w:pPr>
        <w:pStyle w:val="Heading2"/>
        <w:widowControl/>
      </w:pPr>
      <w:bookmarkStart w:id="62" w:name="_Toc357766147"/>
      <w:bookmarkStart w:id="63" w:name="_Toc357766219"/>
      <w:bookmarkStart w:id="64" w:name="_Toc357801008"/>
      <w:bookmarkStart w:id="65" w:name="_Toc357801072"/>
      <w:bookmarkStart w:id="66" w:name="_Toc360525953"/>
      <w:bookmarkStart w:id="67" w:name="_Toc360797625"/>
      <w:bookmarkStart w:id="68" w:name="_Toc361136988"/>
      <w:bookmarkStart w:id="69" w:name="_Toc361153050"/>
      <w:bookmarkStart w:id="70" w:name="_Toc361667808"/>
      <w:r w:rsidRPr="0064234E">
        <w:t>Description</w:t>
      </w:r>
      <w:r w:rsidR="00B0048E" w:rsidRPr="0064234E">
        <w:t xml:space="preserve"> of License</w:t>
      </w:r>
      <w:r w:rsidRPr="0064234E">
        <w:t>s</w:t>
      </w:r>
      <w:bookmarkEnd w:id="62"/>
      <w:bookmarkEnd w:id="63"/>
      <w:bookmarkEnd w:id="64"/>
      <w:bookmarkEnd w:id="65"/>
      <w:bookmarkEnd w:id="66"/>
      <w:bookmarkEnd w:id="67"/>
      <w:bookmarkEnd w:id="68"/>
      <w:bookmarkEnd w:id="69"/>
      <w:bookmarkEnd w:id="70"/>
    </w:p>
    <w:p w:rsidR="000F4A91" w:rsidRPr="0064234E" w:rsidRDefault="00C86F5B" w:rsidP="007B0488">
      <w:pPr>
        <w:pStyle w:val="ParaNum0"/>
        <w:widowControl/>
      </w:pPr>
      <w:r w:rsidRPr="0064234E">
        <w:t xml:space="preserve">In the </w:t>
      </w:r>
      <w:r w:rsidR="00F87C05" w:rsidRPr="0064234E">
        <w:rPr>
          <w:i/>
        </w:rPr>
        <w:t>H Block</w:t>
      </w:r>
      <w:r w:rsidRPr="0064234E">
        <w:rPr>
          <w:i/>
        </w:rPr>
        <w:t xml:space="preserve"> </w:t>
      </w:r>
      <w:r w:rsidR="00D12DFF" w:rsidRPr="0064234E">
        <w:rPr>
          <w:i/>
        </w:rPr>
        <w:t xml:space="preserve">Report and </w:t>
      </w:r>
      <w:r w:rsidRPr="0064234E">
        <w:rPr>
          <w:i/>
        </w:rPr>
        <w:t>Order</w:t>
      </w:r>
      <w:r w:rsidRPr="0064234E">
        <w:t xml:space="preserve">, the Commission concluded that licenses for </w:t>
      </w:r>
      <w:r w:rsidR="005856B7" w:rsidRPr="0064234E">
        <w:t>H Block</w:t>
      </w:r>
      <w:r w:rsidRPr="0064234E">
        <w:t xml:space="preserve"> spectrum should be awarded</w:t>
      </w:r>
      <w:r w:rsidR="006C2987" w:rsidRPr="0064234E">
        <w:t xml:space="preserve"> on an Economic Areas (EA) basis in all areas, including the Gulf of Mexico.</w:t>
      </w:r>
      <w:r w:rsidR="006C2987" w:rsidRPr="0064234E">
        <w:rPr>
          <w:rStyle w:val="FootnoteReference"/>
        </w:rPr>
        <w:footnoteReference w:id="5"/>
      </w:r>
      <w:r w:rsidR="006C2987" w:rsidRPr="0064234E">
        <w:t xml:space="preserve">  </w:t>
      </w:r>
      <w:r w:rsidR="00F87C05" w:rsidRPr="0064234E">
        <w:t>Auction 96</w:t>
      </w:r>
      <w:r w:rsidR="000F4A91" w:rsidRPr="0064234E">
        <w:t xml:space="preserve"> will </w:t>
      </w:r>
      <w:r w:rsidR="007E6A8E" w:rsidRPr="0064234E">
        <w:t>offer</w:t>
      </w:r>
      <w:r w:rsidR="00A56267" w:rsidRPr="0064234E">
        <w:t xml:space="preserve"> </w:t>
      </w:r>
      <w:r w:rsidR="006A600B" w:rsidRPr="0064234E">
        <w:t xml:space="preserve">one license </w:t>
      </w:r>
      <w:r w:rsidR="00B0048E" w:rsidRPr="0064234E">
        <w:t>for</w:t>
      </w:r>
      <w:r w:rsidR="006A600B" w:rsidRPr="0064234E">
        <w:t xml:space="preserve"> each of the 17</w:t>
      </w:r>
      <w:r w:rsidR="00B0048E" w:rsidRPr="0064234E">
        <w:t>6</w:t>
      </w:r>
      <w:r w:rsidR="006A600B" w:rsidRPr="0064234E">
        <w:t xml:space="preserve"> EAs</w:t>
      </w:r>
      <w:r w:rsidR="000F4A91" w:rsidRPr="0064234E">
        <w:t>.</w:t>
      </w:r>
      <w:r w:rsidR="0050443B" w:rsidRPr="0064234E">
        <w:t xml:space="preserve">  </w:t>
      </w:r>
      <w:r w:rsidR="006A600B" w:rsidRPr="0064234E">
        <w:t xml:space="preserve">The Lower </w:t>
      </w:r>
      <w:r w:rsidR="00F87C05" w:rsidRPr="0064234E">
        <w:t>H Block</w:t>
      </w:r>
      <w:r w:rsidR="006A600B" w:rsidRPr="0064234E">
        <w:t xml:space="preserve"> and Upper </w:t>
      </w:r>
      <w:r w:rsidR="00F87C05" w:rsidRPr="0064234E">
        <w:t>H Block</w:t>
      </w:r>
      <w:r w:rsidR="006A600B" w:rsidRPr="0064234E">
        <w:t xml:space="preserve"> </w:t>
      </w:r>
      <w:r w:rsidR="00D528C2" w:rsidRPr="0064234E">
        <w:t xml:space="preserve">frequencies </w:t>
      </w:r>
      <w:r w:rsidR="006A600B" w:rsidRPr="0064234E">
        <w:t xml:space="preserve">will be licensed as paired </w:t>
      </w:r>
      <w:r w:rsidR="006A600B" w:rsidRPr="0064234E">
        <w:rPr>
          <w:lang w:val="pt-BR"/>
        </w:rPr>
        <w:t xml:space="preserve">5 </w:t>
      </w:r>
      <w:r w:rsidR="00BB773E" w:rsidRPr="0064234E">
        <w:rPr>
          <w:lang w:val="pt-BR"/>
        </w:rPr>
        <w:t>megahertz</w:t>
      </w:r>
      <w:r w:rsidR="006A600B" w:rsidRPr="0064234E">
        <w:rPr>
          <w:lang w:val="pt-BR"/>
        </w:rPr>
        <w:t xml:space="preserve"> </w:t>
      </w:r>
      <w:r w:rsidR="006A600B" w:rsidRPr="0064234E">
        <w:t xml:space="preserve">blocks, with each license having a total bandwidth of 10 </w:t>
      </w:r>
      <w:r w:rsidR="00BB773E" w:rsidRPr="0064234E">
        <w:t>megahertz; 1915-1920 MHz for mobile and low power fixed (</w:t>
      </w:r>
      <w:r w:rsidR="00BB773E" w:rsidRPr="0064234E">
        <w:rPr>
          <w:i/>
        </w:rPr>
        <w:t>i.e.</w:t>
      </w:r>
      <w:r w:rsidR="00BB773E" w:rsidRPr="0064234E">
        <w:t xml:space="preserve">, uplink) operations and </w:t>
      </w:r>
      <w:r w:rsidR="00BB773E" w:rsidRPr="0064234E">
        <w:lastRenderedPageBreak/>
        <w:t>1995-2000 MHz for base station and fixed (</w:t>
      </w:r>
      <w:r w:rsidR="00BB773E" w:rsidRPr="0064234E">
        <w:rPr>
          <w:i/>
        </w:rPr>
        <w:t>i.e.</w:t>
      </w:r>
      <w:r w:rsidR="00BB773E" w:rsidRPr="0064234E">
        <w:t>, downlink) operations</w:t>
      </w:r>
      <w:r w:rsidR="006A600B" w:rsidRPr="0064234E">
        <w:t>.</w:t>
      </w:r>
      <w:r w:rsidR="003379D8" w:rsidRPr="0064234E">
        <w:rPr>
          <w:rStyle w:val="FootnoteReference"/>
        </w:rPr>
        <w:footnoteReference w:id="6"/>
      </w:r>
      <w:r w:rsidR="006A600B" w:rsidRPr="0064234E">
        <w:t xml:space="preserve">  </w:t>
      </w:r>
      <w:r w:rsidR="00360B28" w:rsidRPr="0064234E">
        <w:t xml:space="preserve">Figure 1 shows the </w:t>
      </w:r>
      <w:r w:rsidR="00F87C05" w:rsidRPr="0064234E">
        <w:t>H Block</w:t>
      </w:r>
      <w:r w:rsidR="00360B28" w:rsidRPr="0064234E">
        <w:t xml:space="preserve"> band plan</w:t>
      </w:r>
      <w:r w:rsidR="00B0048E" w:rsidRPr="0064234E">
        <w:t>, and</w:t>
      </w:r>
      <w:r w:rsidRPr="0064234E">
        <w:t xml:space="preserve"> Table 1 contains </w:t>
      </w:r>
      <w:r w:rsidR="00B0048E" w:rsidRPr="0064234E">
        <w:t xml:space="preserve">summary </w:t>
      </w:r>
      <w:r w:rsidRPr="0064234E">
        <w:t xml:space="preserve">information regarding </w:t>
      </w:r>
      <w:r w:rsidR="00F87C05" w:rsidRPr="0064234E">
        <w:t>H Block</w:t>
      </w:r>
      <w:r w:rsidRPr="0064234E">
        <w:t xml:space="preserve"> frequencies, total bandwidth</w:t>
      </w:r>
      <w:r w:rsidR="006C2987" w:rsidRPr="0064234E">
        <w:t>, and geographic area type.</w:t>
      </w:r>
      <w:r w:rsidRPr="0064234E">
        <w:t xml:space="preserve">  </w:t>
      </w:r>
    </w:p>
    <w:p w:rsidR="003976F5" w:rsidRPr="0064234E" w:rsidRDefault="003976F5" w:rsidP="00112881">
      <w:pPr>
        <w:pStyle w:val="ParaNum0"/>
        <w:widowControl/>
        <w:numPr>
          <w:ilvl w:val="0"/>
          <w:numId w:val="0"/>
        </w:numPr>
        <w:tabs>
          <w:tab w:val="num" w:pos="1440"/>
        </w:tabs>
        <w:spacing w:after="0"/>
        <w:ind w:left="720"/>
        <w:jc w:val="center"/>
        <w:rPr>
          <w:b/>
          <w:u w:val="single"/>
        </w:rPr>
      </w:pPr>
    </w:p>
    <w:p w:rsidR="00360B28" w:rsidRPr="0064234E" w:rsidRDefault="00360B28" w:rsidP="007E7342">
      <w:pPr>
        <w:pStyle w:val="ParaNum0"/>
        <w:keepNext/>
        <w:widowControl/>
        <w:numPr>
          <w:ilvl w:val="0"/>
          <w:numId w:val="0"/>
        </w:numPr>
        <w:tabs>
          <w:tab w:val="num" w:pos="1440"/>
        </w:tabs>
        <w:spacing w:after="240"/>
        <w:jc w:val="center"/>
        <w:rPr>
          <w:b/>
          <w:u w:val="single"/>
        </w:rPr>
      </w:pPr>
      <w:r w:rsidRPr="0064234E">
        <w:rPr>
          <w:b/>
          <w:u w:val="single"/>
        </w:rPr>
        <w:t xml:space="preserve">Figure 1: </w:t>
      </w:r>
      <w:r w:rsidR="007E7342" w:rsidRPr="0064234E">
        <w:rPr>
          <w:b/>
          <w:u w:val="single"/>
        </w:rPr>
        <w:t xml:space="preserve"> </w:t>
      </w:r>
      <w:r w:rsidR="00F87C05" w:rsidRPr="0064234E">
        <w:rPr>
          <w:b/>
          <w:u w:val="single"/>
        </w:rPr>
        <w:t>H Block</w:t>
      </w:r>
      <w:r w:rsidRPr="0064234E">
        <w:rPr>
          <w:b/>
          <w:u w:val="single"/>
        </w:rPr>
        <w:t xml:space="preserve"> Band</w:t>
      </w:r>
      <w:r w:rsidR="00BF709C" w:rsidRPr="0064234E">
        <w:rPr>
          <w:b/>
          <w:u w:val="single"/>
        </w:rPr>
        <w:t xml:space="preserve"> Plan</w:t>
      </w:r>
    </w:p>
    <w:p w:rsidR="0019727C" w:rsidRDefault="0019727C" w:rsidP="007B0488">
      <w:pPr>
        <w:pStyle w:val="ParaNum0"/>
        <w:keepNext/>
        <w:widowControl/>
        <w:numPr>
          <w:ilvl w:val="0"/>
          <w:numId w:val="0"/>
        </w:numPr>
        <w:tabs>
          <w:tab w:val="left" w:pos="0"/>
        </w:tabs>
        <w:snapToGrid w:val="0"/>
        <w:jc w:val="center"/>
        <w:rPr>
          <w:noProof/>
          <w:snapToGrid/>
        </w:rPr>
      </w:pPr>
      <w:r>
        <w:rPr>
          <w:noProof/>
          <w:snapToGrid/>
        </w:rPr>
        <w:drawing>
          <wp:inline distT="0" distB="0" distL="0" distR="0" wp14:anchorId="70961B4E" wp14:editId="49A275B9">
            <wp:extent cx="6300216" cy="109728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00216" cy="1097280"/>
                    </a:xfrm>
                    <a:prstGeom prst="rect">
                      <a:avLst/>
                    </a:prstGeom>
                  </pic:spPr>
                </pic:pic>
              </a:graphicData>
            </a:graphic>
          </wp:inline>
        </w:drawing>
      </w:r>
    </w:p>
    <w:p w:rsidR="00AA7412" w:rsidRPr="0064234E" w:rsidRDefault="00383BE6" w:rsidP="00485F95">
      <w:pPr>
        <w:pStyle w:val="ParaNum0"/>
        <w:keepNext/>
        <w:widowControl/>
        <w:numPr>
          <w:ilvl w:val="0"/>
          <w:numId w:val="0"/>
        </w:numPr>
        <w:tabs>
          <w:tab w:val="num" w:pos="1440"/>
        </w:tabs>
        <w:spacing w:before="240" w:after="240"/>
        <w:jc w:val="center"/>
        <w:rPr>
          <w:b/>
          <w:u w:val="single"/>
        </w:rPr>
      </w:pPr>
      <w:r w:rsidRPr="0064234E">
        <w:rPr>
          <w:b/>
          <w:u w:val="single"/>
        </w:rPr>
        <w:t xml:space="preserve">Table 1:  </w:t>
      </w:r>
      <w:r w:rsidR="00F87C05" w:rsidRPr="0064234E">
        <w:rPr>
          <w:b/>
          <w:u w:val="single"/>
        </w:rPr>
        <w:t>H Block</w:t>
      </w:r>
      <w:r w:rsidRPr="0064234E">
        <w:rPr>
          <w:b/>
          <w:u w:val="single"/>
        </w:rPr>
        <w:t xml:space="preserve"> License</w:t>
      </w:r>
      <w:r w:rsidR="000216F1" w:rsidRPr="0064234E">
        <w:rPr>
          <w:b/>
          <w:u w:val="single"/>
        </w:rPr>
        <w:t xml:space="preserve"> Summary</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005"/>
        <w:gridCol w:w="1161"/>
        <w:gridCol w:w="1078"/>
        <w:gridCol w:w="1122"/>
        <w:gridCol w:w="939"/>
      </w:tblGrid>
      <w:tr w:rsidR="0064234E" w:rsidRPr="0064234E" w:rsidTr="006F524F">
        <w:tc>
          <w:tcPr>
            <w:tcW w:w="0" w:type="auto"/>
            <w:shd w:val="clear" w:color="auto" w:fill="auto"/>
            <w:vAlign w:val="center"/>
          </w:tcPr>
          <w:p w:rsidR="00AA7412" w:rsidRPr="0064234E" w:rsidRDefault="00AA7412" w:rsidP="007B0488">
            <w:pPr>
              <w:keepNext/>
              <w:widowControl/>
              <w:jc w:val="center"/>
              <w:rPr>
                <w:b/>
                <w:sz w:val="20"/>
              </w:rPr>
            </w:pPr>
            <w:r w:rsidRPr="0064234E">
              <w:rPr>
                <w:b/>
                <w:sz w:val="20"/>
              </w:rPr>
              <w:t>Block</w:t>
            </w:r>
          </w:p>
        </w:tc>
        <w:tc>
          <w:tcPr>
            <w:tcW w:w="0" w:type="auto"/>
            <w:shd w:val="clear" w:color="auto" w:fill="auto"/>
            <w:vAlign w:val="center"/>
          </w:tcPr>
          <w:p w:rsidR="00AA7412" w:rsidRPr="0064234E" w:rsidRDefault="00AA7412" w:rsidP="007B0488">
            <w:pPr>
              <w:keepNext/>
              <w:widowControl/>
              <w:jc w:val="center"/>
              <w:rPr>
                <w:b/>
                <w:sz w:val="20"/>
              </w:rPr>
            </w:pPr>
            <w:r w:rsidRPr="0064234E">
              <w:rPr>
                <w:b/>
                <w:sz w:val="20"/>
              </w:rPr>
              <w:t>Frequencies (MHz)</w:t>
            </w:r>
          </w:p>
        </w:tc>
        <w:tc>
          <w:tcPr>
            <w:tcW w:w="0" w:type="auto"/>
            <w:shd w:val="clear" w:color="auto" w:fill="auto"/>
            <w:vAlign w:val="center"/>
          </w:tcPr>
          <w:p w:rsidR="00AA7412" w:rsidRPr="0064234E" w:rsidRDefault="00AA7412" w:rsidP="007B0488">
            <w:pPr>
              <w:keepNext/>
              <w:widowControl/>
              <w:jc w:val="center"/>
              <w:rPr>
                <w:b/>
                <w:sz w:val="20"/>
              </w:rPr>
            </w:pPr>
            <w:r w:rsidRPr="0064234E">
              <w:rPr>
                <w:b/>
                <w:sz w:val="20"/>
              </w:rPr>
              <w:t>Bandwidth</w:t>
            </w:r>
          </w:p>
        </w:tc>
        <w:tc>
          <w:tcPr>
            <w:tcW w:w="0" w:type="auto"/>
            <w:shd w:val="clear" w:color="auto" w:fill="auto"/>
            <w:vAlign w:val="center"/>
          </w:tcPr>
          <w:p w:rsidR="00AA7412" w:rsidRPr="0064234E" w:rsidRDefault="00AA7412" w:rsidP="007B0488">
            <w:pPr>
              <w:keepNext/>
              <w:widowControl/>
              <w:jc w:val="center"/>
              <w:rPr>
                <w:b/>
                <w:sz w:val="20"/>
              </w:rPr>
            </w:pPr>
            <w:r w:rsidRPr="0064234E">
              <w:rPr>
                <w:b/>
                <w:sz w:val="20"/>
              </w:rPr>
              <w:t>Pairing</w:t>
            </w:r>
          </w:p>
        </w:tc>
        <w:tc>
          <w:tcPr>
            <w:tcW w:w="0" w:type="auto"/>
            <w:shd w:val="clear" w:color="auto" w:fill="auto"/>
            <w:vAlign w:val="center"/>
          </w:tcPr>
          <w:p w:rsidR="00AA7412" w:rsidRPr="0064234E" w:rsidRDefault="00AA7412" w:rsidP="007B0488">
            <w:pPr>
              <w:keepNext/>
              <w:widowControl/>
              <w:jc w:val="center"/>
              <w:rPr>
                <w:b/>
                <w:sz w:val="20"/>
              </w:rPr>
            </w:pPr>
            <w:r w:rsidRPr="0064234E">
              <w:rPr>
                <w:b/>
                <w:sz w:val="20"/>
              </w:rPr>
              <w:t>Area Type</w:t>
            </w:r>
          </w:p>
        </w:tc>
        <w:tc>
          <w:tcPr>
            <w:tcW w:w="0" w:type="auto"/>
            <w:shd w:val="clear" w:color="auto" w:fill="auto"/>
            <w:vAlign w:val="center"/>
          </w:tcPr>
          <w:p w:rsidR="00AA7412" w:rsidRPr="0064234E" w:rsidRDefault="00AA7412" w:rsidP="007B0488">
            <w:pPr>
              <w:keepNext/>
              <w:widowControl/>
              <w:jc w:val="center"/>
              <w:rPr>
                <w:b/>
                <w:sz w:val="20"/>
              </w:rPr>
            </w:pPr>
            <w:r w:rsidRPr="0064234E">
              <w:rPr>
                <w:b/>
                <w:sz w:val="20"/>
              </w:rPr>
              <w:t>Licenses</w:t>
            </w:r>
          </w:p>
        </w:tc>
      </w:tr>
      <w:tr w:rsidR="0064234E" w:rsidRPr="0064234E" w:rsidTr="006F524F">
        <w:tc>
          <w:tcPr>
            <w:tcW w:w="0" w:type="auto"/>
            <w:shd w:val="clear" w:color="auto" w:fill="auto"/>
          </w:tcPr>
          <w:p w:rsidR="00AA7412" w:rsidRPr="0064234E" w:rsidRDefault="00AA7412" w:rsidP="007B0488">
            <w:pPr>
              <w:keepNext/>
              <w:widowControl/>
              <w:jc w:val="center"/>
              <w:rPr>
                <w:sz w:val="20"/>
                <w:lang w:val="pt-BR"/>
              </w:rPr>
            </w:pPr>
            <w:r w:rsidRPr="0064234E">
              <w:rPr>
                <w:sz w:val="20"/>
                <w:lang w:val="pt-BR"/>
              </w:rPr>
              <w:t>H</w:t>
            </w:r>
          </w:p>
        </w:tc>
        <w:tc>
          <w:tcPr>
            <w:tcW w:w="0" w:type="auto"/>
            <w:shd w:val="clear" w:color="auto" w:fill="auto"/>
          </w:tcPr>
          <w:p w:rsidR="00AA7412" w:rsidRPr="0064234E" w:rsidRDefault="00AA7412" w:rsidP="007B0488">
            <w:pPr>
              <w:keepNext/>
              <w:widowControl/>
              <w:jc w:val="center"/>
              <w:rPr>
                <w:sz w:val="20"/>
                <w:lang w:val="pt-BR"/>
              </w:rPr>
            </w:pPr>
            <w:r w:rsidRPr="0064234E">
              <w:rPr>
                <w:sz w:val="20"/>
                <w:lang w:val="pt-BR"/>
              </w:rPr>
              <w:t>1915-1920/1995-2000</w:t>
            </w:r>
          </w:p>
        </w:tc>
        <w:tc>
          <w:tcPr>
            <w:tcW w:w="0" w:type="auto"/>
            <w:shd w:val="clear" w:color="auto" w:fill="auto"/>
          </w:tcPr>
          <w:p w:rsidR="00AA7412" w:rsidRPr="0064234E" w:rsidRDefault="00AA7412" w:rsidP="007B0488">
            <w:pPr>
              <w:keepNext/>
              <w:widowControl/>
              <w:jc w:val="center"/>
              <w:rPr>
                <w:sz w:val="20"/>
                <w:lang w:val="pt-BR"/>
              </w:rPr>
            </w:pPr>
            <w:r w:rsidRPr="0064234E">
              <w:rPr>
                <w:sz w:val="20"/>
                <w:lang w:val="pt-BR"/>
              </w:rPr>
              <w:t>10 MHz</w:t>
            </w:r>
          </w:p>
        </w:tc>
        <w:tc>
          <w:tcPr>
            <w:tcW w:w="0" w:type="auto"/>
            <w:shd w:val="clear" w:color="auto" w:fill="auto"/>
          </w:tcPr>
          <w:p w:rsidR="00AA7412" w:rsidRPr="0064234E" w:rsidRDefault="00AA7412" w:rsidP="007B0488">
            <w:pPr>
              <w:keepNext/>
              <w:widowControl/>
              <w:jc w:val="center"/>
              <w:rPr>
                <w:sz w:val="20"/>
                <w:lang w:val="pt-BR"/>
              </w:rPr>
            </w:pPr>
            <w:r w:rsidRPr="0064234E">
              <w:rPr>
                <w:sz w:val="20"/>
                <w:lang w:val="pt-BR"/>
              </w:rPr>
              <w:t>2 x 5 MHz</w:t>
            </w:r>
          </w:p>
        </w:tc>
        <w:tc>
          <w:tcPr>
            <w:tcW w:w="0" w:type="auto"/>
            <w:shd w:val="clear" w:color="auto" w:fill="auto"/>
          </w:tcPr>
          <w:p w:rsidR="00AA7412" w:rsidRPr="0064234E" w:rsidRDefault="00AA7412" w:rsidP="007B0488">
            <w:pPr>
              <w:keepNext/>
              <w:widowControl/>
              <w:tabs>
                <w:tab w:val="center" w:pos="720"/>
              </w:tabs>
              <w:jc w:val="center"/>
              <w:rPr>
                <w:sz w:val="20"/>
                <w:lang w:val="pt-BR"/>
              </w:rPr>
            </w:pPr>
            <w:r w:rsidRPr="0064234E">
              <w:rPr>
                <w:sz w:val="20"/>
                <w:lang w:val="pt-BR"/>
              </w:rPr>
              <w:t>EA</w:t>
            </w:r>
          </w:p>
        </w:tc>
        <w:tc>
          <w:tcPr>
            <w:tcW w:w="0" w:type="auto"/>
            <w:shd w:val="clear" w:color="auto" w:fill="auto"/>
          </w:tcPr>
          <w:p w:rsidR="00AA7412" w:rsidRPr="0064234E" w:rsidRDefault="00AA7412" w:rsidP="007B0488">
            <w:pPr>
              <w:keepNext/>
              <w:widowControl/>
              <w:tabs>
                <w:tab w:val="decimal" w:pos="456"/>
              </w:tabs>
              <w:rPr>
                <w:sz w:val="20"/>
                <w:lang w:val="pt-BR"/>
              </w:rPr>
            </w:pPr>
            <w:r w:rsidRPr="0064234E">
              <w:rPr>
                <w:sz w:val="20"/>
                <w:lang w:val="pt-BR"/>
              </w:rPr>
              <w:t>176</w:t>
            </w:r>
          </w:p>
        </w:tc>
      </w:tr>
    </w:tbl>
    <w:p w:rsidR="00AA7412" w:rsidRPr="0064234E" w:rsidRDefault="00AA7412" w:rsidP="007B0488">
      <w:pPr>
        <w:pStyle w:val="ParaNum0"/>
        <w:widowControl/>
        <w:numPr>
          <w:ilvl w:val="0"/>
          <w:numId w:val="0"/>
        </w:numPr>
        <w:tabs>
          <w:tab w:val="num" w:pos="1440"/>
        </w:tabs>
        <w:ind w:left="720"/>
      </w:pPr>
    </w:p>
    <w:p w:rsidR="0019727C" w:rsidRPr="0064234E" w:rsidRDefault="0019727C" w:rsidP="00112881">
      <w:pPr>
        <w:spacing w:before="120" w:after="240"/>
      </w:pPr>
    </w:p>
    <w:p w:rsidR="00BD565B" w:rsidRPr="0064234E" w:rsidRDefault="00AA7412" w:rsidP="007B0488">
      <w:pPr>
        <w:pStyle w:val="ParaNum0"/>
        <w:widowControl/>
      </w:pPr>
      <w:r w:rsidRPr="0064234E">
        <w:t xml:space="preserve">A complete list of </w:t>
      </w:r>
      <w:r w:rsidR="00F21713" w:rsidRPr="0064234E">
        <w:t xml:space="preserve">the </w:t>
      </w:r>
      <w:r w:rsidRPr="0064234E">
        <w:t xml:space="preserve">licenses offered in </w:t>
      </w:r>
      <w:r w:rsidR="00F87C05" w:rsidRPr="0064234E">
        <w:t>Auction 96</w:t>
      </w:r>
      <w:r w:rsidRPr="0064234E">
        <w:t xml:space="preserve"> is available in Attachment A to this Public Notice.</w:t>
      </w:r>
      <w:r w:rsidR="003F04BC" w:rsidRPr="0064234E">
        <w:t xml:space="preserve">  </w:t>
      </w:r>
    </w:p>
    <w:p w:rsidR="00BD565B" w:rsidRPr="0064234E" w:rsidRDefault="00BD565B" w:rsidP="007B0488">
      <w:pPr>
        <w:pStyle w:val="Heading2"/>
        <w:widowControl/>
      </w:pPr>
      <w:bookmarkStart w:id="71" w:name="_Toc357801010"/>
      <w:bookmarkStart w:id="72" w:name="_Toc357801074"/>
      <w:bookmarkStart w:id="73" w:name="_Toc360525954"/>
      <w:bookmarkStart w:id="74" w:name="_Toc360797626"/>
      <w:bookmarkStart w:id="75" w:name="_Toc361136989"/>
      <w:bookmarkStart w:id="76" w:name="_Toc361153051"/>
      <w:bookmarkStart w:id="77" w:name="_Toc361667809"/>
      <w:r w:rsidRPr="0064234E">
        <w:t>Cost</w:t>
      </w:r>
      <w:r w:rsidR="002218C6" w:rsidRPr="0064234E">
        <w:t>-</w:t>
      </w:r>
      <w:r w:rsidRPr="0064234E">
        <w:t>Sharing</w:t>
      </w:r>
      <w:bookmarkEnd w:id="71"/>
      <w:bookmarkEnd w:id="72"/>
      <w:bookmarkEnd w:id="73"/>
      <w:r w:rsidRPr="0064234E">
        <w:t xml:space="preserve"> </w:t>
      </w:r>
      <w:r w:rsidR="00CC0585" w:rsidRPr="0064234E">
        <w:t>Obligations</w:t>
      </w:r>
      <w:bookmarkEnd w:id="74"/>
      <w:bookmarkEnd w:id="75"/>
      <w:bookmarkEnd w:id="76"/>
      <w:bookmarkEnd w:id="77"/>
    </w:p>
    <w:p w:rsidR="00315C68" w:rsidRPr="0064234E" w:rsidRDefault="00E62359" w:rsidP="007B0488">
      <w:pPr>
        <w:pStyle w:val="ParaNum0"/>
        <w:widowControl/>
        <w:spacing w:after="0"/>
      </w:pPr>
      <w:r w:rsidRPr="0064234E">
        <w:t xml:space="preserve">As noted in the </w:t>
      </w:r>
      <w:r w:rsidR="00F87C05" w:rsidRPr="0064234E">
        <w:rPr>
          <w:i/>
        </w:rPr>
        <w:t>H Block</w:t>
      </w:r>
      <w:r w:rsidRPr="0064234E">
        <w:rPr>
          <w:i/>
        </w:rPr>
        <w:t xml:space="preserve"> Report and Order</w:t>
      </w:r>
      <w:r w:rsidRPr="0064234E">
        <w:t xml:space="preserve">, the spectrum in the Lower </w:t>
      </w:r>
      <w:r w:rsidR="00F87C05" w:rsidRPr="0064234E">
        <w:t>H Block</w:t>
      </w:r>
      <w:r w:rsidRPr="0064234E">
        <w:t xml:space="preserve"> and the Upper </w:t>
      </w:r>
      <w:r w:rsidR="00F87C05" w:rsidRPr="0064234E">
        <w:t>H Block</w:t>
      </w:r>
      <w:r w:rsidRPr="0064234E">
        <w:t xml:space="preserve"> is subject to cost-sharing</w:t>
      </w:r>
      <w:r w:rsidR="00856280" w:rsidRPr="0064234E">
        <w:t xml:space="preserve"> requirements </w:t>
      </w:r>
      <w:r w:rsidR="004440AB" w:rsidRPr="0064234E">
        <w:t>related to the</w:t>
      </w:r>
      <w:r w:rsidR="00856280" w:rsidRPr="0064234E">
        <w:t xml:space="preserve"> past clearing and relocation of incumbent users from these bands</w:t>
      </w:r>
      <w:r w:rsidR="00CA036A" w:rsidRPr="0064234E">
        <w:t>.</w:t>
      </w:r>
      <w:r w:rsidR="00CA036A" w:rsidRPr="0064234E">
        <w:rPr>
          <w:rStyle w:val="FootnoteReference"/>
        </w:rPr>
        <w:footnoteReference w:id="7"/>
      </w:r>
      <w:r w:rsidR="00652470" w:rsidRPr="0064234E">
        <w:t xml:space="preserve">  </w:t>
      </w:r>
      <w:r w:rsidR="00DA509C" w:rsidRPr="0064234E">
        <w:t xml:space="preserve">Consistent with its long-standing policy that cost-sharing obligations for both the Lower </w:t>
      </w:r>
      <w:r w:rsidR="00F87C05" w:rsidRPr="0064234E">
        <w:t>H Block</w:t>
      </w:r>
      <w:r w:rsidR="00DA509C" w:rsidRPr="0064234E">
        <w:t xml:space="preserve"> and the Upper </w:t>
      </w:r>
      <w:r w:rsidR="00F87C05" w:rsidRPr="0064234E">
        <w:t>H Block</w:t>
      </w:r>
      <w:r w:rsidR="00DA509C" w:rsidRPr="0064234E">
        <w:t xml:space="preserve"> be apportioned on a </w:t>
      </w:r>
      <w:r w:rsidR="00DA509C" w:rsidRPr="0064234E">
        <w:rPr>
          <w:i/>
        </w:rPr>
        <w:t xml:space="preserve">pro rata </w:t>
      </w:r>
      <w:r w:rsidR="00DA509C" w:rsidRPr="0064234E">
        <w:t>basis against the relocation costs attributable to the particular band,</w:t>
      </w:r>
      <w:r w:rsidR="00DA509C" w:rsidRPr="0064234E">
        <w:rPr>
          <w:rStyle w:val="FootnoteReference"/>
          <w:szCs w:val="22"/>
        </w:rPr>
        <w:footnoteReference w:id="8"/>
      </w:r>
      <w:r w:rsidR="00DA509C" w:rsidRPr="0064234E">
        <w:t xml:space="preserve"> </w:t>
      </w:r>
      <w:r w:rsidR="00F82AD3" w:rsidRPr="0064234E">
        <w:t>the Commission adopted</w:t>
      </w:r>
      <w:r w:rsidR="00886700" w:rsidRPr="0064234E">
        <w:t xml:space="preserve"> cost</w:t>
      </w:r>
      <w:r w:rsidR="002D22B9" w:rsidRPr="0064234E">
        <w:t>-</w:t>
      </w:r>
      <w:r w:rsidR="00886700" w:rsidRPr="0064234E">
        <w:t xml:space="preserve">sharing rules </w:t>
      </w:r>
      <w:r w:rsidR="009D2B1A" w:rsidRPr="0064234E">
        <w:t xml:space="preserve">in the </w:t>
      </w:r>
    </w:p>
    <w:p w:rsidR="00893611" w:rsidRPr="0064234E" w:rsidRDefault="00F87C05" w:rsidP="007B0488">
      <w:pPr>
        <w:pStyle w:val="ParaNum0"/>
        <w:widowControl/>
        <w:numPr>
          <w:ilvl w:val="0"/>
          <w:numId w:val="0"/>
        </w:numPr>
      </w:pPr>
      <w:r w:rsidRPr="0064234E">
        <w:rPr>
          <w:i/>
        </w:rPr>
        <w:t>H Block</w:t>
      </w:r>
      <w:r w:rsidR="009D2B1A" w:rsidRPr="0064234E">
        <w:rPr>
          <w:i/>
        </w:rPr>
        <w:t xml:space="preserve"> </w:t>
      </w:r>
      <w:r w:rsidR="00D12DFF" w:rsidRPr="0064234E">
        <w:rPr>
          <w:i/>
        </w:rPr>
        <w:t xml:space="preserve">Report and </w:t>
      </w:r>
      <w:r w:rsidR="009D2B1A" w:rsidRPr="0064234E">
        <w:rPr>
          <w:i/>
        </w:rPr>
        <w:t>Order</w:t>
      </w:r>
      <w:r w:rsidR="00F82AD3" w:rsidRPr="0064234E">
        <w:rPr>
          <w:i/>
        </w:rPr>
        <w:t xml:space="preserve"> </w:t>
      </w:r>
      <w:r w:rsidR="00F82AD3" w:rsidRPr="0064234E">
        <w:t xml:space="preserve">that </w:t>
      </w:r>
      <w:r w:rsidR="00886700" w:rsidRPr="0064234E">
        <w:t xml:space="preserve">require </w:t>
      </w:r>
      <w:r w:rsidRPr="0064234E">
        <w:t>H Block</w:t>
      </w:r>
      <w:r w:rsidR="00886700" w:rsidRPr="0064234E">
        <w:t xml:space="preserve"> licensees to pay a </w:t>
      </w:r>
      <w:r w:rsidR="00886700" w:rsidRPr="0064234E">
        <w:rPr>
          <w:i/>
        </w:rPr>
        <w:t>pro rata</w:t>
      </w:r>
      <w:r w:rsidR="00886700" w:rsidRPr="0064234E">
        <w:t xml:space="preserve"> share of expenses previously incurred by UTAM, Inc.</w:t>
      </w:r>
      <w:r w:rsidR="00345A9D" w:rsidRPr="0064234E">
        <w:t xml:space="preserve"> </w:t>
      </w:r>
      <w:r w:rsidR="002D22B9" w:rsidRPr="0064234E">
        <w:t>(“UTAM”)</w:t>
      </w:r>
      <w:r w:rsidR="00886700" w:rsidRPr="0064234E">
        <w:t xml:space="preserve"> and by Sprint</w:t>
      </w:r>
      <w:r w:rsidR="002D22B9" w:rsidRPr="0064234E">
        <w:t xml:space="preserve"> Nextel, Inc. (“Sprint”)</w:t>
      </w:r>
      <w:r w:rsidR="00886700" w:rsidRPr="0064234E">
        <w:t xml:space="preserve"> in clearing incumbents from the</w:t>
      </w:r>
      <w:r w:rsidR="00315C68" w:rsidRPr="0064234E">
        <w:t xml:space="preserve"> Lower </w:t>
      </w:r>
      <w:r w:rsidRPr="0064234E">
        <w:t>H Block</w:t>
      </w:r>
      <w:r w:rsidR="00315C68" w:rsidRPr="0064234E">
        <w:t xml:space="preserve"> and the Upper </w:t>
      </w:r>
      <w:r w:rsidRPr="0064234E">
        <w:t>H Block</w:t>
      </w:r>
      <w:r w:rsidR="00315C68" w:rsidRPr="0064234E">
        <w:t>, respectively</w:t>
      </w:r>
      <w:r w:rsidR="00886700" w:rsidRPr="0064234E">
        <w:t>.</w:t>
      </w:r>
      <w:r w:rsidR="009D2B1A" w:rsidRPr="0064234E">
        <w:rPr>
          <w:rStyle w:val="FootnoteReference"/>
        </w:rPr>
        <w:footnoteReference w:id="9"/>
      </w:r>
      <w:r w:rsidR="00762430" w:rsidRPr="0064234E">
        <w:t xml:space="preserve">  </w:t>
      </w:r>
    </w:p>
    <w:p w:rsidR="00377CB7" w:rsidRPr="0064234E" w:rsidRDefault="00377CB7" w:rsidP="007B0488">
      <w:pPr>
        <w:pStyle w:val="ParaNum0"/>
        <w:widowControl/>
      </w:pPr>
      <w:r w:rsidRPr="0064234E">
        <w:t xml:space="preserve">Under the cost sharing formula adopted in the </w:t>
      </w:r>
      <w:r w:rsidR="00F87C05" w:rsidRPr="0064234E">
        <w:rPr>
          <w:i/>
        </w:rPr>
        <w:t>H Block</w:t>
      </w:r>
      <w:r w:rsidRPr="0064234E">
        <w:rPr>
          <w:i/>
        </w:rPr>
        <w:t xml:space="preserve"> </w:t>
      </w:r>
      <w:r w:rsidR="00D12DFF" w:rsidRPr="0064234E">
        <w:rPr>
          <w:i/>
        </w:rPr>
        <w:t xml:space="preserve">Report and </w:t>
      </w:r>
      <w:r w:rsidRPr="0064234E">
        <w:rPr>
          <w:i/>
        </w:rPr>
        <w:t>Order</w:t>
      </w:r>
      <w:r w:rsidRPr="0064234E">
        <w:t xml:space="preserve">, the reimbursement amount owed (“RN”) to UTAM </w:t>
      </w:r>
      <w:r w:rsidR="00893611" w:rsidRPr="0064234E">
        <w:t xml:space="preserve">with respect to the </w:t>
      </w:r>
      <w:r w:rsidRPr="0064234E">
        <w:t xml:space="preserve">1915-1920 MHz band </w:t>
      </w:r>
      <w:r w:rsidR="00893611" w:rsidRPr="0064234E">
        <w:t xml:space="preserve">will </w:t>
      </w:r>
      <w:r w:rsidRPr="0064234E">
        <w:t>be determined by dividing the gross winning bid (“GWB”)</w:t>
      </w:r>
      <w:r w:rsidRPr="0064234E">
        <w:rPr>
          <w:rStyle w:val="FootnoteReference"/>
          <w:szCs w:val="22"/>
        </w:rPr>
        <w:t xml:space="preserve"> </w:t>
      </w:r>
      <w:r w:rsidRPr="0064234E">
        <w:t xml:space="preserve">for an </w:t>
      </w:r>
      <w:r w:rsidR="00F87C05" w:rsidRPr="0064234E">
        <w:t>H Block</w:t>
      </w:r>
      <w:r w:rsidRPr="0064234E">
        <w:t xml:space="preserve"> license by the sum of the gross winning bids for all </w:t>
      </w:r>
      <w:r w:rsidR="00F87C05" w:rsidRPr="0064234E">
        <w:t>H Block</w:t>
      </w:r>
      <w:r w:rsidRPr="0064234E">
        <w:t xml:space="preserve"> licenses won in </w:t>
      </w:r>
      <w:r w:rsidR="00F87C05" w:rsidRPr="0064234E">
        <w:t>Auction 96</w:t>
      </w:r>
      <w:r w:rsidR="00274A07" w:rsidRPr="0064234E">
        <w:t xml:space="preserve"> </w:t>
      </w:r>
      <w:r w:rsidRPr="0064234E">
        <w:t>and t</w:t>
      </w:r>
      <w:r w:rsidR="00893611" w:rsidRPr="0064234E">
        <w:t xml:space="preserve">hen multiplying </w:t>
      </w:r>
      <w:r w:rsidR="00B0048E" w:rsidRPr="0064234E">
        <w:t xml:space="preserve">that result </w:t>
      </w:r>
      <w:r w:rsidR="00893611" w:rsidRPr="0064234E">
        <w:t>by $12,629,857</w:t>
      </w:r>
      <w:r w:rsidR="007E7342" w:rsidRPr="0064234E">
        <w:t>—</w:t>
      </w:r>
      <w:r w:rsidRPr="0064234E">
        <w:t xml:space="preserve">the total amount owed to UTAM for clearing the </w:t>
      </w:r>
      <w:r w:rsidR="008D4389" w:rsidRPr="0064234E">
        <w:t xml:space="preserve">Lower </w:t>
      </w:r>
      <w:r w:rsidR="00F87C05" w:rsidRPr="0064234E">
        <w:t>H Block</w:t>
      </w:r>
      <w:r w:rsidRPr="0064234E">
        <w:t>.</w:t>
      </w:r>
      <w:r w:rsidRPr="0064234E">
        <w:rPr>
          <w:rStyle w:val="FootnoteReference"/>
        </w:rPr>
        <w:footnoteReference w:id="10"/>
      </w:r>
      <w:r w:rsidRPr="0064234E">
        <w:t xml:space="preserve">  </w:t>
      </w:r>
      <w:r w:rsidR="003349A9" w:rsidRPr="0064234E">
        <w:t>T</w:t>
      </w:r>
      <w:r w:rsidRPr="0064234E">
        <w:t xml:space="preserve">he cost-sharing formula for the Lower </w:t>
      </w:r>
      <w:r w:rsidR="00F87C05" w:rsidRPr="0064234E">
        <w:t>H Block</w:t>
      </w:r>
      <w:r w:rsidR="008D4389" w:rsidRPr="0064234E">
        <w:t xml:space="preserve"> is</w:t>
      </w:r>
      <w:r w:rsidRPr="0064234E">
        <w:t xml:space="preserve"> as follows: </w:t>
      </w:r>
    </w:p>
    <w:p w:rsidR="00377CB7" w:rsidRPr="0064234E" w:rsidRDefault="00480612" w:rsidP="007B0488">
      <w:pPr>
        <w:widowControl/>
        <w:ind w:left="1440"/>
      </w:pPr>
      <w:r w:rsidRPr="0064234E">
        <w:rPr>
          <w:noProof/>
          <w:snapToGrid/>
        </w:rPr>
        <mc:AlternateContent>
          <mc:Choice Requires="wpc">
            <w:drawing>
              <wp:inline distT="0" distB="0" distL="0" distR="0" wp14:anchorId="788B13BE" wp14:editId="0A81628D">
                <wp:extent cx="3187065" cy="742950"/>
                <wp:effectExtent l="0" t="0" r="3810" b="0"/>
                <wp:docPr id="21"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Line 13"/>
                        <wps:cNvCnPr>
                          <a:cxnSpLocks noChangeShapeType="1"/>
                        </wps:cNvCnPr>
                        <wps:spPr bwMode="auto">
                          <a:xfrm>
                            <a:off x="849517" y="318521"/>
                            <a:ext cx="84951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0" y="201014"/>
                            <a:ext cx="530911" cy="317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377CB7">
                              <w:pPr>
                                <w:rPr>
                                  <w:szCs w:val="22"/>
                                </w:rPr>
                              </w:pPr>
                              <w:r>
                                <w:rPr>
                                  <w:i/>
                                  <w:szCs w:val="22"/>
                                </w:rPr>
                                <w:t>RN</w:t>
                              </w:r>
                              <w:r>
                                <w:rPr>
                                  <w:szCs w:val="22"/>
                                </w:rPr>
                                <w:t xml:space="preserve">  =</w:t>
                              </w:r>
                            </w:p>
                          </w:txbxContent>
                        </wps:txbx>
                        <wps:bodyPr rot="0" vert="horz" wrap="square" lIns="84166" tIns="42084" rIns="84166" bIns="42084" anchor="t" anchorCtr="0" upright="1">
                          <a:noAutofit/>
                        </wps:bodyPr>
                      </wps:wsp>
                      <wps:wsp>
                        <wps:cNvPr id="16" name="Text Box 15"/>
                        <wps:cNvSpPr txBox="1">
                          <a:spLocks noChangeArrowheads="1"/>
                        </wps:cNvSpPr>
                        <wps:spPr bwMode="auto">
                          <a:xfrm>
                            <a:off x="849517" y="0"/>
                            <a:ext cx="849517" cy="21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377CB7">
                              <w:pPr>
                                <w:rPr>
                                  <w:sz w:val="20"/>
                                </w:rPr>
                              </w:pPr>
                              <w:r>
                                <w:rPr>
                                  <w:sz w:val="20"/>
                                </w:rPr>
                                <w:t>EA GWB</w:t>
                              </w:r>
                            </w:p>
                          </w:txbxContent>
                        </wps:txbx>
                        <wps:bodyPr rot="0" vert="horz" wrap="square" lIns="84166" tIns="42084" rIns="84166" bIns="42084" anchor="t" anchorCtr="0" upright="1">
                          <a:noAutofit/>
                        </wps:bodyPr>
                      </wps:wsp>
                      <wps:wsp>
                        <wps:cNvPr id="17" name="Text Box 16"/>
                        <wps:cNvSpPr txBox="1">
                          <a:spLocks noChangeArrowheads="1"/>
                        </wps:cNvSpPr>
                        <wps:spPr bwMode="auto">
                          <a:xfrm>
                            <a:off x="743315" y="424429"/>
                            <a:ext cx="1061922" cy="318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377CB7">
                              <w:pPr>
                                <w:rPr>
                                  <w:sz w:val="20"/>
                                </w:rPr>
                              </w:pPr>
                              <w:r>
                                <w:rPr>
                                  <w:sz w:val="20"/>
                                </w:rPr>
                                <w:t>Sum of GWBs</w:t>
                              </w:r>
                            </w:p>
                          </w:txbxContent>
                        </wps:txbx>
                        <wps:bodyPr rot="0" vert="horz" wrap="square" lIns="84166" tIns="42084" rIns="84166" bIns="42084" anchor="t" anchorCtr="0" upright="1">
                          <a:noAutofit/>
                        </wps:bodyPr>
                      </wps:wsp>
                      <wps:wsp>
                        <wps:cNvPr id="18" name="Text Box 17"/>
                        <wps:cNvSpPr txBox="1">
                          <a:spLocks noChangeArrowheads="1"/>
                        </wps:cNvSpPr>
                        <wps:spPr bwMode="auto">
                          <a:xfrm>
                            <a:off x="424709" y="0"/>
                            <a:ext cx="3186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377CB7">
                              <w:pPr>
                                <w:rPr>
                                  <w:sz w:val="66"/>
                                  <w:szCs w:val="72"/>
                                </w:rPr>
                              </w:pPr>
                              <w:r>
                                <w:rPr>
                                  <w:rFonts w:ascii="Garamond" w:hAnsi="Garamond"/>
                                  <w:sz w:val="66"/>
                                  <w:szCs w:val="72"/>
                                </w:rPr>
                                <w:t>(</w:t>
                              </w:r>
                            </w:p>
                          </w:txbxContent>
                        </wps:txbx>
                        <wps:bodyPr rot="0" vert="horz" wrap="square" lIns="84166" tIns="42084" rIns="84166" bIns="42084" anchor="t" anchorCtr="0" upright="1">
                          <a:noAutofit/>
                        </wps:bodyPr>
                      </wps:wsp>
                      <wps:wsp>
                        <wps:cNvPr id="19" name="Text Box 18"/>
                        <wps:cNvSpPr txBox="1">
                          <a:spLocks noChangeArrowheads="1"/>
                        </wps:cNvSpPr>
                        <wps:spPr bwMode="auto">
                          <a:xfrm>
                            <a:off x="1699035" y="0"/>
                            <a:ext cx="3185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377CB7">
                              <w:pPr>
                                <w:rPr>
                                  <w:sz w:val="20"/>
                                </w:rPr>
                              </w:pPr>
                              <w:r>
                                <w:rPr>
                                  <w:rFonts w:ascii="Garamond" w:hAnsi="Garamond"/>
                                  <w:sz w:val="66"/>
                                  <w:szCs w:val="72"/>
                                </w:rPr>
                                <w:t>)</w:t>
                              </w:r>
                            </w:p>
                          </w:txbxContent>
                        </wps:txbx>
                        <wps:bodyPr rot="0" vert="horz" wrap="square" lIns="84166" tIns="42084" rIns="84166" bIns="42084" anchor="t" anchorCtr="0" upright="1">
                          <a:noAutofit/>
                        </wps:bodyPr>
                      </wps:wsp>
                      <wps:wsp>
                        <wps:cNvPr id="20" name="Text Box 19"/>
                        <wps:cNvSpPr txBox="1">
                          <a:spLocks noChangeArrowheads="1"/>
                        </wps:cNvSpPr>
                        <wps:spPr bwMode="auto">
                          <a:xfrm>
                            <a:off x="1912839" y="202914"/>
                            <a:ext cx="1274226" cy="31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377CB7">
                              <w:pPr>
                                <w:rPr>
                                  <w:szCs w:val="22"/>
                                </w:rPr>
                              </w:pPr>
                              <w:r>
                                <w:rPr>
                                  <w:i/>
                                  <w:szCs w:val="22"/>
                                </w:rPr>
                                <w:t>x</w:t>
                              </w:r>
                              <w:r>
                                <w:rPr>
                                  <w:szCs w:val="22"/>
                                </w:rPr>
                                <w:t xml:space="preserve"> $12,629,857</w:t>
                              </w:r>
                            </w:p>
                          </w:txbxContent>
                        </wps:txbx>
                        <wps:bodyPr rot="0" vert="horz" wrap="square" lIns="84166" tIns="42084" rIns="84166" bIns="42084" anchor="t" anchorCtr="0" upright="1">
                          <a:noAutofit/>
                        </wps:bodyPr>
                      </wps:wsp>
                    </wpc:wpc>
                  </a:graphicData>
                </a:graphic>
              </wp:inline>
            </w:drawing>
          </mc:Choice>
          <mc:Fallback>
            <w:pict>
              <v:group id="Canvas 17" o:spid="_x0000_s1026"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870;height:7429;visibility:visible;mso-wrap-style:square">
                  <v:fill o:detectmouseclick="t"/>
                  <v:path o:connecttype="none"/>
                </v:shape>
                <v:line id="Line 13" o:spid="_x0000_s1028"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4" o:spid="_x0000_s1029" type="#_x0000_t202" style="position:absolute;top:2010;width:5309;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6QMAA&#10;AADbAAAADwAAAGRycy9kb3ducmV2LnhtbERPzYrCMBC+C75DGGFvmupiabvGUvcHvOxB3QcYmrEt&#10;NpPSxLb79htB2Nt8fL+zyyfTioF611hWsF5FIIhLqxuuFPxcvpYJCOeRNbaWScEvOcj389kOM21H&#10;PtFw9pUIIewyVFB732VSurImg25lO+LAXW1v0AfYV1L3OIZw08pNFMXSYMOhocaO3msqb+e7UVC8&#10;YkIfn3GTHui+idM0+Y5lotTLYireQHia/L/46T7qMH8Lj1/C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j6QMAAAADbAAAADwAAAAAAAAAAAAAAAACYAgAAZHJzL2Rvd25y&#10;ZXYueG1sUEsFBgAAAAAEAAQA9QAAAIUDAAAAAA==&#10;" stroked="f">
                  <v:textbox inset="2.33794mm,1.169mm,2.33794mm,1.169mm">
                    <w:txbxContent>
                      <w:p w:rsidR="00C37E5B" w:rsidRDefault="00C37E5B" w:rsidP="00377CB7">
                        <w:pPr>
                          <w:rPr>
                            <w:szCs w:val="22"/>
                          </w:rPr>
                        </w:pPr>
                        <w:r>
                          <w:rPr>
                            <w:i/>
                            <w:szCs w:val="22"/>
                          </w:rPr>
                          <w:t>RN</w:t>
                        </w:r>
                        <w:r>
                          <w:rPr>
                            <w:szCs w:val="22"/>
                          </w:rPr>
                          <w:t xml:space="preserve">  =</w:t>
                        </w:r>
                      </w:p>
                    </w:txbxContent>
                  </v:textbox>
                </v:shape>
                <v:shape id="Text Box 15" o:spid="_x0000_s1030"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kN8AA&#10;AADbAAAADwAAAGRycy9kb3ducmV2LnhtbERPS2rDMBDdB3oHMYXsErkuCNuNEtwfdNNFnR5gsCa2&#10;iTUyluw4t68Kgezm8b6zOyy2FzONvnOs4WmbgCCunem40fB7/NxkIHxANtg7Jg1X8nDYP6x2WBh3&#10;4R+aq9CIGMK+QA1tCEMhpa9bsui3biCO3MmNFkOEYyPNiJcYbnuZJomSFjuODS0O9NZSfa4mq6F8&#10;xozeP1SXv9KUqjzPvpXMtF4/LuULiEBLuItv7i8T5yv4/yUe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pkN8AAAADbAAAADwAAAAAAAAAAAAAAAACYAgAAZHJzL2Rvd25y&#10;ZXYueG1sUEsFBgAAAAAEAAQA9QAAAIUDAAAAAA==&#10;" stroked="f">
                  <v:textbox inset="2.33794mm,1.169mm,2.33794mm,1.169mm">
                    <w:txbxContent>
                      <w:p w:rsidR="00C37E5B" w:rsidRDefault="00C37E5B" w:rsidP="00377CB7">
                        <w:pPr>
                          <w:rPr>
                            <w:sz w:val="20"/>
                          </w:rPr>
                        </w:pPr>
                        <w:r>
                          <w:rPr>
                            <w:sz w:val="20"/>
                          </w:rPr>
                          <w:t>EA GWB</w:t>
                        </w:r>
                      </w:p>
                    </w:txbxContent>
                  </v:textbox>
                </v:shape>
                <v:shape id="Text Box 16" o:spid="_x0000_s1031"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BrMAA&#10;AADbAAAADwAAAGRycy9kb3ducmV2LnhtbERPzYrCMBC+L/gOYYS9bVO7UNuuUXR/wIsH6z7A0Ixt&#10;sZmUJtXu228Ewdt8fL+z2kymE1caXGtZwSKKQRBXVrdcK/g9/bxlIJxH1thZJgV/5GCznr2ssND2&#10;xke6lr4WIYRdgQoa7/tCSlc1ZNBFticO3NkOBn2AQy31gLcQbjqZxHEqDbYcGhrs6bOh6lKORsH2&#10;HTP6+k7bfEdjkuZ5dkhlptTrfNp+gPA0+af44d7rMH8J91/C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bBrMAAAADbAAAADwAAAAAAAAAAAAAAAACYAgAAZHJzL2Rvd25y&#10;ZXYueG1sUEsFBgAAAAAEAAQA9QAAAIUDAAAAAA==&#10;" stroked="f">
                  <v:textbox inset="2.33794mm,1.169mm,2.33794mm,1.169mm">
                    <w:txbxContent>
                      <w:p w:rsidR="00C37E5B" w:rsidRDefault="00C37E5B" w:rsidP="00377CB7">
                        <w:pPr>
                          <w:rPr>
                            <w:sz w:val="20"/>
                          </w:rPr>
                        </w:pPr>
                        <w:r>
                          <w:rPr>
                            <w:sz w:val="20"/>
                          </w:rPr>
                          <w:t>Sum of GWBs</w:t>
                        </w:r>
                      </w:p>
                    </w:txbxContent>
                  </v:textbox>
                </v:shape>
                <v:shape id="Text Box 17" o:spid="_x0000_s1032"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V3sIA&#10;AADbAAAADwAAAGRycy9kb3ducmV2LnhtbESPzY7CMAyE70j7DpFX2huksFLVFgJif5C4cODnAazG&#10;tBWNUzUBytvjAxI3WzOe+bxYDa5VN+pD49nAdJKAIi69bbgycDpuxhmoEJEttp7JwIMCrJYfowUW&#10;1t95T7dDrJSEcCjQQB1jV2gdypochonviEU7+95hlLWvtO3xLuGu1bMkSbXDhqWhxo5+ayovh6sz&#10;sP7GjP7+0yb/oesszfNsl+rMmK/PYT0HFWmIb/PremsFX2DlFx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VXewgAAANsAAAAPAAAAAAAAAAAAAAAAAJgCAABkcnMvZG93&#10;bnJldi54bWxQSwUGAAAAAAQABAD1AAAAhwMAAAAA&#10;" stroked="f">
                  <v:textbox inset="2.33794mm,1.169mm,2.33794mm,1.169mm">
                    <w:txbxContent>
                      <w:p w:rsidR="00C37E5B" w:rsidRDefault="00C37E5B" w:rsidP="00377CB7">
                        <w:pPr>
                          <w:rPr>
                            <w:sz w:val="66"/>
                            <w:szCs w:val="72"/>
                          </w:rPr>
                        </w:pPr>
                        <w:r>
                          <w:rPr>
                            <w:rFonts w:ascii="Garamond" w:hAnsi="Garamond"/>
                            <w:sz w:val="66"/>
                            <w:szCs w:val="72"/>
                          </w:rPr>
                          <w:t>(</w:t>
                        </w:r>
                      </w:p>
                    </w:txbxContent>
                  </v:textbox>
                </v:shape>
                <v:shape id="Text Box 18" o:spid="_x0000_s1033"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wRcAA&#10;AADbAAAADwAAAGRycy9kb3ducmV2LnhtbERPS2rDMBDdB3oHMYXuErkpGMuJbNJPoJsu6uQAgzWx&#10;TayRsWTHvX1UKHQ3j/edfbnYXsw0+s6xhudNAoK4dqbjRsP5dFxnIHxANtg7Jg0/5KEsHlZ7zI27&#10;8TfNVWhEDGGfo4Y2hCGX0tctWfQbNxBH7uJGiyHCsZFmxFsMt73cJkkqLXYcG1oc6K2l+lpNVsPh&#10;BTN6/0g79UrTNlUq+0plpvXT43LYgQi0hH/xn/vTxPkKfn+JB8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XwRcAAAADbAAAADwAAAAAAAAAAAAAAAACYAgAAZHJzL2Rvd25y&#10;ZXYueG1sUEsFBgAAAAAEAAQA9QAAAIUDAAAAAA==&#10;" stroked="f">
                  <v:textbox inset="2.33794mm,1.169mm,2.33794mm,1.169mm">
                    <w:txbxContent>
                      <w:p w:rsidR="00C37E5B" w:rsidRDefault="00C37E5B" w:rsidP="00377CB7">
                        <w:pPr>
                          <w:rPr>
                            <w:sz w:val="20"/>
                          </w:rPr>
                        </w:pPr>
                        <w:r>
                          <w:rPr>
                            <w:rFonts w:ascii="Garamond" w:hAnsi="Garamond"/>
                            <w:sz w:val="66"/>
                            <w:szCs w:val="72"/>
                          </w:rPr>
                          <w:t>)</w:t>
                        </w:r>
                      </w:p>
                    </w:txbxContent>
                  </v:textbox>
                </v:shape>
                <v:shape id="Text Box 19" o:spid="_x0000_s1034" type="#_x0000_t202" style="position:absolute;left:19128;top:2029;width:12742;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OTZb8A&#10;AADbAAAADwAAAGRycy9kb3ducmV2LnhtbERPy46CMBTdT+I/NNfE3VjEhABaiM9kNrMYZj7ghl6B&#10;SG8JrYp/bxcmszw57205mV7caXSdZQWrZQSCuLa640bB3+/5MwXhPLLG3jIpeJKDsph9bDHX9sE/&#10;dK98I0IIuxwVtN4PuZSubsmgW9qBOHAXOxr0AY6N1CM+QrjpZRxFiTTYcWhocaBDS/W1uhkFuzWm&#10;dDwlXbanW5xkWfqdyFSpxXzabUB4mvy/+O3+0grisD58CT9AF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NlvwAAANsAAAAPAAAAAAAAAAAAAAAAAJgCAABkcnMvZG93bnJl&#10;di54bWxQSwUGAAAAAAQABAD1AAAAhAMAAAAA&#10;" stroked="f">
                  <v:textbox inset="2.33794mm,1.169mm,2.33794mm,1.169mm">
                    <w:txbxContent>
                      <w:p w:rsidR="00C37E5B" w:rsidRDefault="00C37E5B" w:rsidP="00377CB7">
                        <w:pPr>
                          <w:rPr>
                            <w:szCs w:val="22"/>
                          </w:rPr>
                        </w:pPr>
                        <w:r>
                          <w:rPr>
                            <w:i/>
                            <w:szCs w:val="22"/>
                          </w:rPr>
                          <w:t>x</w:t>
                        </w:r>
                        <w:r>
                          <w:rPr>
                            <w:szCs w:val="22"/>
                          </w:rPr>
                          <w:t xml:space="preserve"> $12,629,857</w:t>
                        </w:r>
                      </w:p>
                    </w:txbxContent>
                  </v:textbox>
                </v:shape>
                <w10:anchorlock/>
              </v:group>
            </w:pict>
          </mc:Fallback>
        </mc:AlternateContent>
      </w:r>
    </w:p>
    <w:p w:rsidR="00893611" w:rsidRPr="0064234E" w:rsidRDefault="00893611" w:rsidP="007B0488">
      <w:pPr>
        <w:pStyle w:val="ParaNum0"/>
        <w:widowControl/>
      </w:pPr>
      <w:r w:rsidRPr="0064234E">
        <w:t xml:space="preserve">The </w:t>
      </w:r>
      <w:r w:rsidR="00F87C05" w:rsidRPr="0064234E">
        <w:rPr>
          <w:i/>
        </w:rPr>
        <w:t>H Block</w:t>
      </w:r>
      <w:r w:rsidRPr="0064234E">
        <w:rPr>
          <w:i/>
        </w:rPr>
        <w:t xml:space="preserve"> </w:t>
      </w:r>
      <w:r w:rsidR="005A44D5" w:rsidRPr="0064234E">
        <w:rPr>
          <w:i/>
        </w:rPr>
        <w:t xml:space="preserve">Report and </w:t>
      </w:r>
      <w:r w:rsidRPr="0064234E">
        <w:rPr>
          <w:i/>
        </w:rPr>
        <w:t>Order</w:t>
      </w:r>
      <w:r w:rsidRPr="0064234E">
        <w:t xml:space="preserve"> adopted the same cost-sharing formula for the </w:t>
      </w:r>
      <w:r w:rsidR="006C0D99" w:rsidRPr="0064234E">
        <w:t xml:space="preserve">Upper </w:t>
      </w:r>
      <w:r w:rsidR="00F87C05" w:rsidRPr="0064234E">
        <w:t>H Block</w:t>
      </w:r>
      <w:r w:rsidR="006C0D99" w:rsidRPr="0064234E">
        <w:t xml:space="preserve"> (</w:t>
      </w:r>
      <w:r w:rsidRPr="0064234E">
        <w:t>1995-2000 MHz band</w:t>
      </w:r>
      <w:r w:rsidR="006C0D99" w:rsidRPr="0064234E">
        <w:t>)</w:t>
      </w:r>
      <w:r w:rsidRPr="0064234E">
        <w:t xml:space="preserve"> related to Sprint’s clearing costs of $94,875,516:</w:t>
      </w:r>
      <w:r w:rsidR="003349A9" w:rsidRPr="0064234E">
        <w:rPr>
          <w:rStyle w:val="FootnoteReference"/>
        </w:rPr>
        <w:footnoteReference w:id="11"/>
      </w:r>
    </w:p>
    <w:p w:rsidR="00377CB7" w:rsidRPr="0064234E" w:rsidRDefault="00480612" w:rsidP="007B0488">
      <w:pPr>
        <w:pStyle w:val="ParaNum0"/>
        <w:widowControl/>
        <w:numPr>
          <w:ilvl w:val="0"/>
          <w:numId w:val="0"/>
        </w:numPr>
        <w:ind w:left="720" w:firstLine="720"/>
      </w:pPr>
      <w:r w:rsidRPr="0064234E">
        <w:rPr>
          <w:noProof/>
          <w:snapToGrid/>
        </w:rPr>
        <mc:AlternateContent>
          <mc:Choice Requires="wpc">
            <w:drawing>
              <wp:inline distT="0" distB="0" distL="0" distR="0" wp14:anchorId="20AE7EBC" wp14:editId="6140BF06">
                <wp:extent cx="3187065" cy="742950"/>
                <wp:effectExtent l="0" t="0" r="3810" b="0"/>
                <wp:docPr id="13"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a:off x="849517" y="318521"/>
                            <a:ext cx="84951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0" y="210614"/>
                            <a:ext cx="530911" cy="252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893611">
                              <w:pPr>
                                <w:rPr>
                                  <w:szCs w:val="22"/>
                                </w:rPr>
                              </w:pPr>
                              <w:r>
                                <w:rPr>
                                  <w:i/>
                                  <w:szCs w:val="22"/>
                                </w:rPr>
                                <w:t>RN</w:t>
                              </w:r>
                              <w:r>
                                <w:rPr>
                                  <w:szCs w:val="22"/>
                                </w:rPr>
                                <w:t xml:space="preserve">  =</w:t>
                              </w:r>
                            </w:p>
                          </w:txbxContent>
                        </wps:txbx>
                        <wps:bodyPr rot="0" vert="horz" wrap="square" lIns="84166" tIns="42084" rIns="84166" bIns="42084" anchor="t" anchorCtr="0" upright="1">
                          <a:noAutofit/>
                        </wps:bodyPr>
                      </wps:wsp>
                      <wps:wsp>
                        <wps:cNvPr id="8" name="Text Box 6"/>
                        <wps:cNvSpPr txBox="1">
                          <a:spLocks noChangeArrowheads="1"/>
                        </wps:cNvSpPr>
                        <wps:spPr bwMode="auto">
                          <a:xfrm>
                            <a:off x="849517" y="0"/>
                            <a:ext cx="849517" cy="21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893611">
                              <w:pPr>
                                <w:rPr>
                                  <w:sz w:val="20"/>
                                </w:rPr>
                              </w:pPr>
                              <w:r>
                                <w:rPr>
                                  <w:sz w:val="20"/>
                                </w:rPr>
                                <w:t>EA GWB</w:t>
                              </w:r>
                            </w:p>
                          </w:txbxContent>
                        </wps:txbx>
                        <wps:bodyPr rot="0" vert="horz" wrap="square" lIns="84166" tIns="42084" rIns="84166" bIns="42084" anchor="t" anchorCtr="0" upright="1">
                          <a:noAutofit/>
                        </wps:bodyPr>
                      </wps:wsp>
                      <wps:wsp>
                        <wps:cNvPr id="9" name="Text Box 7"/>
                        <wps:cNvSpPr txBox="1">
                          <a:spLocks noChangeArrowheads="1"/>
                        </wps:cNvSpPr>
                        <wps:spPr bwMode="auto">
                          <a:xfrm>
                            <a:off x="743315" y="424429"/>
                            <a:ext cx="1061922" cy="318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893611">
                              <w:pPr>
                                <w:rPr>
                                  <w:sz w:val="20"/>
                                </w:rPr>
                              </w:pPr>
                              <w:r>
                                <w:rPr>
                                  <w:sz w:val="20"/>
                                </w:rPr>
                                <w:t>Sum of GWBs</w:t>
                              </w:r>
                            </w:p>
                          </w:txbxContent>
                        </wps:txbx>
                        <wps:bodyPr rot="0" vert="horz" wrap="square" lIns="84166" tIns="42084" rIns="84166" bIns="42084" anchor="t" anchorCtr="0" upright="1">
                          <a:noAutofit/>
                        </wps:bodyPr>
                      </wps:wsp>
                      <wps:wsp>
                        <wps:cNvPr id="10" name="Text Box 8"/>
                        <wps:cNvSpPr txBox="1">
                          <a:spLocks noChangeArrowheads="1"/>
                        </wps:cNvSpPr>
                        <wps:spPr bwMode="auto">
                          <a:xfrm>
                            <a:off x="424709" y="0"/>
                            <a:ext cx="3186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893611">
                              <w:pPr>
                                <w:rPr>
                                  <w:sz w:val="66"/>
                                  <w:szCs w:val="72"/>
                                </w:rPr>
                              </w:pPr>
                              <w:r>
                                <w:rPr>
                                  <w:rFonts w:ascii="Garamond" w:hAnsi="Garamond"/>
                                  <w:sz w:val="66"/>
                                  <w:szCs w:val="72"/>
                                </w:rPr>
                                <w:t>(</w:t>
                              </w:r>
                            </w:p>
                          </w:txbxContent>
                        </wps:txbx>
                        <wps:bodyPr rot="0" vert="horz" wrap="square" lIns="84166" tIns="42084" rIns="84166" bIns="42084" anchor="t" anchorCtr="0" upright="1">
                          <a:noAutofit/>
                        </wps:bodyPr>
                      </wps:wsp>
                      <wps:wsp>
                        <wps:cNvPr id="11" name="Text Box 9"/>
                        <wps:cNvSpPr txBox="1">
                          <a:spLocks noChangeArrowheads="1"/>
                        </wps:cNvSpPr>
                        <wps:spPr bwMode="auto">
                          <a:xfrm>
                            <a:off x="1699035" y="0"/>
                            <a:ext cx="3185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893611">
                              <w:pPr>
                                <w:rPr>
                                  <w:sz w:val="20"/>
                                </w:rPr>
                              </w:pPr>
                              <w:r>
                                <w:rPr>
                                  <w:rFonts w:ascii="Garamond" w:hAnsi="Garamond"/>
                                  <w:sz w:val="66"/>
                                  <w:szCs w:val="72"/>
                                </w:rPr>
                                <w:t>)</w:t>
                              </w:r>
                            </w:p>
                          </w:txbxContent>
                        </wps:txbx>
                        <wps:bodyPr rot="0" vert="horz" wrap="square" lIns="84166" tIns="42084" rIns="84166" bIns="42084" anchor="t" anchorCtr="0" upright="1">
                          <a:noAutofit/>
                        </wps:bodyPr>
                      </wps:wsp>
                      <wps:wsp>
                        <wps:cNvPr id="12" name="Text Box 10"/>
                        <wps:cNvSpPr txBox="1">
                          <a:spLocks noChangeArrowheads="1"/>
                        </wps:cNvSpPr>
                        <wps:spPr bwMode="auto">
                          <a:xfrm>
                            <a:off x="1912839" y="202914"/>
                            <a:ext cx="1269326" cy="243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893611">
                              <w:pPr>
                                <w:rPr>
                                  <w:sz w:val="20"/>
                                </w:rPr>
                              </w:pPr>
                              <w:r>
                                <w:rPr>
                                  <w:i/>
                                  <w:sz w:val="20"/>
                                </w:rPr>
                                <w:t>x</w:t>
                              </w:r>
                              <w:r>
                                <w:rPr>
                                  <w:sz w:val="20"/>
                                </w:rPr>
                                <w:t xml:space="preserve"> </w:t>
                              </w:r>
                              <w:r>
                                <w:t>$94,875,516</w:t>
                              </w:r>
                            </w:p>
                          </w:txbxContent>
                        </wps:txbx>
                        <wps:bodyPr rot="0" vert="horz" wrap="square" lIns="84166" tIns="42084" rIns="84166" bIns="42084" anchor="t" anchorCtr="0" upright="1">
                          <a:noAutofit/>
                        </wps:bodyPr>
                      </wps:wsp>
                    </wpc:wpc>
                  </a:graphicData>
                </a:graphic>
              </wp:inline>
            </w:drawing>
          </mc:Choice>
          <mc:Fallback>
            <w:pict>
              <v:group id="Canvas 9" o:spid="_x0000_s1035"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">
                <v:shape id="_x0000_s1036" type="#_x0000_t75" style="position:absolute;width:31870;height:7429;visibility:visible;mso-wrap-style:square">
                  <v:fill o:detectmouseclick="t"/>
                  <v:path o:connecttype="none"/>
                </v:shape>
                <v:line id="Line 4" o:spid="_x0000_s1037"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5" o:spid="_x0000_s1038" type="#_x0000_t202" style="position:absolute;top:2106;width:5309;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FiMEA&#10;AADaAAAADwAAAGRycy9kb3ducmV2LnhtbESPzYrCQBCE74LvMLTgTScqZJOYifgLe9nDuj5Ak2mT&#10;YKYnZEaNb+8sLOyxqKqvqHwzmFY8qHeNZQWLeQSCuLS64UrB5ec0S0A4j6yxtUwKXuRgU4xHOWba&#10;PvmbHmdfiQBhl6GC2vsuk9KVNRl0c9sRB+9qe4M+yL6SusdngJtWLqMolgYbDgs1drSvqbyd70bB&#10;doUJHY5xk+7ovozTNPmKZaLUdDJs1yA8Df4//Nf+1Ao+4PdKuAGy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8RYjBAAAA2gAAAA8AAAAAAAAAAAAAAAAAmAIAAGRycy9kb3du&#10;cmV2LnhtbFBLBQYAAAAABAAEAPUAAACGAwAAAAA=&#10;" stroked="f">
                  <v:textbox inset="2.33794mm,1.169mm,2.33794mm,1.169mm">
                    <w:txbxContent>
                      <w:p w:rsidR="00C37E5B" w:rsidRDefault="00C37E5B" w:rsidP="00893611">
                        <w:pPr>
                          <w:rPr>
                            <w:szCs w:val="22"/>
                          </w:rPr>
                        </w:pPr>
                        <w:r>
                          <w:rPr>
                            <w:i/>
                            <w:szCs w:val="22"/>
                          </w:rPr>
                          <w:t>RN</w:t>
                        </w:r>
                        <w:r>
                          <w:rPr>
                            <w:szCs w:val="22"/>
                          </w:rPr>
                          <w:t xml:space="preserve">  =</w:t>
                        </w:r>
                      </w:p>
                    </w:txbxContent>
                  </v:textbox>
                </v:shape>
                <v:shape id="Text Box 6" o:spid="_x0000_s1039"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R+rsA&#10;AADaAAAADwAAAGRycy9kb3ducmV2LnhtbERPSwrCMBDdC94hjOBOUxVKW43iF9y48HOAoRnbYjMp&#10;TdR6e7MQXD7ef7HqTC1e1LrKsoLJOAJBnFtdcaHgdj2MEhDOI2usLZOCDzlYLfu9BWbavvlMr4sv&#10;RAhhl6GC0vsmk9LlJRl0Y9sQB+5uW4M+wLaQusV3CDe1nEZRLA1WHBpKbGhbUv64PI2C9QwT2u3j&#10;Kt3QcxqnaXKKZaLUcNCt5yA8df4v/rm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8j0fq7AAAA2gAAAA8AAAAAAAAAAAAAAAAAmAIAAGRycy9kb3ducmV2Lnht&#10;bFBLBQYAAAAABAAEAPUAAACAAwAAAAA=&#10;" stroked="f">
                  <v:textbox inset="2.33794mm,1.169mm,2.33794mm,1.169mm">
                    <w:txbxContent>
                      <w:p w:rsidR="00C37E5B" w:rsidRDefault="00C37E5B" w:rsidP="00893611">
                        <w:pPr>
                          <w:rPr>
                            <w:sz w:val="20"/>
                          </w:rPr>
                        </w:pPr>
                        <w:r>
                          <w:rPr>
                            <w:sz w:val="20"/>
                          </w:rPr>
                          <w:t>EA GWB</w:t>
                        </w:r>
                      </w:p>
                    </w:txbxContent>
                  </v:textbox>
                </v:shape>
                <v:shape id="Text Box 7" o:spid="_x0000_s1040"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0Yb8A&#10;AADaAAAADwAAAGRycy9kb3ducmV2LnhtbESPzarCMBSE9xd8h3AEd9dUhdJWo/gLblz48wCH5tgW&#10;m5PSRK1vbwTB5TAz3zCzRWdq8aDWVZYVjIYRCOLc6ooLBZfz7j8B4TyyxtoyKXiRg8W89zfDTNsn&#10;H+lx8oUIEHYZKii9bzIpXV6SQTe0DXHwrrY16INsC6lbfAa4qeU4imJpsOKwUGJD65Ly2+luFCwn&#10;mNBmG1fpiu7jOE2TQywTpQb9bjkF4anzv/C3vdcKUvhcCT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b3RhvwAAANoAAAAPAAAAAAAAAAAAAAAAAJgCAABkcnMvZG93bnJl&#10;di54bWxQSwUGAAAAAAQABAD1AAAAhAMAAAAA&#10;" stroked="f">
                  <v:textbox inset="2.33794mm,1.169mm,2.33794mm,1.169mm">
                    <w:txbxContent>
                      <w:p w:rsidR="00C37E5B" w:rsidRDefault="00C37E5B" w:rsidP="00893611">
                        <w:pPr>
                          <w:rPr>
                            <w:sz w:val="20"/>
                          </w:rPr>
                        </w:pPr>
                        <w:r>
                          <w:rPr>
                            <w:sz w:val="20"/>
                          </w:rPr>
                          <w:t>Sum of GWBs</w:t>
                        </w:r>
                      </w:p>
                    </w:txbxContent>
                  </v:textbox>
                </v:shape>
                <v:shape id="Text Box 8" o:spid="_x0000_s1041"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Z2MIA&#10;AADbAAAADwAAAGRycy9kb3ducmV2LnhtbESPzY7CMAyE70j7DpFX2huksFLVFgJif5C4cODnAazG&#10;tBWNUzUBytvjAxI3WzOe+bxYDa5VN+pD49nAdJKAIi69bbgycDpuxhmoEJEttp7JwIMCrJYfowUW&#10;1t95T7dDrJSEcCjQQB1jV2gdypochonviEU7+95hlLWvtO3xLuGu1bMkSbXDhqWhxo5+ayovh6sz&#10;sP7GjP7+0yb/oesszfNsl+rMmK/PYT0HFWmIb/PremsFX+jlFx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1nYwgAAANsAAAAPAAAAAAAAAAAAAAAAAJgCAABkcnMvZG93&#10;bnJldi54bWxQSwUGAAAAAAQABAD1AAAAhwMAAAAA&#10;" stroked="f">
                  <v:textbox inset="2.33794mm,1.169mm,2.33794mm,1.169mm">
                    <w:txbxContent>
                      <w:p w:rsidR="00C37E5B" w:rsidRDefault="00C37E5B" w:rsidP="00893611">
                        <w:pPr>
                          <w:rPr>
                            <w:sz w:val="66"/>
                            <w:szCs w:val="72"/>
                          </w:rPr>
                        </w:pPr>
                        <w:r>
                          <w:rPr>
                            <w:rFonts w:ascii="Garamond" w:hAnsi="Garamond"/>
                            <w:sz w:val="66"/>
                            <w:szCs w:val="72"/>
                          </w:rPr>
                          <w:t>(</w:t>
                        </w:r>
                      </w:p>
                    </w:txbxContent>
                  </v:textbox>
                </v:shape>
                <v:shape id="Text Box 9" o:spid="_x0000_s1042"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8Q78A&#10;AADbAAAADwAAAGRycy9kb3ducmV2LnhtbERPzYrCMBC+L/gOYQRva6pCaatp8Rf2sodVH2BoxrbY&#10;TEoTtb69WRC8zcf3O6tiMK24U+8aywpm0wgEcWl1w5WC8+nwnYBwHllja5kUPMlBkY++Vphp++A/&#10;uh99JUIIuwwV1N53mZSurMmgm9qOOHAX2xv0AfaV1D0+Qrhp5TyKYmmw4dBQY0fbmsrr8WYUrBeY&#10;0G4fN+mGbvM4TZPfWCZKTcbDegnC0+A/4rf7R4f5M/j/JRw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c/xDvwAAANsAAAAPAAAAAAAAAAAAAAAAAJgCAABkcnMvZG93bnJl&#10;di54bWxQSwUGAAAAAAQABAD1AAAAhAMAAAAA&#10;" stroked="f">
                  <v:textbox inset="2.33794mm,1.169mm,2.33794mm,1.169mm">
                    <w:txbxContent>
                      <w:p w:rsidR="00C37E5B" w:rsidRDefault="00C37E5B" w:rsidP="00893611">
                        <w:pPr>
                          <w:rPr>
                            <w:sz w:val="20"/>
                          </w:rPr>
                        </w:pPr>
                        <w:r>
                          <w:rPr>
                            <w:rFonts w:ascii="Garamond" w:hAnsi="Garamond"/>
                            <w:sz w:val="66"/>
                            <w:szCs w:val="72"/>
                          </w:rPr>
                          <w:t>)</w:t>
                        </w:r>
                      </w:p>
                    </w:txbxContent>
                  </v:textbox>
                </v:shape>
                <v:shape id="Text Box 10" o:spid="_x0000_s1043" type="#_x0000_t202" style="position:absolute;left:19128;top:2029;width:12693;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iNL8A&#10;AADbAAAADwAAAGRycy9kb3ducmV2LnhtbERPzYrCMBC+L/gOYQRva2qF0lZjqX+wlz2s+gBDM7bF&#10;ZlKaqPXtzcLC3ubj+511MZpOPGhwrWUFi3kEgriyuuVaweV8/ExBOI+ssbNMCl7koNhMPtaYa/vk&#10;H3qcfC1CCLscFTTe97mUrmrIoJvbnjhwVzsY9AEOtdQDPkO46WQcRYk02HJoaLCnXUPV7XQ3Csol&#10;prQ/JG22pXucZFn6nchUqdl0LFcgPI3+X/zn/tJhfgy/v4Q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oWI0vwAAANsAAAAPAAAAAAAAAAAAAAAAAJgCAABkcnMvZG93bnJl&#10;di54bWxQSwUGAAAAAAQABAD1AAAAhAMAAAAA&#10;" stroked="f">
                  <v:textbox inset="2.33794mm,1.169mm,2.33794mm,1.169mm">
                    <w:txbxContent>
                      <w:p w:rsidR="00C37E5B" w:rsidRDefault="00C37E5B" w:rsidP="00893611">
                        <w:pPr>
                          <w:rPr>
                            <w:sz w:val="20"/>
                          </w:rPr>
                        </w:pPr>
                        <w:r>
                          <w:rPr>
                            <w:i/>
                            <w:sz w:val="20"/>
                          </w:rPr>
                          <w:t>x</w:t>
                        </w:r>
                        <w:r>
                          <w:rPr>
                            <w:sz w:val="20"/>
                          </w:rPr>
                          <w:t xml:space="preserve"> </w:t>
                        </w:r>
                        <w:r>
                          <w:t>$94,875,516</w:t>
                        </w:r>
                      </w:p>
                    </w:txbxContent>
                  </v:textbox>
                </v:shape>
                <w10:anchorlock/>
              </v:group>
            </w:pict>
          </mc:Fallback>
        </mc:AlternateContent>
      </w:r>
    </w:p>
    <w:p w:rsidR="00BF551A" w:rsidRPr="0064234E" w:rsidRDefault="00BF551A" w:rsidP="007B0488">
      <w:pPr>
        <w:pStyle w:val="ParaNum0"/>
        <w:widowControl/>
        <w:snapToGrid w:val="0"/>
      </w:pPr>
      <w:r w:rsidRPr="0064234E">
        <w:t>Winning bidders are required to pay UTAM and Sprint, as applicable, the reimbursement amounts owed within thirty days after the grant of the winning bidders’ long-form license applications.</w:t>
      </w:r>
      <w:r w:rsidRPr="0064234E">
        <w:rPr>
          <w:rStyle w:val="FootnoteReference"/>
          <w:szCs w:val="22"/>
        </w:rPr>
        <w:footnoteReference w:id="12"/>
      </w:r>
    </w:p>
    <w:p w:rsidR="004E4ACB" w:rsidRPr="0064234E" w:rsidRDefault="004E4ACB" w:rsidP="007B0488">
      <w:pPr>
        <w:pStyle w:val="ParaNum0"/>
        <w:widowControl/>
        <w:snapToGrid w:val="0"/>
      </w:pPr>
      <w:r w:rsidRPr="0064234E">
        <w:rPr>
          <w:szCs w:val="22"/>
        </w:rPr>
        <w:t>T</w:t>
      </w:r>
      <w:r w:rsidR="00714A8B" w:rsidRPr="0064234E">
        <w:t xml:space="preserve">he Commission </w:t>
      </w:r>
      <w:r w:rsidRPr="0064234E">
        <w:t xml:space="preserve">also </w:t>
      </w:r>
      <w:r w:rsidR="00714A8B" w:rsidRPr="0064234E">
        <w:t>adopted a contingency</w:t>
      </w:r>
      <w:r w:rsidR="00B0048E" w:rsidRPr="0064234E">
        <w:t xml:space="preserve"> plan</w:t>
      </w:r>
      <w:r w:rsidR="00714A8B" w:rsidRPr="0064234E">
        <w:t xml:space="preserve"> in the </w:t>
      </w:r>
      <w:r w:rsidR="00F87C05" w:rsidRPr="0064234E">
        <w:rPr>
          <w:i/>
        </w:rPr>
        <w:t>H Block</w:t>
      </w:r>
      <w:r w:rsidR="00714A8B" w:rsidRPr="0064234E">
        <w:rPr>
          <w:i/>
        </w:rPr>
        <w:t xml:space="preserve"> </w:t>
      </w:r>
      <w:r w:rsidR="00D12DFF" w:rsidRPr="0064234E">
        <w:rPr>
          <w:i/>
        </w:rPr>
        <w:t xml:space="preserve">Report and </w:t>
      </w:r>
      <w:r w:rsidR="00714A8B" w:rsidRPr="0064234E">
        <w:rPr>
          <w:i/>
        </w:rPr>
        <w:t>Order</w:t>
      </w:r>
      <w:r w:rsidR="00714A8B" w:rsidRPr="0064234E">
        <w:t xml:space="preserve"> that will be triggered in the unlikely event that licenses </w:t>
      </w:r>
      <w:r w:rsidR="00B930B4" w:rsidRPr="0064234E">
        <w:t xml:space="preserve">won in </w:t>
      </w:r>
      <w:r w:rsidR="00B0048E" w:rsidRPr="0064234E">
        <w:t xml:space="preserve">this </w:t>
      </w:r>
      <w:r w:rsidR="00B930B4" w:rsidRPr="0064234E">
        <w:t xml:space="preserve">auction </w:t>
      </w:r>
      <w:r w:rsidR="00714A8B" w:rsidRPr="0064234E">
        <w:t xml:space="preserve">cover less than forty percent of the </w:t>
      </w:r>
      <w:r w:rsidR="00B0048E" w:rsidRPr="0064234E">
        <w:t xml:space="preserve">U.S. </w:t>
      </w:r>
      <w:r w:rsidR="00714A8B" w:rsidRPr="0064234E">
        <w:t>population.</w:t>
      </w:r>
      <w:r w:rsidR="00714A8B" w:rsidRPr="0064234E">
        <w:rPr>
          <w:rStyle w:val="FootnoteReference"/>
        </w:rPr>
        <w:footnoteReference w:id="13"/>
      </w:r>
      <w:r w:rsidR="00714A8B" w:rsidRPr="0064234E">
        <w:t xml:space="preserve">  </w:t>
      </w:r>
      <w:r w:rsidR="00B3060B" w:rsidRPr="0064234E">
        <w:t xml:space="preserve">If </w:t>
      </w:r>
      <w:r w:rsidR="00714A8B" w:rsidRPr="0064234E">
        <w:t>such an event</w:t>
      </w:r>
      <w:r w:rsidR="00B3060B" w:rsidRPr="0064234E">
        <w:t xml:space="preserve"> occurs</w:t>
      </w:r>
      <w:r w:rsidR="00714A8B" w:rsidRPr="0064234E">
        <w:t xml:space="preserve">, winning bidders—in </w:t>
      </w:r>
      <w:r w:rsidR="00B0048E" w:rsidRPr="0064234E">
        <w:t>this</w:t>
      </w:r>
      <w:r w:rsidR="00714A8B" w:rsidRPr="0064234E">
        <w:t xml:space="preserve"> auction</w:t>
      </w:r>
      <w:r w:rsidR="00B0048E" w:rsidRPr="0064234E">
        <w:t xml:space="preserve"> and</w:t>
      </w:r>
      <w:r w:rsidR="00714A8B" w:rsidRPr="0064234E">
        <w:t xml:space="preserve"> in subsequent </w:t>
      </w:r>
      <w:r w:rsidR="00F87C05" w:rsidRPr="0064234E">
        <w:t>H Block</w:t>
      </w:r>
      <w:r w:rsidR="00B0048E" w:rsidRPr="0064234E">
        <w:t xml:space="preserve"> </w:t>
      </w:r>
      <w:r w:rsidR="00714A8B" w:rsidRPr="0064234E">
        <w:t>auctions—</w:t>
      </w:r>
      <w:r w:rsidR="00B3060B" w:rsidRPr="0064234E">
        <w:t xml:space="preserve">will </w:t>
      </w:r>
      <w:r w:rsidR="00714A8B" w:rsidRPr="0064234E">
        <w:t xml:space="preserve">be required to timely pay UTAM and Sprint, respectively, their </w:t>
      </w:r>
      <w:r w:rsidR="00714A8B" w:rsidRPr="0064234E">
        <w:rPr>
          <w:i/>
        </w:rPr>
        <w:t>pro rata</w:t>
      </w:r>
      <w:r w:rsidR="00714A8B" w:rsidRPr="0064234E">
        <w:t xml:space="preserve"> share calculated by dividing the population of the individual EA by the total </w:t>
      </w:r>
      <w:r w:rsidR="005A017C" w:rsidRPr="0064234E">
        <w:t>U</w:t>
      </w:r>
      <w:r w:rsidR="00B0048E" w:rsidRPr="0064234E">
        <w:t>.</w:t>
      </w:r>
      <w:r w:rsidR="005A017C" w:rsidRPr="0064234E">
        <w:t>S</w:t>
      </w:r>
      <w:r w:rsidR="00B0048E" w:rsidRPr="0064234E">
        <w:t>.</w:t>
      </w:r>
      <w:r w:rsidR="00714A8B" w:rsidRPr="0064234E">
        <w:t xml:space="preserve"> population and then multiplying this quotient by $12,629,857 for UTAM and by $94,875,516 for Sprint</w:t>
      </w:r>
      <w:r w:rsidR="00954E80" w:rsidRPr="0064234E">
        <w:t>.</w:t>
      </w:r>
      <w:r w:rsidR="00AB79B6" w:rsidRPr="0064234E">
        <w:rPr>
          <w:rStyle w:val="FootnoteReference"/>
        </w:rPr>
        <w:footnoteReference w:id="14"/>
      </w:r>
      <w:r w:rsidR="003F04BC" w:rsidRPr="0064234E">
        <w:t xml:space="preserve">  </w:t>
      </w:r>
    </w:p>
    <w:p w:rsidR="003976F5" w:rsidRPr="0064234E" w:rsidRDefault="002218C6" w:rsidP="003E793F">
      <w:pPr>
        <w:pStyle w:val="ParaNum0"/>
        <w:widowControl/>
        <w:snapToGrid w:val="0"/>
      </w:pPr>
      <w:r w:rsidRPr="0064234E">
        <w:t xml:space="preserve">The cost-sharing rules and contingency </w:t>
      </w:r>
      <w:r w:rsidR="00D35981" w:rsidRPr="0064234E">
        <w:t>plan</w:t>
      </w:r>
      <w:r w:rsidR="00F87C05" w:rsidRPr="0064234E">
        <w:t xml:space="preserve"> </w:t>
      </w:r>
      <w:r w:rsidRPr="0064234E">
        <w:t xml:space="preserve">adopted in the </w:t>
      </w:r>
      <w:r w:rsidR="00F87C05" w:rsidRPr="0064234E">
        <w:rPr>
          <w:i/>
        </w:rPr>
        <w:t>H Block</w:t>
      </w:r>
      <w:r w:rsidRPr="0064234E">
        <w:rPr>
          <w:i/>
        </w:rPr>
        <w:t xml:space="preserve"> </w:t>
      </w:r>
      <w:r w:rsidR="00D12DFF" w:rsidRPr="0064234E">
        <w:rPr>
          <w:i/>
        </w:rPr>
        <w:t xml:space="preserve">Report and </w:t>
      </w:r>
      <w:r w:rsidRPr="0064234E">
        <w:rPr>
          <w:i/>
        </w:rPr>
        <w:t>Order</w:t>
      </w:r>
      <w:r w:rsidRPr="0064234E">
        <w:t xml:space="preserve"> are designed to ensure that UTAM and Sprint receive full reimbursement after </w:t>
      </w:r>
      <w:r w:rsidR="00D35981" w:rsidRPr="0064234E">
        <w:t>this</w:t>
      </w:r>
      <w:r w:rsidRPr="0064234E">
        <w:t xml:space="preserve"> auction by effectively apportioning the reimbursement costs associated with any unsold </w:t>
      </w:r>
      <w:r w:rsidR="00F87C05" w:rsidRPr="0064234E">
        <w:t>H Block</w:t>
      </w:r>
      <w:r w:rsidRPr="0064234E">
        <w:t xml:space="preserve"> licenses among the winning bidders, except in cases where </w:t>
      </w:r>
      <w:r w:rsidR="005B0EF6" w:rsidRPr="0064234E">
        <w:t xml:space="preserve">the above-described contingency </w:t>
      </w:r>
      <w:r w:rsidR="00D35981" w:rsidRPr="0064234E">
        <w:t xml:space="preserve">plan </w:t>
      </w:r>
      <w:r w:rsidR="005B0EF6" w:rsidRPr="0064234E">
        <w:t xml:space="preserve">is triggered or </w:t>
      </w:r>
      <w:r w:rsidRPr="0064234E">
        <w:t>a successful bidder’s long-form application is not filed or granted.</w:t>
      </w:r>
      <w:r w:rsidR="005B0EF6" w:rsidRPr="0064234E">
        <w:t xml:space="preserve">  </w:t>
      </w:r>
      <w:r w:rsidR="00D35981" w:rsidRPr="0064234E">
        <w:t>If</w:t>
      </w:r>
      <w:r w:rsidR="005B0EF6" w:rsidRPr="0064234E">
        <w:t xml:space="preserve"> a</w:t>
      </w:r>
      <w:r w:rsidR="00D35981" w:rsidRPr="0064234E">
        <w:t>ny of the licenses won in this auction are</w:t>
      </w:r>
      <w:r w:rsidR="005B0EF6" w:rsidRPr="0064234E">
        <w:t xml:space="preserve"> not awarded, the license at issue will be deemed to have triggered a reimbursement obligation that will be paid by the licensee acquiring the license </w:t>
      </w:r>
      <w:r w:rsidR="00D35981" w:rsidRPr="0064234E">
        <w:t xml:space="preserve">in a subsequent </w:t>
      </w:r>
      <w:r w:rsidR="005B0EF6" w:rsidRPr="0064234E">
        <w:t>auction.</w:t>
      </w:r>
      <w:bookmarkStart w:id="78" w:name="_Toc252353627"/>
      <w:bookmarkStart w:id="79" w:name="_Toc252456316"/>
      <w:bookmarkStart w:id="80" w:name="_Toc252881314"/>
      <w:bookmarkStart w:id="81" w:name="_Toc266452575"/>
      <w:bookmarkStart w:id="82" w:name="_Toc267580104"/>
      <w:bookmarkStart w:id="83" w:name="_Toc268005349"/>
      <w:bookmarkStart w:id="84" w:name="_Toc268513853"/>
      <w:bookmarkStart w:id="85" w:name="_Toc271880868"/>
      <w:bookmarkStart w:id="86" w:name="_Toc272760368"/>
      <w:bookmarkStart w:id="87" w:name="_Toc303331681"/>
      <w:bookmarkStart w:id="88" w:name="_Toc334798932"/>
      <w:bookmarkStart w:id="89" w:name="_Toc346007139"/>
      <w:bookmarkStart w:id="90" w:name="_Toc357766149"/>
      <w:bookmarkStart w:id="91" w:name="_Toc357766221"/>
      <w:bookmarkStart w:id="92" w:name="_Toc357801011"/>
      <w:bookmarkStart w:id="93" w:name="_Toc357801075"/>
    </w:p>
    <w:p w:rsidR="00577ED5" w:rsidRPr="0064234E" w:rsidRDefault="00F9523A" w:rsidP="009C292E">
      <w:pPr>
        <w:pStyle w:val="Heading1"/>
        <w:widowControl/>
      </w:pPr>
      <w:bookmarkStart w:id="94" w:name="_Toc360525955"/>
      <w:bookmarkStart w:id="95" w:name="_Toc360797627"/>
      <w:bookmarkStart w:id="96" w:name="_Toc361136990"/>
      <w:bookmarkStart w:id="97" w:name="_Toc361153052"/>
      <w:bookmarkStart w:id="98" w:name="_Toc361667810"/>
      <w:r>
        <w:t>DUE</w:t>
      </w:r>
      <w:r w:rsidRPr="0064234E">
        <w:t xml:space="preserve"> </w:t>
      </w:r>
      <w:r w:rsidR="00577ED5" w:rsidRPr="0064234E">
        <w:t>DILIGENCE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577ED5" w:rsidRPr="0064234E">
        <w:t xml:space="preserve"> </w:t>
      </w:r>
    </w:p>
    <w:p w:rsidR="00577ED5" w:rsidRPr="0064234E" w:rsidRDefault="00577ED5" w:rsidP="007B0488">
      <w:pPr>
        <w:pStyle w:val="ParaNum0"/>
        <w:widowControl/>
      </w:pPr>
      <w:r w:rsidRPr="0064234E">
        <w:t xml:space="preserve">Each potential bidder is solely responsible for investigating and evaluating all technical and marketplace factors that may have a bearing on the value of the </w:t>
      </w:r>
      <w:r w:rsidR="000F4A91" w:rsidRPr="0064234E">
        <w:t>licenses</w:t>
      </w:r>
      <w:r w:rsidRPr="0064234E">
        <w:t xml:space="preserve"> that it is seeking in this auction.  Each bidder is responsible for assuring that, if it wins a </w:t>
      </w:r>
      <w:r w:rsidR="000F4A91" w:rsidRPr="0064234E">
        <w:t>license</w:t>
      </w:r>
      <w:r w:rsidRPr="0064234E">
        <w:t xml:space="preserve">, it will be able to build and operate facilities in accordance with the Commission’s rules.  </w:t>
      </w:r>
      <w:r w:rsidRPr="0064234E">
        <w:rPr>
          <w:b/>
        </w:rPr>
        <w:t xml:space="preserve">The </w:t>
      </w:r>
      <w:r w:rsidR="00B05F79" w:rsidRPr="0064234E">
        <w:rPr>
          <w:b/>
        </w:rPr>
        <w:t>Commission</w:t>
      </w:r>
      <w:r w:rsidRPr="0064234E">
        <w:rPr>
          <w:b/>
        </w:rPr>
        <w:t xml:space="preserve"> makes no representations or warranties about the use of this spectrum for particular services.  Each applicant should be aware that </w:t>
      </w:r>
      <w:r w:rsidR="00B05F79" w:rsidRPr="0064234E">
        <w:rPr>
          <w:b/>
        </w:rPr>
        <w:t>a Commission</w:t>
      </w:r>
      <w:r w:rsidRPr="0064234E">
        <w:rPr>
          <w:b/>
        </w:rPr>
        <w:t xml:space="preserve"> auction represents an opportunity to become a </w:t>
      </w:r>
      <w:r w:rsidR="00B05F79" w:rsidRPr="0064234E">
        <w:rPr>
          <w:b/>
        </w:rPr>
        <w:t>Commission</w:t>
      </w:r>
      <w:r w:rsidRPr="0064234E">
        <w:rPr>
          <w:b/>
        </w:rPr>
        <w:t xml:space="preserve"> </w:t>
      </w:r>
      <w:r w:rsidR="000F4A91" w:rsidRPr="0064234E">
        <w:rPr>
          <w:b/>
        </w:rPr>
        <w:t>licens</w:t>
      </w:r>
      <w:r w:rsidRPr="0064234E">
        <w:rPr>
          <w:b/>
        </w:rPr>
        <w:t xml:space="preserve">ee, subject to certain conditions and regulations.  A </w:t>
      </w:r>
      <w:r w:rsidR="00B05F79" w:rsidRPr="0064234E">
        <w:rPr>
          <w:b/>
        </w:rPr>
        <w:t>Commission</w:t>
      </w:r>
      <w:r w:rsidRPr="0064234E">
        <w:rPr>
          <w:b/>
        </w:rPr>
        <w:t xml:space="preserve"> auction does not constitute an endorsement by the </w:t>
      </w:r>
      <w:r w:rsidR="007327C4" w:rsidRPr="0064234E">
        <w:rPr>
          <w:b/>
        </w:rPr>
        <w:t xml:space="preserve">Commission </w:t>
      </w:r>
      <w:r w:rsidRPr="0064234E">
        <w:rPr>
          <w:b/>
        </w:rPr>
        <w:t xml:space="preserve">of any particular service, technology, or product, nor does a </w:t>
      </w:r>
      <w:r w:rsidR="00B05F79" w:rsidRPr="0064234E">
        <w:rPr>
          <w:b/>
        </w:rPr>
        <w:t>Commission</w:t>
      </w:r>
      <w:r w:rsidRPr="0064234E">
        <w:rPr>
          <w:b/>
        </w:rPr>
        <w:t xml:space="preserve"> license constitute a guarantee of business success.</w:t>
      </w:r>
      <w:r w:rsidRPr="0064234E">
        <w:t xml:space="preserve"> </w:t>
      </w:r>
    </w:p>
    <w:p w:rsidR="00577ED5" w:rsidRPr="0064234E" w:rsidRDefault="00577ED5" w:rsidP="007B0488">
      <w:pPr>
        <w:pStyle w:val="ParaNum0"/>
        <w:widowControl/>
      </w:pPr>
      <w:r w:rsidRPr="0064234E">
        <w:t xml:space="preserve">An applicant should perform its due diligence research and analysis before proceeding, as it would with any new business venture.  </w:t>
      </w:r>
      <w:r w:rsidR="0092660E" w:rsidRPr="0064234E">
        <w:t>E</w:t>
      </w:r>
      <w:r w:rsidRPr="0064234E">
        <w:rPr>
          <w:szCs w:val="22"/>
        </w:rPr>
        <w:t xml:space="preserve">ach potential bidder should perform technical analyses and/or refresh any previous analyses to assure itself that, should it become a winning bidder for any </w:t>
      </w:r>
      <w:r w:rsidR="00F87C05" w:rsidRPr="0064234E">
        <w:rPr>
          <w:szCs w:val="22"/>
        </w:rPr>
        <w:t>Auction 96</w:t>
      </w:r>
      <w:r w:rsidRPr="0064234E">
        <w:rPr>
          <w:szCs w:val="22"/>
        </w:rPr>
        <w:t xml:space="preserve"> </w:t>
      </w:r>
      <w:r w:rsidR="0092660E" w:rsidRPr="0064234E">
        <w:rPr>
          <w:szCs w:val="22"/>
        </w:rPr>
        <w:t>license</w:t>
      </w:r>
      <w:r w:rsidRPr="0064234E">
        <w:rPr>
          <w:szCs w:val="22"/>
        </w:rPr>
        <w:t xml:space="preserve">, it will be able to build and operate facilities that will fully comply with all applicable technical and </w:t>
      </w:r>
      <w:r w:rsidR="000A2972" w:rsidRPr="0064234E">
        <w:rPr>
          <w:szCs w:val="22"/>
        </w:rPr>
        <w:t>regulatory</w:t>
      </w:r>
      <w:r w:rsidRPr="0064234E">
        <w:rPr>
          <w:szCs w:val="22"/>
        </w:rPr>
        <w:t xml:space="preserve"> requirements.  </w:t>
      </w:r>
      <w:r w:rsidRPr="0064234E">
        <w:t xml:space="preserve">We strongly encourage </w:t>
      </w:r>
      <w:r w:rsidRPr="0064234E">
        <w:rPr>
          <w:szCs w:val="22"/>
        </w:rPr>
        <w:t xml:space="preserve">each applicant to inspect any prospective transmitter sites located in, or near, the </w:t>
      </w:r>
      <w:r w:rsidR="0092660E" w:rsidRPr="0064234E">
        <w:rPr>
          <w:szCs w:val="22"/>
        </w:rPr>
        <w:t xml:space="preserve">geographic </w:t>
      </w:r>
      <w:r w:rsidRPr="0064234E">
        <w:rPr>
          <w:szCs w:val="22"/>
        </w:rPr>
        <w:t>area for which it plans to bid; confirm the availability of such sites; and familiarize itself with the Commission’s rules regarding the National Environmental Policy Act.</w:t>
      </w:r>
      <w:r w:rsidRPr="0064234E">
        <w:rPr>
          <w:rStyle w:val="FootnoteReference"/>
          <w:szCs w:val="22"/>
        </w:rPr>
        <w:footnoteReference w:id="15"/>
      </w:r>
    </w:p>
    <w:p w:rsidR="00577ED5" w:rsidRPr="0064234E" w:rsidRDefault="00577ED5" w:rsidP="007B0488">
      <w:pPr>
        <w:pStyle w:val="ParaNum0"/>
        <w:widowControl/>
      </w:pPr>
      <w:r w:rsidRPr="0064234E">
        <w:t xml:space="preserve">We strongly encourage each applicant to conduct its own research prior to </w:t>
      </w:r>
      <w:r w:rsidR="00F87C05" w:rsidRPr="0064234E">
        <w:t>Auction 96</w:t>
      </w:r>
      <w:r w:rsidRPr="0064234E">
        <w:t xml:space="preserve"> in order to determine the existence of pending administrative</w:t>
      </w:r>
      <w:r w:rsidR="0092660E" w:rsidRPr="0064234E">
        <w:t>, rulemaking,</w:t>
      </w:r>
      <w:r w:rsidRPr="0064234E">
        <w:t xml:space="preserve"> or judicial proceedings that might affect its decisions regarding participation in the auction.  </w:t>
      </w:r>
    </w:p>
    <w:p w:rsidR="003976F5" w:rsidRPr="0064234E" w:rsidRDefault="00577ED5" w:rsidP="003E793F">
      <w:pPr>
        <w:pStyle w:val="ParaNum0"/>
        <w:widowControl/>
      </w:pPr>
      <w:r w:rsidRPr="0064234E">
        <w:t xml:space="preserve">We strongly encourage participants in </w:t>
      </w:r>
      <w:r w:rsidR="00F87C05" w:rsidRPr="0064234E">
        <w:t>Auction 96</w:t>
      </w:r>
      <w:r w:rsidRPr="0064234E">
        <w:t xml:space="preserve"> to continue such research throughout the auction.  The due diligence considerations mentioned in this Public Notice do not </w:t>
      </w:r>
      <w:r w:rsidR="00A5459E" w:rsidRPr="0064234E">
        <w:t>constitute</w:t>
      </w:r>
      <w:r w:rsidRPr="0064234E">
        <w:t xml:space="preserve"> an exhaustive list of steps that should be undertaken prior to participating in this auction.  As always, the burden is on the potential bidder to determine how much research to undertake, depending upon the specific facts and circumstances related to its interests. </w:t>
      </w:r>
      <w:bookmarkStart w:id="99" w:name="_Toc203461489"/>
      <w:bookmarkStart w:id="100" w:name="_Toc214427385"/>
      <w:bookmarkStart w:id="101" w:name="_Toc252353630"/>
      <w:bookmarkStart w:id="102" w:name="_Toc252456319"/>
      <w:bookmarkStart w:id="103" w:name="_Toc252881317"/>
      <w:bookmarkStart w:id="104" w:name="_Toc266452576"/>
      <w:bookmarkStart w:id="105" w:name="_Toc267580105"/>
      <w:bookmarkStart w:id="106" w:name="_Toc268005350"/>
      <w:bookmarkStart w:id="107" w:name="_Toc268513854"/>
      <w:bookmarkStart w:id="108" w:name="_Toc271880869"/>
      <w:bookmarkStart w:id="109" w:name="_Toc272760369"/>
      <w:bookmarkStart w:id="110" w:name="_Toc303331682"/>
      <w:bookmarkStart w:id="111" w:name="_Toc334798933"/>
      <w:bookmarkStart w:id="112" w:name="_Toc346007140"/>
      <w:bookmarkStart w:id="113" w:name="_Toc357766150"/>
      <w:bookmarkStart w:id="114" w:name="_Toc357766222"/>
      <w:bookmarkStart w:id="115" w:name="_Toc357801012"/>
      <w:bookmarkStart w:id="116" w:name="_Toc357801076"/>
      <w:bookmarkEnd w:id="56"/>
      <w:bookmarkEnd w:id="57"/>
      <w:bookmarkEnd w:id="58"/>
      <w:bookmarkEnd w:id="59"/>
      <w:bookmarkEnd w:id="60"/>
      <w:bookmarkEnd w:id="61"/>
    </w:p>
    <w:p w:rsidR="00577ED5" w:rsidRPr="0064234E" w:rsidRDefault="00F9523A" w:rsidP="009C292E">
      <w:pPr>
        <w:pStyle w:val="Heading1"/>
        <w:widowControl/>
      </w:pPr>
      <w:bookmarkStart w:id="117" w:name="_Toc360525956"/>
      <w:bookmarkStart w:id="118" w:name="_Toc360797628"/>
      <w:bookmarkStart w:id="119" w:name="_Toc361136991"/>
      <w:bookmarkStart w:id="120" w:name="_Toc361153053"/>
      <w:bookmarkStart w:id="121" w:name="_Toc361667811"/>
      <w:r>
        <w:t xml:space="preserve">BUREAU SEEKS COMMENT ON AUCTION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PROCEDURES</w:t>
      </w:r>
      <w:bookmarkEnd w:id="121"/>
    </w:p>
    <w:p w:rsidR="00577ED5" w:rsidRPr="0064234E" w:rsidRDefault="00577ED5" w:rsidP="007B0488">
      <w:pPr>
        <w:pStyle w:val="ParaNum0"/>
        <w:widowControl/>
      </w:pPr>
      <w:r w:rsidRPr="0064234E">
        <w:t xml:space="preserve">Consistent with the provisions of section 309(j)(3)(E)(i) of the Communications Act of 1934, as amended, and to ensure that potential bidders have adequate time to familiarize themselves with the specific rules that will govern the day-to-day conduct of a </w:t>
      </w:r>
      <w:r w:rsidR="003E4868" w:rsidRPr="0064234E">
        <w:t xml:space="preserve">given </w:t>
      </w:r>
      <w:r w:rsidRPr="0064234E">
        <w:t xml:space="preserve">auction, the Commission directed the Bureau, under </w:t>
      </w:r>
      <w:r w:rsidR="00BD7FEF" w:rsidRPr="0064234E">
        <w:t xml:space="preserve">its existing </w:t>
      </w:r>
      <w:r w:rsidRPr="0064234E">
        <w:t>delegated authority, to seek comment on a variety of auction-specific procedures prior to the start of each auction.</w:t>
      </w:r>
      <w:r w:rsidRPr="0064234E">
        <w:rPr>
          <w:rStyle w:val="FootnoteReference"/>
        </w:rPr>
        <w:footnoteReference w:id="16"/>
      </w:r>
      <w:r w:rsidRPr="0064234E">
        <w:t xml:space="preserve">  We therefore seek comment on the following issues relating to the conduct of </w:t>
      </w:r>
      <w:r w:rsidR="00F87C05" w:rsidRPr="0064234E">
        <w:t>Auction 96</w:t>
      </w:r>
      <w:r w:rsidRPr="0064234E">
        <w:t>.</w:t>
      </w:r>
    </w:p>
    <w:p w:rsidR="00577ED5" w:rsidRPr="0064234E" w:rsidRDefault="00505067" w:rsidP="007B0488">
      <w:pPr>
        <w:pStyle w:val="Heading2"/>
        <w:widowControl/>
      </w:pPr>
      <w:bookmarkStart w:id="122" w:name="_Toc357766151"/>
      <w:bookmarkStart w:id="123" w:name="_Toc357766223"/>
      <w:bookmarkStart w:id="124" w:name="_Toc357801013"/>
      <w:bookmarkStart w:id="125" w:name="_Toc357801077"/>
      <w:bookmarkStart w:id="126" w:name="_Toc360525957"/>
      <w:bookmarkStart w:id="127" w:name="_Toc360797629"/>
      <w:bookmarkStart w:id="128" w:name="_Toc361136992"/>
      <w:bookmarkStart w:id="129" w:name="_Toc361153054"/>
      <w:bookmarkStart w:id="130" w:name="_Toc361667812"/>
      <w:r w:rsidRPr="0064234E">
        <w:t>Auction Design</w:t>
      </w:r>
      <w:bookmarkEnd w:id="122"/>
      <w:bookmarkEnd w:id="123"/>
      <w:bookmarkEnd w:id="124"/>
      <w:bookmarkEnd w:id="125"/>
      <w:bookmarkEnd w:id="126"/>
      <w:bookmarkEnd w:id="127"/>
      <w:bookmarkEnd w:id="128"/>
      <w:bookmarkEnd w:id="129"/>
      <w:bookmarkEnd w:id="130"/>
    </w:p>
    <w:p w:rsidR="00577ED5" w:rsidRPr="0064234E" w:rsidRDefault="00577ED5" w:rsidP="007B0488">
      <w:pPr>
        <w:pStyle w:val="Heading3"/>
        <w:widowControl/>
      </w:pPr>
      <w:bookmarkStart w:id="131" w:name="_Toc150843252"/>
      <w:bookmarkStart w:id="132" w:name="_Toc150843319"/>
      <w:bookmarkStart w:id="133" w:name="_Toc150843516"/>
      <w:bookmarkStart w:id="134" w:name="_Toc150843629"/>
      <w:bookmarkStart w:id="135" w:name="_Toc150843704"/>
      <w:bookmarkStart w:id="136" w:name="_Toc150857299"/>
      <w:bookmarkStart w:id="137" w:name="_Toc151201042"/>
      <w:bookmarkStart w:id="138" w:name="_Toc153165392"/>
      <w:bookmarkStart w:id="139" w:name="_Toc153190403"/>
      <w:bookmarkStart w:id="140" w:name="_Toc190859712"/>
      <w:bookmarkStart w:id="141" w:name="_Toc190867589"/>
      <w:bookmarkStart w:id="142" w:name="_Toc191282382"/>
      <w:bookmarkStart w:id="143" w:name="_Toc191296789"/>
      <w:bookmarkStart w:id="144" w:name="_Toc203461491"/>
      <w:bookmarkStart w:id="145" w:name="_Toc214427387"/>
      <w:bookmarkStart w:id="146" w:name="_Toc252353632"/>
      <w:bookmarkStart w:id="147" w:name="_Toc252456321"/>
      <w:bookmarkStart w:id="148" w:name="_Toc252881319"/>
      <w:bookmarkStart w:id="149" w:name="_Toc266452578"/>
      <w:bookmarkStart w:id="150" w:name="_Toc267580107"/>
      <w:bookmarkStart w:id="151" w:name="_Toc268005352"/>
      <w:bookmarkStart w:id="152" w:name="_Toc268513856"/>
      <w:bookmarkStart w:id="153" w:name="_Toc271880871"/>
      <w:bookmarkStart w:id="154" w:name="_Toc272760371"/>
      <w:bookmarkStart w:id="155" w:name="_Toc303331684"/>
      <w:bookmarkStart w:id="156" w:name="_Toc334798935"/>
      <w:bookmarkStart w:id="157" w:name="_Toc346007142"/>
      <w:bookmarkStart w:id="158" w:name="_Toc357766152"/>
      <w:bookmarkStart w:id="159" w:name="_Toc357766224"/>
      <w:bookmarkStart w:id="160" w:name="_Toc357801014"/>
      <w:bookmarkStart w:id="161" w:name="_Toc357801078"/>
      <w:bookmarkStart w:id="162" w:name="_Toc360525958"/>
      <w:bookmarkStart w:id="163" w:name="_Toc360797630"/>
      <w:bookmarkStart w:id="164" w:name="_Toc361136993"/>
      <w:bookmarkStart w:id="165" w:name="_Toc361153055"/>
      <w:bookmarkStart w:id="166" w:name="_Toc361667813"/>
      <w:r w:rsidRPr="0064234E">
        <w:t>Simultaneous Multiple-Round Auction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E15083" w:rsidRPr="0064234E">
        <w:t xml:space="preserve"> </w:t>
      </w:r>
      <w:r w:rsidR="007E7342" w:rsidRPr="0064234E">
        <w:t>—</w:t>
      </w:r>
      <w:r w:rsidR="00E15083" w:rsidRPr="0064234E">
        <w:t xml:space="preserve"> W</w:t>
      </w:r>
      <w:r w:rsidR="00505067" w:rsidRPr="0064234E">
        <w:t xml:space="preserve">ith or </w:t>
      </w:r>
      <w:r w:rsidR="007F612C" w:rsidRPr="0064234E">
        <w:t>W</w:t>
      </w:r>
      <w:r w:rsidR="00505067" w:rsidRPr="0064234E">
        <w:t>ithout Package Bidding</w:t>
      </w:r>
      <w:bookmarkEnd w:id="158"/>
      <w:bookmarkEnd w:id="159"/>
      <w:bookmarkEnd w:id="160"/>
      <w:bookmarkEnd w:id="161"/>
      <w:bookmarkEnd w:id="162"/>
      <w:bookmarkEnd w:id="163"/>
      <w:bookmarkEnd w:id="164"/>
      <w:bookmarkEnd w:id="165"/>
      <w:bookmarkEnd w:id="166"/>
    </w:p>
    <w:p w:rsidR="007F4316" w:rsidRPr="0064234E" w:rsidRDefault="007F4316" w:rsidP="007B0488">
      <w:pPr>
        <w:pStyle w:val="ParaNum0"/>
        <w:widowControl/>
      </w:pPr>
      <w:r w:rsidRPr="0064234E">
        <w:t xml:space="preserve">The Bureau proposes to conduct </w:t>
      </w:r>
      <w:r w:rsidR="00F87C05" w:rsidRPr="0064234E">
        <w:t>Auction 96</w:t>
      </w:r>
      <w:r w:rsidRPr="0064234E">
        <w:t xml:space="preserve"> using a simultaneous multiple-round</w:t>
      </w:r>
      <w:r w:rsidR="002B0309" w:rsidRPr="0064234E">
        <w:t xml:space="preserve"> (SMR)</w:t>
      </w:r>
      <w:r w:rsidRPr="0064234E">
        <w:t xml:space="preserve"> auction format.</w:t>
      </w:r>
      <w:r w:rsidRPr="0064234E">
        <w:rPr>
          <w:rStyle w:val="FootnoteReference"/>
        </w:rPr>
        <w:footnoteReference w:id="17"/>
      </w:r>
      <w:r w:rsidRPr="0064234E">
        <w:t xml:space="preserve">  As described further below, a</w:t>
      </w:r>
      <w:r w:rsidR="002B0309" w:rsidRPr="0064234E">
        <w:t>n</w:t>
      </w:r>
      <w:r w:rsidRPr="0064234E">
        <w:t xml:space="preserve"> </w:t>
      </w:r>
      <w:r w:rsidR="002B0309" w:rsidRPr="0064234E">
        <w:t>SMR</w:t>
      </w:r>
      <w:r w:rsidRPr="0064234E">
        <w:t xml:space="preserve"> auction offers every license for bid at the same time and consists of successive bidding rounds in which eligible bidders may place bids.  Typically, bidding remains open on all licenses until bidding stops on every license.</w:t>
      </w:r>
    </w:p>
    <w:p w:rsidR="00E97EF6" w:rsidRPr="0064234E" w:rsidRDefault="00E97EF6" w:rsidP="007B0488">
      <w:pPr>
        <w:pStyle w:val="ParaNum0"/>
        <w:widowControl/>
      </w:pPr>
      <w:r w:rsidRPr="0064234E">
        <w:t xml:space="preserve">The Bureau additionally proposes to incorporate provisions for a simple form of package bidding into the simultaneous multiple-round auction.  In particular, we propose to use a form of package bidding called </w:t>
      </w:r>
      <w:r w:rsidR="00D8241C" w:rsidRPr="0064234E">
        <w:t>h</w:t>
      </w:r>
      <w:r w:rsidRPr="0064234E">
        <w:t xml:space="preserve">ierarchical </w:t>
      </w:r>
      <w:r w:rsidR="00D8241C" w:rsidRPr="0064234E">
        <w:t>p</w:t>
      </w:r>
      <w:r w:rsidRPr="0064234E">
        <w:t xml:space="preserve">ackage </w:t>
      </w:r>
      <w:r w:rsidR="00D8241C" w:rsidRPr="0064234E">
        <w:t>b</w:t>
      </w:r>
      <w:r w:rsidRPr="0064234E">
        <w:t xml:space="preserve">idding (HPB) in which, in addition to being able to bid on individual licenses, bidders would also be able to bid on certain tiered, non-overlapping packages of licenses. The Commission concluded in the </w:t>
      </w:r>
      <w:r w:rsidR="00F87C05" w:rsidRPr="0064234E">
        <w:rPr>
          <w:i/>
        </w:rPr>
        <w:t>H Block</w:t>
      </w:r>
      <w:r w:rsidRPr="0064234E">
        <w:rPr>
          <w:i/>
        </w:rPr>
        <w:t xml:space="preserve"> Report and Order</w:t>
      </w:r>
      <w:r w:rsidRPr="0064234E">
        <w:t xml:space="preserve"> that the </w:t>
      </w:r>
      <w:r w:rsidR="00F87C05" w:rsidRPr="0064234E">
        <w:t>H Block</w:t>
      </w:r>
      <w:r w:rsidRPr="0064234E">
        <w:t xml:space="preserve"> spectrum should be licensed on an EA basis.  Consistent with that conclusion, we propose that the basic bidding tier under HPB be individual EA licenses.  </w:t>
      </w:r>
      <w:r w:rsidR="004E501A">
        <w:t xml:space="preserve">The </w:t>
      </w:r>
      <w:r w:rsidR="00577161" w:rsidRPr="0064234E">
        <w:rPr>
          <w:i/>
        </w:rPr>
        <w:t>H Block Report and Order</w:t>
      </w:r>
      <w:r w:rsidR="004E501A">
        <w:t xml:space="preserve"> also noted that the decision to license at the EA level would facilitate aggregations at the larger </w:t>
      </w:r>
      <w:r w:rsidR="00826CAC" w:rsidRPr="0064234E">
        <w:t>Major Economic Area (MEA)</w:t>
      </w:r>
      <w:r w:rsidR="004E501A">
        <w:t xml:space="preserve"> and </w:t>
      </w:r>
      <w:r w:rsidR="00826CAC" w:rsidRPr="0064234E">
        <w:t>Regional Economic Area Grouping (REAG)</w:t>
      </w:r>
      <w:r w:rsidR="004E501A">
        <w:t xml:space="preserve"> levels.</w:t>
      </w:r>
      <w:r w:rsidR="004E501A">
        <w:rPr>
          <w:rStyle w:val="FootnoteReference"/>
        </w:rPr>
        <w:footnoteReference w:id="18"/>
      </w:r>
      <w:r w:rsidR="004E501A">
        <w:t xml:space="preserve">  </w:t>
      </w:r>
      <w:r w:rsidRPr="0064234E">
        <w:t>We</w:t>
      </w:r>
      <w:r w:rsidR="004E501A">
        <w:t xml:space="preserve"> therefore seek comment on the use of</w:t>
      </w:r>
      <w:r w:rsidRPr="0064234E">
        <w:t xml:space="preserve"> predefined packages of EAs </w:t>
      </w:r>
      <w:r w:rsidR="004E501A">
        <w:t>in</w:t>
      </w:r>
      <w:r w:rsidRPr="0064234E">
        <w:t xml:space="preserve"> MEAs and </w:t>
      </w:r>
      <w:r w:rsidR="00701067">
        <w:t xml:space="preserve">potentially larger packages such as </w:t>
      </w:r>
      <w:r w:rsidRPr="0064234E">
        <w:t xml:space="preserve">REAGs, </w:t>
      </w:r>
      <w:r w:rsidR="004E501A">
        <w:t xml:space="preserve">as well as a package comprising all markets in the contiguous 48 states.  </w:t>
      </w:r>
      <w:r w:rsidR="00DE51D0" w:rsidRPr="0064234E">
        <w:t xml:space="preserve">Below we describe </w:t>
      </w:r>
      <w:r w:rsidR="00E63EE7">
        <w:t xml:space="preserve">and seek more detailed comment </w:t>
      </w:r>
      <w:r w:rsidR="00DE51D0" w:rsidRPr="0064234E">
        <w:t>on</w:t>
      </w:r>
      <w:r w:rsidR="00E63EE7">
        <w:t xml:space="preserve"> </w:t>
      </w:r>
      <w:r w:rsidR="00826CAC">
        <w:t>our</w:t>
      </w:r>
      <w:r w:rsidR="00E63EE7">
        <w:t xml:space="preserve"> proposals </w:t>
      </w:r>
      <w:r w:rsidR="00DE51D0" w:rsidRPr="0064234E">
        <w:t>and on</w:t>
      </w:r>
      <w:r w:rsidR="00E63EE7">
        <w:t xml:space="preserve"> various</w:t>
      </w:r>
      <w:r w:rsidR="00DE51D0" w:rsidRPr="0064234E">
        <w:t xml:space="preserve"> alternatives.</w:t>
      </w:r>
    </w:p>
    <w:p w:rsidR="007F4316" w:rsidRPr="0064234E" w:rsidRDefault="007F4316" w:rsidP="007B0488">
      <w:pPr>
        <w:pStyle w:val="ParaNum0"/>
        <w:widowControl/>
      </w:pPr>
      <w:r w:rsidRPr="0064234E">
        <w:t>By permitting only non-overlapping packages at each tier</w:t>
      </w:r>
      <w:r w:rsidR="00E63EE7">
        <w:t xml:space="preserve"> (for example, </w:t>
      </w:r>
      <w:r w:rsidRPr="0064234E">
        <w:t xml:space="preserve">a given EA </w:t>
      </w:r>
      <w:r w:rsidR="00E63EE7">
        <w:t>could</w:t>
      </w:r>
      <w:r w:rsidRPr="0064234E">
        <w:t xml:space="preserve"> be included in only one MEA, which in turn </w:t>
      </w:r>
      <w:r w:rsidR="00E63EE7">
        <w:t>could</w:t>
      </w:r>
      <w:r w:rsidRPr="0064234E">
        <w:t xml:space="preserve"> be included in only one REAG</w:t>
      </w:r>
      <w:r w:rsidR="00E63EE7">
        <w:t>)</w:t>
      </w:r>
      <w:r w:rsidR="00C37E5B">
        <w:t>,</w:t>
      </w:r>
      <w:r w:rsidR="00E63EE7">
        <w:t xml:space="preserve"> </w:t>
      </w:r>
      <w:r w:rsidRPr="0064234E">
        <w:t>HPB considerably simplifies bidder strategy and computational complexity compared to some other forms of package bidding.  The pricing rules used with HPB are transparent and make it clear to bidders how package bids are evaluated relative to individual bids, hence making it easier than in more complex</w:t>
      </w:r>
      <w:r w:rsidR="00BF709C" w:rsidRPr="0064234E">
        <w:t xml:space="preserve"> package bidding</w:t>
      </w:r>
      <w:r w:rsidRPr="0064234E">
        <w:t xml:space="preserve"> formats for bidders interested in individual licenses to compete with bidders interested in packages. As a result of these and other advantages, HPB and similar packaging formats have performed well in tests of overall auction efficiency.</w:t>
      </w:r>
      <w:r w:rsidRPr="0064234E">
        <w:rPr>
          <w:rStyle w:val="FootnoteReference"/>
        </w:rPr>
        <w:footnoteReference w:id="19"/>
      </w:r>
      <w:r w:rsidRPr="0064234E">
        <w:t xml:space="preserve"> </w:t>
      </w:r>
      <w:r w:rsidR="00F87C05" w:rsidRPr="0064234E">
        <w:t>Auction 96</w:t>
      </w:r>
      <w:r w:rsidRPr="0064234E">
        <w:t xml:space="preserve"> is the first </w:t>
      </w:r>
      <w:r w:rsidR="00F87C05" w:rsidRPr="0064234E">
        <w:t>H Block</w:t>
      </w:r>
      <w:r w:rsidRPr="0064234E">
        <w:t xml:space="preserve"> auction and a single complete set of nationwide EA licenses is available.  Consequently, </w:t>
      </w:r>
      <w:r w:rsidR="00E63EE7">
        <w:t xml:space="preserve">offering </w:t>
      </w:r>
      <w:r w:rsidRPr="0064234E">
        <w:t xml:space="preserve">predefined packages </w:t>
      </w:r>
      <w:r w:rsidR="00E63EE7">
        <w:t xml:space="preserve">might allow for </w:t>
      </w:r>
      <w:r w:rsidRPr="0064234E">
        <w:t xml:space="preserve">significant economies of scale that may well correspond to a variety of business plans. </w:t>
      </w:r>
      <w:r w:rsidR="00EC15FA" w:rsidRPr="0064234E">
        <w:t xml:space="preserve"> </w:t>
      </w:r>
      <w:r w:rsidRPr="0064234E">
        <w:t xml:space="preserve">Bidders that wish smaller or more tailored aggregations than the allowable predefined packages would be able to bid on individual EAs instead of or in addition to the predefined packages.  </w:t>
      </w:r>
    </w:p>
    <w:p w:rsidR="007F4316" w:rsidRPr="0064234E" w:rsidRDefault="007F4316" w:rsidP="007B0488">
      <w:pPr>
        <w:pStyle w:val="ParaNum0"/>
        <w:widowControl/>
      </w:pPr>
      <w:r w:rsidRPr="0064234E">
        <w:t xml:space="preserve">The </w:t>
      </w:r>
      <w:r w:rsidR="00EC15FA" w:rsidRPr="0064234E">
        <w:t>Bureau</w:t>
      </w:r>
      <w:r w:rsidRPr="0064234E">
        <w:t xml:space="preserve"> used a variant of HPB in Auction 73 under considerably different circumstances.  Most notably, in Auction 73 </w:t>
      </w:r>
      <w:r w:rsidR="00EC15FA" w:rsidRPr="0064234E">
        <w:t>we</w:t>
      </w:r>
      <w:r w:rsidRPr="0064234E">
        <w:t xml:space="preserve"> </w:t>
      </w:r>
      <w:r w:rsidR="00BE2271" w:rsidRPr="0064234E">
        <w:t>implemented SMR bidding across the five available blocks of licenses</w:t>
      </w:r>
      <w:r w:rsidR="00BF709C" w:rsidRPr="0064234E">
        <w:t xml:space="preserve"> and</w:t>
      </w:r>
      <w:r w:rsidR="00BE2271" w:rsidRPr="0064234E">
        <w:t xml:space="preserve"> </w:t>
      </w:r>
      <w:r w:rsidRPr="0064234E">
        <w:t xml:space="preserve">determined that package bidding would be permitted in only one </w:t>
      </w:r>
      <w:r w:rsidR="00BE2271" w:rsidRPr="0064234E">
        <w:t xml:space="preserve">of the </w:t>
      </w:r>
      <w:r w:rsidRPr="0064234E">
        <w:t>blocks</w:t>
      </w:r>
      <w:r w:rsidR="00BE2271" w:rsidRPr="0064234E">
        <w:t xml:space="preserve">. </w:t>
      </w:r>
      <w:r w:rsidRPr="0064234E">
        <w:t xml:space="preserve"> </w:t>
      </w:r>
      <w:r w:rsidR="00BE2271" w:rsidRPr="0064234E">
        <w:t>F</w:t>
      </w:r>
      <w:r w:rsidRPr="0064234E">
        <w:t xml:space="preserve">urther, </w:t>
      </w:r>
      <w:r w:rsidR="00DE51D0" w:rsidRPr="0064234E">
        <w:t xml:space="preserve">if the </w:t>
      </w:r>
      <w:r w:rsidRPr="0064234E">
        <w:t xml:space="preserve">aggregate reserve price </w:t>
      </w:r>
      <w:r w:rsidR="00DE51D0" w:rsidRPr="0064234E">
        <w:t xml:space="preserve">that was applicable to </w:t>
      </w:r>
      <w:r w:rsidRPr="0064234E">
        <w:t>the package bidding block</w:t>
      </w:r>
      <w:r w:rsidR="00DE51D0" w:rsidRPr="0064234E">
        <w:t xml:space="preserve"> in Auction 73 was </w:t>
      </w:r>
      <w:r w:rsidRPr="0064234E">
        <w:t>not met, the performance and public interest requirements pertaining to the licenses in the block</w:t>
      </w:r>
      <w:r w:rsidR="00DE51D0" w:rsidRPr="0064234E">
        <w:t xml:space="preserve"> would change significantly</w:t>
      </w:r>
      <w:r w:rsidRPr="0064234E">
        <w:t xml:space="preserve">.  As a result, special procedures were needed to allow bidders to shift their bidding across the multiple </w:t>
      </w:r>
      <w:r w:rsidR="00E97EF6" w:rsidRPr="0064234E">
        <w:t xml:space="preserve">available </w:t>
      </w:r>
      <w:r w:rsidRPr="0064234E">
        <w:t xml:space="preserve">blocks, </w:t>
      </w:r>
      <w:r w:rsidR="00BF709C" w:rsidRPr="0064234E">
        <w:t xml:space="preserve">the rest of </w:t>
      </w:r>
      <w:r w:rsidRPr="0064234E">
        <w:t xml:space="preserve">which were subject to </w:t>
      </w:r>
      <w:r w:rsidR="00BF709C" w:rsidRPr="0064234E">
        <w:t>a</w:t>
      </w:r>
      <w:r w:rsidR="00DE51D0" w:rsidRPr="0064234E">
        <w:t xml:space="preserve"> </w:t>
      </w:r>
      <w:r w:rsidRPr="0064234E">
        <w:t>different bidding format.</w:t>
      </w:r>
      <w:r w:rsidRPr="0064234E">
        <w:rPr>
          <w:rStyle w:val="FootnoteReference"/>
        </w:rPr>
        <w:footnoteReference w:id="20"/>
      </w:r>
      <w:r w:rsidRPr="0064234E">
        <w:t xml:space="preserve">  Those complicating factors</w:t>
      </w:r>
      <w:r w:rsidR="007E7342" w:rsidRPr="0064234E">
        <w:t>—</w:t>
      </w:r>
      <w:r w:rsidRPr="0064234E">
        <w:t>and their implications for bidder strategies</w:t>
      </w:r>
      <w:r w:rsidR="0052756E" w:rsidRPr="0064234E">
        <w:t>—</w:t>
      </w:r>
      <w:r w:rsidRPr="0064234E">
        <w:t xml:space="preserve">are not present in </w:t>
      </w:r>
      <w:r w:rsidR="00F87C05" w:rsidRPr="0064234E">
        <w:t>Auction 96</w:t>
      </w:r>
      <w:r w:rsidRPr="0064234E">
        <w:t xml:space="preserve">, which includes only a single block of licenses.  Hence, the bidding rules implementing HPB would be considerably simpler than those for Auction 73.  </w:t>
      </w:r>
    </w:p>
    <w:p w:rsidR="007F4316" w:rsidRPr="0064234E" w:rsidRDefault="007F4316" w:rsidP="00B44372">
      <w:pPr>
        <w:pStyle w:val="ParaNum0"/>
        <w:widowControl/>
        <w:tabs>
          <w:tab w:val="left" w:pos="1440"/>
        </w:tabs>
      </w:pPr>
      <w:r w:rsidRPr="0064234E">
        <w:t xml:space="preserve">Briefly, HPB </w:t>
      </w:r>
      <w:r w:rsidR="00937E2C" w:rsidRPr="0064234E">
        <w:t>as proposed</w:t>
      </w:r>
      <w:r w:rsidR="00EC15FA" w:rsidRPr="0064234E">
        <w:t xml:space="preserve"> for Auction 96</w:t>
      </w:r>
      <w:r w:rsidR="00937E2C" w:rsidRPr="0064234E">
        <w:t xml:space="preserve"> </w:t>
      </w:r>
      <w:r w:rsidR="00880F1E">
        <w:t>could</w:t>
      </w:r>
      <w:r w:rsidRPr="0064234E">
        <w:t xml:space="preserve"> be implemented as follows.  </w:t>
      </w:r>
      <w:r w:rsidR="00EC15FA" w:rsidRPr="0064234E">
        <w:t>We would determine t</w:t>
      </w:r>
      <w:r w:rsidRPr="0064234E">
        <w:t xml:space="preserve">he predefined packages according to a </w:t>
      </w:r>
      <w:r w:rsidR="00701067">
        <w:t xml:space="preserve">non-overlapping </w:t>
      </w:r>
      <w:r w:rsidRPr="0064234E">
        <w:t xml:space="preserve">hierarchical structure, with an initial </w:t>
      </w:r>
      <w:r w:rsidR="0014426A" w:rsidRPr="0064234E">
        <w:t>tier</w:t>
      </w:r>
      <w:r w:rsidRPr="0064234E">
        <w:t xml:space="preserve"> consisting of individual EA licenses.  </w:t>
      </w:r>
      <w:r w:rsidR="00701067">
        <w:t xml:space="preserve">We could adopt a two-tier structure composed simply of the initial tier of EAs and MEA packages. </w:t>
      </w:r>
      <w:r w:rsidR="00701067" w:rsidRPr="00A520D9">
        <w:t xml:space="preserve"> </w:t>
      </w:r>
      <w:r w:rsidR="00701067">
        <w:t>Any s</w:t>
      </w:r>
      <w:r w:rsidR="00880F1E">
        <w:t>ubsequent tiers</w:t>
      </w:r>
      <w:r w:rsidRPr="0064234E">
        <w:t xml:space="preserve"> </w:t>
      </w:r>
      <w:r w:rsidR="00701067">
        <w:t>c</w:t>
      </w:r>
      <w:r w:rsidRPr="0064234E">
        <w:t xml:space="preserve">ould consist of non-overlapping packages of the licenses in the </w:t>
      </w:r>
      <w:r w:rsidR="00937E2C" w:rsidRPr="0064234E">
        <w:t>initial</w:t>
      </w:r>
      <w:r w:rsidRPr="0064234E">
        <w:t xml:space="preserve"> </w:t>
      </w:r>
      <w:r w:rsidR="0014426A" w:rsidRPr="0064234E">
        <w:t>tier</w:t>
      </w:r>
      <w:r w:rsidR="00880F1E">
        <w:t xml:space="preserve"> and all subsidiary tiers. For example, if we were to adopt MEA, REAG, and nationwide packages, these packages would all nest accordingly (e.g., EAs nest to MEAs, MEAs nest to REAGs, and REAGs nest to the national package). </w:t>
      </w:r>
      <w:r w:rsidRPr="0064234E">
        <w:t xml:space="preserve">The winning set of bids could consist of bids from various </w:t>
      </w:r>
      <w:r w:rsidR="0014426A" w:rsidRPr="0064234E">
        <w:t>tiers</w:t>
      </w:r>
      <w:r w:rsidRPr="0064234E">
        <w:t xml:space="preserve">, as long as each license </w:t>
      </w:r>
      <w:r w:rsidR="00E13DE2" w:rsidRPr="0064234E">
        <w:t xml:space="preserve">is </w:t>
      </w:r>
      <w:r w:rsidRPr="0064234E">
        <w:t xml:space="preserve">included in only one winning bid. That is, </w:t>
      </w:r>
      <w:r w:rsidR="00880F1E">
        <w:t xml:space="preserve">in the four-tier construct described above, </w:t>
      </w:r>
      <w:r w:rsidRPr="0064234E">
        <w:t>the winning set could</w:t>
      </w:r>
      <w:r w:rsidR="00880F1E">
        <w:t xml:space="preserve"> potentially</w:t>
      </w:r>
      <w:r w:rsidRPr="0064234E">
        <w:t xml:space="preserve"> include individual licenses in one part of the country, MEA packages in other areas, and potentially REAG packages as well</w:t>
      </w:r>
      <w:r w:rsidR="00880F1E">
        <w:t>, provided the value of all of these individual and package bids exceeds a bid on a nationwide package</w:t>
      </w:r>
      <w:r w:rsidRPr="0064234E">
        <w:t>.  A bidder may place bids on any combination of individual licenses or packages.</w:t>
      </w:r>
      <w:r w:rsidR="00DE51D0" w:rsidRPr="0064234E">
        <w:t xml:space="preserve">  </w:t>
      </w:r>
    </w:p>
    <w:p w:rsidR="007F4316" w:rsidRPr="0064234E" w:rsidRDefault="007F4316" w:rsidP="00B44372">
      <w:pPr>
        <w:pStyle w:val="ParaNum0"/>
        <w:widowControl/>
        <w:tabs>
          <w:tab w:val="left" w:pos="1440"/>
        </w:tabs>
      </w:pPr>
      <w:r w:rsidRPr="0064234E">
        <w:t xml:space="preserve">After each round, the </w:t>
      </w:r>
      <w:r w:rsidR="003D28FB" w:rsidRPr="0064234E">
        <w:t>Commission</w:t>
      </w:r>
      <w:r w:rsidRPr="0064234E">
        <w:t xml:space="preserve"> would determine the combination of package and/or single license bids that yields the highest gross amount, and those bids would become provisionally winning.  When determining provisionally winning bids, the FCC Auction System would consider each bidder’s highest bid on each license or package placed up to that point in the auction, regardless of whether the bids were provisionally winning after the rounds in which they were placed.  Considering these bids from previous rounds makes it possible for new bids on individual licenses to combine with other bids in order to compete with bids on packages.</w:t>
      </w:r>
      <w:r w:rsidRPr="0064234E">
        <w:rPr>
          <w:rStyle w:val="FootnoteReference"/>
        </w:rPr>
        <w:footnoteReference w:id="21"/>
      </w:r>
      <w:r w:rsidRPr="0064234E">
        <w:t xml:space="preserve">  The provisionally winning bids would be determined by comparing aggregate gross bid amounts, at each </w:t>
      </w:r>
      <w:r w:rsidR="0014426A" w:rsidRPr="0064234E">
        <w:t>tier</w:t>
      </w:r>
      <w:r w:rsidRPr="0064234E">
        <w:t>, for various combinations of package and individual license bids.</w:t>
      </w:r>
      <w:r w:rsidRPr="0064234E">
        <w:rPr>
          <w:rStyle w:val="FootnoteReference"/>
        </w:rPr>
        <w:footnoteReference w:id="22"/>
      </w:r>
    </w:p>
    <w:p w:rsidR="00937E2C" w:rsidRDefault="00937E2C" w:rsidP="007B0488">
      <w:pPr>
        <w:pStyle w:val="ParaNum0"/>
        <w:widowControl/>
      </w:pPr>
      <w:r w:rsidRPr="0064234E">
        <w:t>We seek comment generally on our proposed simultaneous multiple</w:t>
      </w:r>
      <w:r w:rsidR="00BF709C" w:rsidRPr="0064234E">
        <w:t>-</w:t>
      </w:r>
      <w:r w:rsidRPr="0064234E">
        <w:t>round auction format with hierarchical package bidding.  Would HPB</w:t>
      </w:r>
      <w:r w:rsidR="002F6946">
        <w:t>,</w:t>
      </w:r>
      <w:r w:rsidRPr="0064234E">
        <w:t xml:space="preserve"> as discussed</w:t>
      </w:r>
      <w:r w:rsidR="002F6946">
        <w:t>,</w:t>
      </w:r>
      <w:r w:rsidRPr="0064234E">
        <w:t xml:space="preserve"> balance aggregation needs with tractability, transparency, and simplicity?  We seek comment also on </w:t>
      </w:r>
      <w:r w:rsidR="001725F6">
        <w:t>what packages should be available for various tiers</w:t>
      </w:r>
      <w:r w:rsidRPr="0064234E">
        <w:t xml:space="preserve">.  Should we </w:t>
      </w:r>
      <w:r w:rsidR="001725F6">
        <w:t xml:space="preserve">allow </w:t>
      </w:r>
      <w:r w:rsidR="00E11DE7">
        <w:t xml:space="preserve">a simple structure of EAs and MEAs, or some other set of tiers of </w:t>
      </w:r>
      <w:r w:rsidR="001725F6">
        <w:t xml:space="preserve">MEAs, REAGs, and/or </w:t>
      </w:r>
      <w:r w:rsidR="00E11DE7">
        <w:t xml:space="preserve">a </w:t>
      </w:r>
      <w:r w:rsidR="001725F6">
        <w:t>nationwide package?</w:t>
      </w:r>
      <w:r w:rsidRPr="0064234E">
        <w:t xml:space="preserve">  Alternatively, would our standard SMR auction format without package bidding sufficiently accommodate economies of scale or other complementarities?  If we do not implement package bidding for </w:t>
      </w:r>
      <w:r w:rsidR="00F87C05" w:rsidRPr="0064234E">
        <w:t>Auction 96</w:t>
      </w:r>
      <w:r w:rsidRPr="0064234E">
        <w:t xml:space="preserve">, we propose to conduct the auction using standard SMR procedures.  </w:t>
      </w:r>
    </w:p>
    <w:p w:rsidR="00F03915" w:rsidRPr="0064234E" w:rsidRDefault="00F03915" w:rsidP="007B0488">
      <w:pPr>
        <w:pStyle w:val="ParaNum0"/>
        <w:widowControl/>
      </w:pPr>
      <w:r>
        <w:rPr>
          <w:i/>
        </w:rPr>
        <w:t>Alternative Auction Format.</w:t>
      </w:r>
      <w:r>
        <w:t xml:space="preserve">  In the alternative, we propose to conduct Auction 96 as a single round sealed bid auction.  While not as common for spectrum auctions as the SMR format, we have previously used the single round sealed bid format.  We propose this alternative because Auction 96 offers licenses in only a single spectrum block and a single round auction may simplify the process for bidders and reduce the costs of auction participation.  In a single round format we could also offer one or more tiers of non-overlapping packages as discussed above for HPB.  We seek comment on any design features of the sealed bid format (e.g., first-price or second-price).  We seek comment on this alternative proposal and on any other auction formats we should consider for Auction 96.</w:t>
      </w:r>
    </w:p>
    <w:p w:rsidR="008D48C9" w:rsidRPr="0064234E" w:rsidRDefault="008D48C9" w:rsidP="007B0488">
      <w:pPr>
        <w:pStyle w:val="Heading3"/>
        <w:widowControl/>
      </w:pPr>
      <w:bookmarkStart w:id="167" w:name="_Toc346007143"/>
      <w:bookmarkStart w:id="168" w:name="_Toc357766153"/>
      <w:bookmarkStart w:id="169" w:name="_Toc357766225"/>
      <w:bookmarkStart w:id="170" w:name="_Toc357801015"/>
      <w:bookmarkStart w:id="171" w:name="_Toc357801079"/>
      <w:bookmarkStart w:id="172" w:name="_Toc360525959"/>
      <w:bookmarkStart w:id="173" w:name="_Toc360797631"/>
      <w:bookmarkStart w:id="174" w:name="_Toc361136994"/>
      <w:bookmarkStart w:id="175" w:name="_Toc361153056"/>
      <w:bookmarkStart w:id="176" w:name="_Toc361667814"/>
      <w:bookmarkStart w:id="177" w:name="_Toc150843253"/>
      <w:bookmarkStart w:id="178" w:name="_Toc150843320"/>
      <w:bookmarkStart w:id="179" w:name="_Toc150843517"/>
      <w:bookmarkStart w:id="180" w:name="_Toc150843630"/>
      <w:bookmarkStart w:id="181" w:name="_Toc150843705"/>
      <w:bookmarkStart w:id="182" w:name="_Toc150857300"/>
      <w:bookmarkStart w:id="183" w:name="_Toc151201043"/>
      <w:bookmarkStart w:id="184" w:name="_Toc153165393"/>
      <w:bookmarkStart w:id="185" w:name="_Toc153190404"/>
      <w:bookmarkStart w:id="186" w:name="_Toc190859713"/>
      <w:bookmarkStart w:id="187" w:name="_Toc190867590"/>
      <w:bookmarkStart w:id="188" w:name="_Toc191282383"/>
      <w:bookmarkStart w:id="189" w:name="_Toc191296790"/>
      <w:bookmarkStart w:id="190" w:name="_Toc203461492"/>
      <w:bookmarkStart w:id="191" w:name="_Toc214427388"/>
      <w:bookmarkStart w:id="192" w:name="_Toc252353633"/>
      <w:bookmarkStart w:id="193" w:name="_Toc252456322"/>
      <w:bookmarkStart w:id="194" w:name="_Toc252881320"/>
      <w:bookmarkStart w:id="195" w:name="_Toc266452579"/>
      <w:bookmarkStart w:id="196" w:name="_Toc267580108"/>
      <w:r w:rsidRPr="0064234E">
        <w:t>Anonymous Bidding</w:t>
      </w:r>
      <w:bookmarkEnd w:id="167"/>
      <w:bookmarkEnd w:id="168"/>
      <w:bookmarkEnd w:id="169"/>
      <w:bookmarkEnd w:id="170"/>
      <w:bookmarkEnd w:id="171"/>
      <w:bookmarkEnd w:id="172"/>
      <w:bookmarkEnd w:id="173"/>
      <w:bookmarkEnd w:id="174"/>
      <w:bookmarkEnd w:id="175"/>
      <w:bookmarkEnd w:id="176"/>
    </w:p>
    <w:p w:rsidR="008D48C9" w:rsidRPr="0064234E" w:rsidRDefault="008D48C9" w:rsidP="007B0488">
      <w:pPr>
        <w:pStyle w:val="ParaNum0"/>
        <w:widowControl/>
      </w:pPr>
      <w:r w:rsidRPr="0064234E">
        <w:rPr>
          <w:snapToGrid/>
        </w:rPr>
        <w:t xml:space="preserve">In </w:t>
      </w:r>
      <w:r w:rsidR="004411AF" w:rsidRPr="0064234E">
        <w:rPr>
          <w:snapToGrid/>
        </w:rPr>
        <w:t>several prior</w:t>
      </w:r>
      <w:r w:rsidR="00EC15FA" w:rsidRPr="0064234E">
        <w:rPr>
          <w:snapToGrid/>
        </w:rPr>
        <w:t xml:space="preserve"> Commission</w:t>
      </w:r>
      <w:r w:rsidRPr="0064234E">
        <w:rPr>
          <w:snapToGrid/>
        </w:rPr>
        <w:t xml:space="preserve"> auctions</w:t>
      </w:r>
      <w:r w:rsidR="00BD7FEF" w:rsidRPr="0064234E">
        <w:rPr>
          <w:snapToGrid/>
        </w:rPr>
        <w:t>,</w:t>
      </w:r>
      <w:r w:rsidRPr="0064234E">
        <w:rPr>
          <w:snapToGrid/>
        </w:rPr>
        <w:t xml:space="preserve"> the </w:t>
      </w:r>
      <w:r w:rsidR="00EC15FA" w:rsidRPr="0064234E">
        <w:rPr>
          <w:snapToGrid/>
        </w:rPr>
        <w:t>Bureau</w:t>
      </w:r>
      <w:r w:rsidRPr="0064234E">
        <w:rPr>
          <w:snapToGrid/>
        </w:rPr>
        <w:t xml:space="preserve"> has adopted procedures to limit the disclosure of certain bidder-specific information until after the auction.</w:t>
      </w:r>
      <w:r w:rsidRPr="0064234E">
        <w:rPr>
          <w:rStyle w:val="FootnoteReference"/>
          <w:snapToGrid/>
          <w:kern w:val="0"/>
        </w:rPr>
        <w:footnoteReference w:id="23"/>
      </w:r>
      <w:r w:rsidRPr="0064234E">
        <w:rPr>
          <w:snapToGrid/>
        </w:rPr>
        <w:t xml:space="preserve">  </w:t>
      </w:r>
      <w:r w:rsidRPr="0064234E">
        <w:rPr>
          <w:bCs/>
          <w:iCs/>
        </w:rPr>
        <w:t xml:space="preserve">Consistent with that practice, the Bureau proposes to </w:t>
      </w:r>
      <w:r w:rsidR="00645476" w:rsidRPr="0064234E">
        <w:rPr>
          <w:bCs/>
          <w:iCs/>
        </w:rPr>
        <w:t>adopt</w:t>
      </w:r>
      <w:r w:rsidRPr="0064234E">
        <w:rPr>
          <w:bCs/>
          <w:iCs/>
        </w:rPr>
        <w:t xml:space="preserve"> certain procedures for limited information disclosure or “anonymous bidding”</w:t>
      </w:r>
      <w:r w:rsidR="00645476" w:rsidRPr="0064234E">
        <w:rPr>
          <w:bCs/>
          <w:iCs/>
        </w:rPr>
        <w:t xml:space="preserve"> </w:t>
      </w:r>
      <w:r w:rsidR="005769BF" w:rsidRPr="0064234E">
        <w:rPr>
          <w:bCs/>
          <w:iCs/>
        </w:rPr>
        <w:t>f</w:t>
      </w:r>
      <w:r w:rsidR="00645476" w:rsidRPr="0064234E">
        <w:rPr>
          <w:bCs/>
          <w:iCs/>
        </w:rPr>
        <w:t xml:space="preserve">or </w:t>
      </w:r>
      <w:r w:rsidR="00F87C05" w:rsidRPr="0064234E">
        <w:rPr>
          <w:bCs/>
          <w:iCs/>
        </w:rPr>
        <w:t>Auction 96</w:t>
      </w:r>
      <w:r w:rsidR="00645476" w:rsidRPr="0064234E">
        <w:rPr>
          <w:bCs/>
          <w:iCs/>
        </w:rPr>
        <w:t>.</w:t>
      </w:r>
      <w:r w:rsidRPr="0064234E">
        <w:rPr>
          <w:bCs/>
          <w:iCs/>
        </w:rPr>
        <w:t xml:space="preserve">  Specifically, t</w:t>
      </w:r>
      <w:r w:rsidRPr="0064234E">
        <w:t>he Bureau proposes to withhold, until after the close of bidding, public release of (1) bidders’ license selections on their short-form applications (FCC Form 175), (2) the amounts of bidders’ upfront payments and bidding eligibility, and (3) information that may reveal the identities of bidders placing bids and taking other bidding-related actions.</w:t>
      </w:r>
    </w:p>
    <w:p w:rsidR="008D48C9" w:rsidRPr="0064234E" w:rsidRDefault="008D48C9" w:rsidP="007B0488">
      <w:pPr>
        <w:pStyle w:val="ParaNum0"/>
        <w:widowControl/>
      </w:pPr>
      <w:r w:rsidRPr="0064234E">
        <w:t xml:space="preserve">Under these proposed limited information procedures, the amount of every bid placed and whether a bid was withdrawn </w:t>
      </w:r>
      <w:r w:rsidR="00EC15FA" w:rsidRPr="0064234E">
        <w:t xml:space="preserve">(if withdrawals are permitted) </w:t>
      </w:r>
      <w:r w:rsidRPr="0064234E">
        <w:t xml:space="preserve">would be disclosed after the close of every round, but the identities of bidders placing specific bids or withdrawals </w:t>
      </w:r>
      <w:r w:rsidR="00735C63" w:rsidRPr="0064234E">
        <w:t xml:space="preserve">(if permitted) </w:t>
      </w:r>
      <w:r w:rsidRPr="0064234E">
        <w:t>and the net bid amounts would not be disclosed until after the close of the auction.</w:t>
      </w:r>
    </w:p>
    <w:p w:rsidR="008D48C9" w:rsidRPr="0064234E" w:rsidRDefault="00011103" w:rsidP="007B0488">
      <w:pPr>
        <w:pStyle w:val="ParaNum0"/>
        <w:widowControl/>
      </w:pPr>
      <w:r w:rsidRPr="0064234E">
        <w:t>Bidders would have access to additional information about their own bids.  For example, bidders would be able to view their own level of eligibility, before and during the auction, through the FCC Auction System.</w:t>
      </w:r>
      <w:r w:rsidR="00E15F63" w:rsidRPr="0064234E">
        <w:rPr>
          <w:rStyle w:val="FootnoteReference"/>
        </w:rPr>
        <w:footnoteReference w:id="24"/>
      </w:r>
      <w:r w:rsidR="00885BE5" w:rsidRPr="0064234E">
        <w:t xml:space="preserve"> </w:t>
      </w:r>
    </w:p>
    <w:p w:rsidR="00011103" w:rsidRPr="0064234E" w:rsidRDefault="00011103" w:rsidP="007B0488">
      <w:pPr>
        <w:pStyle w:val="ParaNum0"/>
        <w:widowControl/>
      </w:pPr>
      <w:r w:rsidRPr="0064234E">
        <w:t>Moreover, for the purpose of complying with section 1.2105(c), the Commission’s rule prohibiting certain communications between applicants (formerly referred to as the “anti-collusion rule”), applicants would be made aware of other applicants with which they will not be permitted to cooperate, collaborate, or communicate—including discussing bids, bidding strategies, or post-auction market structure.</w:t>
      </w:r>
      <w:r w:rsidRPr="0064234E">
        <w:rPr>
          <w:rStyle w:val="FootnoteReference"/>
        </w:rPr>
        <w:footnoteReference w:id="25"/>
      </w:r>
      <w:r w:rsidRPr="0064234E">
        <w:t xml:space="preserve">  Specifically, the Bureau would notify separately each applicant </w:t>
      </w:r>
      <w:r w:rsidR="00E9431E" w:rsidRPr="0064234E">
        <w:t xml:space="preserve">with a short-form application on file for participation </w:t>
      </w:r>
      <w:r w:rsidRPr="0064234E">
        <w:t xml:space="preserve">in </w:t>
      </w:r>
      <w:r w:rsidR="00F87C05" w:rsidRPr="0064234E">
        <w:t>Auction 96</w:t>
      </w:r>
      <w:r w:rsidRPr="0064234E">
        <w:t xml:space="preserve"> whether applicants with short-form applications to participate in </w:t>
      </w:r>
      <w:r w:rsidR="00E9431E" w:rsidRPr="0064234E">
        <w:t xml:space="preserve">a </w:t>
      </w:r>
      <w:r w:rsidRPr="0064234E">
        <w:t xml:space="preserve">pending auction, including but not limited to </w:t>
      </w:r>
      <w:r w:rsidR="00F87C05" w:rsidRPr="0064234E">
        <w:t>Auction 96</w:t>
      </w:r>
      <w:r w:rsidRPr="0064234E">
        <w:t>, have applied for licenses in any of the same or overlapping geographic areas as that applicant.</w:t>
      </w:r>
    </w:p>
    <w:p w:rsidR="00011103" w:rsidRPr="0064234E" w:rsidRDefault="00011103" w:rsidP="007B0488">
      <w:pPr>
        <w:pStyle w:val="ParaNum0"/>
        <w:widowControl/>
      </w:pPr>
      <w:r w:rsidRPr="0064234E">
        <w:t>After the close of bidding, bidders’ license selections, upfront payment amounts, bidding eligibility, bids, and other bidding-related actions would be made publicly available.</w:t>
      </w:r>
    </w:p>
    <w:p w:rsidR="00011103" w:rsidRPr="0064234E" w:rsidRDefault="00011103" w:rsidP="007B0488">
      <w:pPr>
        <w:pStyle w:val="ParaNum0"/>
        <w:widowControl/>
      </w:pPr>
      <w:r w:rsidRPr="0064234E">
        <w:t xml:space="preserve">The Bureau seeks comment on </w:t>
      </w:r>
      <w:r w:rsidR="00A47BE1" w:rsidRPr="0064234E">
        <w:t xml:space="preserve">the details of </w:t>
      </w:r>
      <w:r w:rsidRPr="0064234E">
        <w:t xml:space="preserve">its proposal </w:t>
      </w:r>
      <w:r w:rsidR="00A47BE1" w:rsidRPr="0064234E">
        <w:t>for</w:t>
      </w:r>
      <w:r w:rsidRPr="0064234E">
        <w:t xml:space="preserve"> implement</w:t>
      </w:r>
      <w:r w:rsidR="00A47BE1" w:rsidRPr="0064234E">
        <w:t>ing</w:t>
      </w:r>
      <w:r w:rsidRPr="0064234E">
        <w:t xml:space="preserve"> anonymous bidding in </w:t>
      </w:r>
      <w:r w:rsidR="00F87C05" w:rsidRPr="0064234E">
        <w:t>Auction 96</w:t>
      </w:r>
      <w:r w:rsidRPr="0064234E">
        <w:t>.</w:t>
      </w:r>
      <w:r w:rsidRPr="0064234E">
        <w:rPr>
          <w:snapToGrid/>
          <w:kern w:val="0"/>
        </w:rPr>
        <w:t xml:space="preserve">  The Bureau also seeks comment on alternatives to the use of anonymous bidding procedures for </w:t>
      </w:r>
      <w:r w:rsidR="00F87C05" w:rsidRPr="0064234E">
        <w:rPr>
          <w:snapToGrid/>
          <w:kern w:val="0"/>
        </w:rPr>
        <w:t>Auction 96</w:t>
      </w:r>
      <w:r w:rsidRPr="0064234E">
        <w:rPr>
          <w:snapToGrid/>
          <w:kern w:val="0"/>
        </w:rPr>
        <w:t xml:space="preserve">.  When the Commission </w:t>
      </w:r>
      <w:r w:rsidR="00A47BE1" w:rsidRPr="0064234E">
        <w:rPr>
          <w:snapToGrid/>
          <w:kern w:val="0"/>
        </w:rPr>
        <w:t>originally</w:t>
      </w:r>
      <w:r w:rsidR="004411AF" w:rsidRPr="0064234E">
        <w:rPr>
          <w:snapToGrid/>
          <w:kern w:val="0"/>
        </w:rPr>
        <w:t xml:space="preserve"> </w:t>
      </w:r>
      <w:r w:rsidRPr="0064234E">
        <w:rPr>
          <w:snapToGrid/>
          <w:kern w:val="0"/>
        </w:rPr>
        <w:t>proposed limited information disclosure procedures, it did so in response to analysis suggesting that under certain circumstances the competitiveness and economic efficiency of a simultaneous multiple-round auction may be enhanced if such information is withheld until after the close of the auction.</w:t>
      </w:r>
      <w:r w:rsidRPr="0064234E">
        <w:rPr>
          <w:rStyle w:val="FootnoteReference"/>
          <w:snapToGrid/>
          <w:kern w:val="0"/>
        </w:rPr>
        <w:footnoteReference w:id="26"/>
      </w:r>
      <w:r w:rsidRPr="0064234E">
        <w:rPr>
          <w:snapToGrid/>
          <w:kern w:val="0"/>
          <w:szCs w:val="22"/>
        </w:rPr>
        <w:t xml:space="preserve">  The Bureau encourages parties to provide information about the benefits and costs of complying with limited information procedures as compared with the benefits and costs of alternative procedures that would provide for the disclosure of more information on bidder identities and interests in the auction.  If commenters believe that the Bureau should not adopt procedures to limit the disclosure of certain bidder-specific information until after the auction, they should explain their reasoning.</w:t>
      </w:r>
    </w:p>
    <w:p w:rsidR="00A47BE1" w:rsidRPr="0064234E" w:rsidRDefault="00A47BE1" w:rsidP="007B0488">
      <w:pPr>
        <w:pStyle w:val="Heading2"/>
        <w:widowControl/>
      </w:pPr>
      <w:bookmarkStart w:id="197" w:name="_Toc357766154"/>
      <w:bookmarkStart w:id="198" w:name="_Toc357766226"/>
      <w:bookmarkStart w:id="199" w:name="_Toc357801016"/>
      <w:bookmarkStart w:id="200" w:name="_Toc357801080"/>
      <w:bookmarkStart w:id="201" w:name="_Toc360525960"/>
      <w:bookmarkStart w:id="202" w:name="_Toc360797632"/>
      <w:bookmarkStart w:id="203" w:name="_Toc361136995"/>
      <w:bookmarkStart w:id="204" w:name="_Toc361153057"/>
      <w:bookmarkStart w:id="205" w:name="_Toc361667815"/>
      <w:bookmarkStart w:id="206" w:name="_Toc346007144"/>
      <w:r w:rsidRPr="0064234E">
        <w:t>Auction Structure</w:t>
      </w:r>
      <w:bookmarkEnd w:id="197"/>
      <w:bookmarkEnd w:id="198"/>
      <w:bookmarkEnd w:id="199"/>
      <w:bookmarkEnd w:id="200"/>
      <w:bookmarkEnd w:id="201"/>
      <w:bookmarkEnd w:id="202"/>
      <w:bookmarkEnd w:id="203"/>
      <w:bookmarkEnd w:id="204"/>
      <w:bookmarkEnd w:id="205"/>
    </w:p>
    <w:p w:rsidR="00577ED5" w:rsidRPr="0064234E" w:rsidRDefault="008D48C9" w:rsidP="007B0488">
      <w:pPr>
        <w:pStyle w:val="Heading3"/>
        <w:widowControl/>
      </w:pPr>
      <w:bookmarkStart w:id="207" w:name="_Toc357766155"/>
      <w:bookmarkStart w:id="208" w:name="_Toc357766227"/>
      <w:bookmarkStart w:id="209" w:name="_Toc357801017"/>
      <w:bookmarkStart w:id="210" w:name="_Toc357801081"/>
      <w:bookmarkStart w:id="211" w:name="_Toc360525961"/>
      <w:bookmarkStart w:id="212" w:name="_Toc360797633"/>
      <w:bookmarkStart w:id="213" w:name="_Toc361136996"/>
      <w:bookmarkStart w:id="214" w:name="_Toc361153058"/>
      <w:bookmarkStart w:id="215" w:name="_Toc361667816"/>
      <w:r w:rsidRPr="0064234E">
        <w:t>Bidding Rounds</w:t>
      </w:r>
      <w:bookmarkEnd w:id="206"/>
      <w:bookmarkEnd w:id="207"/>
      <w:bookmarkEnd w:id="208"/>
      <w:bookmarkEnd w:id="209"/>
      <w:bookmarkEnd w:id="210"/>
      <w:bookmarkEnd w:id="211"/>
      <w:bookmarkEnd w:id="212"/>
      <w:bookmarkEnd w:id="213"/>
      <w:bookmarkEnd w:id="214"/>
      <w:bookmarkEnd w:id="215"/>
      <w:r w:rsidR="00577ED5" w:rsidRPr="0064234E">
        <w:t xml:space="preserve">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77ED5" w:rsidRPr="0064234E" w:rsidRDefault="008E1062" w:rsidP="007B0488">
      <w:pPr>
        <w:pStyle w:val="ParaNum0"/>
        <w:widowControl/>
        <w:rPr>
          <w:szCs w:val="22"/>
        </w:rPr>
      </w:pPr>
      <w:r w:rsidRPr="0064234E">
        <w:t xml:space="preserve">Under our proposal to use an SMR format, </w:t>
      </w:r>
      <w:r w:rsidR="00F87C05" w:rsidRPr="0064234E">
        <w:t>Auction 96</w:t>
      </w:r>
      <w:r w:rsidR="00011103" w:rsidRPr="0064234E">
        <w:t xml:space="preserve"> will consist of sequential bidding rounds.  The initial bidding schedule will be announced in a public notice to be released at least one week before the start of the auction.</w:t>
      </w:r>
    </w:p>
    <w:p w:rsidR="00577ED5" w:rsidRPr="0064234E" w:rsidRDefault="00011103" w:rsidP="007B0488">
      <w:pPr>
        <w:pStyle w:val="ParaNum0"/>
        <w:widowControl/>
      </w:pPr>
      <w:r w:rsidRPr="0064234E">
        <w:t xml:space="preserve">The Commission will conduct </w:t>
      </w:r>
      <w:r w:rsidR="00F87C05" w:rsidRPr="0064234E">
        <w:t>Auction 96</w:t>
      </w:r>
      <w:r w:rsidRPr="0064234E">
        <w:t xml:space="preserve"> over the Internet using the FCC Auction System.  Bidders will also have the option of placing bids by telephone through a dedicated</w:t>
      </w:r>
      <w:r w:rsidR="006D43BD" w:rsidRPr="0064234E">
        <w:t>, toll-free</w:t>
      </w:r>
      <w:r w:rsidRPr="0064234E">
        <w:t xml:space="preserve"> Auction Bidder Line.  The toll-free telephone number for the Auction Bidder Line will be provided to qualified bidders prior to the start of the auction.</w:t>
      </w:r>
      <w:r w:rsidR="00577ED5" w:rsidRPr="0064234E">
        <w:t xml:space="preserve">  </w:t>
      </w:r>
    </w:p>
    <w:p w:rsidR="00577ED5" w:rsidRPr="0064234E" w:rsidRDefault="00011103" w:rsidP="007B0488">
      <w:pPr>
        <w:pStyle w:val="ParaNum0"/>
        <w:widowControl/>
      </w:pPr>
      <w:r w:rsidRPr="0064234E">
        <w:t>The Bureau proposes to retain the discretion to change the bidding schedule in order to foster an auction pace that reasonably balances speed with the bidders’ need to study round results and adjust their bidding strategies.  Under this proposal, the Bureau may change the amount of time for bidding rounds, the amount of time between rounds, or the number of rounds per day, depending upon bidding activity and other factors.  The Bureau seeks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577ED5" w:rsidRPr="0064234E" w:rsidRDefault="00577ED5" w:rsidP="007B0488">
      <w:pPr>
        <w:pStyle w:val="Heading3"/>
        <w:widowControl/>
      </w:pPr>
      <w:bookmarkStart w:id="216" w:name="_Toc150843254"/>
      <w:bookmarkStart w:id="217" w:name="_Toc150843321"/>
      <w:bookmarkStart w:id="218" w:name="_Toc150843518"/>
      <w:bookmarkStart w:id="219" w:name="_Toc150843631"/>
      <w:bookmarkStart w:id="220" w:name="_Toc150843706"/>
      <w:bookmarkStart w:id="221" w:name="_Toc150857301"/>
      <w:bookmarkStart w:id="222" w:name="_Toc151201044"/>
      <w:bookmarkStart w:id="223" w:name="_Toc153165394"/>
      <w:bookmarkStart w:id="224" w:name="_Toc153190405"/>
      <w:bookmarkStart w:id="225" w:name="_Toc190859714"/>
      <w:bookmarkStart w:id="226" w:name="_Toc190867591"/>
      <w:bookmarkStart w:id="227" w:name="_Toc191282384"/>
      <w:bookmarkStart w:id="228" w:name="_Toc191296791"/>
      <w:bookmarkStart w:id="229" w:name="_Toc203461493"/>
      <w:bookmarkStart w:id="230" w:name="_Toc214427389"/>
      <w:bookmarkStart w:id="231" w:name="_Toc252353634"/>
      <w:bookmarkStart w:id="232" w:name="_Toc252456323"/>
      <w:bookmarkStart w:id="233" w:name="_Toc252881321"/>
      <w:bookmarkStart w:id="234" w:name="_Toc266452580"/>
      <w:bookmarkStart w:id="235" w:name="_Toc267580109"/>
      <w:bookmarkStart w:id="236" w:name="_Toc268005354"/>
      <w:bookmarkStart w:id="237" w:name="_Toc268513858"/>
      <w:bookmarkStart w:id="238" w:name="_Toc271880873"/>
      <w:bookmarkStart w:id="239" w:name="_Toc272760373"/>
      <w:bookmarkStart w:id="240" w:name="_Toc303331686"/>
      <w:bookmarkStart w:id="241" w:name="_Toc334798937"/>
      <w:bookmarkStart w:id="242" w:name="_Toc346007145"/>
      <w:bookmarkStart w:id="243" w:name="_Toc357766156"/>
      <w:bookmarkStart w:id="244" w:name="_Toc357766228"/>
      <w:bookmarkStart w:id="245" w:name="_Toc357801018"/>
      <w:bookmarkStart w:id="246" w:name="_Toc357801082"/>
      <w:bookmarkStart w:id="247" w:name="_Toc360525962"/>
      <w:bookmarkStart w:id="248" w:name="_Toc360797634"/>
      <w:bookmarkStart w:id="249" w:name="_Toc361136997"/>
      <w:bookmarkStart w:id="250" w:name="_Toc361153059"/>
      <w:bookmarkStart w:id="251" w:name="_Toc361667817"/>
      <w:r w:rsidRPr="0064234E">
        <w:t>Stopping Rule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577ED5" w:rsidRPr="0064234E" w:rsidRDefault="00011103" w:rsidP="007B0488">
      <w:pPr>
        <w:pStyle w:val="ParaNum0"/>
        <w:widowControl/>
      </w:pPr>
      <w:r w:rsidRPr="0064234E">
        <w:t>The Bureau</w:t>
      </w:r>
      <w:r w:rsidR="00577ED5" w:rsidRPr="0064234E">
        <w:t xml:space="preserve"> ha</w:t>
      </w:r>
      <w:r w:rsidRPr="0064234E">
        <w:t>s</w:t>
      </w:r>
      <w:r w:rsidR="00577ED5" w:rsidRPr="0064234E">
        <w:t xml:space="preserve"> discretion to establish stopping rules before or during multiple round auctions in order to complete the auction within a reasonable time.</w:t>
      </w:r>
      <w:r w:rsidR="00577ED5" w:rsidRPr="0064234E">
        <w:rPr>
          <w:rStyle w:val="FootnoteReference"/>
        </w:rPr>
        <w:footnoteReference w:id="27"/>
      </w:r>
      <w:r w:rsidR="00577ED5" w:rsidRPr="0064234E">
        <w:t xml:space="preserve">  For </w:t>
      </w:r>
      <w:r w:rsidR="00F87C05" w:rsidRPr="0064234E">
        <w:t>Auction 96</w:t>
      </w:r>
      <w:r w:rsidR="00577ED5" w:rsidRPr="0064234E">
        <w:t xml:space="preserve">, </w:t>
      </w:r>
      <w:r w:rsidR="00E13DE2" w:rsidRPr="0064234E">
        <w:t xml:space="preserve">under our SMR proposal, </w:t>
      </w:r>
      <w:r w:rsidR="00577ED5" w:rsidRPr="0064234E">
        <w:t>we propose to employ a simultaneous stopping rule approach</w:t>
      </w:r>
      <w:r w:rsidR="004566D9" w:rsidRPr="0064234E">
        <w:t>.</w:t>
      </w:r>
      <w:r w:rsidR="00577ED5" w:rsidRPr="0064234E">
        <w:t xml:space="preserve"> </w:t>
      </w:r>
      <w:r w:rsidR="00852B93" w:rsidRPr="0064234E">
        <w:t>Using a</w:t>
      </w:r>
      <w:r w:rsidR="004566D9" w:rsidRPr="0064234E">
        <w:t xml:space="preserve"> simultaneous stopping rule</w:t>
      </w:r>
      <w:r w:rsidR="00577ED5" w:rsidRPr="0064234E">
        <w:t xml:space="preserve"> means all </w:t>
      </w:r>
      <w:r w:rsidRPr="0064234E">
        <w:t>licenses</w:t>
      </w:r>
      <w:r w:rsidR="00577ED5" w:rsidRPr="0064234E">
        <w:t xml:space="preserve"> </w:t>
      </w:r>
      <w:r w:rsidR="003D28FB" w:rsidRPr="0064234E">
        <w:t xml:space="preserve"> </w:t>
      </w:r>
      <w:r w:rsidR="00577ED5" w:rsidRPr="0064234E">
        <w:t xml:space="preserve">remain available for bidding until bidding stops on every </w:t>
      </w:r>
      <w:r w:rsidRPr="0064234E">
        <w:t>license</w:t>
      </w:r>
      <w:r w:rsidR="00577ED5" w:rsidRPr="0064234E">
        <w:t xml:space="preserve">.  More specifically, bidding will close on all </w:t>
      </w:r>
      <w:r w:rsidRPr="0064234E">
        <w:t>licenses</w:t>
      </w:r>
      <w:r w:rsidR="00577ED5" w:rsidRPr="0064234E">
        <w:t xml:space="preserve"> </w:t>
      </w:r>
      <w:r w:rsidR="00B05F79" w:rsidRPr="0064234E">
        <w:t xml:space="preserve">and packages </w:t>
      </w:r>
      <w:r w:rsidR="00577ED5" w:rsidRPr="0064234E">
        <w:t>after the first round in which no bidder submits any new bids, applies a proactive waiver, or withdraws any provisionally winning bids</w:t>
      </w:r>
      <w:r w:rsidR="008E1062" w:rsidRPr="0064234E">
        <w:t xml:space="preserve"> (if withdrawals are permitted)</w:t>
      </w:r>
      <w:r w:rsidR="00577ED5" w:rsidRPr="0064234E">
        <w:t>.</w:t>
      </w:r>
      <w:r w:rsidR="00577ED5" w:rsidRPr="0064234E">
        <w:rPr>
          <w:rStyle w:val="FootnoteReference"/>
        </w:rPr>
        <w:footnoteReference w:id="28"/>
      </w:r>
      <w:r w:rsidR="00577ED5" w:rsidRPr="0064234E">
        <w:t xml:space="preserve">  Thus, </w:t>
      </w:r>
      <w:r w:rsidR="008E1062" w:rsidRPr="0064234E">
        <w:t xml:space="preserve">under our SMR proposal, </w:t>
      </w:r>
      <w:r w:rsidR="00577ED5" w:rsidRPr="0064234E">
        <w:t xml:space="preserve">unless we announce alternative </w:t>
      </w:r>
      <w:r w:rsidR="004566D9" w:rsidRPr="0064234E">
        <w:t xml:space="preserve">stopping </w:t>
      </w:r>
      <w:r w:rsidR="00577ED5" w:rsidRPr="0064234E">
        <w:t xml:space="preserve">procedures, the simultaneous stopping rule will be used in this auction, and bidding will remain open on all </w:t>
      </w:r>
      <w:r w:rsidRPr="0064234E">
        <w:t>licenses</w:t>
      </w:r>
      <w:r w:rsidR="00577ED5" w:rsidRPr="0064234E">
        <w:t xml:space="preserve"> until bidding stops on every </w:t>
      </w:r>
      <w:r w:rsidRPr="0064234E">
        <w:t>license</w:t>
      </w:r>
      <w:r w:rsidR="00EC1C2E" w:rsidRPr="0064234E">
        <w:t>, regardless of whether bids are placed on individual licenses or packages of licenses.</w:t>
      </w:r>
      <w:r w:rsidR="00577ED5" w:rsidRPr="0064234E">
        <w:t xml:space="preserve">  Consequently, it is not possible to determine in advance how long </w:t>
      </w:r>
      <w:r w:rsidR="00F87C05" w:rsidRPr="0064234E">
        <w:t>Auction 96</w:t>
      </w:r>
      <w:r w:rsidR="004566D9" w:rsidRPr="0064234E">
        <w:t xml:space="preserve"> </w:t>
      </w:r>
      <w:r w:rsidR="00577ED5" w:rsidRPr="0064234E">
        <w:t>will last.</w:t>
      </w:r>
    </w:p>
    <w:p w:rsidR="00577ED5" w:rsidRPr="0064234E" w:rsidRDefault="00577ED5" w:rsidP="007B0488">
      <w:pPr>
        <w:pStyle w:val="ParaNum0"/>
        <w:widowControl/>
      </w:pPr>
      <w:r w:rsidRPr="0064234E">
        <w:t xml:space="preserve">Further, we propose to retain the discretion to exercise any of the following options during </w:t>
      </w:r>
      <w:r w:rsidR="00F87C05" w:rsidRPr="0064234E">
        <w:t>Auction 96</w:t>
      </w:r>
      <w:r w:rsidRPr="0064234E">
        <w:t xml:space="preserve">: </w:t>
      </w:r>
    </w:p>
    <w:p w:rsidR="008E1062" w:rsidRPr="0064234E" w:rsidRDefault="00577ED5" w:rsidP="0064234E">
      <w:pPr>
        <w:pStyle w:val="ListParagraph"/>
        <w:widowControl/>
        <w:numPr>
          <w:ilvl w:val="0"/>
          <w:numId w:val="39"/>
        </w:numPr>
        <w:suppressAutoHyphens/>
        <w:spacing w:after="240"/>
        <w:contextualSpacing w:val="0"/>
        <w:rPr>
          <w:szCs w:val="22"/>
        </w:rPr>
      </w:pPr>
      <w:r w:rsidRPr="0064234E">
        <w:rPr>
          <w:szCs w:val="22"/>
        </w:rPr>
        <w:t>Use a modified version of the simultaneous stopping rule</w:t>
      </w:r>
      <w:r w:rsidR="004566D9" w:rsidRPr="0064234E">
        <w:rPr>
          <w:szCs w:val="22"/>
        </w:rPr>
        <w:t>.  The modified stopping rule</w:t>
      </w:r>
      <w:r w:rsidRPr="0064234E">
        <w:rPr>
          <w:szCs w:val="22"/>
        </w:rPr>
        <w:t xml:space="preserve"> would close the auction for all </w:t>
      </w:r>
      <w:r w:rsidR="00011103" w:rsidRPr="0064234E">
        <w:rPr>
          <w:szCs w:val="22"/>
        </w:rPr>
        <w:t>licenses</w:t>
      </w:r>
      <w:r w:rsidRPr="0064234E">
        <w:rPr>
          <w:szCs w:val="22"/>
        </w:rPr>
        <w:t xml:space="preserve"> after the first round in which no bidder applies a waiver, withdraws a provisionally winning bid, or places any new bids on a </w:t>
      </w:r>
      <w:r w:rsidR="00011103" w:rsidRPr="0064234E">
        <w:rPr>
          <w:szCs w:val="22"/>
        </w:rPr>
        <w:t>license</w:t>
      </w:r>
      <w:r w:rsidRPr="0064234E">
        <w:rPr>
          <w:szCs w:val="22"/>
        </w:rPr>
        <w:t xml:space="preserve"> </w:t>
      </w:r>
      <w:r w:rsidR="00B05F79" w:rsidRPr="0064234E">
        <w:rPr>
          <w:szCs w:val="22"/>
        </w:rPr>
        <w:t xml:space="preserve">or package </w:t>
      </w:r>
      <w:r w:rsidRPr="0064234E">
        <w:rPr>
          <w:szCs w:val="22"/>
        </w:rPr>
        <w:t xml:space="preserve">for which it is not the provisionally winning bidder.  Thus, absent any other bidding activity, a bidder placing a new bid on a </w:t>
      </w:r>
      <w:r w:rsidR="00011103" w:rsidRPr="0064234E">
        <w:rPr>
          <w:szCs w:val="22"/>
        </w:rPr>
        <w:t>license</w:t>
      </w:r>
      <w:r w:rsidRPr="0064234E">
        <w:rPr>
          <w:szCs w:val="22"/>
        </w:rPr>
        <w:t xml:space="preserve"> </w:t>
      </w:r>
      <w:r w:rsidR="00B05F79" w:rsidRPr="0064234E">
        <w:rPr>
          <w:szCs w:val="22"/>
        </w:rPr>
        <w:t xml:space="preserve">or package </w:t>
      </w:r>
      <w:r w:rsidRPr="0064234E">
        <w:rPr>
          <w:szCs w:val="22"/>
        </w:rPr>
        <w:t xml:space="preserve">for which it is the provisionally winning bidder would not keep the auction open under this modified stopping rule.  </w:t>
      </w:r>
    </w:p>
    <w:p w:rsidR="00577ED5" w:rsidRPr="0064234E" w:rsidRDefault="00EA2BE6" w:rsidP="0064234E">
      <w:pPr>
        <w:pStyle w:val="ListParagraph"/>
        <w:widowControl/>
        <w:numPr>
          <w:ilvl w:val="0"/>
          <w:numId w:val="39"/>
        </w:numPr>
        <w:suppressAutoHyphens/>
        <w:spacing w:after="240"/>
        <w:contextualSpacing w:val="0"/>
        <w:rPr>
          <w:szCs w:val="22"/>
        </w:rPr>
      </w:pPr>
      <w:bookmarkStart w:id="252" w:name="OLE_LINK5"/>
      <w:bookmarkStart w:id="253" w:name="OLE_LINK6"/>
      <w:r w:rsidRPr="0064234E">
        <w:rPr>
          <w:szCs w:val="22"/>
        </w:rPr>
        <w:t>Use</w:t>
      </w:r>
      <w:r w:rsidR="00577ED5" w:rsidRPr="0064234E">
        <w:rPr>
          <w:szCs w:val="22"/>
        </w:rPr>
        <w:t xml:space="preserve"> a modified version of the simultaneous stopping rule that </w:t>
      </w:r>
      <w:bookmarkEnd w:id="252"/>
      <w:bookmarkEnd w:id="253"/>
      <w:r w:rsidR="00577ED5" w:rsidRPr="0064234E">
        <w:rPr>
          <w:szCs w:val="22"/>
        </w:rPr>
        <w:t xml:space="preserve">would close the auction for all </w:t>
      </w:r>
      <w:r w:rsidR="00011103" w:rsidRPr="0064234E">
        <w:rPr>
          <w:szCs w:val="22"/>
        </w:rPr>
        <w:t>licenses</w:t>
      </w:r>
      <w:r w:rsidR="00577ED5" w:rsidRPr="0064234E">
        <w:rPr>
          <w:szCs w:val="22"/>
        </w:rPr>
        <w:t xml:space="preserve"> after the first round in which no bidder applies a waiver, withdraws a provisionally winning bid, or places any new bids on a </w:t>
      </w:r>
      <w:r w:rsidR="00011103" w:rsidRPr="0064234E">
        <w:rPr>
          <w:szCs w:val="22"/>
        </w:rPr>
        <w:t>license</w:t>
      </w:r>
      <w:r w:rsidR="00577ED5" w:rsidRPr="0064234E">
        <w:rPr>
          <w:szCs w:val="22"/>
        </w:rPr>
        <w:t xml:space="preserve"> </w:t>
      </w:r>
      <w:r w:rsidR="0048380E" w:rsidRPr="0064234E">
        <w:rPr>
          <w:szCs w:val="22"/>
        </w:rPr>
        <w:t xml:space="preserve">or package </w:t>
      </w:r>
      <w:r w:rsidR="00577ED5" w:rsidRPr="0064234E">
        <w:rPr>
          <w:szCs w:val="22"/>
        </w:rPr>
        <w:t>that is not FCC</w:t>
      </w:r>
      <w:r w:rsidR="00477ADF">
        <w:rPr>
          <w:szCs w:val="22"/>
        </w:rPr>
        <w:t>-</w:t>
      </w:r>
      <w:r w:rsidR="00577ED5" w:rsidRPr="0064234E">
        <w:rPr>
          <w:szCs w:val="22"/>
        </w:rPr>
        <w:t xml:space="preserve">held.  Thus, absent any other bidding activity, a bidder placing a new bid on a </w:t>
      </w:r>
      <w:r w:rsidR="00011103" w:rsidRPr="0064234E">
        <w:rPr>
          <w:szCs w:val="22"/>
        </w:rPr>
        <w:t>license</w:t>
      </w:r>
      <w:r w:rsidR="00577ED5" w:rsidRPr="0064234E">
        <w:rPr>
          <w:szCs w:val="22"/>
        </w:rPr>
        <w:t xml:space="preserve"> that does not already have a provisionally winning bid (an “FCC-held” </w:t>
      </w:r>
      <w:r w:rsidR="00011103" w:rsidRPr="0064234E">
        <w:rPr>
          <w:szCs w:val="22"/>
        </w:rPr>
        <w:t>license</w:t>
      </w:r>
      <w:r w:rsidR="00577ED5" w:rsidRPr="0064234E">
        <w:rPr>
          <w:szCs w:val="22"/>
        </w:rPr>
        <w:t xml:space="preserve">) would not keep the auction open under this modified stopping rule.  </w:t>
      </w:r>
    </w:p>
    <w:p w:rsidR="00577ED5" w:rsidRPr="0064234E" w:rsidRDefault="00577ED5" w:rsidP="0064234E">
      <w:pPr>
        <w:pStyle w:val="ListParagraph"/>
        <w:widowControl/>
        <w:numPr>
          <w:ilvl w:val="0"/>
          <w:numId w:val="39"/>
        </w:numPr>
        <w:suppressAutoHyphens/>
        <w:spacing w:after="240"/>
        <w:contextualSpacing w:val="0"/>
        <w:rPr>
          <w:szCs w:val="22"/>
        </w:rPr>
      </w:pPr>
      <w:r w:rsidRPr="0064234E">
        <w:rPr>
          <w:szCs w:val="22"/>
        </w:rPr>
        <w:t>Use a modified version of the simultaneous stopping rule that combines (a) and (b) above.</w:t>
      </w:r>
    </w:p>
    <w:p w:rsidR="00577ED5" w:rsidRPr="0064234E" w:rsidRDefault="00577ED5" w:rsidP="0064234E">
      <w:pPr>
        <w:pStyle w:val="ListParagraph"/>
        <w:widowControl/>
        <w:numPr>
          <w:ilvl w:val="0"/>
          <w:numId w:val="39"/>
        </w:numPr>
        <w:suppressAutoHyphens/>
        <w:spacing w:after="240"/>
        <w:contextualSpacing w:val="0"/>
        <w:rPr>
          <w:szCs w:val="22"/>
        </w:rPr>
      </w:pPr>
      <w:r w:rsidRPr="0064234E">
        <w:rPr>
          <w:szCs w:val="22"/>
        </w:rPr>
        <w:t xml:space="preserve">Declare </w:t>
      </w:r>
      <w:r w:rsidR="004566D9" w:rsidRPr="0064234E">
        <w:rPr>
          <w:szCs w:val="22"/>
        </w:rPr>
        <w:t xml:space="preserve">that </w:t>
      </w:r>
      <w:r w:rsidRPr="0064234E">
        <w:rPr>
          <w:szCs w:val="22"/>
        </w:rPr>
        <w:t>the auction will end after a specified number of additional rounds (“special stopping rule”).  If the Bureau invoke</w:t>
      </w:r>
      <w:r w:rsidR="00011103" w:rsidRPr="0064234E">
        <w:rPr>
          <w:szCs w:val="22"/>
        </w:rPr>
        <w:t>s</w:t>
      </w:r>
      <w:r w:rsidRPr="0064234E">
        <w:rPr>
          <w:szCs w:val="22"/>
        </w:rPr>
        <w:t xml:space="preserve"> this special stopping rule, </w:t>
      </w:r>
      <w:r w:rsidR="00011103" w:rsidRPr="0064234E">
        <w:rPr>
          <w:szCs w:val="22"/>
        </w:rPr>
        <w:t>it</w:t>
      </w:r>
      <w:r w:rsidRPr="0064234E">
        <w:rPr>
          <w:szCs w:val="22"/>
        </w:rPr>
        <w:t xml:space="preserve"> will accept bids in the specified final round(s), after which the auction will close. </w:t>
      </w:r>
    </w:p>
    <w:p w:rsidR="00577ED5" w:rsidRPr="0064234E" w:rsidRDefault="00577ED5" w:rsidP="007B0488">
      <w:pPr>
        <w:pStyle w:val="ListParagraph"/>
        <w:widowControl/>
        <w:numPr>
          <w:ilvl w:val="0"/>
          <w:numId w:val="39"/>
        </w:numPr>
        <w:suppressAutoHyphens/>
        <w:spacing w:after="240"/>
        <w:contextualSpacing w:val="0"/>
        <w:rPr>
          <w:szCs w:val="22"/>
        </w:rPr>
      </w:pPr>
      <w:r w:rsidRPr="0064234E">
        <w:rPr>
          <w:szCs w:val="22"/>
        </w:rPr>
        <w:t xml:space="preserve">Keep the auction open even if no bidder places any new bids, applies a waiver, or withdraws </w:t>
      </w:r>
      <w:r w:rsidR="00FE3FCC" w:rsidRPr="0064234E">
        <w:rPr>
          <w:szCs w:val="22"/>
        </w:rPr>
        <w:t xml:space="preserve">(if withdrawals are permitted) </w:t>
      </w:r>
      <w:r w:rsidRPr="0064234E">
        <w:rPr>
          <w:szCs w:val="22"/>
        </w:rPr>
        <w:t xml:space="preserve">any provisionally winning bids.  In this event, the effect will be the same as if a bidder had applied a waiver.  The activity rule will apply as usual, and a bidder with insufficient activity will either lose bidding eligibility or use a waiver. </w:t>
      </w:r>
    </w:p>
    <w:p w:rsidR="00577ED5" w:rsidRPr="0064234E" w:rsidRDefault="00577ED5" w:rsidP="007B0488">
      <w:pPr>
        <w:pStyle w:val="ParaNum0"/>
        <w:widowControl/>
        <w:rPr>
          <w:szCs w:val="22"/>
        </w:rPr>
      </w:pPr>
      <w:r w:rsidRPr="0064234E">
        <w:t>We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we are likely to attempt to change the pace of the auction</w:t>
      </w:r>
      <w:r w:rsidR="004566D9" w:rsidRPr="0064234E">
        <w:t xml:space="preserve"> by,</w:t>
      </w:r>
      <w:r w:rsidRPr="0064234E">
        <w:t xml:space="preserve"> </w:t>
      </w:r>
      <w:r w:rsidR="004566D9" w:rsidRPr="0064234E">
        <w:t>f</w:t>
      </w:r>
      <w:r w:rsidRPr="0064234E">
        <w:t>or example, changing the number of bidding rounds per day and/or the minimum acceptable bids.  We propose to retain the discretion to exercise any of these options with or without prior announcement during the auction.  We seek comment on these proposals.</w:t>
      </w:r>
    </w:p>
    <w:p w:rsidR="00577ED5" w:rsidRPr="0064234E" w:rsidRDefault="00577ED5" w:rsidP="007B0488">
      <w:pPr>
        <w:pStyle w:val="Heading3"/>
        <w:widowControl/>
      </w:pPr>
      <w:bookmarkStart w:id="254" w:name="_Toc150843255"/>
      <w:bookmarkStart w:id="255" w:name="_Toc150843322"/>
      <w:bookmarkStart w:id="256" w:name="_Toc150843519"/>
      <w:bookmarkStart w:id="257" w:name="_Toc150843632"/>
      <w:bookmarkStart w:id="258" w:name="_Toc150843707"/>
      <w:bookmarkStart w:id="259" w:name="_Toc150857302"/>
      <w:bookmarkStart w:id="260" w:name="_Toc151201045"/>
      <w:bookmarkStart w:id="261" w:name="_Toc153165395"/>
      <w:bookmarkStart w:id="262" w:name="_Toc153190406"/>
      <w:bookmarkStart w:id="263" w:name="_Toc190859715"/>
      <w:bookmarkStart w:id="264" w:name="_Toc190867592"/>
      <w:bookmarkStart w:id="265" w:name="_Toc191282385"/>
      <w:bookmarkStart w:id="266" w:name="_Toc191296792"/>
      <w:bookmarkStart w:id="267" w:name="_Toc203461494"/>
      <w:bookmarkStart w:id="268" w:name="_Toc214427390"/>
      <w:bookmarkStart w:id="269" w:name="_Toc252353635"/>
      <w:bookmarkStart w:id="270" w:name="_Toc252456324"/>
      <w:bookmarkStart w:id="271" w:name="_Toc252881322"/>
      <w:bookmarkStart w:id="272" w:name="_Toc266452581"/>
      <w:bookmarkStart w:id="273" w:name="_Toc267580110"/>
      <w:bookmarkStart w:id="274" w:name="_Toc268005355"/>
      <w:bookmarkStart w:id="275" w:name="_Toc268513859"/>
      <w:bookmarkStart w:id="276" w:name="_Toc271880874"/>
      <w:bookmarkStart w:id="277" w:name="_Toc272760374"/>
      <w:bookmarkStart w:id="278" w:name="_Toc303331687"/>
      <w:bookmarkStart w:id="279" w:name="_Toc334798938"/>
      <w:bookmarkStart w:id="280" w:name="_Toc346007146"/>
      <w:bookmarkStart w:id="281" w:name="_Toc357766157"/>
      <w:bookmarkStart w:id="282" w:name="_Toc357766229"/>
      <w:bookmarkStart w:id="283" w:name="_Toc357801019"/>
      <w:bookmarkStart w:id="284" w:name="_Toc357801083"/>
      <w:bookmarkStart w:id="285" w:name="_Toc360525963"/>
      <w:bookmarkStart w:id="286" w:name="_Toc360797635"/>
      <w:bookmarkStart w:id="287" w:name="_Toc361136998"/>
      <w:bookmarkStart w:id="288" w:name="_Toc361153060"/>
      <w:bookmarkStart w:id="289" w:name="_Toc361667818"/>
      <w:r w:rsidRPr="0064234E">
        <w:t>Information Relating to Auction Delay, Suspension, or Cancellation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577ED5" w:rsidRPr="0064234E" w:rsidRDefault="00577ED5" w:rsidP="007B0488">
      <w:pPr>
        <w:pStyle w:val="ParaNum0"/>
        <w:widowControl/>
      </w:pPr>
      <w:r w:rsidRPr="0064234E">
        <w:t xml:space="preserve">For </w:t>
      </w:r>
      <w:r w:rsidR="00F87C05" w:rsidRPr="0064234E">
        <w:t>Auction 96</w:t>
      </w:r>
      <w:r w:rsidRPr="0064234E">
        <w:t>, we propose that the Bureau may delay, suspend, or cancel the auction in the event of a natural disaster, technical obstacle, administrative or weather necessity, evidence of an auction security breach or unlawful bidding activity, or for any other reason that affects the fair and efficient conduct of competitive bidding.</w:t>
      </w:r>
      <w:r w:rsidRPr="0064234E">
        <w:rPr>
          <w:rStyle w:val="FootnoteReference"/>
        </w:rPr>
        <w:footnoteReference w:id="29"/>
      </w:r>
      <w:r w:rsidRPr="0064234E">
        <w:t xml:space="preserve">  We will notify participants of any such delay, suspension or cancellation by public notice and/or through the </w:t>
      </w:r>
      <w:r w:rsidRPr="0064234E">
        <w:rPr>
          <w:szCs w:val="22"/>
        </w:rPr>
        <w:t>FCC Auction System</w:t>
      </w:r>
      <w:r w:rsidRPr="0064234E">
        <w:t xml:space="preserve">’s announcement function.  If the auction is delayed or suspended, we may, in our sole discretion, elect to resume the auction starting from the beginning of the current round or from some previous round, or cancel the auction in its entirety.  Network interruption may cause the Bureau to delay or suspend the auction.  We emphasize that we will exercise this authority solely at our discretion, and </w:t>
      </w:r>
      <w:r w:rsidR="006020AA" w:rsidRPr="0064234E">
        <w:t xml:space="preserve">note that the exercise of our authority in this regard is </w:t>
      </w:r>
      <w:r w:rsidRPr="0064234E">
        <w:t xml:space="preserve">not </w:t>
      </w:r>
      <w:r w:rsidR="006020AA" w:rsidRPr="0064234E">
        <w:t>intended to be</w:t>
      </w:r>
      <w:r w:rsidRPr="0064234E">
        <w:t xml:space="preserve"> a substitute for situations in which bidders may wish to apply their activity rule waivers.  We seek comment on this proposal.</w:t>
      </w:r>
    </w:p>
    <w:p w:rsidR="00577ED5" w:rsidRPr="0064234E" w:rsidRDefault="00577ED5" w:rsidP="007B0488">
      <w:pPr>
        <w:pStyle w:val="Heading2"/>
        <w:widowControl/>
      </w:pPr>
      <w:bookmarkStart w:id="290" w:name="_Toc150843256"/>
      <w:bookmarkStart w:id="291" w:name="_Toc150843323"/>
      <w:bookmarkStart w:id="292" w:name="_Toc150843520"/>
      <w:bookmarkStart w:id="293" w:name="_Toc150843633"/>
      <w:bookmarkStart w:id="294" w:name="_Toc150843708"/>
      <w:bookmarkStart w:id="295" w:name="_Toc150857303"/>
      <w:bookmarkStart w:id="296" w:name="_Toc151201046"/>
      <w:bookmarkStart w:id="297" w:name="_Toc153165396"/>
      <w:bookmarkStart w:id="298" w:name="_Toc153190407"/>
      <w:bookmarkStart w:id="299" w:name="_Toc190859716"/>
      <w:bookmarkStart w:id="300" w:name="_Toc190867593"/>
      <w:bookmarkStart w:id="301" w:name="_Toc191282386"/>
      <w:bookmarkStart w:id="302" w:name="_Toc191296793"/>
      <w:bookmarkStart w:id="303" w:name="_Toc203461495"/>
      <w:bookmarkStart w:id="304" w:name="_Toc214427391"/>
      <w:bookmarkStart w:id="305" w:name="_Toc252353636"/>
      <w:bookmarkStart w:id="306" w:name="_Toc252456325"/>
      <w:bookmarkStart w:id="307" w:name="_Toc252881323"/>
      <w:bookmarkStart w:id="308" w:name="_Toc266452582"/>
      <w:bookmarkStart w:id="309" w:name="_Toc267580111"/>
      <w:bookmarkStart w:id="310" w:name="_Toc268005356"/>
      <w:bookmarkStart w:id="311" w:name="_Toc268513860"/>
      <w:bookmarkStart w:id="312" w:name="_Toc271880875"/>
      <w:bookmarkStart w:id="313" w:name="_Toc272760375"/>
      <w:bookmarkStart w:id="314" w:name="_Toc303331688"/>
      <w:bookmarkStart w:id="315" w:name="_Toc334798939"/>
      <w:bookmarkStart w:id="316" w:name="_Toc346007147"/>
      <w:bookmarkStart w:id="317" w:name="_Toc357766158"/>
      <w:bookmarkStart w:id="318" w:name="_Toc357766230"/>
      <w:bookmarkStart w:id="319" w:name="_Toc357801020"/>
      <w:bookmarkStart w:id="320" w:name="_Toc357801084"/>
      <w:bookmarkStart w:id="321" w:name="_Toc360525964"/>
      <w:bookmarkStart w:id="322" w:name="_Toc360797636"/>
      <w:bookmarkStart w:id="323" w:name="_Toc361136999"/>
      <w:bookmarkStart w:id="324" w:name="_Toc361153061"/>
      <w:bookmarkStart w:id="325" w:name="_Toc361667819"/>
      <w:r w:rsidRPr="0064234E">
        <w:t>Auction P</w:t>
      </w:r>
      <w:bookmarkEnd w:id="290"/>
      <w:bookmarkEnd w:id="291"/>
      <w:bookmarkEnd w:id="292"/>
      <w:bookmarkEnd w:id="293"/>
      <w:bookmarkEnd w:id="294"/>
      <w:bookmarkEnd w:id="295"/>
      <w:r w:rsidRPr="0064234E">
        <w:t>rocedures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577ED5" w:rsidRPr="0064234E" w:rsidRDefault="00577ED5" w:rsidP="007B0488">
      <w:pPr>
        <w:pStyle w:val="Heading3"/>
        <w:widowControl/>
      </w:pPr>
      <w:bookmarkStart w:id="326" w:name="_Toc150843257"/>
      <w:bookmarkStart w:id="327" w:name="_Toc150843324"/>
      <w:bookmarkStart w:id="328" w:name="_Toc150843521"/>
      <w:bookmarkStart w:id="329" w:name="_Toc150843634"/>
      <w:bookmarkStart w:id="330" w:name="_Toc150843709"/>
      <w:bookmarkStart w:id="331" w:name="_Toc150857304"/>
      <w:bookmarkStart w:id="332" w:name="_Toc151201047"/>
      <w:bookmarkStart w:id="333" w:name="_Toc153165397"/>
      <w:bookmarkStart w:id="334" w:name="_Toc153190408"/>
      <w:bookmarkStart w:id="335" w:name="_Toc190859717"/>
      <w:bookmarkStart w:id="336" w:name="_Toc190867594"/>
      <w:bookmarkStart w:id="337" w:name="_Toc191282387"/>
      <w:bookmarkStart w:id="338" w:name="_Toc191296794"/>
      <w:bookmarkStart w:id="339" w:name="_Toc203461496"/>
      <w:bookmarkStart w:id="340" w:name="_Toc214427392"/>
      <w:bookmarkStart w:id="341" w:name="_Toc252353637"/>
      <w:bookmarkStart w:id="342" w:name="_Toc252456326"/>
      <w:bookmarkStart w:id="343" w:name="_Toc252881324"/>
      <w:bookmarkStart w:id="344" w:name="_Toc266452583"/>
      <w:bookmarkStart w:id="345" w:name="_Toc267580112"/>
      <w:bookmarkStart w:id="346" w:name="_Toc268005357"/>
      <w:bookmarkStart w:id="347" w:name="_Toc268513861"/>
      <w:bookmarkStart w:id="348" w:name="_Toc271880876"/>
      <w:bookmarkStart w:id="349" w:name="_Toc272760376"/>
      <w:bookmarkStart w:id="350" w:name="_Toc303331689"/>
      <w:bookmarkStart w:id="351" w:name="_Toc334798940"/>
      <w:bookmarkStart w:id="352" w:name="_Toc346007148"/>
      <w:bookmarkStart w:id="353" w:name="_Toc357766159"/>
      <w:bookmarkStart w:id="354" w:name="_Toc357766231"/>
      <w:bookmarkStart w:id="355" w:name="_Toc357801021"/>
      <w:bookmarkStart w:id="356" w:name="_Toc357801085"/>
      <w:bookmarkStart w:id="357" w:name="_Toc360525965"/>
      <w:bookmarkStart w:id="358" w:name="_Toc360797637"/>
      <w:bookmarkStart w:id="359" w:name="_Toc361137000"/>
      <w:bookmarkStart w:id="360" w:name="_Toc361153062"/>
      <w:bookmarkStart w:id="361" w:name="_Toc361667820"/>
      <w:r w:rsidRPr="0064234E">
        <w:t>Upfront Payments and Bidding Eligibility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577ED5" w:rsidRPr="0064234E" w:rsidRDefault="0000439D" w:rsidP="007B0488">
      <w:pPr>
        <w:pStyle w:val="ParaNum0"/>
        <w:widowControl/>
        <w:rPr>
          <w:szCs w:val="22"/>
        </w:rPr>
      </w:pPr>
      <w:r w:rsidRPr="0064234E">
        <w:t>The Bureau has delegated authority and discretion to determine an appropriate upfront payment for each license being auctioned, taking into account such factors as the efficiency of the auction process and the potential value of similar licenses.</w:t>
      </w:r>
      <w:r w:rsidRPr="0064234E">
        <w:rPr>
          <w:rStyle w:val="FootnoteReference"/>
        </w:rPr>
        <w:footnoteReference w:id="30"/>
      </w:r>
      <w:r w:rsidRPr="0064234E">
        <w:t xml:space="preserve">  </w:t>
      </w:r>
      <w:r w:rsidR="00681271" w:rsidRPr="0064234E">
        <w:t>An</w:t>
      </w:r>
      <w:r w:rsidRPr="0064234E">
        <w:t xml:space="preserve"> upfront payment is a refundable deposit made by each bidder to establish </w:t>
      </w:r>
      <w:r w:rsidR="00681271" w:rsidRPr="0064234E">
        <w:t xml:space="preserve">its </w:t>
      </w:r>
      <w:r w:rsidRPr="0064234E">
        <w:t>eligibility to bid on licenses.  Upfront payments that are related to the specific licenses being auctioned protect against frivolous or insincere bidding and provide the Commission with a source of funds from which to collect payments owed at the close of the auction.</w:t>
      </w:r>
      <w:r w:rsidRPr="0064234E">
        <w:rPr>
          <w:rStyle w:val="FootnoteReference"/>
        </w:rPr>
        <w:footnoteReference w:id="31"/>
      </w:r>
      <w:r w:rsidRPr="0064234E">
        <w:t xml:space="preserve"> </w:t>
      </w:r>
      <w:r w:rsidR="00444FEE" w:rsidRPr="0064234E">
        <w:t xml:space="preserve"> For </w:t>
      </w:r>
      <w:r w:rsidR="00F87C05" w:rsidRPr="0064234E">
        <w:t>Auction 96</w:t>
      </w:r>
      <w:r w:rsidR="00444FEE" w:rsidRPr="0064234E">
        <w:t xml:space="preserve">, </w:t>
      </w:r>
      <w:r w:rsidR="0086756E" w:rsidRPr="0064234E">
        <w:t xml:space="preserve">we </w:t>
      </w:r>
      <w:r w:rsidR="00444FEE" w:rsidRPr="0064234E">
        <w:t xml:space="preserve">propose </w:t>
      </w:r>
      <w:r w:rsidR="0086756E" w:rsidRPr="0064234E">
        <w:t xml:space="preserve">to make the </w:t>
      </w:r>
      <w:r w:rsidR="00444FEE" w:rsidRPr="0064234E">
        <w:t>upfront payments equal to the proposed minimum opening bids</w:t>
      </w:r>
      <w:r w:rsidR="0086756E" w:rsidRPr="0064234E">
        <w:t>, which are established as described in Section IV.C.4.</w:t>
      </w:r>
      <w:r w:rsidR="002F6946">
        <w:t>,</w:t>
      </w:r>
      <w:r w:rsidR="0086756E" w:rsidRPr="0064234E">
        <w:t xml:space="preserve"> below</w:t>
      </w:r>
      <w:r w:rsidR="00444FEE" w:rsidRPr="0064234E">
        <w:t xml:space="preserve">. </w:t>
      </w:r>
      <w:r w:rsidRPr="0064234E">
        <w:t xml:space="preserve"> </w:t>
      </w:r>
      <w:r w:rsidR="0086756E" w:rsidRPr="0064234E">
        <w:t>The upfront payments for each license are set forth in Attachment A to this Public Notice.  We</w:t>
      </w:r>
      <w:r w:rsidRPr="0064234E">
        <w:t xml:space="preserve"> seek comment on this proposal.</w:t>
      </w:r>
    </w:p>
    <w:p w:rsidR="00577ED5" w:rsidRPr="0064234E" w:rsidRDefault="00577ED5" w:rsidP="007B0488">
      <w:pPr>
        <w:pStyle w:val="ParaNum0"/>
        <w:widowControl/>
      </w:pPr>
      <w:r w:rsidRPr="0064234E">
        <w:t>The Bureau further propose</w:t>
      </w:r>
      <w:r w:rsidR="0000439D" w:rsidRPr="0064234E">
        <w:t>s</w:t>
      </w:r>
      <w:r w:rsidRPr="0064234E">
        <w:t xml:space="preserve"> that the amount of the upfront payment submitted by a bidder will determine its initial bidding eligibility in bidding units.  We propose to assign each </w:t>
      </w:r>
      <w:r w:rsidR="0000439D" w:rsidRPr="0064234E">
        <w:t>license</w:t>
      </w:r>
      <w:r w:rsidRPr="0064234E">
        <w:t xml:space="preserve"> a specific number of bidding units, equal to one bidding unit per dollar of the upfront payment </w:t>
      </w:r>
      <w:r w:rsidR="00D72EF7" w:rsidRPr="0064234E">
        <w:t>p</w:t>
      </w:r>
      <w:r w:rsidR="003941AE" w:rsidRPr="0064234E">
        <w:t>roposed</w:t>
      </w:r>
      <w:r w:rsidR="00D72EF7" w:rsidRPr="0064234E">
        <w:t xml:space="preserve"> </w:t>
      </w:r>
      <w:r w:rsidR="0000439D" w:rsidRPr="0064234E">
        <w:t>for the license</w:t>
      </w:r>
      <w:r w:rsidRPr="0064234E">
        <w:t>.</w:t>
      </w:r>
      <w:r w:rsidR="0000439D" w:rsidRPr="0064234E">
        <w:t xml:space="preserve">  The specific bidding units for ea</w:t>
      </w:r>
      <w:r w:rsidR="00582AAB" w:rsidRPr="0064234E">
        <w:t xml:space="preserve">ch license are set forth in </w:t>
      </w:r>
      <w:r w:rsidR="0000439D" w:rsidRPr="0064234E">
        <w:t>Attachment A</w:t>
      </w:r>
      <w:r w:rsidR="00582AAB" w:rsidRPr="0064234E">
        <w:t xml:space="preserve"> to this Public Notice.</w:t>
      </w:r>
      <w:r w:rsidRPr="0064234E">
        <w:t xml:space="preserve"> </w:t>
      </w:r>
      <w:r w:rsidR="00582AAB" w:rsidRPr="0064234E">
        <w:t xml:space="preserve"> </w:t>
      </w:r>
      <w:r w:rsidRPr="0064234E">
        <w:t xml:space="preserve">The number of bidding units for a given </w:t>
      </w:r>
      <w:r w:rsidR="0000439D" w:rsidRPr="0064234E">
        <w:t>license</w:t>
      </w:r>
      <w:r w:rsidRPr="0064234E">
        <w:t xml:space="preserve"> is fixed and does not change during the auction as prices change.  </w:t>
      </w:r>
      <w:r w:rsidR="00193A9B" w:rsidRPr="0064234E">
        <w:t>A bidder’s upfront payment is not attributed to specific licenses</w:t>
      </w:r>
      <w:r w:rsidR="00F5117C" w:rsidRPr="0064234E">
        <w:t xml:space="preserve"> or packages of licenses</w:t>
      </w:r>
      <w:r w:rsidR="00193A9B" w:rsidRPr="0064234E">
        <w:t>.  Rather, a</w:t>
      </w:r>
      <w:r w:rsidRPr="0064234E">
        <w:t xml:space="preserve"> bidder may place bids on </w:t>
      </w:r>
      <w:r w:rsidR="00193A9B" w:rsidRPr="0064234E">
        <w:t>any combination of</w:t>
      </w:r>
      <w:r w:rsidRPr="0064234E">
        <w:t xml:space="preserve"> </w:t>
      </w:r>
      <w:r w:rsidR="00193A9B" w:rsidRPr="0064234E">
        <w:t xml:space="preserve">the </w:t>
      </w:r>
      <w:r w:rsidR="0000439D" w:rsidRPr="0064234E">
        <w:t>licenses</w:t>
      </w:r>
      <w:r w:rsidR="00193A9B" w:rsidRPr="0064234E">
        <w:t xml:space="preserve"> it selected on its short-form application (FCC Form 175)</w:t>
      </w:r>
      <w:r w:rsidRPr="0064234E">
        <w:t xml:space="preserve">, provided that the total number of bidding units associated with those </w:t>
      </w:r>
      <w:r w:rsidR="0000439D" w:rsidRPr="0064234E">
        <w:t>licenses</w:t>
      </w:r>
      <w:r w:rsidRPr="0064234E">
        <w:t xml:space="preserve"> does not exceed its current eligibility.  </w:t>
      </w:r>
      <w:r w:rsidR="0055750F" w:rsidRPr="0064234E">
        <w:t xml:space="preserve">Table 2 below provides an example of how this process operates.  </w:t>
      </w:r>
      <w:r w:rsidRPr="0064234E">
        <w:t xml:space="preserve">A bidder cannot increase its eligibility during the auction; it can only maintain its eligibility or decrease its eligibility.  Thus, in calculating its upfront payment amount and hence its initial bidding eligibility, an applicant must determine the </w:t>
      </w:r>
      <w:r w:rsidRPr="0064234E">
        <w:rPr>
          <w:bCs/>
        </w:rPr>
        <w:t>maximum</w:t>
      </w:r>
      <w:r w:rsidRPr="0064234E">
        <w:t xml:space="preserve"> number of bidding units on which it may wish to bid (or hold provisionally winning bids) in any single round</w:t>
      </w:r>
      <w:r w:rsidR="00E81C55" w:rsidRPr="0064234E">
        <w:t xml:space="preserve"> </w:t>
      </w:r>
      <w:r w:rsidRPr="0064234E">
        <w:t xml:space="preserve">and submit an upfront payment amount covering that total number of bidding units.  </w:t>
      </w:r>
      <w:r w:rsidRPr="0064234E">
        <w:rPr>
          <w:szCs w:val="22"/>
        </w:rPr>
        <w:t>We request comment on these proposals.</w:t>
      </w:r>
      <w:r w:rsidRPr="0064234E">
        <w:t xml:space="preserve"> </w:t>
      </w:r>
    </w:p>
    <w:p w:rsidR="0055750F" w:rsidRPr="0064234E" w:rsidRDefault="0055750F" w:rsidP="0080184E">
      <w:pPr>
        <w:pStyle w:val="ParaNum0"/>
        <w:keepNext/>
        <w:widowControl/>
        <w:numPr>
          <w:ilvl w:val="0"/>
          <w:numId w:val="0"/>
        </w:numPr>
        <w:spacing w:after="240"/>
        <w:jc w:val="center"/>
        <w:rPr>
          <w:b/>
          <w:u w:val="single"/>
        </w:rPr>
      </w:pPr>
      <w:r w:rsidRPr="0064234E">
        <w:rPr>
          <w:b/>
          <w:u w:val="single"/>
        </w:rPr>
        <w:t xml:space="preserve">Table 2: </w:t>
      </w:r>
      <w:r w:rsidRPr="0064234E">
        <w:rPr>
          <w:b/>
          <w:szCs w:val="22"/>
          <w:u w:val="single"/>
        </w:rPr>
        <w:t>Upfront Payments, Bidding Eligibility, and Bidding Flexibility</w:t>
      </w:r>
      <w:r w:rsidR="00EB50E8" w:rsidRPr="0064234E">
        <w:rPr>
          <w:b/>
          <w:szCs w:val="22"/>
          <w:u w:val="single"/>
        </w:rPr>
        <w:t xml:space="preserve"> Example</w:t>
      </w:r>
      <w:r w:rsidRPr="0064234E">
        <w:rPr>
          <w:b/>
          <w:u w:val="single"/>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150"/>
        <w:gridCol w:w="2160"/>
        <w:gridCol w:w="2340"/>
      </w:tblGrid>
      <w:tr w:rsidR="0064234E" w:rsidRPr="0064234E" w:rsidTr="00A641E8">
        <w:trPr>
          <w:cantSplit/>
          <w:trHeight w:val="269"/>
        </w:trPr>
        <w:tc>
          <w:tcPr>
            <w:tcW w:w="1890" w:type="dxa"/>
            <w:tcBorders>
              <w:top w:val="single" w:sz="4" w:space="0" w:color="auto"/>
            </w:tcBorders>
            <w:shd w:val="pct15" w:color="000000" w:fill="FFFFFF"/>
            <w:vAlign w:val="center"/>
          </w:tcPr>
          <w:p w:rsidR="00582AAB" w:rsidRPr="0064234E" w:rsidRDefault="00582AAB" w:rsidP="007B0488">
            <w:pPr>
              <w:keepNext/>
              <w:widowControl/>
              <w:jc w:val="center"/>
              <w:rPr>
                <w:b/>
                <w:szCs w:val="22"/>
              </w:rPr>
            </w:pPr>
            <w:r w:rsidRPr="0064234E">
              <w:rPr>
                <w:b/>
                <w:szCs w:val="22"/>
              </w:rPr>
              <w:t>License</w:t>
            </w:r>
          </w:p>
        </w:tc>
        <w:tc>
          <w:tcPr>
            <w:tcW w:w="3150" w:type="dxa"/>
            <w:shd w:val="pct15" w:color="000000" w:fill="FFFFFF"/>
            <w:vAlign w:val="center"/>
          </w:tcPr>
          <w:p w:rsidR="00582AAB" w:rsidRPr="0064234E" w:rsidRDefault="00582AAB" w:rsidP="007B0488">
            <w:pPr>
              <w:keepNext/>
              <w:widowControl/>
              <w:jc w:val="center"/>
              <w:rPr>
                <w:b/>
                <w:szCs w:val="22"/>
              </w:rPr>
            </w:pPr>
            <w:r w:rsidRPr="0064234E">
              <w:rPr>
                <w:b/>
                <w:szCs w:val="22"/>
              </w:rPr>
              <w:t>Market Name</w:t>
            </w:r>
          </w:p>
        </w:tc>
        <w:tc>
          <w:tcPr>
            <w:tcW w:w="2160" w:type="dxa"/>
            <w:shd w:val="pct15" w:color="000000" w:fill="FFFFFF"/>
            <w:vAlign w:val="center"/>
          </w:tcPr>
          <w:p w:rsidR="00582AAB" w:rsidRPr="0064234E" w:rsidRDefault="00582AAB" w:rsidP="007B0488">
            <w:pPr>
              <w:keepNext/>
              <w:widowControl/>
              <w:jc w:val="center"/>
              <w:rPr>
                <w:b/>
                <w:szCs w:val="22"/>
              </w:rPr>
            </w:pPr>
            <w:r w:rsidRPr="0064234E">
              <w:rPr>
                <w:b/>
                <w:szCs w:val="22"/>
              </w:rPr>
              <w:t>Bidding Units</w:t>
            </w:r>
          </w:p>
        </w:tc>
        <w:tc>
          <w:tcPr>
            <w:tcW w:w="2340" w:type="dxa"/>
            <w:shd w:val="pct15" w:color="000000" w:fill="FFFFFF"/>
            <w:vAlign w:val="center"/>
          </w:tcPr>
          <w:p w:rsidR="00582AAB" w:rsidRPr="0064234E" w:rsidRDefault="00582AAB" w:rsidP="007B0488">
            <w:pPr>
              <w:keepNext/>
              <w:widowControl/>
              <w:jc w:val="center"/>
              <w:rPr>
                <w:b/>
                <w:szCs w:val="22"/>
              </w:rPr>
            </w:pPr>
            <w:r w:rsidRPr="0064234E">
              <w:rPr>
                <w:b/>
                <w:szCs w:val="22"/>
              </w:rPr>
              <w:t>Upfront Payment</w:t>
            </w:r>
          </w:p>
        </w:tc>
      </w:tr>
      <w:tr w:rsidR="0064234E" w:rsidRPr="0064234E" w:rsidTr="006F3FD2">
        <w:trPr>
          <w:cantSplit/>
          <w:trHeight w:val="323"/>
        </w:trPr>
        <w:tc>
          <w:tcPr>
            <w:tcW w:w="1890" w:type="dxa"/>
            <w:tcBorders>
              <w:top w:val="single" w:sz="4" w:space="0" w:color="auto"/>
            </w:tcBorders>
            <w:vAlign w:val="center"/>
          </w:tcPr>
          <w:p w:rsidR="004415A3" w:rsidRPr="0064234E" w:rsidRDefault="004415A3" w:rsidP="007B0488">
            <w:pPr>
              <w:keepNext/>
              <w:widowControl/>
              <w:jc w:val="center"/>
              <w:rPr>
                <w:b/>
                <w:szCs w:val="22"/>
              </w:rPr>
            </w:pPr>
            <w:r w:rsidRPr="0064234E">
              <w:rPr>
                <w:szCs w:val="22"/>
              </w:rPr>
              <w:t>AH-BEA009-H</w:t>
            </w:r>
          </w:p>
        </w:tc>
        <w:tc>
          <w:tcPr>
            <w:tcW w:w="3150" w:type="dxa"/>
            <w:vAlign w:val="center"/>
          </w:tcPr>
          <w:p w:rsidR="004415A3" w:rsidRPr="0064234E" w:rsidRDefault="004415A3" w:rsidP="007B0488">
            <w:pPr>
              <w:keepNext/>
              <w:widowControl/>
              <w:rPr>
                <w:b/>
                <w:szCs w:val="22"/>
              </w:rPr>
            </w:pPr>
            <w:r w:rsidRPr="0064234E">
              <w:rPr>
                <w:szCs w:val="22"/>
              </w:rPr>
              <w:t>State College PA</w:t>
            </w:r>
          </w:p>
        </w:tc>
        <w:tc>
          <w:tcPr>
            <w:tcW w:w="2160" w:type="dxa"/>
            <w:vAlign w:val="center"/>
          </w:tcPr>
          <w:p w:rsidR="004415A3" w:rsidRPr="0064234E" w:rsidRDefault="000818C4" w:rsidP="00B44372">
            <w:pPr>
              <w:keepNext/>
              <w:widowControl/>
              <w:ind w:right="612"/>
              <w:jc w:val="right"/>
              <w:rPr>
                <w:szCs w:val="22"/>
              </w:rPr>
            </w:pPr>
            <w:r>
              <w:rPr>
                <w:szCs w:val="22"/>
              </w:rPr>
              <w:t>212</w:t>
            </w:r>
            <w:r w:rsidR="004415A3" w:rsidRPr="0064234E">
              <w:rPr>
                <w:szCs w:val="22"/>
              </w:rPr>
              <w:t>,000</w:t>
            </w:r>
          </w:p>
        </w:tc>
        <w:tc>
          <w:tcPr>
            <w:tcW w:w="2340" w:type="dxa"/>
            <w:vAlign w:val="center"/>
          </w:tcPr>
          <w:p w:rsidR="004415A3" w:rsidRPr="0064234E" w:rsidRDefault="004415A3" w:rsidP="000818C4">
            <w:pPr>
              <w:keepNext/>
              <w:widowControl/>
              <w:ind w:right="702"/>
              <w:jc w:val="right"/>
              <w:rPr>
                <w:b/>
                <w:szCs w:val="22"/>
              </w:rPr>
            </w:pPr>
            <w:r w:rsidRPr="0064234E">
              <w:rPr>
                <w:szCs w:val="22"/>
              </w:rPr>
              <w:t>$</w:t>
            </w:r>
            <w:r w:rsidR="000818C4">
              <w:rPr>
                <w:szCs w:val="22"/>
              </w:rPr>
              <w:t>212</w:t>
            </w:r>
            <w:r w:rsidRPr="0064234E">
              <w:rPr>
                <w:szCs w:val="22"/>
              </w:rPr>
              <w:t>,000</w:t>
            </w:r>
          </w:p>
        </w:tc>
      </w:tr>
      <w:tr w:rsidR="0064234E" w:rsidRPr="0064234E" w:rsidTr="006F3FD2">
        <w:trPr>
          <w:cantSplit/>
          <w:trHeight w:val="350"/>
        </w:trPr>
        <w:tc>
          <w:tcPr>
            <w:tcW w:w="1890" w:type="dxa"/>
            <w:tcBorders>
              <w:top w:val="single" w:sz="4" w:space="0" w:color="auto"/>
            </w:tcBorders>
            <w:vAlign w:val="center"/>
          </w:tcPr>
          <w:p w:rsidR="004415A3" w:rsidRPr="0064234E" w:rsidRDefault="004415A3" w:rsidP="007B0488">
            <w:pPr>
              <w:keepNext/>
              <w:widowControl/>
              <w:jc w:val="center"/>
              <w:rPr>
                <w:b/>
                <w:szCs w:val="22"/>
              </w:rPr>
            </w:pPr>
            <w:r w:rsidRPr="0064234E">
              <w:rPr>
                <w:szCs w:val="22"/>
              </w:rPr>
              <w:t>AH-BEA068-H</w:t>
            </w:r>
          </w:p>
        </w:tc>
        <w:tc>
          <w:tcPr>
            <w:tcW w:w="3150" w:type="dxa"/>
            <w:vAlign w:val="center"/>
          </w:tcPr>
          <w:p w:rsidR="004415A3" w:rsidRPr="0064234E" w:rsidRDefault="004415A3" w:rsidP="007B0488">
            <w:pPr>
              <w:keepNext/>
              <w:widowControl/>
              <w:rPr>
                <w:b/>
                <w:szCs w:val="22"/>
              </w:rPr>
            </w:pPr>
            <w:r w:rsidRPr="0064234E">
              <w:rPr>
                <w:szCs w:val="22"/>
              </w:rPr>
              <w:t>Champaign-Urbana IL</w:t>
            </w:r>
          </w:p>
        </w:tc>
        <w:tc>
          <w:tcPr>
            <w:tcW w:w="2160" w:type="dxa"/>
            <w:vAlign w:val="center"/>
          </w:tcPr>
          <w:p w:rsidR="004415A3" w:rsidRPr="0064234E" w:rsidRDefault="000818C4" w:rsidP="000818C4">
            <w:pPr>
              <w:keepNext/>
              <w:widowControl/>
              <w:ind w:right="612"/>
              <w:jc w:val="right"/>
              <w:rPr>
                <w:szCs w:val="22"/>
              </w:rPr>
            </w:pPr>
            <w:r>
              <w:rPr>
                <w:szCs w:val="22"/>
              </w:rPr>
              <w:t>109</w:t>
            </w:r>
            <w:r w:rsidR="004415A3" w:rsidRPr="0064234E">
              <w:rPr>
                <w:szCs w:val="22"/>
              </w:rPr>
              <w:t>,000</w:t>
            </w:r>
          </w:p>
        </w:tc>
        <w:tc>
          <w:tcPr>
            <w:tcW w:w="2340" w:type="dxa"/>
            <w:vAlign w:val="center"/>
          </w:tcPr>
          <w:p w:rsidR="004415A3" w:rsidRPr="0064234E" w:rsidRDefault="004415A3" w:rsidP="000818C4">
            <w:pPr>
              <w:keepNext/>
              <w:widowControl/>
              <w:ind w:right="702"/>
              <w:jc w:val="right"/>
              <w:rPr>
                <w:b/>
                <w:szCs w:val="22"/>
              </w:rPr>
            </w:pPr>
            <w:r w:rsidRPr="0064234E">
              <w:rPr>
                <w:szCs w:val="22"/>
              </w:rPr>
              <w:t>$</w:t>
            </w:r>
            <w:r w:rsidR="000818C4">
              <w:rPr>
                <w:szCs w:val="22"/>
              </w:rPr>
              <w:t>109</w:t>
            </w:r>
            <w:r w:rsidRPr="0064234E">
              <w:rPr>
                <w:szCs w:val="22"/>
              </w:rPr>
              <w:t>,000</w:t>
            </w:r>
          </w:p>
        </w:tc>
      </w:tr>
      <w:tr w:rsidR="0064234E" w:rsidRPr="0064234E" w:rsidTr="006F3FD2">
        <w:trPr>
          <w:cantSplit/>
          <w:trHeight w:val="1817"/>
        </w:trPr>
        <w:tc>
          <w:tcPr>
            <w:tcW w:w="9540" w:type="dxa"/>
            <w:gridSpan w:val="4"/>
            <w:tcBorders>
              <w:top w:val="single" w:sz="4" w:space="0" w:color="auto"/>
            </w:tcBorders>
          </w:tcPr>
          <w:p w:rsidR="00582AAB" w:rsidRPr="0064234E" w:rsidRDefault="00582AAB" w:rsidP="007B0488">
            <w:pPr>
              <w:keepNext/>
              <w:widowControl/>
              <w:rPr>
                <w:szCs w:val="22"/>
              </w:rPr>
            </w:pPr>
          </w:p>
          <w:p w:rsidR="00582AAB" w:rsidRPr="0064234E" w:rsidRDefault="00A641E8" w:rsidP="000818C4">
            <w:pPr>
              <w:keepNext/>
              <w:widowControl/>
              <w:rPr>
                <w:szCs w:val="22"/>
              </w:rPr>
            </w:pPr>
            <w:r w:rsidRPr="0064234E">
              <w:rPr>
                <w:szCs w:val="22"/>
              </w:rPr>
              <w:t xml:space="preserve">If a bidder wishes to bid on both licenses in a round, it must have selected both on its FCC Form 175 and purchased at least </w:t>
            </w:r>
            <w:r w:rsidR="000818C4">
              <w:rPr>
                <w:szCs w:val="22"/>
              </w:rPr>
              <w:t>321</w:t>
            </w:r>
            <w:r w:rsidRPr="0064234E">
              <w:rPr>
                <w:szCs w:val="22"/>
              </w:rPr>
              <w:t>,000 bidding units (</w:t>
            </w:r>
            <w:r w:rsidR="000818C4">
              <w:rPr>
                <w:szCs w:val="22"/>
              </w:rPr>
              <w:t>212</w:t>
            </w:r>
            <w:r w:rsidRPr="0064234E">
              <w:rPr>
                <w:szCs w:val="22"/>
              </w:rPr>
              <w:t xml:space="preserve">,000 + </w:t>
            </w:r>
            <w:r w:rsidR="000818C4">
              <w:rPr>
                <w:szCs w:val="22"/>
              </w:rPr>
              <w:t>109</w:t>
            </w:r>
            <w:r w:rsidRPr="0064234E">
              <w:rPr>
                <w:szCs w:val="22"/>
              </w:rPr>
              <w:t xml:space="preserve">,000) of bidding eligibility.  If a bidder only wishes to bid on one, but not both, purchasing </w:t>
            </w:r>
            <w:r w:rsidR="000818C4">
              <w:rPr>
                <w:szCs w:val="22"/>
              </w:rPr>
              <w:t>212</w:t>
            </w:r>
            <w:r w:rsidRPr="0064234E">
              <w:rPr>
                <w:szCs w:val="22"/>
              </w:rPr>
              <w:t xml:space="preserve">,000 bidding units would meet the eligibility requirement for either license.  The bidder would be able to bid on either license, but not both at the same time.  If the bidder purchased only </w:t>
            </w:r>
            <w:r w:rsidR="000818C4">
              <w:rPr>
                <w:szCs w:val="22"/>
              </w:rPr>
              <w:t>109</w:t>
            </w:r>
            <w:r w:rsidRPr="0064234E">
              <w:rPr>
                <w:szCs w:val="22"/>
              </w:rPr>
              <w:t xml:space="preserve">,000 bidding units, it would have enough eligibility for the </w:t>
            </w:r>
            <w:r w:rsidR="000818C4" w:rsidRPr="0064234E">
              <w:rPr>
                <w:szCs w:val="22"/>
              </w:rPr>
              <w:t>Champaign</w:t>
            </w:r>
            <w:r w:rsidR="000818C4" w:rsidRPr="0064234E">
              <w:rPr>
                <w:szCs w:val="22"/>
              </w:rPr>
              <w:noBreakHyphen/>
              <w:t xml:space="preserve">Urbana </w:t>
            </w:r>
            <w:r w:rsidRPr="0064234E">
              <w:rPr>
                <w:szCs w:val="22"/>
              </w:rPr>
              <w:t xml:space="preserve">license but not the </w:t>
            </w:r>
            <w:r w:rsidR="000818C4" w:rsidRPr="0064234E">
              <w:rPr>
                <w:szCs w:val="22"/>
              </w:rPr>
              <w:t xml:space="preserve">State College </w:t>
            </w:r>
            <w:r w:rsidRPr="0064234E">
              <w:rPr>
                <w:szCs w:val="22"/>
              </w:rPr>
              <w:t xml:space="preserve">license. </w:t>
            </w:r>
            <w:r w:rsidR="00582AAB" w:rsidRPr="0064234E">
              <w:rPr>
                <w:szCs w:val="22"/>
              </w:rPr>
              <w:t xml:space="preserve"> </w:t>
            </w:r>
          </w:p>
        </w:tc>
      </w:tr>
    </w:tbl>
    <w:p w:rsidR="00582AAB" w:rsidRPr="0064234E" w:rsidRDefault="00582AAB" w:rsidP="007B0488">
      <w:pPr>
        <w:pStyle w:val="ParaNum0"/>
        <w:widowControl/>
        <w:numPr>
          <w:ilvl w:val="0"/>
          <w:numId w:val="0"/>
        </w:numPr>
        <w:tabs>
          <w:tab w:val="num" w:pos="1440"/>
        </w:tabs>
        <w:ind w:left="720"/>
      </w:pPr>
    </w:p>
    <w:p w:rsidR="003941AE" w:rsidRPr="0064234E" w:rsidRDefault="005405F6" w:rsidP="005405F6">
      <w:pPr>
        <w:pStyle w:val="ParaNum0"/>
        <w:widowControl/>
      </w:pPr>
      <w:r w:rsidRPr="0064234E">
        <w:t xml:space="preserve">Under HPB procedures, the number of bidding units for a package equals the sum of the bidding units for the licenses in that package.  The bidding units for a license and a package including that license will be counted only once in determining bidding eligibility.  Thus, when an applicant calculates its upfront payment amount by determining the </w:t>
      </w:r>
      <w:r w:rsidRPr="0064234E">
        <w:rPr>
          <w:bCs/>
        </w:rPr>
        <w:t>maximum</w:t>
      </w:r>
      <w:r w:rsidRPr="0064234E">
        <w:t xml:space="preserve"> number of bidding units on which it may wish to bid in any single round (in addition to its current provisionally winning bids), it should count the bidding units associated with each license only once even if it may wish to bid on an individual license and a package containing that license.  We seek comment on these proposals.</w:t>
      </w:r>
      <w:r w:rsidR="00E81C55" w:rsidRPr="0064234E">
        <w:t xml:space="preserve">  </w:t>
      </w:r>
    </w:p>
    <w:p w:rsidR="00577ED5" w:rsidRPr="0064234E" w:rsidRDefault="00577ED5" w:rsidP="007B0488">
      <w:pPr>
        <w:pStyle w:val="Heading3"/>
        <w:widowControl/>
      </w:pPr>
      <w:bookmarkStart w:id="362" w:name="_Toc150843258"/>
      <w:bookmarkStart w:id="363" w:name="_Toc150843325"/>
      <w:bookmarkStart w:id="364" w:name="_Toc150843522"/>
      <w:bookmarkStart w:id="365" w:name="_Toc150843635"/>
      <w:bookmarkStart w:id="366" w:name="_Toc150843710"/>
      <w:bookmarkStart w:id="367" w:name="_Toc150857305"/>
      <w:bookmarkStart w:id="368" w:name="_Toc151201048"/>
      <w:bookmarkStart w:id="369" w:name="_Toc153165398"/>
      <w:bookmarkStart w:id="370" w:name="_Toc153190409"/>
      <w:bookmarkStart w:id="371" w:name="_Toc190859718"/>
      <w:bookmarkStart w:id="372" w:name="_Toc190867595"/>
      <w:bookmarkStart w:id="373" w:name="_Toc191282388"/>
      <w:bookmarkStart w:id="374" w:name="_Toc191296795"/>
      <w:bookmarkStart w:id="375" w:name="_Toc203461497"/>
      <w:bookmarkStart w:id="376" w:name="_Toc214427393"/>
      <w:bookmarkStart w:id="377" w:name="_Toc252353638"/>
      <w:bookmarkStart w:id="378" w:name="_Toc252456327"/>
      <w:bookmarkStart w:id="379" w:name="_Toc252881325"/>
      <w:bookmarkStart w:id="380" w:name="_Toc266452584"/>
      <w:bookmarkStart w:id="381" w:name="_Toc267580113"/>
      <w:bookmarkStart w:id="382" w:name="_Toc268005358"/>
      <w:bookmarkStart w:id="383" w:name="_Toc268513862"/>
      <w:bookmarkStart w:id="384" w:name="_Toc271880877"/>
      <w:bookmarkStart w:id="385" w:name="_Toc272760377"/>
      <w:bookmarkStart w:id="386" w:name="_Toc303331690"/>
      <w:bookmarkStart w:id="387" w:name="_Toc334798941"/>
      <w:bookmarkStart w:id="388" w:name="_Toc346007149"/>
      <w:bookmarkStart w:id="389" w:name="_Toc357766160"/>
      <w:bookmarkStart w:id="390" w:name="_Toc357766232"/>
      <w:bookmarkStart w:id="391" w:name="_Toc357801022"/>
      <w:bookmarkStart w:id="392" w:name="_Toc357801086"/>
      <w:bookmarkStart w:id="393" w:name="_Toc360525966"/>
      <w:bookmarkStart w:id="394" w:name="_Toc360797638"/>
      <w:bookmarkStart w:id="395" w:name="_Toc361137001"/>
      <w:bookmarkStart w:id="396" w:name="_Toc361153063"/>
      <w:bookmarkStart w:id="397" w:name="_Toc361667821"/>
      <w:r w:rsidRPr="0064234E">
        <w:t>Activity Rule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64234E">
        <w:t xml:space="preserve">  </w:t>
      </w:r>
    </w:p>
    <w:p w:rsidR="00577ED5" w:rsidRPr="0064234E" w:rsidRDefault="0000439D" w:rsidP="007B0488">
      <w:pPr>
        <w:pStyle w:val="ParaNum0"/>
        <w:widowControl/>
      </w:pPr>
      <w:r w:rsidRPr="0064234E">
        <w:t xml:space="preserve">In order to ensure that </w:t>
      </w:r>
      <w:r w:rsidR="00E13DE2" w:rsidRPr="0064234E">
        <w:t xml:space="preserve">an SMR </w:t>
      </w:r>
      <w:r w:rsidRPr="0064234E">
        <w:t xml:space="preserve">auction closes within a reasonable period of time, an activity rule requires bidders to bid actively throughout the auction, rather than wait until late in the auction before participating.  A bidder’s activity in a round will be the sum of the bidding units associated with any licenses upon which it places bids during the current round and the bidding units associated with any licenses for which it holds provisionally winning bids placed in previous rounds.  </w:t>
      </w:r>
      <w:r w:rsidR="00264E04" w:rsidRPr="0064234E">
        <w:t>The bidding units associated with a given license will be counted only once in a bidder’s activity calculation for the round, even if the bidder places multiple bids including the license</w:t>
      </w:r>
      <w:r w:rsidR="00C643C5" w:rsidRPr="0064234E">
        <w:t>—for example, places a bid on a license and a bid on a package including that license</w:t>
      </w:r>
      <w:r w:rsidR="00264E04" w:rsidRPr="0064234E">
        <w:t xml:space="preserve">.  </w:t>
      </w:r>
      <w:r w:rsidRPr="0064234E">
        <w:t>Bidders are required to be active on a specific percentage of their current bidding eligibility during each round of the auction.  Failure to maintain the requisite activity level will result in the use of an activity rule waiver, if any remain, or a reduction in the bidder’s eligibility, possibly curtailing or eliminating the bidder’s ability to place additional bids in the auction.</w:t>
      </w:r>
      <w:r w:rsidRPr="0064234E">
        <w:rPr>
          <w:rStyle w:val="FootnoteReference"/>
        </w:rPr>
        <w:footnoteReference w:id="32"/>
      </w:r>
    </w:p>
    <w:p w:rsidR="0000439D" w:rsidRPr="0064234E" w:rsidRDefault="00212003" w:rsidP="007B0488">
      <w:pPr>
        <w:pStyle w:val="ParaNum0"/>
        <w:widowControl/>
      </w:pPr>
      <w:r w:rsidRPr="0064234E">
        <w:t>The Bureau proposes to divide the auction into at least two stages, each characterized by a different activity requirement.</w:t>
      </w:r>
      <w:r w:rsidRPr="0064234E">
        <w:rPr>
          <w:rStyle w:val="FootnoteReference"/>
        </w:rPr>
        <w:footnoteReference w:id="33"/>
      </w:r>
      <w:r w:rsidRPr="0064234E">
        <w:t xml:space="preserve">  The auction will start in Stage One.  The Bureau proposes to advance the auction to the next stage by announcement during the auction.  In exercising this discretion, the Bureau will consider a variety of measures of auction activity, including but not limited to the percentage of </w:t>
      </w:r>
      <w:r w:rsidR="00264E04" w:rsidRPr="0064234E">
        <w:t xml:space="preserve">bidding units associated with </w:t>
      </w:r>
      <w:r w:rsidRPr="0064234E">
        <w:t>licenses on which there are new bids,</w:t>
      </w:r>
      <w:r w:rsidRPr="0064234E">
        <w:rPr>
          <w:rStyle w:val="FootnoteReference"/>
        </w:rPr>
        <w:footnoteReference w:id="34"/>
      </w:r>
      <w:r w:rsidRPr="0064234E">
        <w:t xml:space="preserve"> the number of new bids, and the increase in revenue.  The Bureau seeks comment on these proposals.</w:t>
      </w:r>
    </w:p>
    <w:p w:rsidR="00212003" w:rsidRPr="0064234E" w:rsidRDefault="00212003" w:rsidP="007B0488">
      <w:pPr>
        <w:pStyle w:val="ParaNum0"/>
        <w:widowControl/>
        <w:rPr>
          <w:szCs w:val="22"/>
        </w:rPr>
      </w:pPr>
      <w:r w:rsidRPr="0064234E">
        <w:t>The Bureau proposes the following activity requirements, while noting again that the Bureau retains the discretion to change stages unilaterally by announcement during the auction:</w:t>
      </w:r>
    </w:p>
    <w:p w:rsidR="00212003" w:rsidRPr="0064234E" w:rsidRDefault="00212003" w:rsidP="007B0488">
      <w:pPr>
        <w:widowControl/>
        <w:tabs>
          <w:tab w:val="left" w:pos="1080"/>
        </w:tabs>
        <w:ind w:left="720"/>
      </w:pPr>
      <w:r w:rsidRPr="0064234E">
        <w:rPr>
          <w:b/>
          <w:bCs/>
        </w:rPr>
        <w:t xml:space="preserve">Stage One:  </w:t>
      </w:r>
      <w:r w:rsidRPr="0064234E">
        <w:t xml:space="preserve">In each round of the first stage of the auction, a bidder desiring to maintain its current bidding eligibility is required to be active on </w:t>
      </w:r>
      <w:r w:rsidR="00264E04" w:rsidRPr="0064234E">
        <w:t xml:space="preserve">bidding units associated with </w:t>
      </w:r>
      <w:r w:rsidRPr="0064234E">
        <w:t>licenses representing at least 80 percent of its current bidding eligibility</w:t>
      </w:r>
      <w:r w:rsidR="00264E04" w:rsidRPr="0064234E">
        <w:t>, counting the bidding units associated with a bid on an individual license and a package including that license only once</w:t>
      </w:r>
      <w:r w:rsidRPr="0064234E">
        <w:t>.  Failure to maintain the required activity level will result in the use of an activity rule waiver or a reduction in the bidder’s bidding eligibility for the next round of bidding.  During Stage One, a bidder’s reduced eligibility for the next round will be calculated by multiplying the bidder’s current round activity by five-fourths (5/4).</w:t>
      </w:r>
    </w:p>
    <w:p w:rsidR="00212003" w:rsidRPr="0064234E" w:rsidRDefault="00212003" w:rsidP="007B0488">
      <w:pPr>
        <w:widowControl/>
        <w:tabs>
          <w:tab w:val="left" w:pos="1080"/>
        </w:tabs>
        <w:rPr>
          <w:szCs w:val="22"/>
        </w:rPr>
      </w:pPr>
    </w:p>
    <w:p w:rsidR="00212003" w:rsidRPr="0064234E" w:rsidRDefault="00212003" w:rsidP="007B0488">
      <w:pPr>
        <w:pStyle w:val="ParaNum0"/>
        <w:widowControl/>
        <w:numPr>
          <w:ilvl w:val="0"/>
          <w:numId w:val="0"/>
        </w:numPr>
        <w:ind w:left="720"/>
        <w:rPr>
          <w:szCs w:val="22"/>
        </w:rPr>
      </w:pPr>
      <w:r w:rsidRPr="0064234E">
        <w:rPr>
          <w:b/>
          <w:bCs/>
          <w:szCs w:val="22"/>
        </w:rPr>
        <w:t>Stage Two:</w:t>
      </w:r>
      <w:r w:rsidRPr="0064234E">
        <w:rPr>
          <w:szCs w:val="22"/>
        </w:rPr>
        <w:t xml:space="preserve">  In each round of the second stage, a bidder desiring to maintain its current bidding eligibility is required to be active on 95 percent of its current bidding eligibility.  Failure to maintain the required activity level will result in the use of an activity rule waiver or a reduction in the bidder’s bidding eligibility for the next round of bidding.  During Stage Two, a bidder’s reduced eligibility for the next round will be calculated by multiplying the bidder’s current round activity by twenty-nineteenths (20/19).</w:t>
      </w:r>
    </w:p>
    <w:p w:rsidR="00212003" w:rsidRPr="0064234E" w:rsidRDefault="00212003" w:rsidP="007B0488">
      <w:pPr>
        <w:pStyle w:val="ParaNum0"/>
        <w:widowControl/>
      </w:pPr>
      <w:r w:rsidRPr="0064234E">
        <w:t>The Bureau requests comment on these activity requirements.  Under this proposal, the Bureau will retain the discretion to change the activity requirements during the auction.  For example, the Bureau could decide to add an additional stage with a higher activity requirement, not to transition to Stage Two if it believes the auction is progressing satisfactorily under the Stage One activity requirement, or to transition to Stage Two with an activity requirement that is higher or lower than the 95 percent proposed herein.</w:t>
      </w:r>
      <w:r w:rsidRPr="0064234E">
        <w:rPr>
          <w:rStyle w:val="FootnoteReference"/>
        </w:rPr>
        <w:footnoteReference w:id="35"/>
      </w:r>
      <w:r w:rsidRPr="0064234E">
        <w:t xml:space="preserve">  If the Bureau exercises this discretion, it will alert bidders by announcement in the FCC Auction System.</w:t>
      </w:r>
    </w:p>
    <w:p w:rsidR="00577ED5" w:rsidRPr="0064234E" w:rsidRDefault="00577ED5" w:rsidP="007B0488">
      <w:pPr>
        <w:pStyle w:val="Heading3"/>
        <w:widowControl/>
      </w:pPr>
      <w:bookmarkStart w:id="398" w:name="_Toc150843259"/>
      <w:bookmarkStart w:id="399" w:name="_Toc150843326"/>
      <w:bookmarkStart w:id="400" w:name="_Toc150843523"/>
      <w:bookmarkStart w:id="401" w:name="_Toc150843636"/>
      <w:bookmarkStart w:id="402" w:name="_Toc150843711"/>
      <w:bookmarkStart w:id="403" w:name="_Toc150857306"/>
      <w:bookmarkStart w:id="404" w:name="_Toc151201049"/>
      <w:bookmarkStart w:id="405" w:name="_Toc153165399"/>
      <w:bookmarkStart w:id="406" w:name="_Toc153190410"/>
      <w:bookmarkStart w:id="407" w:name="_Toc190859719"/>
      <w:bookmarkStart w:id="408" w:name="_Toc190867596"/>
      <w:bookmarkStart w:id="409" w:name="_Toc191282389"/>
      <w:bookmarkStart w:id="410" w:name="_Toc191296796"/>
      <w:bookmarkStart w:id="411" w:name="_Toc203461498"/>
      <w:bookmarkStart w:id="412" w:name="_Toc214427394"/>
      <w:bookmarkStart w:id="413" w:name="_Toc252353639"/>
      <w:bookmarkStart w:id="414" w:name="_Toc252456328"/>
      <w:bookmarkStart w:id="415" w:name="_Toc252881326"/>
      <w:bookmarkStart w:id="416" w:name="_Toc266452585"/>
      <w:bookmarkStart w:id="417" w:name="_Toc267580114"/>
      <w:bookmarkStart w:id="418" w:name="_Toc268005359"/>
      <w:bookmarkStart w:id="419" w:name="_Toc268513863"/>
      <w:bookmarkStart w:id="420" w:name="_Toc271880878"/>
      <w:bookmarkStart w:id="421" w:name="_Toc272760378"/>
      <w:bookmarkStart w:id="422" w:name="_Toc303331691"/>
      <w:bookmarkStart w:id="423" w:name="_Toc334798942"/>
      <w:bookmarkStart w:id="424" w:name="_Toc346007150"/>
      <w:bookmarkStart w:id="425" w:name="_Toc357766161"/>
      <w:bookmarkStart w:id="426" w:name="_Toc357766233"/>
      <w:bookmarkStart w:id="427" w:name="_Toc357801023"/>
      <w:bookmarkStart w:id="428" w:name="_Toc357801087"/>
      <w:bookmarkStart w:id="429" w:name="_Toc360525967"/>
      <w:bookmarkStart w:id="430" w:name="_Toc360797639"/>
      <w:bookmarkStart w:id="431" w:name="_Toc361137002"/>
      <w:bookmarkStart w:id="432" w:name="_Toc361153064"/>
      <w:bookmarkStart w:id="433" w:name="_Toc361667822"/>
      <w:r w:rsidRPr="0064234E">
        <w:t>Activity Rule Waivers and Reducing Eligibility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577ED5" w:rsidRPr="0064234E" w:rsidRDefault="00577ED5" w:rsidP="007B0488">
      <w:pPr>
        <w:pStyle w:val="ParaNum0"/>
        <w:widowControl/>
        <w:rPr>
          <w:szCs w:val="22"/>
        </w:rPr>
      </w:pPr>
      <w:r w:rsidRPr="0064234E">
        <w:t xml:space="preserve">When a bidder’s eligibility in the current round is below the required minimum level, it may preserve its current level of eligibility through an activity rule waiver.  An activity rule waiver applies to an entire round of bidding, not to a particular </w:t>
      </w:r>
      <w:r w:rsidR="00264E04" w:rsidRPr="0064234E">
        <w:t>bid</w:t>
      </w:r>
      <w:r w:rsidRPr="0064234E">
        <w:t>.  Activity rule waivers</w:t>
      </w:r>
      <w:r w:rsidR="00D77F3F" w:rsidRPr="0064234E">
        <w:t>, which</w:t>
      </w:r>
      <w:r w:rsidRPr="0064234E">
        <w:t xml:space="preserve"> can be either proactive or automatic</w:t>
      </w:r>
      <w:r w:rsidR="00D77F3F" w:rsidRPr="0064234E">
        <w:t xml:space="preserve">, </w:t>
      </w:r>
      <w:r w:rsidRPr="0064234E">
        <w:t>are principally a mechanism for a bidder to avoid the loss of bidding eligibility in the event that exigent circumstances prevent it from bidding in a particular round.</w:t>
      </w:r>
    </w:p>
    <w:p w:rsidR="00577ED5" w:rsidRPr="0064234E" w:rsidRDefault="00577ED5" w:rsidP="007B0488">
      <w:pPr>
        <w:pStyle w:val="ParaNum0"/>
        <w:widowControl/>
        <w:tabs>
          <w:tab w:val="left" w:pos="0"/>
        </w:tabs>
        <w:rPr>
          <w:szCs w:val="22"/>
        </w:rPr>
      </w:pPr>
      <w:r w:rsidRPr="0064234E">
        <w:t>The FCC Auction System assumes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waivers remaining</w:t>
      </w:r>
      <w:r w:rsidR="004C164E" w:rsidRPr="0064234E">
        <w:t>,</w:t>
      </w:r>
      <w:r w:rsidRPr="0064234E">
        <w:t xml:space="preserve">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577ED5" w:rsidRPr="0064234E" w:rsidRDefault="00577ED5" w:rsidP="007B0488">
      <w:pPr>
        <w:pStyle w:val="ParaNum0"/>
        <w:widowControl/>
        <w:rPr>
          <w:szCs w:val="22"/>
        </w:rPr>
      </w:pPr>
      <w:r w:rsidRPr="0064234E">
        <w:t>A bidder with insufficient activity may wish to reduce its bidding eligibility rather than use an activity rule waiver.  If so, the bidder must affirmatively override the automatic waiver mechanism during the bidding round by using the “reduce eligibility” function in the FCC Auction System.  In this case, the bidder’s eligibility is permanently reduced to bring it into compliance with the activity rule described above.  Reducing eligibility is an irreversible action; once eligibility has been reduced, a bidder will not be permitted to regain its lost bidding eligibility, even if the round has not yet closed.</w:t>
      </w:r>
    </w:p>
    <w:p w:rsidR="00577ED5" w:rsidRPr="0064234E" w:rsidRDefault="00577ED5" w:rsidP="007B0488">
      <w:pPr>
        <w:pStyle w:val="ParaNum0"/>
        <w:widowControl/>
        <w:rPr>
          <w:szCs w:val="22"/>
        </w:rPr>
      </w:pPr>
      <w:r w:rsidRPr="0064234E">
        <w:t>Under the proposed simultaneous stopping rule, a bidder may apply an activity rule waiver proactively as a means to keep the auction open without placing a bid.  If a bidder proactively applies an activity rule waiver (using the “apply waiver” function in the FCC Auction System) during a bidding round in which no bids are placed or withdrawn, the auction will remain open and the bidder’s eligibility will be preserved.  An automatic waiver applied by the FCC Auction System in a round in which there are no new bids, withdrawals</w:t>
      </w:r>
      <w:r w:rsidR="00EC15FA" w:rsidRPr="0064234E">
        <w:t xml:space="preserve"> (if permitted)</w:t>
      </w:r>
      <w:r w:rsidRPr="0064234E">
        <w:t>, or proactive waivers will not keep the auction open.  A bidder cannot apply a proactive waiver after bidding in a round, and applying a proactive waiver will preclude it from placing any bids in that round.</w:t>
      </w:r>
      <w:r w:rsidRPr="0064234E">
        <w:rPr>
          <w:rStyle w:val="FootnoteReference"/>
        </w:rPr>
        <w:footnoteReference w:id="36"/>
      </w:r>
      <w:r w:rsidRPr="0064234E">
        <w:rPr>
          <w:bCs/>
        </w:rPr>
        <w:t xml:space="preserve">  </w:t>
      </w:r>
      <w:r w:rsidRPr="0064234E">
        <w:t>Applying a waiver is irreversible; once a proactive waiver is submitted, it cannot be unsubmitted, even if the round has not yet closed.</w:t>
      </w:r>
    </w:p>
    <w:p w:rsidR="00577ED5" w:rsidRPr="0064234E" w:rsidRDefault="00577ED5" w:rsidP="007B0488">
      <w:pPr>
        <w:pStyle w:val="ParaNum0"/>
        <w:widowControl/>
        <w:rPr>
          <w:szCs w:val="22"/>
        </w:rPr>
      </w:pPr>
      <w:r w:rsidRPr="0064234E">
        <w:t xml:space="preserve">Consistent with recent </w:t>
      </w:r>
      <w:r w:rsidR="009756B3" w:rsidRPr="0064234E">
        <w:t>Commission</w:t>
      </w:r>
      <w:r w:rsidRPr="0064234E">
        <w:t xml:space="preserve"> auctions, the Bureau propose</w:t>
      </w:r>
      <w:r w:rsidR="00212003" w:rsidRPr="0064234E">
        <w:t>s</w:t>
      </w:r>
      <w:r w:rsidRPr="0064234E">
        <w:t xml:space="preserve"> that each bidder in </w:t>
      </w:r>
      <w:r w:rsidR="00F87C05" w:rsidRPr="0064234E">
        <w:t>Auction 96</w:t>
      </w:r>
      <w:r w:rsidRPr="0064234E">
        <w:t xml:space="preserve"> be provided with </w:t>
      </w:r>
      <w:r w:rsidR="008966FE" w:rsidRPr="0064234E">
        <w:t xml:space="preserve">a total of </w:t>
      </w:r>
      <w:r w:rsidRPr="0064234E">
        <w:t>three activity rule waivers that may be used as set forth above at the bidder’s discretion during the course of the auction.  The Bureau seek</w:t>
      </w:r>
      <w:r w:rsidR="00212003" w:rsidRPr="0064234E">
        <w:t>s</w:t>
      </w:r>
      <w:r w:rsidRPr="0064234E">
        <w:t xml:space="preserve"> comment on this proposal.</w:t>
      </w:r>
    </w:p>
    <w:p w:rsidR="00577ED5" w:rsidRPr="0064234E" w:rsidRDefault="00577ED5" w:rsidP="007B0488">
      <w:pPr>
        <w:pStyle w:val="Heading3"/>
        <w:widowControl/>
      </w:pPr>
      <w:bookmarkStart w:id="434" w:name="_Toc150843260"/>
      <w:bookmarkStart w:id="435" w:name="_Toc150843327"/>
      <w:bookmarkStart w:id="436" w:name="_Toc150843524"/>
      <w:bookmarkStart w:id="437" w:name="_Toc150843637"/>
      <w:bookmarkStart w:id="438" w:name="_Toc150843712"/>
      <w:bookmarkStart w:id="439" w:name="_Toc150857307"/>
      <w:bookmarkStart w:id="440" w:name="_Toc151201050"/>
      <w:bookmarkStart w:id="441" w:name="_Toc153165400"/>
      <w:bookmarkStart w:id="442" w:name="_Toc153190411"/>
      <w:bookmarkStart w:id="443" w:name="_Toc190859720"/>
      <w:bookmarkStart w:id="444" w:name="_Toc190867597"/>
      <w:bookmarkStart w:id="445" w:name="_Toc191282390"/>
      <w:bookmarkStart w:id="446" w:name="_Toc191296797"/>
      <w:bookmarkStart w:id="447" w:name="_Toc203461499"/>
      <w:bookmarkStart w:id="448" w:name="_Toc214427395"/>
      <w:bookmarkStart w:id="449" w:name="_Toc252353640"/>
      <w:bookmarkStart w:id="450" w:name="_Toc252456329"/>
      <w:bookmarkStart w:id="451" w:name="_Toc252881327"/>
      <w:bookmarkStart w:id="452" w:name="_Toc266452586"/>
      <w:bookmarkStart w:id="453" w:name="_Toc267580115"/>
      <w:bookmarkStart w:id="454" w:name="_Toc268005360"/>
      <w:bookmarkStart w:id="455" w:name="_Toc268513864"/>
      <w:bookmarkStart w:id="456" w:name="_Toc271880879"/>
      <w:bookmarkStart w:id="457" w:name="_Toc272760379"/>
      <w:bookmarkStart w:id="458" w:name="_Toc303331692"/>
      <w:bookmarkStart w:id="459" w:name="_Toc334798943"/>
      <w:bookmarkStart w:id="460" w:name="_Toc346007151"/>
      <w:bookmarkStart w:id="461" w:name="_Toc357766162"/>
      <w:bookmarkStart w:id="462" w:name="_Toc357766234"/>
      <w:bookmarkStart w:id="463" w:name="_Toc357801024"/>
      <w:bookmarkStart w:id="464" w:name="_Toc357801088"/>
      <w:bookmarkStart w:id="465" w:name="_Toc360525968"/>
      <w:bookmarkStart w:id="466" w:name="_Toc360797640"/>
      <w:bookmarkStart w:id="467" w:name="_Toc361137003"/>
      <w:bookmarkStart w:id="468" w:name="_Toc361153065"/>
      <w:bookmarkStart w:id="469" w:name="_Toc361667823"/>
      <w:r w:rsidRPr="0064234E">
        <w:t xml:space="preserve">Reserve Price </w:t>
      </w:r>
      <w:r w:rsidR="00FB6351" w:rsidRPr="0064234E">
        <w:t>and</w:t>
      </w:r>
      <w:r w:rsidRPr="0064234E">
        <w:t xml:space="preserve"> Minimum Opening Bids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A4697A" w:rsidRPr="0064234E" w:rsidRDefault="00A4697A" w:rsidP="007B0488">
      <w:pPr>
        <w:pStyle w:val="ParaNum0"/>
        <w:widowControl/>
        <w:rPr>
          <w:szCs w:val="22"/>
        </w:rPr>
      </w:pPr>
      <w:r w:rsidRPr="0064234E">
        <w:t xml:space="preserve">Section 309(j) calls upon the Commission to prescribe methods for establishing a reasonable reserve price or a minimum opening bid amount when </w:t>
      </w:r>
      <w:r w:rsidR="00CC0585" w:rsidRPr="0064234E">
        <w:t>Commission</w:t>
      </w:r>
      <w:r w:rsidRPr="0064234E">
        <w:t xml:space="preserve"> licenses are subject to auction, unless the Commission determines that a reserve price or minimum opening bid amount is not in the public interest.</w:t>
      </w:r>
      <w:r w:rsidRPr="0064234E">
        <w:rPr>
          <w:rStyle w:val="FootnoteReference"/>
        </w:rPr>
        <w:footnoteReference w:id="37"/>
      </w:r>
      <w:r w:rsidRPr="0064234E">
        <w:t xml:space="preserve">  Consistent with this mandate, the Commission has directed the Bureau to seek comment on the use of a minimum opening bid amount and/or reserve price prior to the start of each auction.</w:t>
      </w:r>
      <w:r w:rsidRPr="0064234E">
        <w:rPr>
          <w:rStyle w:val="FootnoteReference"/>
        </w:rPr>
        <w:footnoteReference w:id="38"/>
      </w:r>
      <w:r w:rsidR="003F04BC" w:rsidRPr="0064234E">
        <w:t xml:space="preserve">  </w:t>
      </w:r>
    </w:p>
    <w:p w:rsidR="00483279" w:rsidRPr="0064234E" w:rsidRDefault="00577ED5" w:rsidP="007B0488">
      <w:pPr>
        <w:pStyle w:val="ParaNum0"/>
        <w:widowControl/>
        <w:rPr>
          <w:szCs w:val="22"/>
        </w:rPr>
      </w:pPr>
      <w:r w:rsidRPr="0064234E">
        <w:t xml:space="preserve">Normally, a reserve price is an absolute minimum price below which an item </w:t>
      </w:r>
      <w:r w:rsidR="00EA2BE6" w:rsidRPr="0064234E">
        <w:t xml:space="preserve">or items </w:t>
      </w:r>
      <w:r w:rsidRPr="0064234E">
        <w:t xml:space="preserve">will not be sold in a given auction.  </w:t>
      </w:r>
      <w:r w:rsidR="00EA2BE6" w:rsidRPr="0064234E">
        <w:t xml:space="preserve">If a reserve price is </w:t>
      </w:r>
      <w:r w:rsidR="00E13DE2" w:rsidRPr="0064234E">
        <w:t>utilized</w:t>
      </w:r>
      <w:r w:rsidR="00EA2BE6" w:rsidRPr="0064234E">
        <w:t>, the specific amount of the reserve price may be disclosed or undisclosed.</w:t>
      </w:r>
      <w:r w:rsidR="00EA2BE6" w:rsidRPr="0064234E">
        <w:rPr>
          <w:rStyle w:val="FootnoteReference"/>
        </w:rPr>
        <w:footnoteReference w:id="39"/>
      </w:r>
      <w:r w:rsidR="00EA2BE6" w:rsidRPr="0064234E">
        <w:t xml:space="preserve"> </w:t>
      </w:r>
      <w:r w:rsidRPr="0064234E">
        <w:t>A minimum opening bid, on the other hand, is the minimum bid price set at the beginning of the auction below which no bids are accepted.  It is generally used to accelerate the competitive bidding process.  It is possible for the minimum opening bid and the reserve price to be the same amount.</w:t>
      </w:r>
      <w:r w:rsidR="00B85ECA" w:rsidRPr="0064234E">
        <w:t xml:space="preserve">  </w:t>
      </w:r>
    </w:p>
    <w:p w:rsidR="00577ED5" w:rsidRPr="0064234E" w:rsidRDefault="00B85ECA" w:rsidP="007B0488">
      <w:pPr>
        <w:pStyle w:val="ParaNum0"/>
        <w:widowControl/>
        <w:rPr>
          <w:szCs w:val="22"/>
        </w:rPr>
      </w:pPr>
      <w:r w:rsidRPr="0064234E">
        <w:rPr>
          <w:szCs w:val="22"/>
        </w:rPr>
        <w:t>Among other factors the Bureau must consider in deciding whether to employ either or both of these mechanisms is the amount of spectrum being auctioned, levels of incumbency, the availability of technology to provide service, the size of the geographic service areas, the extent of interference with other spectrum bands, and any other relevant factors that could have an impact on the spectrum being auctioned.</w:t>
      </w:r>
      <w:r w:rsidRPr="0064234E">
        <w:rPr>
          <w:rStyle w:val="FootnoteReference"/>
          <w:szCs w:val="22"/>
        </w:rPr>
        <w:footnoteReference w:id="40"/>
      </w:r>
    </w:p>
    <w:p w:rsidR="00A4697A" w:rsidRPr="0064234E" w:rsidRDefault="00A4697A" w:rsidP="007B0488">
      <w:pPr>
        <w:pStyle w:val="Heading4"/>
        <w:widowControl/>
        <w:numPr>
          <w:ilvl w:val="3"/>
          <w:numId w:val="32"/>
        </w:numPr>
        <w:rPr>
          <w:szCs w:val="22"/>
        </w:rPr>
      </w:pPr>
      <w:bookmarkStart w:id="470" w:name="_Toc194481070"/>
      <w:bookmarkStart w:id="471" w:name="_Toc357766163"/>
      <w:bookmarkStart w:id="472" w:name="_Toc357766235"/>
      <w:bookmarkStart w:id="473" w:name="_Toc357801025"/>
      <w:bookmarkStart w:id="474" w:name="_Toc357801089"/>
      <w:bookmarkStart w:id="475" w:name="_Toc360525969"/>
      <w:bookmarkStart w:id="476" w:name="_Toc360797641"/>
      <w:bookmarkStart w:id="477" w:name="_Toc361137004"/>
      <w:bookmarkStart w:id="478" w:name="_Toc361153066"/>
      <w:bookmarkStart w:id="479" w:name="_Toc361667824"/>
      <w:r w:rsidRPr="0064234E">
        <w:t>Reserve Price</w:t>
      </w:r>
      <w:bookmarkEnd w:id="470"/>
      <w:bookmarkEnd w:id="471"/>
      <w:bookmarkEnd w:id="472"/>
      <w:bookmarkEnd w:id="473"/>
      <w:bookmarkEnd w:id="474"/>
      <w:bookmarkEnd w:id="475"/>
      <w:bookmarkEnd w:id="476"/>
      <w:bookmarkEnd w:id="477"/>
      <w:bookmarkEnd w:id="478"/>
      <w:bookmarkEnd w:id="479"/>
    </w:p>
    <w:p w:rsidR="00504C6F" w:rsidRDefault="001052F0" w:rsidP="001725F6">
      <w:pPr>
        <w:pStyle w:val="ParaNum0"/>
        <w:widowControl/>
      </w:pPr>
      <w:r w:rsidRPr="0064234E">
        <w:t xml:space="preserve"> The Commission is statutorily obliged to consider and balance a variety of public interests and objectives when establishing service rules and licensing procedures with respect to the public spectrum resource.  These objectives include promoting recovery for the public a portion of the value of that resource.</w:t>
      </w:r>
      <w:r w:rsidRPr="0064234E">
        <w:rPr>
          <w:rStyle w:val="FootnoteReference"/>
        </w:rPr>
        <w:footnoteReference w:id="41"/>
      </w:r>
      <w:r w:rsidRPr="0064234E">
        <w:t xml:space="preserve"> </w:t>
      </w:r>
      <w:r w:rsidR="00442697" w:rsidRPr="0064234E">
        <w:t xml:space="preserve"> </w:t>
      </w:r>
      <w:r w:rsidR="00B52202" w:rsidRPr="0064234E">
        <w:t xml:space="preserve">With respect to the </w:t>
      </w:r>
      <w:r w:rsidR="00F87C05" w:rsidRPr="0064234E">
        <w:t>H Block</w:t>
      </w:r>
      <w:r w:rsidR="00B52202" w:rsidRPr="0064234E">
        <w:t xml:space="preserve"> licenses being offered in </w:t>
      </w:r>
      <w:r w:rsidR="00F87C05" w:rsidRPr="0064234E">
        <w:t>Auction 96</w:t>
      </w:r>
      <w:r w:rsidR="009756B3" w:rsidRPr="0064234E">
        <w:t xml:space="preserve">, </w:t>
      </w:r>
      <w:r w:rsidR="005E7FFA" w:rsidRPr="0064234E">
        <w:t xml:space="preserve">the Spectrum Act </w:t>
      </w:r>
      <w:r w:rsidR="00442697" w:rsidRPr="0064234E">
        <w:t xml:space="preserve">specifically directs that proceeds from an auction of </w:t>
      </w:r>
      <w:r w:rsidR="00F87C05" w:rsidRPr="0064234E">
        <w:t>H Block</w:t>
      </w:r>
      <w:r w:rsidR="00442697" w:rsidRPr="0064234E">
        <w:t xml:space="preserve"> spectrum be deposited into the Public Safety Trust Fund</w:t>
      </w:r>
      <w:r w:rsidR="005E7FFA" w:rsidRPr="0064234E">
        <w:t xml:space="preserve"> and be used for, among other things, </w:t>
      </w:r>
      <w:r w:rsidR="00EB4E0D" w:rsidRPr="001725F6">
        <w:rPr>
          <w:szCs w:val="22"/>
        </w:rPr>
        <w:t>funding (or reimbursement to the U.S. Treasury for the funding) of the nationwide, interoperable public safety broadband network by the First Responder Network Authority</w:t>
      </w:r>
      <w:r w:rsidR="00442697" w:rsidRPr="0064234E">
        <w:t>.</w:t>
      </w:r>
      <w:r w:rsidR="00442697" w:rsidRPr="0064234E">
        <w:rPr>
          <w:rStyle w:val="FootnoteReference"/>
        </w:rPr>
        <w:footnoteReference w:id="42"/>
      </w:r>
      <w:r w:rsidR="003F04BC" w:rsidRPr="0064234E">
        <w:t xml:space="preserve">  </w:t>
      </w:r>
      <w:r w:rsidR="003A0EA9" w:rsidRPr="0064234E">
        <w:t xml:space="preserve">In view of the various public interest objectives we must consider, we </w:t>
      </w:r>
      <w:r w:rsidR="001725F6">
        <w:t>propose</w:t>
      </w:r>
      <w:r w:rsidR="00263BCD" w:rsidRPr="0064234E">
        <w:t xml:space="preserve"> to establish </w:t>
      </w:r>
      <w:r w:rsidRPr="0064234E">
        <w:t>a reserve price</w:t>
      </w:r>
      <w:r w:rsidR="00265656" w:rsidRPr="0064234E">
        <w:t xml:space="preserve"> for the </w:t>
      </w:r>
      <w:r w:rsidR="00F87C05" w:rsidRPr="0064234E">
        <w:t>H Block</w:t>
      </w:r>
      <w:r w:rsidR="00265656" w:rsidRPr="0064234E">
        <w:t xml:space="preserve"> licenses offered in </w:t>
      </w:r>
      <w:r w:rsidR="00F87C05" w:rsidRPr="0064234E">
        <w:t>Auction 96</w:t>
      </w:r>
      <w:r w:rsidRPr="0064234E">
        <w:t xml:space="preserve">. </w:t>
      </w:r>
      <w:r w:rsidR="008963D5" w:rsidRPr="0064234E">
        <w:t xml:space="preserve"> </w:t>
      </w:r>
      <w:r w:rsidR="00504C6F">
        <w:t xml:space="preserve">We further propose to utilize an aggregate reserve price based on the aggregate of the gross bids for the H Block licenses, rather than license-by-license reserve prices.  </w:t>
      </w:r>
      <w:r w:rsidR="008A1551" w:rsidRPr="0064234E">
        <w:t xml:space="preserve">We seek comment on these </w:t>
      </w:r>
      <w:r w:rsidR="00504C6F">
        <w:t>proposals</w:t>
      </w:r>
      <w:r w:rsidR="008A1551" w:rsidRPr="0064234E">
        <w:t xml:space="preserve">.  </w:t>
      </w:r>
    </w:p>
    <w:p w:rsidR="001052F0" w:rsidRPr="0064234E" w:rsidRDefault="00504C6F" w:rsidP="001725F6">
      <w:pPr>
        <w:pStyle w:val="ParaNum0"/>
        <w:widowControl/>
      </w:pPr>
      <w:r>
        <w:t xml:space="preserve">We seek comment on the implementation of a reserve price.  </w:t>
      </w:r>
      <w:r w:rsidR="008A1551" w:rsidRPr="0064234E">
        <w:t xml:space="preserve">What factors should we consider in </w:t>
      </w:r>
      <w:r w:rsidR="00263BCD" w:rsidRPr="0064234E">
        <w:t>determining the amount of the reserve?</w:t>
      </w:r>
      <w:r w:rsidR="003F04BC" w:rsidRPr="0064234E">
        <w:t xml:space="preserve">  </w:t>
      </w:r>
      <w:r w:rsidR="00263BCD" w:rsidRPr="0064234E">
        <w:t xml:space="preserve">Should we disclose </w:t>
      </w:r>
      <w:r w:rsidR="00265656" w:rsidRPr="0064234E">
        <w:t xml:space="preserve">the amount of the </w:t>
      </w:r>
      <w:r w:rsidR="00263BCD" w:rsidRPr="0064234E">
        <w:t xml:space="preserve">reserve price publicly prior to the auction, or should the reserve price </w:t>
      </w:r>
      <w:r w:rsidR="00265656" w:rsidRPr="0064234E">
        <w:t xml:space="preserve">amount </w:t>
      </w:r>
      <w:r w:rsidR="000C54BC" w:rsidRPr="0064234E">
        <w:t>remain un</w:t>
      </w:r>
      <w:r w:rsidR="00263BCD" w:rsidRPr="0064234E">
        <w:t>disclosed</w:t>
      </w:r>
      <w:r w:rsidR="00265656" w:rsidRPr="0064234E">
        <w:t xml:space="preserve">?  </w:t>
      </w:r>
      <w:r w:rsidR="00263BCD" w:rsidRPr="0064234E">
        <w:t xml:space="preserve">We also seek comment on how </w:t>
      </w:r>
      <w:r w:rsidR="008A1551" w:rsidRPr="0064234E">
        <w:t xml:space="preserve">to </w:t>
      </w:r>
      <w:r w:rsidR="00263BCD" w:rsidRPr="0064234E">
        <w:t xml:space="preserve">evaluate unsold licenses in determining whether </w:t>
      </w:r>
      <w:r w:rsidR="008A1551" w:rsidRPr="0064234E">
        <w:t xml:space="preserve">an aggregate </w:t>
      </w:r>
      <w:r w:rsidR="00263BCD" w:rsidRPr="0064234E">
        <w:t xml:space="preserve">reserve price has been met.  </w:t>
      </w:r>
      <w:r>
        <w:t xml:space="preserve">We encourage commenters to address any additional specific issues related to the use of reserve prices.  </w:t>
      </w:r>
      <w:r w:rsidR="00263BCD" w:rsidRPr="0064234E">
        <w:t>We ask that commenters describe in detail the specific factors that lead them to their conclusions.</w:t>
      </w:r>
      <w:r w:rsidR="003F04BC" w:rsidRPr="0064234E">
        <w:t xml:space="preserve">  </w:t>
      </w:r>
    </w:p>
    <w:p w:rsidR="00553BA4" w:rsidRPr="0064234E" w:rsidRDefault="00553BA4" w:rsidP="007B0488">
      <w:pPr>
        <w:pStyle w:val="Heading4"/>
        <w:widowControl/>
        <w:numPr>
          <w:ilvl w:val="3"/>
          <w:numId w:val="32"/>
        </w:numPr>
        <w:rPr>
          <w:szCs w:val="22"/>
        </w:rPr>
      </w:pPr>
      <w:bookmarkStart w:id="480" w:name="_Toc194481071"/>
      <w:bookmarkStart w:id="481" w:name="_Toc357766164"/>
      <w:bookmarkStart w:id="482" w:name="_Toc357766236"/>
      <w:bookmarkStart w:id="483" w:name="_Toc357801026"/>
      <w:bookmarkStart w:id="484" w:name="_Toc357801090"/>
      <w:bookmarkStart w:id="485" w:name="_Toc360525970"/>
      <w:bookmarkStart w:id="486" w:name="_Toc360797642"/>
      <w:bookmarkStart w:id="487" w:name="_Toc361137005"/>
      <w:bookmarkStart w:id="488" w:name="_Toc361153067"/>
      <w:bookmarkStart w:id="489" w:name="_Toc361667825"/>
      <w:r w:rsidRPr="0064234E">
        <w:t>Minimum Opening Bids</w:t>
      </w:r>
      <w:bookmarkEnd w:id="480"/>
      <w:bookmarkEnd w:id="481"/>
      <w:bookmarkEnd w:id="482"/>
      <w:bookmarkEnd w:id="483"/>
      <w:bookmarkEnd w:id="484"/>
      <w:bookmarkEnd w:id="485"/>
      <w:bookmarkEnd w:id="486"/>
      <w:bookmarkEnd w:id="487"/>
      <w:bookmarkEnd w:id="488"/>
      <w:bookmarkEnd w:id="489"/>
    </w:p>
    <w:p w:rsidR="00553BA4" w:rsidRPr="0064234E" w:rsidRDefault="00553BA4" w:rsidP="007B0488">
      <w:pPr>
        <w:pStyle w:val="ParaNum0"/>
        <w:widowControl/>
        <w:rPr>
          <w:szCs w:val="22"/>
        </w:rPr>
      </w:pPr>
      <w:r w:rsidRPr="0064234E">
        <w:t xml:space="preserve">In light of </w:t>
      </w:r>
      <w:r w:rsidR="00463474">
        <w:t>s</w:t>
      </w:r>
      <w:r w:rsidRPr="0064234E">
        <w:t xml:space="preserve">ection 309(j)’s requirements, the Bureau proposes to establish minimum opening bid amounts for </w:t>
      </w:r>
      <w:r w:rsidR="00F87C05" w:rsidRPr="0064234E">
        <w:t>Auction 96</w:t>
      </w:r>
      <w:r w:rsidRPr="0064234E">
        <w:t>.  The Bureau believes a minimum opening bid amount, which has been used in other auctions, is an effective bidding tool for accelerating the competitive bidding process.</w:t>
      </w:r>
      <w:r w:rsidRPr="0064234E">
        <w:rPr>
          <w:rStyle w:val="FootnoteReference"/>
        </w:rPr>
        <w:footnoteReference w:id="43"/>
      </w:r>
    </w:p>
    <w:p w:rsidR="00BF709C" w:rsidRPr="0064234E" w:rsidRDefault="00D46296" w:rsidP="007B3428">
      <w:pPr>
        <w:pStyle w:val="ParaNum0"/>
        <w:rPr>
          <w:szCs w:val="22"/>
        </w:rPr>
      </w:pPr>
      <w:r>
        <w:t>F</w:t>
      </w:r>
      <w:r w:rsidR="00717F1A" w:rsidRPr="0064234E">
        <w:t xml:space="preserve">or </w:t>
      </w:r>
      <w:r w:rsidR="00F87C05" w:rsidRPr="0064234E">
        <w:t>Auction 96</w:t>
      </w:r>
      <w:r w:rsidR="00717F1A" w:rsidRPr="0064234E">
        <w:t xml:space="preserve"> the Bureau proposes to calculate minimum opening bid amounts on a license-by-license basis using a </w:t>
      </w:r>
      <w:r w:rsidR="00BB223E">
        <w:t>formula based on bandwidth and license area population,</w:t>
      </w:r>
      <w:r w:rsidR="00BB223E">
        <w:rPr>
          <w:rStyle w:val="FootnoteReference"/>
        </w:rPr>
        <w:footnoteReference w:id="44"/>
      </w:r>
      <w:r w:rsidR="00BB223E">
        <w:t xml:space="preserve"> </w:t>
      </w:r>
      <w:r w:rsidR="00717F1A" w:rsidRPr="0064234E">
        <w:t xml:space="preserve">similar to </w:t>
      </w:r>
      <w:r w:rsidR="00BB223E">
        <w:t xml:space="preserve">our approach in </w:t>
      </w:r>
      <w:r w:rsidR="00D53FF7">
        <w:t xml:space="preserve">many </w:t>
      </w:r>
      <w:r w:rsidR="00963DBF">
        <w:t xml:space="preserve">previous </w:t>
      </w:r>
      <w:r w:rsidR="00BB223E">
        <w:t xml:space="preserve">spectrum </w:t>
      </w:r>
      <w:r w:rsidR="00963DBF">
        <w:t>auctions</w:t>
      </w:r>
      <w:r w:rsidR="002A0A1D">
        <w:t xml:space="preserve">.  </w:t>
      </w:r>
      <w:r>
        <w:t>W</w:t>
      </w:r>
      <w:r w:rsidR="003B4C3C">
        <w:t xml:space="preserve">e propose to </w:t>
      </w:r>
      <w:r>
        <w:t xml:space="preserve">use a calculation </w:t>
      </w:r>
      <w:r w:rsidR="00BB223E">
        <w:t xml:space="preserve">based on </w:t>
      </w:r>
      <w:r w:rsidR="003B4C3C">
        <w:t xml:space="preserve">$0.07 per megahertz of bandwidth per population </w:t>
      </w:r>
      <w:r w:rsidR="003B4C3C" w:rsidRPr="0064234E">
        <w:t>(per “MHz-pop”)</w:t>
      </w:r>
      <w:r w:rsidR="003B4C3C">
        <w:t>.  Additionally, we propose to incorporate pricing information from previous auctions</w:t>
      </w:r>
      <w:r w:rsidR="00BB223E">
        <w:t xml:space="preserve"> to </w:t>
      </w:r>
      <w:r w:rsidR="00CA57E4">
        <w:t xml:space="preserve">tailor the results of </w:t>
      </w:r>
      <w:r>
        <w:t xml:space="preserve">our </w:t>
      </w:r>
      <w:r w:rsidR="00CA57E4">
        <w:t>calculation to the relative prices for each EA</w:t>
      </w:r>
      <w:r w:rsidR="003B4C3C">
        <w:t xml:space="preserve">.  </w:t>
      </w:r>
      <w:r w:rsidR="00655B81">
        <w:t xml:space="preserve">For this we propose </w:t>
      </w:r>
      <w:r>
        <w:t xml:space="preserve">to create an index of the relative price of each EA </w:t>
      </w:r>
      <w:r w:rsidR="00655B81">
        <w:t>us</w:t>
      </w:r>
      <w:r>
        <w:t>ing</w:t>
      </w:r>
      <w:r w:rsidR="00655B81">
        <w:t xml:space="preserve"> the winning bid amounts for the EA licenses of paired spectrum </w:t>
      </w:r>
      <w:r w:rsidR="0084407F">
        <w:t xml:space="preserve">from </w:t>
      </w:r>
      <w:r w:rsidR="00655B81">
        <w:t xml:space="preserve">Auctions 66 and 73.  </w:t>
      </w:r>
      <w:r w:rsidR="0084407F">
        <w:t xml:space="preserve">This </w:t>
      </w:r>
      <w:r>
        <w:t xml:space="preserve">modification </w:t>
      </w:r>
      <w:r w:rsidR="007B3428" w:rsidRPr="007B3428">
        <w:t xml:space="preserve">to the use of $0.07 per MHz-pop results in </w:t>
      </w:r>
      <w:r w:rsidR="0084407F">
        <w:t>amounts rang</w:t>
      </w:r>
      <w:r>
        <w:t>ing</w:t>
      </w:r>
      <w:r w:rsidR="0084407F">
        <w:t xml:space="preserve"> from less than $0.0</w:t>
      </w:r>
      <w:r w:rsidR="008522FE">
        <w:t>1</w:t>
      </w:r>
      <w:r w:rsidR="0084407F">
        <w:t xml:space="preserve"> per MHz</w:t>
      </w:r>
      <w:r w:rsidR="0084407F">
        <w:noBreakHyphen/>
        <w:t>pop to $</w:t>
      </w:r>
      <w:r w:rsidR="008522FE">
        <w:t>0</w:t>
      </w:r>
      <w:r w:rsidR="0084407F">
        <w:t>.1</w:t>
      </w:r>
      <w:r w:rsidR="008522FE">
        <w:t>6</w:t>
      </w:r>
      <w:r w:rsidR="0084407F">
        <w:t xml:space="preserve"> per MHz</w:t>
      </w:r>
      <w:r w:rsidR="0084407F">
        <w:noBreakHyphen/>
        <w:t xml:space="preserve">pop.  </w:t>
      </w:r>
      <w:r w:rsidR="008522FE">
        <w:t>W</w:t>
      </w:r>
      <w:r w:rsidR="0084407F">
        <w:t xml:space="preserve">e further propose </w:t>
      </w:r>
      <w:r w:rsidR="008522FE">
        <w:t>a minimum of $1000 per license</w:t>
      </w:r>
      <w:r w:rsidR="0084407F">
        <w:t>.</w:t>
      </w:r>
      <w:r w:rsidR="006F348D">
        <w:t xml:space="preserve">  </w:t>
      </w:r>
      <w:r w:rsidR="003C6D66">
        <w:t>F</w:t>
      </w:r>
      <w:r w:rsidR="00717F1A" w:rsidRPr="0064234E">
        <w:t xml:space="preserve">or the license covering the Gulf of Mexico </w:t>
      </w:r>
      <w:r w:rsidR="003C6D66">
        <w:t>w</w:t>
      </w:r>
      <w:r w:rsidR="003C6D66" w:rsidRPr="0064234E">
        <w:t xml:space="preserve">e propose to set the minimum opening bid </w:t>
      </w:r>
      <w:r w:rsidR="00717F1A" w:rsidRPr="0064234E">
        <w:t>at $20,000.</w:t>
      </w:r>
      <w:r w:rsidR="00356AF1" w:rsidRPr="0064234E">
        <w:t xml:space="preserve">  </w:t>
      </w:r>
      <w:r w:rsidR="00356AF1" w:rsidRPr="0064234E" w:rsidDel="00D46296">
        <w:t>The minimum opening bid amount for a package will equal the sum of the minimum opening bid amounts for all of the licenses in that package.</w:t>
      </w:r>
    </w:p>
    <w:p w:rsidR="00D46296" w:rsidRPr="009E6673" w:rsidRDefault="00553BA4" w:rsidP="009E6673">
      <w:pPr>
        <w:pStyle w:val="ParaNum0"/>
        <w:widowControl/>
        <w:rPr>
          <w:szCs w:val="22"/>
        </w:rPr>
      </w:pPr>
      <w:r w:rsidRPr="0064234E">
        <w:t xml:space="preserve">The proposed minimum opening bid amount for each </w:t>
      </w:r>
      <w:r w:rsidR="00F87C05" w:rsidRPr="0064234E">
        <w:t>H Block</w:t>
      </w:r>
      <w:r w:rsidRPr="0064234E">
        <w:t xml:space="preserve"> license available in </w:t>
      </w:r>
      <w:r w:rsidR="00F87C05" w:rsidRPr="0064234E">
        <w:t>Auction 96</w:t>
      </w:r>
      <w:r w:rsidRPr="0064234E">
        <w:t>, calculated pursuant to the procedures described above, is set forth in Attachment A.</w:t>
      </w:r>
      <w:r w:rsidR="009E6673">
        <w:t xml:space="preserve">  F</w:t>
      </w:r>
      <w:r w:rsidR="009E6673" w:rsidRPr="0064234E">
        <w:t>or package</w:t>
      </w:r>
      <w:r w:rsidR="009E6673">
        <w:t>s</w:t>
      </w:r>
      <w:r w:rsidR="009E6673" w:rsidRPr="0064234E">
        <w:t xml:space="preserve"> </w:t>
      </w:r>
      <w:r w:rsidR="009E6673">
        <w:t xml:space="preserve">we propose that the minimum opening bid amount of a package </w:t>
      </w:r>
      <w:r w:rsidR="009E6673" w:rsidRPr="0064234E">
        <w:t>will equal the sum of the minimum opening bid amounts for all of the licenses in that package.</w:t>
      </w:r>
    </w:p>
    <w:p w:rsidR="00553BA4" w:rsidRPr="0064234E" w:rsidRDefault="00553BA4" w:rsidP="007B0488">
      <w:pPr>
        <w:pStyle w:val="ParaNum0"/>
        <w:widowControl/>
        <w:rPr>
          <w:szCs w:val="22"/>
        </w:rPr>
      </w:pPr>
      <w:r w:rsidRPr="0064234E">
        <w:t xml:space="preserve">The Bureau seeks comment on all of the above proposals concerning minimum opening bids.  If commenters believe that these minimum opening bid amounts will result in unsold licenses, or are not reasonable amounts, they should explain why this is so and comment on the desirability of an alternative approach.  </w:t>
      </w:r>
      <w:r w:rsidR="00BF17ED" w:rsidRPr="0064234E">
        <w:t xml:space="preserve">If </w:t>
      </w:r>
      <w:r w:rsidR="00A02860" w:rsidRPr="0064234E">
        <w:t xml:space="preserve">a commenter </w:t>
      </w:r>
      <w:r w:rsidR="00BF17ED" w:rsidRPr="0064234E">
        <w:t>request</w:t>
      </w:r>
      <w:r w:rsidR="00A02860" w:rsidRPr="0064234E">
        <w:t>s</w:t>
      </w:r>
      <w:r w:rsidR="00BF17ED" w:rsidRPr="0064234E">
        <w:t xml:space="preserve"> a lower minimum opening bid amount for a specific license, </w:t>
      </w:r>
      <w:r w:rsidR="00A02860" w:rsidRPr="0064234E">
        <w:t>it</w:t>
      </w:r>
      <w:r w:rsidR="00BF17ED" w:rsidRPr="0064234E">
        <w:t xml:space="preserve"> should justify the requested </w:t>
      </w:r>
      <w:r w:rsidR="00656C2D">
        <w:t xml:space="preserve">change </w:t>
      </w:r>
      <w:r w:rsidR="00BF17ED" w:rsidRPr="0064234E">
        <w:t xml:space="preserve">in detail.  </w:t>
      </w:r>
      <w:r w:rsidR="00656C2D">
        <w:t>If commenters disagree with our proposed use of $0.07 per MHz</w:t>
      </w:r>
      <w:r w:rsidR="00656C2D">
        <w:noBreakHyphen/>
        <w:t>pop, our approach to tailor</w:t>
      </w:r>
      <w:r w:rsidR="002A2CDA">
        <w:t>ing</w:t>
      </w:r>
      <w:r w:rsidR="00656C2D">
        <w:t xml:space="preserve"> minimum opening bid amounts to account for relative prices among the EAs</w:t>
      </w:r>
      <w:r w:rsidR="002A2CDA">
        <w:t xml:space="preserve"> in past auctions</w:t>
      </w:r>
      <w:r w:rsidR="00656C2D">
        <w:t xml:space="preserve">, or our selection of which past results to consider, </w:t>
      </w:r>
      <w:r w:rsidR="006E1A3A">
        <w:t>w</w:t>
      </w:r>
      <w:r w:rsidR="00BF17ED" w:rsidRPr="0064234E">
        <w:t>e ask c</w:t>
      </w:r>
      <w:r w:rsidRPr="0064234E">
        <w:t>ommenters to support their claims with valuation analyses and suggested minimum opening bid amount levels or formulas</w:t>
      </w:r>
      <w:r w:rsidR="00D1509F" w:rsidRPr="0064234E">
        <w:t>.</w:t>
      </w:r>
    </w:p>
    <w:p w:rsidR="00553BA4" w:rsidRPr="0064234E" w:rsidRDefault="00553BA4" w:rsidP="007B0488">
      <w:pPr>
        <w:pStyle w:val="ParaNum0"/>
        <w:widowControl/>
        <w:rPr>
          <w:szCs w:val="22"/>
        </w:rPr>
      </w:pPr>
      <w:r w:rsidRPr="0064234E">
        <w:t xml:space="preserve">In establishing minimum opening bid amounts, we particularly seek comment on factors </w:t>
      </w:r>
      <w:r w:rsidR="00BF17ED" w:rsidRPr="0064234E">
        <w:t>that could reasonably have an impact on valuation of the licenses being auctioned, including</w:t>
      </w:r>
      <w:r w:rsidRPr="0064234E">
        <w:t xml:space="preserve"> the amount of spectrum being auctioned, levels of incumbency, the availability of technology to provide service, the size of the service areas, </w:t>
      </w:r>
      <w:r w:rsidR="00BF17ED" w:rsidRPr="0064234E">
        <w:t xml:space="preserve">the size of the geographic service areas, </w:t>
      </w:r>
      <w:r w:rsidRPr="0064234E">
        <w:t xml:space="preserve">issues of interference with other spectrum bands and any other relevant factors.  The Bureau also seeks comment on whether, consistent with </w:t>
      </w:r>
      <w:r w:rsidR="00463474">
        <w:t>s</w:t>
      </w:r>
      <w:r w:rsidRPr="0064234E">
        <w:t>ection 309(j), the public interest would be served by having no minimum opening bid amount.</w:t>
      </w:r>
      <w:r w:rsidR="00BF17ED" w:rsidRPr="0064234E">
        <w:t xml:space="preserve">  </w:t>
      </w:r>
    </w:p>
    <w:p w:rsidR="00577ED5" w:rsidRPr="0064234E" w:rsidRDefault="00553BA4" w:rsidP="007B0488">
      <w:pPr>
        <w:pStyle w:val="ParaNum0"/>
        <w:widowControl/>
        <w:rPr>
          <w:szCs w:val="22"/>
        </w:rPr>
      </w:pPr>
      <w:r w:rsidRPr="0064234E">
        <w:t>Commenters may also wish to address the general role of minimum opening bids in managing the pace of the auction.  For example, commenters could compare using minimum opening bids</w:t>
      </w:r>
      <w:r w:rsidR="007E7342" w:rsidRPr="0064234E">
        <w:t>—</w:t>
      </w:r>
      <w:r w:rsidRPr="0064234E">
        <w:t>e.g., by setting higher minimum opening bids to reduce the number of rounds it takes licenses to reach their final prices</w:t>
      </w:r>
      <w:r w:rsidR="007E7342" w:rsidRPr="0064234E">
        <w:t>—</w:t>
      </w:r>
      <w:r w:rsidRPr="0064234E">
        <w:t>to other means of controlling auction pace, such as changes to bidding schedules or activity requirements.</w:t>
      </w:r>
      <w:r w:rsidR="00577ED5" w:rsidRPr="0064234E">
        <w:t xml:space="preserve">  </w:t>
      </w:r>
    </w:p>
    <w:p w:rsidR="00577ED5" w:rsidRPr="0064234E" w:rsidRDefault="00577ED5" w:rsidP="007B0488">
      <w:pPr>
        <w:pStyle w:val="Heading3"/>
        <w:widowControl/>
      </w:pPr>
      <w:bookmarkStart w:id="490" w:name="_Toc150843261"/>
      <w:bookmarkStart w:id="491" w:name="_Toc150843328"/>
      <w:bookmarkStart w:id="492" w:name="_Toc150843525"/>
      <w:bookmarkStart w:id="493" w:name="_Toc150843638"/>
      <w:bookmarkStart w:id="494" w:name="_Toc150843713"/>
      <w:bookmarkStart w:id="495" w:name="_Toc150857308"/>
      <w:bookmarkStart w:id="496" w:name="_Toc151201051"/>
      <w:bookmarkStart w:id="497" w:name="_Toc153165401"/>
      <w:bookmarkStart w:id="498" w:name="_Toc153190412"/>
      <w:bookmarkStart w:id="499" w:name="_Toc190859721"/>
      <w:bookmarkStart w:id="500" w:name="_Toc190867598"/>
      <w:bookmarkStart w:id="501" w:name="_Toc191282391"/>
      <w:bookmarkStart w:id="502" w:name="_Toc191296798"/>
      <w:bookmarkStart w:id="503" w:name="_Toc203461500"/>
      <w:bookmarkStart w:id="504" w:name="_Toc214427396"/>
      <w:bookmarkStart w:id="505" w:name="_Toc252353641"/>
      <w:bookmarkStart w:id="506" w:name="_Toc252456330"/>
      <w:bookmarkStart w:id="507" w:name="_Toc252881328"/>
      <w:bookmarkStart w:id="508" w:name="_Toc266452587"/>
      <w:bookmarkStart w:id="509" w:name="_Toc267580116"/>
      <w:bookmarkStart w:id="510" w:name="_Toc268005361"/>
      <w:bookmarkStart w:id="511" w:name="_Toc268513865"/>
      <w:bookmarkStart w:id="512" w:name="_Toc271880880"/>
      <w:bookmarkStart w:id="513" w:name="_Toc272760380"/>
      <w:bookmarkStart w:id="514" w:name="_Toc303331693"/>
      <w:bookmarkStart w:id="515" w:name="_Toc334798944"/>
      <w:bookmarkStart w:id="516" w:name="_Toc346007152"/>
      <w:bookmarkStart w:id="517" w:name="_Toc357766165"/>
      <w:bookmarkStart w:id="518" w:name="_Toc357766237"/>
      <w:bookmarkStart w:id="519" w:name="_Toc357801027"/>
      <w:bookmarkStart w:id="520" w:name="_Toc357801091"/>
      <w:bookmarkStart w:id="521" w:name="_Toc360525971"/>
      <w:bookmarkStart w:id="522" w:name="_Toc360797643"/>
      <w:bookmarkStart w:id="523" w:name="_Toc361137006"/>
      <w:bookmarkStart w:id="524" w:name="_Toc361153068"/>
      <w:bookmarkStart w:id="525" w:name="_Toc361667826"/>
      <w:r w:rsidRPr="0064234E">
        <w:t>Bid Amounts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577ED5" w:rsidRPr="0064234E" w:rsidRDefault="004A06AA" w:rsidP="007B0488">
      <w:pPr>
        <w:pStyle w:val="ParaNum0"/>
        <w:widowControl/>
        <w:rPr>
          <w:szCs w:val="22"/>
        </w:rPr>
      </w:pPr>
      <w:r w:rsidRPr="0064234E">
        <w:t>The Bureau</w:t>
      </w:r>
      <w:r w:rsidR="00577ED5" w:rsidRPr="0064234E">
        <w:t xml:space="preserve"> propose</w:t>
      </w:r>
      <w:r w:rsidRPr="0064234E">
        <w:t>s</w:t>
      </w:r>
      <w:r w:rsidR="00577ED5" w:rsidRPr="0064234E">
        <w:t xml:space="preserve"> that, in each round, an eligible bidder will be able to place a bid on a given </w:t>
      </w:r>
      <w:r w:rsidRPr="0064234E">
        <w:t xml:space="preserve">license </w:t>
      </w:r>
      <w:r w:rsidR="00082A65" w:rsidRPr="0064234E">
        <w:t xml:space="preserve">or package </w:t>
      </w:r>
      <w:r w:rsidRPr="0064234E">
        <w:t xml:space="preserve">using one or more pre-defined bid </w:t>
      </w:r>
      <w:r w:rsidR="00577ED5" w:rsidRPr="0064234E">
        <w:t>amounts.</w:t>
      </w:r>
      <w:r w:rsidR="00577ED5" w:rsidRPr="0064234E">
        <w:rPr>
          <w:rStyle w:val="FootnoteReference"/>
        </w:rPr>
        <w:footnoteReference w:id="45"/>
      </w:r>
      <w:r w:rsidR="00577ED5" w:rsidRPr="0064234E">
        <w:t xml:space="preserve">  Under this proposal, the FCC Auction System interface will list the acceptable bid amounts for each </w:t>
      </w:r>
      <w:r w:rsidRPr="0064234E">
        <w:t>license</w:t>
      </w:r>
      <w:r w:rsidR="00082A65" w:rsidRPr="0064234E">
        <w:t xml:space="preserve"> and package</w:t>
      </w:r>
      <w:r w:rsidR="00577ED5" w:rsidRPr="0064234E">
        <w:t>.</w:t>
      </w:r>
      <w:r w:rsidRPr="0064234E">
        <w:t xml:space="preserve">  The Bureau proposes to calculate bid amounts as described below.</w:t>
      </w:r>
    </w:p>
    <w:p w:rsidR="004A06AA" w:rsidRPr="0064234E" w:rsidRDefault="00427A66" w:rsidP="007B0488">
      <w:pPr>
        <w:pStyle w:val="Heading4"/>
        <w:widowControl/>
      </w:pPr>
      <w:bookmarkStart w:id="526" w:name="_Toc357766166"/>
      <w:bookmarkStart w:id="527" w:name="_Toc357766238"/>
      <w:bookmarkStart w:id="528" w:name="_Toc357801028"/>
      <w:bookmarkStart w:id="529" w:name="_Toc357801092"/>
      <w:bookmarkStart w:id="530" w:name="_Toc360525972"/>
      <w:bookmarkStart w:id="531" w:name="_Toc360797644"/>
      <w:bookmarkStart w:id="532" w:name="_Toc361137007"/>
      <w:bookmarkStart w:id="533" w:name="_Toc361153069"/>
      <w:bookmarkStart w:id="534" w:name="_Toc361667827"/>
      <w:r w:rsidRPr="0064234E">
        <w:t>Minimum Acceptable Bids</w:t>
      </w:r>
      <w:bookmarkEnd w:id="526"/>
      <w:bookmarkEnd w:id="527"/>
      <w:bookmarkEnd w:id="528"/>
      <w:bookmarkEnd w:id="529"/>
      <w:bookmarkEnd w:id="530"/>
      <w:bookmarkEnd w:id="531"/>
      <w:bookmarkEnd w:id="532"/>
      <w:bookmarkEnd w:id="533"/>
      <w:bookmarkEnd w:id="534"/>
    </w:p>
    <w:p w:rsidR="0009791C" w:rsidRPr="0064234E" w:rsidRDefault="00577ED5" w:rsidP="007B0488">
      <w:pPr>
        <w:pStyle w:val="ParaNum0"/>
        <w:widowControl/>
        <w:rPr>
          <w:szCs w:val="22"/>
        </w:rPr>
      </w:pPr>
      <w:r w:rsidRPr="0064234E">
        <w:t xml:space="preserve">The first of the acceptable bid amounts is called the minimum acceptable bid amount.  The minimum acceptable bid amount for a </w:t>
      </w:r>
      <w:r w:rsidR="00427A66" w:rsidRPr="0064234E">
        <w:t>license</w:t>
      </w:r>
      <w:r w:rsidRPr="0064234E">
        <w:t xml:space="preserve"> will be equal to its minimum opening bid amount until there is a provisionally winning bid</w:t>
      </w:r>
      <w:r w:rsidR="0009791C" w:rsidRPr="0064234E">
        <w:t xml:space="preserve"> on the license itself or on a package that includes the license</w:t>
      </w:r>
      <w:r w:rsidRPr="0064234E">
        <w:t xml:space="preserve">.  </w:t>
      </w:r>
      <w:r w:rsidR="00967E38" w:rsidRPr="0064234E">
        <w:t xml:space="preserve">The minimum acceptable bid amount for a package will be the sum of the minimum acceptable bid amounts for the licenses in the package.  </w:t>
      </w:r>
      <w:r w:rsidR="0009791C" w:rsidRPr="0064234E">
        <w:t>The Bureau proposes to calculate minimum acceptable bids based on “current price estimates” and an activity-based formula</w:t>
      </w:r>
      <w:r w:rsidR="00C34018">
        <w:t>.</w:t>
      </w:r>
    </w:p>
    <w:p w:rsidR="00810AE9" w:rsidRPr="0064234E" w:rsidRDefault="0009791C" w:rsidP="00021ED6">
      <w:pPr>
        <w:pStyle w:val="ParaNum0"/>
        <w:widowControl/>
        <w:rPr>
          <w:szCs w:val="22"/>
        </w:rPr>
      </w:pPr>
      <w:r w:rsidRPr="0064234E">
        <w:rPr>
          <w:i/>
        </w:rPr>
        <w:t>Current Price Estimates.</w:t>
      </w:r>
      <w:r w:rsidRPr="0064234E">
        <w:t xml:space="preserve">  After there is a provisionally winning bid covering a license, the FCC Auction System will determine a current price estimate (“CPE”) for each license in each round as a basis for calculating minimum acceptable bids.  T</w:t>
      </w:r>
      <w:r w:rsidR="006C4163" w:rsidRPr="0064234E">
        <w:t>he CPE</w:t>
      </w:r>
      <w:r w:rsidR="001E6F40" w:rsidRPr="0064234E">
        <w:t xml:space="preserve"> is the provisionally winning bid for the license, or</w:t>
      </w:r>
      <w:r w:rsidRPr="0064234E">
        <w:t>—</w:t>
      </w:r>
      <w:r w:rsidR="001E6F40" w:rsidRPr="0064234E">
        <w:t>if the provisionally winning bid covering the license is a package bid</w:t>
      </w:r>
      <w:r w:rsidRPr="0064234E">
        <w:t>—</w:t>
      </w:r>
      <w:r w:rsidR="00013BEE" w:rsidRPr="0064234E">
        <w:t>a proxy for an individual license bid calculated as a share of the provisionally winning package bid.</w:t>
      </w:r>
      <w:r w:rsidR="00013BEE" w:rsidRPr="0064234E">
        <w:rPr>
          <w:rStyle w:val="FootnoteReference"/>
        </w:rPr>
        <w:footnoteReference w:id="46"/>
      </w:r>
      <w:r w:rsidR="007E7342" w:rsidRPr="0064234E">
        <w:t xml:space="preserve">  </w:t>
      </w:r>
      <w:r w:rsidR="00A71A55" w:rsidRPr="00A71A55">
        <w:t>The proposed mechanism for determining CPEs in an HPB auction format is described in more detail in Attachment B.</w:t>
      </w:r>
    </w:p>
    <w:p w:rsidR="0009791C" w:rsidRPr="0064234E" w:rsidRDefault="0009791C" w:rsidP="007B0488">
      <w:pPr>
        <w:pStyle w:val="ParaNum0"/>
        <w:widowControl/>
        <w:rPr>
          <w:szCs w:val="22"/>
        </w:rPr>
      </w:pPr>
      <w:r w:rsidRPr="0064234E">
        <w:rPr>
          <w:i/>
        </w:rPr>
        <w:t>Activity-Based Formula.</w:t>
      </w:r>
      <w:r w:rsidRPr="0064234E">
        <w:t xml:space="preserve">  Once CPEs are calculated, minimum acceptable bids are then determined for each license as the amount of the CPE plus a percentage of the CPE. The percentage is calculated using the activity-based formula described below. In general, the percentage will be higher when many bidders are bidding on a license, or on a package containing a license, than when few bidders are bidding on a license.</w:t>
      </w:r>
    </w:p>
    <w:p w:rsidR="00427A66" w:rsidRPr="0064234E" w:rsidRDefault="0009791C" w:rsidP="007B0488">
      <w:pPr>
        <w:pStyle w:val="ParaNum0"/>
        <w:widowControl/>
        <w:rPr>
          <w:szCs w:val="22"/>
        </w:rPr>
      </w:pPr>
      <w:r w:rsidRPr="0064234E">
        <w:t>The percentage of the CPE used to establish the minimum acceptable bid amount is calculated based on an activity index at the end of each round.  The activity index is a weighted average of (a) the number of distinct bidders placing a bid on the license, including package bids, in that round, and (b) the activity index from the prior round.  Specifically, the activity index is equal to a weighting factor times the number of bidders placing a bid covering the license in the most recent bidding round plus one minus the weighting factor times the activity index from the prior round.</w:t>
      </w:r>
      <w:r w:rsidRPr="0064234E">
        <w:rPr>
          <w:rStyle w:val="FootnoteReference"/>
        </w:rPr>
        <w:footnoteReference w:id="47"/>
      </w:r>
      <w:r w:rsidRPr="0064234E">
        <w:t xml:space="preserve">  The additional percentage is determined as one plus the activity index times a minimum percentage amount, with the result not to exceed a given maximum.  The additional percentage is then multiplied by the CPE amount to obtain the minimum acceptable bid for the next round.</w:t>
      </w:r>
      <w:r w:rsidRPr="0064234E">
        <w:rPr>
          <w:rStyle w:val="FootnoteReference"/>
        </w:rPr>
        <w:footnoteReference w:id="48"/>
      </w:r>
      <w:r w:rsidRPr="0064234E">
        <w:t xml:space="preserve">  The Bureau proposes initially to set the weighting factor at 0.5, the minimum percentage at 0.1 (10%), and the maximum percentage at 0.2</w:t>
      </w:r>
      <w:r w:rsidR="00BA484A">
        <w:t>5</w:t>
      </w:r>
      <w:r w:rsidRPr="0064234E">
        <w:t xml:space="preserve"> (2</w:t>
      </w:r>
      <w:r w:rsidR="00BA484A">
        <w:t>5</w:t>
      </w:r>
      <w:r w:rsidRPr="0064234E">
        <w:t>%).  Hence, at these initial settings, the minimum acceptable bid for a license will be between ten percent and twenty</w:t>
      </w:r>
      <w:r w:rsidR="00BA484A">
        <w:t>-five</w:t>
      </w:r>
      <w:r w:rsidRPr="0064234E">
        <w:t xml:space="preserve"> percent higher than the CPE, depending upon the bidding activity covering the license.  Equations and examples are shown in Attachment </w:t>
      </w:r>
      <w:r w:rsidR="00A71A55">
        <w:t>C</w:t>
      </w:r>
      <w:r w:rsidRPr="0064234E">
        <w:t>.</w:t>
      </w:r>
      <w:r w:rsidR="00031616" w:rsidRPr="0064234E">
        <w:t xml:space="preserve">  </w:t>
      </w:r>
      <w:r w:rsidR="00BA7927" w:rsidRPr="009E47D7">
        <w:t>We seek comment on whether to use this activity-based formula or a different approach.  For example, should we use a fixed percentage above the CPE?</w:t>
      </w:r>
      <w:r w:rsidR="00BA7927" w:rsidRPr="0064234E">
        <w:t xml:space="preserve">  </w:t>
      </w:r>
    </w:p>
    <w:p w:rsidR="00577ED5" w:rsidRPr="0064234E" w:rsidRDefault="00427A66" w:rsidP="007B0488">
      <w:pPr>
        <w:pStyle w:val="Heading4"/>
        <w:widowControl/>
        <w:rPr>
          <w:szCs w:val="22"/>
        </w:rPr>
      </w:pPr>
      <w:bookmarkStart w:id="535" w:name="_Toc357766167"/>
      <w:bookmarkStart w:id="536" w:name="_Toc357766239"/>
      <w:bookmarkStart w:id="537" w:name="_Toc357801029"/>
      <w:bookmarkStart w:id="538" w:name="_Toc357801093"/>
      <w:bookmarkStart w:id="539" w:name="_Toc360525973"/>
      <w:bookmarkStart w:id="540" w:name="_Toc360797645"/>
      <w:bookmarkStart w:id="541" w:name="_Toc361137008"/>
      <w:bookmarkStart w:id="542" w:name="_Toc361153070"/>
      <w:bookmarkStart w:id="543" w:name="_Toc361667828"/>
      <w:r w:rsidRPr="0064234E">
        <w:t>Additional Bid Amounts</w:t>
      </w:r>
      <w:bookmarkEnd w:id="535"/>
      <w:bookmarkEnd w:id="536"/>
      <w:bookmarkEnd w:id="537"/>
      <w:bookmarkEnd w:id="538"/>
      <w:bookmarkEnd w:id="539"/>
      <w:bookmarkEnd w:id="540"/>
      <w:bookmarkEnd w:id="541"/>
      <w:bookmarkEnd w:id="542"/>
      <w:bookmarkEnd w:id="543"/>
      <w:r w:rsidR="00577ED5" w:rsidRPr="0064234E">
        <w:t xml:space="preserve"> </w:t>
      </w:r>
    </w:p>
    <w:p w:rsidR="00577ED5" w:rsidRPr="0064234E" w:rsidRDefault="00577ED5" w:rsidP="007B0488">
      <w:pPr>
        <w:pStyle w:val="ParaNum0"/>
        <w:widowControl/>
        <w:rPr>
          <w:szCs w:val="22"/>
        </w:rPr>
      </w:pPr>
      <w:r w:rsidRPr="0064234E">
        <w:t xml:space="preserve">The </w:t>
      </w:r>
      <w:r w:rsidR="0009791C" w:rsidRPr="0064234E">
        <w:t xml:space="preserve">Bureau proposes to </w:t>
      </w:r>
      <w:r w:rsidRPr="0064234E">
        <w:t xml:space="preserve">calculate </w:t>
      </w:r>
      <w:r w:rsidR="00427A66" w:rsidRPr="0064234E">
        <w:t xml:space="preserve">any </w:t>
      </w:r>
      <w:r w:rsidRPr="0064234E">
        <w:t>additional bid amounts using the minimum acceptable bid amount and a bid increment percentage</w:t>
      </w:r>
      <w:r w:rsidR="0009791C" w:rsidRPr="0064234E">
        <w:t>— more specifically, by multiplying the minimum acceptable bid by one plus successively higher multiples of the bid increment percentage</w:t>
      </w:r>
      <w:r w:rsidRPr="0064234E">
        <w:t xml:space="preserve">.  If, for example, the bid increment percentage is 5 percent, the calculation </w:t>
      </w:r>
      <w:r w:rsidR="0009791C" w:rsidRPr="0064234E">
        <w:t xml:space="preserve">of the first additional acceptable bid amount </w:t>
      </w:r>
      <w:r w:rsidRPr="0064234E">
        <w:t>is (minimum acceptable bid amount) * (1 + 0.05), rounded, or (minimum acceptable bid amount) * 1.05, rounded; the second additional acceptable bid amount equals the minimum acceptable bid amount times one plus two times the bid increment percentage, rounded, or (minimum acceptable bid amount) * 1.10, rounded; etc.  The Bureau will round the results using the Commission’s standard rounding procedures for auctions.</w:t>
      </w:r>
      <w:r w:rsidRPr="0064234E">
        <w:rPr>
          <w:rStyle w:val="FootnoteReference"/>
        </w:rPr>
        <w:footnoteReference w:id="49"/>
      </w:r>
      <w:r w:rsidRPr="0064234E">
        <w:t xml:space="preserve">  </w:t>
      </w:r>
      <w:r w:rsidR="004E4D9E" w:rsidRPr="0064234E">
        <w:t xml:space="preserve">The Bureau proposes </w:t>
      </w:r>
      <w:r w:rsidR="00D37569" w:rsidRPr="0064234E">
        <w:t xml:space="preserve">initially to set the </w:t>
      </w:r>
      <w:r w:rsidR="004E4D9E" w:rsidRPr="0064234E">
        <w:t xml:space="preserve">bid increment percentage </w:t>
      </w:r>
      <w:r w:rsidR="00D37569" w:rsidRPr="0064234E">
        <w:t xml:space="preserve">at </w:t>
      </w:r>
      <w:r w:rsidR="004E4D9E" w:rsidRPr="0064234E">
        <w:t>5 percent.</w:t>
      </w:r>
    </w:p>
    <w:p w:rsidR="00427A66" w:rsidRPr="0064234E" w:rsidRDefault="000474A5" w:rsidP="007B0488">
      <w:pPr>
        <w:pStyle w:val="ParaNum0"/>
        <w:widowControl/>
        <w:rPr>
          <w:szCs w:val="22"/>
        </w:rPr>
      </w:pPr>
      <w:r w:rsidRPr="0064234E">
        <w:t xml:space="preserve">For </w:t>
      </w:r>
      <w:r w:rsidR="00F87C05" w:rsidRPr="0064234E">
        <w:t>Auction 96</w:t>
      </w:r>
      <w:r w:rsidRPr="0064234E">
        <w:t xml:space="preserve"> t</w:t>
      </w:r>
      <w:r w:rsidR="00427A66" w:rsidRPr="0064234E">
        <w:t xml:space="preserve">he Bureau </w:t>
      </w:r>
      <w:r w:rsidR="00325DFF" w:rsidRPr="0064234E">
        <w:t>proposes to</w:t>
      </w:r>
      <w:r w:rsidR="0000541E" w:rsidRPr="0064234E">
        <w:t xml:space="preserve"> begin the auction with three acceptable bid amounts per license (the minimum acceptable bid amount and two additional bid amounts) and one acceptable bid amount per package (the minimum acceptable bid amount and no additional bid amounts).  More acceptable bidding amounts are proposed for licenses than for packages to help ensure that bids on individual licenses or on smaller packages can compete with bids on larger packages, even when there may not be active competition on all the separate components of the large package</w:t>
      </w:r>
      <w:r w:rsidR="00427A66" w:rsidRPr="0064234E">
        <w:t xml:space="preserve">.  </w:t>
      </w:r>
    </w:p>
    <w:p w:rsidR="00427A66" w:rsidRPr="0064234E" w:rsidRDefault="00427A66" w:rsidP="007B0488">
      <w:pPr>
        <w:pStyle w:val="Heading4"/>
        <w:widowControl/>
        <w:rPr>
          <w:szCs w:val="22"/>
        </w:rPr>
      </w:pPr>
      <w:bookmarkStart w:id="544" w:name="_Toc357766168"/>
      <w:bookmarkStart w:id="545" w:name="_Toc357766240"/>
      <w:bookmarkStart w:id="546" w:name="_Toc357801030"/>
      <w:bookmarkStart w:id="547" w:name="_Toc357801094"/>
      <w:bookmarkStart w:id="548" w:name="_Toc360525974"/>
      <w:bookmarkStart w:id="549" w:name="_Toc360797646"/>
      <w:bookmarkStart w:id="550" w:name="_Toc361137009"/>
      <w:bookmarkStart w:id="551" w:name="_Toc361153071"/>
      <w:bookmarkStart w:id="552" w:name="_Toc361667829"/>
      <w:r w:rsidRPr="0064234E">
        <w:t>Bid Amount Changes</w:t>
      </w:r>
      <w:bookmarkEnd w:id="544"/>
      <w:bookmarkEnd w:id="545"/>
      <w:bookmarkEnd w:id="546"/>
      <w:bookmarkEnd w:id="547"/>
      <w:bookmarkEnd w:id="548"/>
      <w:bookmarkEnd w:id="549"/>
      <w:bookmarkEnd w:id="550"/>
      <w:bookmarkEnd w:id="551"/>
      <w:bookmarkEnd w:id="552"/>
    </w:p>
    <w:p w:rsidR="00427A66" w:rsidRPr="0064234E" w:rsidRDefault="00427A66" w:rsidP="007B0488">
      <w:pPr>
        <w:pStyle w:val="ParaNum0"/>
        <w:widowControl/>
      </w:pPr>
      <w:r w:rsidRPr="0064234E">
        <w:t xml:space="preserve">The Bureau retains the discretion to change the minimum acceptable bid amounts, </w:t>
      </w:r>
      <w:r w:rsidR="0000541E" w:rsidRPr="0064234E">
        <w:t xml:space="preserve">the additional bid amounts, the number of acceptable bid amounts, and the parameters of the formulas used to calculate minimum acceptable bid amounts and additional bid amounts </w:t>
      </w:r>
      <w:r w:rsidRPr="0064234E">
        <w:t xml:space="preserve">if the Bureau determines that circumstances so dictate.  Further, the Bureau retains the discretion to do so on a license-by-license </w:t>
      </w:r>
      <w:r w:rsidR="0000541E" w:rsidRPr="0064234E">
        <w:t xml:space="preserve">and package-by-package </w:t>
      </w:r>
      <w:r w:rsidRPr="0064234E">
        <w:t>basis.  The Bureau also retains the discretion to limit (a) the amount by which a minimum acceptable bid for a license may increase compared with the corresponding</w:t>
      </w:r>
      <w:r w:rsidR="00654382" w:rsidRPr="0064234E">
        <w:t xml:space="preserve"> CPE</w:t>
      </w:r>
      <w:r w:rsidRPr="0064234E">
        <w:t xml:space="preserve">, and (b) the amount by which an additional bid amount may increase compared with the immediately preceding acceptable bid amount.  For example, the Bureau could set a </w:t>
      </w:r>
      <w:r w:rsidR="004B5C53" w:rsidRPr="0064234E">
        <w:t>$10 million</w:t>
      </w:r>
      <w:r w:rsidR="00282728" w:rsidRPr="0064234E">
        <w:t xml:space="preserve"> </w:t>
      </w:r>
      <w:r w:rsidRPr="0064234E">
        <w:t xml:space="preserve">limit on increases in minimum acceptable bid amounts over </w:t>
      </w:r>
      <w:r w:rsidR="00654382" w:rsidRPr="0064234E">
        <w:t>CPEs</w:t>
      </w:r>
      <w:r w:rsidRPr="0064234E">
        <w:t xml:space="preserve">.  Thus, if </w:t>
      </w:r>
      <w:r w:rsidR="00A1008F" w:rsidRPr="0064234E">
        <w:t xml:space="preserve">the activity-based formula calculates </w:t>
      </w:r>
      <w:r w:rsidRPr="0064234E">
        <w:t xml:space="preserve">a minimum acceptable bid amount that is </w:t>
      </w:r>
      <w:r w:rsidR="004B5C53" w:rsidRPr="0064234E">
        <w:t>$20 million</w:t>
      </w:r>
      <w:r w:rsidRPr="0064234E">
        <w:t xml:space="preserve"> higher than the </w:t>
      </w:r>
      <w:r w:rsidR="00654382" w:rsidRPr="0064234E">
        <w:t>CPE</w:t>
      </w:r>
      <w:r w:rsidRPr="0064234E">
        <w:t xml:space="preserve"> on a license, the minimum acceptable bid amount would instead be capped at </w:t>
      </w:r>
      <w:r w:rsidR="004B5C53" w:rsidRPr="0064234E">
        <w:t>$10 million</w:t>
      </w:r>
      <w:r w:rsidRPr="0064234E">
        <w:t xml:space="preserve"> above the </w:t>
      </w:r>
      <w:r w:rsidR="00654382" w:rsidRPr="0064234E">
        <w:t>CPE</w:t>
      </w:r>
      <w:r w:rsidRPr="0064234E">
        <w:t xml:space="preserve">.  The Bureau seeks comment on the circumstances under which </w:t>
      </w:r>
      <w:r w:rsidR="00A1008F" w:rsidRPr="0064234E">
        <w:t>we</w:t>
      </w:r>
      <w:r w:rsidRPr="0064234E">
        <w:t xml:space="preserve"> should employ such a limit, factors </w:t>
      </w:r>
      <w:r w:rsidR="00A1008F" w:rsidRPr="0064234E">
        <w:t xml:space="preserve">we </w:t>
      </w:r>
      <w:r w:rsidRPr="0064234E">
        <w:t>should consider when determining the dollar amount of the limit, and the tradeoffs in setting such a limit or changing other parameters</w:t>
      </w:r>
      <w:r w:rsidR="00A1008F" w:rsidRPr="0064234E">
        <w:t>—</w:t>
      </w:r>
      <w:r w:rsidRPr="0064234E">
        <w:t>such as changing the minimum acceptable bid percentage, the bid increment percentage, or the number of acceptable bid amounts.  If the Bureau exercises this discretion, it will alert bidders by announcement in the FCC Auction System.</w:t>
      </w:r>
    </w:p>
    <w:p w:rsidR="00577ED5" w:rsidRPr="0064234E" w:rsidRDefault="00427A66" w:rsidP="007B0488">
      <w:pPr>
        <w:pStyle w:val="ParaNum0"/>
        <w:widowControl/>
      </w:pPr>
      <w:r w:rsidRPr="0064234E">
        <w:t xml:space="preserve">The Bureau seeks comment on the above proposals.  </w:t>
      </w:r>
      <w:r w:rsidR="005944E0" w:rsidRPr="0064234E">
        <w:t xml:space="preserve">If commenters disagree with the proposal to begin the auction with three acceptable bid amounts per license and one per package, they should suggest an alternative number of acceptable bid amounts to use at the beginning of the auction, an alternative number to use later in the auction, and whether the same number of bid amounts should be used for both licenses and packages.  </w:t>
      </w:r>
      <w:r w:rsidRPr="0064234E">
        <w:t>Commenters may wish to address the role of the minimum acceptable bids and the number of acceptable bid amounts in managing the pace of the auction and the tradeoffs in managing auction pace by changing the bidding schedule, activity requirements, or bid amounts, or by using other means.</w:t>
      </w:r>
      <w:r w:rsidR="00577ED5" w:rsidRPr="0064234E">
        <w:t xml:space="preserve"> </w:t>
      </w:r>
    </w:p>
    <w:p w:rsidR="00577ED5" w:rsidRPr="0064234E" w:rsidRDefault="00577ED5" w:rsidP="007B0488">
      <w:pPr>
        <w:pStyle w:val="Heading3"/>
        <w:widowControl/>
      </w:pPr>
      <w:bookmarkStart w:id="553" w:name="_Toc150843262"/>
      <w:bookmarkStart w:id="554" w:name="_Toc150843329"/>
      <w:bookmarkStart w:id="555" w:name="_Toc150843526"/>
      <w:bookmarkStart w:id="556" w:name="_Toc150843639"/>
      <w:bookmarkStart w:id="557" w:name="_Toc150843714"/>
      <w:bookmarkStart w:id="558" w:name="_Toc150857309"/>
      <w:bookmarkStart w:id="559" w:name="_Toc151201052"/>
      <w:bookmarkStart w:id="560" w:name="_Toc153165402"/>
      <w:bookmarkStart w:id="561" w:name="_Toc153190413"/>
      <w:bookmarkStart w:id="562" w:name="_Toc190859722"/>
      <w:bookmarkStart w:id="563" w:name="_Toc190867599"/>
      <w:bookmarkStart w:id="564" w:name="_Toc191282392"/>
      <w:bookmarkStart w:id="565" w:name="_Toc191296799"/>
      <w:bookmarkStart w:id="566" w:name="_Toc203461501"/>
      <w:bookmarkStart w:id="567" w:name="_Toc214427397"/>
      <w:bookmarkStart w:id="568" w:name="_Toc252353642"/>
      <w:bookmarkStart w:id="569" w:name="_Toc252456331"/>
      <w:bookmarkStart w:id="570" w:name="_Toc252881329"/>
      <w:bookmarkStart w:id="571" w:name="_Toc266452588"/>
      <w:bookmarkStart w:id="572" w:name="_Toc267580117"/>
      <w:bookmarkStart w:id="573" w:name="_Toc268005362"/>
      <w:bookmarkStart w:id="574" w:name="_Toc268513866"/>
      <w:bookmarkStart w:id="575" w:name="_Toc271880881"/>
      <w:bookmarkStart w:id="576" w:name="_Toc272760381"/>
      <w:bookmarkStart w:id="577" w:name="_Toc303331694"/>
      <w:bookmarkStart w:id="578" w:name="_Toc334798945"/>
      <w:bookmarkStart w:id="579" w:name="_Toc346007153"/>
      <w:bookmarkStart w:id="580" w:name="_Toc357766169"/>
      <w:bookmarkStart w:id="581" w:name="_Toc357766241"/>
      <w:bookmarkStart w:id="582" w:name="_Toc357801031"/>
      <w:bookmarkStart w:id="583" w:name="_Toc357801095"/>
      <w:bookmarkStart w:id="584" w:name="_Toc360525975"/>
      <w:bookmarkStart w:id="585" w:name="_Toc360797647"/>
      <w:bookmarkStart w:id="586" w:name="_Toc361137010"/>
      <w:bookmarkStart w:id="587" w:name="_Toc361153072"/>
      <w:bookmarkStart w:id="588" w:name="_Toc361667830"/>
      <w:r w:rsidRPr="0064234E">
        <w:t>Provisionally Winning Bids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695B4B" w:rsidRPr="0064234E" w:rsidRDefault="00577ED5" w:rsidP="007B0488">
      <w:pPr>
        <w:pStyle w:val="ParaNum0"/>
        <w:widowControl/>
        <w:rPr>
          <w:szCs w:val="22"/>
        </w:rPr>
      </w:pPr>
      <w:r w:rsidRPr="0064234E">
        <w:t xml:space="preserve">Provisionally winning bids are bids that would become final winning bids if the auction were to close in that given round.  At the end of a bidding round, the FCC Auction System determines </w:t>
      </w:r>
      <w:r w:rsidR="00695B4B" w:rsidRPr="0064234E">
        <w:t xml:space="preserve">which combination of individual and package bids together yields the highest aggregate gross bid amount, taking into consideration each bidder’s highest bid on each license or package submitted up to that point in the auction. </w:t>
      </w:r>
      <w:r w:rsidR="00695B4B" w:rsidRPr="0064234E">
        <w:rPr>
          <w:rStyle w:val="FootnoteReference"/>
        </w:rPr>
        <w:footnoteReference w:id="50"/>
      </w:r>
      <w:r w:rsidRPr="0064234E">
        <w:t xml:space="preserve">  </w:t>
      </w:r>
      <w:r w:rsidR="00695B4B" w:rsidRPr="0064234E">
        <w:t xml:space="preserve">These bids become the provisionally winning bids for the round.  </w:t>
      </w:r>
    </w:p>
    <w:p w:rsidR="00577ED5" w:rsidRPr="0064234E" w:rsidRDefault="00577ED5" w:rsidP="003C128E">
      <w:pPr>
        <w:pStyle w:val="ParaNum0"/>
        <w:rPr>
          <w:szCs w:val="22"/>
        </w:rPr>
      </w:pPr>
      <w:r w:rsidRPr="0064234E">
        <w:t xml:space="preserve">If identical high bid amounts are submitted on a </w:t>
      </w:r>
      <w:r w:rsidR="00A0354B" w:rsidRPr="0064234E">
        <w:t>license</w:t>
      </w:r>
      <w:r w:rsidR="007771ED" w:rsidRPr="0064234E">
        <w:t xml:space="preserve"> or package</w:t>
      </w:r>
      <w:r w:rsidRPr="0064234E">
        <w:t xml:space="preserve"> in any given round (</w:t>
      </w:r>
      <w:r w:rsidRPr="0064234E">
        <w:rPr>
          <w:iCs/>
        </w:rPr>
        <w:t>i.e</w:t>
      </w:r>
      <w:r w:rsidRPr="0064234E">
        <w:t>., tied bids), the FCC Auction System will use a random number generator to select a single provisionally winning bid from among the tied bids.  (The Auction System assigns a random number to each bid when the bid is entered.  The tied bid with the highest random number wins the tiebreaker.</w:t>
      </w:r>
      <w:r w:rsidR="004467E7">
        <w:rPr>
          <w:rStyle w:val="FootnoteReference"/>
        </w:rPr>
        <w:footnoteReference w:id="51"/>
      </w:r>
      <w:r w:rsidRPr="0064234E">
        <w:t xml:space="preserve">)  The remaining bidders, as well as the provisionally winning bidder, can submit higher bids in subsequent rounds.  However, if the auction were to end with no other bids being placed, the winning bidder would be the one that placed the provisionally winning bid.  </w:t>
      </w:r>
    </w:p>
    <w:p w:rsidR="00577ED5" w:rsidRPr="0064234E" w:rsidRDefault="002E1710" w:rsidP="007B0488">
      <w:pPr>
        <w:pStyle w:val="ParaNum0"/>
        <w:widowControl/>
        <w:rPr>
          <w:sz w:val="20"/>
        </w:rPr>
      </w:pPr>
      <w:r w:rsidRPr="0064234E">
        <w:t>The set of provisionally winning bids is determined after every round in which new bids are submitted.  As stated above, the provisionally winning bids at the end of the auction become winning bids provided that any applicable reserve prices have been met.</w:t>
      </w:r>
      <w:r w:rsidR="00577ED5" w:rsidRPr="0064234E">
        <w:t xml:space="preserve">  We remind bidders that provisionally winning bids count toward activity for purposes of the activity rule.</w:t>
      </w:r>
      <w:r w:rsidR="00577ED5" w:rsidRPr="0064234E">
        <w:rPr>
          <w:rStyle w:val="FootnoteReference"/>
        </w:rPr>
        <w:footnoteReference w:id="52"/>
      </w:r>
    </w:p>
    <w:p w:rsidR="00577ED5" w:rsidRPr="0064234E" w:rsidRDefault="00577ED5" w:rsidP="007B0488">
      <w:pPr>
        <w:pStyle w:val="Heading3"/>
        <w:widowControl/>
      </w:pPr>
      <w:bookmarkStart w:id="589" w:name="_Toc346007154"/>
      <w:bookmarkStart w:id="590" w:name="_Toc357766170"/>
      <w:bookmarkStart w:id="591" w:name="_Toc357766242"/>
      <w:bookmarkStart w:id="592" w:name="_Toc357801032"/>
      <w:bookmarkStart w:id="593" w:name="_Toc357801096"/>
      <w:bookmarkStart w:id="594" w:name="_Toc360525976"/>
      <w:bookmarkStart w:id="595" w:name="_Toc360797648"/>
      <w:bookmarkStart w:id="596" w:name="_Toc361137011"/>
      <w:bookmarkStart w:id="597" w:name="_Toc361153073"/>
      <w:bookmarkStart w:id="598" w:name="_Toc361667831"/>
      <w:bookmarkStart w:id="599" w:name="_Toc150843263"/>
      <w:bookmarkStart w:id="600" w:name="_Toc150843330"/>
      <w:bookmarkStart w:id="601" w:name="_Toc150843527"/>
      <w:bookmarkStart w:id="602" w:name="_Toc150843640"/>
      <w:bookmarkStart w:id="603" w:name="_Toc150843715"/>
      <w:bookmarkStart w:id="604" w:name="_Toc150857310"/>
      <w:bookmarkStart w:id="605" w:name="_Toc151201053"/>
      <w:bookmarkStart w:id="606" w:name="_Toc153165403"/>
      <w:bookmarkStart w:id="607" w:name="_Toc153190414"/>
      <w:bookmarkStart w:id="608" w:name="_Toc190859723"/>
      <w:bookmarkStart w:id="609" w:name="_Toc190867600"/>
      <w:bookmarkStart w:id="610" w:name="_Toc191282393"/>
      <w:bookmarkStart w:id="611" w:name="_Toc191296800"/>
      <w:bookmarkStart w:id="612" w:name="_Toc203461502"/>
      <w:bookmarkStart w:id="613" w:name="_Toc214427398"/>
      <w:bookmarkStart w:id="614" w:name="_Toc252353643"/>
      <w:bookmarkStart w:id="615" w:name="_Toc252456332"/>
      <w:bookmarkStart w:id="616" w:name="_Toc252881330"/>
      <w:bookmarkStart w:id="617" w:name="_Toc266452589"/>
      <w:bookmarkStart w:id="618" w:name="_Toc267580118"/>
      <w:bookmarkStart w:id="619" w:name="_Toc268005363"/>
      <w:bookmarkStart w:id="620" w:name="_Toc268513867"/>
      <w:bookmarkStart w:id="621" w:name="_Toc271880882"/>
      <w:bookmarkStart w:id="622" w:name="_Toc272760382"/>
      <w:bookmarkStart w:id="623" w:name="_Toc303331695"/>
      <w:bookmarkStart w:id="624" w:name="_Toc334798946"/>
      <w:r w:rsidRPr="0064234E">
        <w:t>Bid Removal</w:t>
      </w:r>
      <w:bookmarkEnd w:id="589"/>
      <w:bookmarkEnd w:id="590"/>
      <w:bookmarkEnd w:id="591"/>
      <w:bookmarkEnd w:id="592"/>
      <w:bookmarkEnd w:id="593"/>
      <w:bookmarkEnd w:id="594"/>
      <w:bookmarkEnd w:id="595"/>
      <w:bookmarkEnd w:id="596"/>
      <w:bookmarkEnd w:id="597"/>
      <w:bookmarkEnd w:id="598"/>
      <w:r w:rsidRPr="0064234E">
        <w:t xml:space="preserve"> </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577ED5" w:rsidRPr="0064234E" w:rsidRDefault="00577ED5" w:rsidP="007B0488">
      <w:pPr>
        <w:pStyle w:val="ParaNum0"/>
        <w:widowControl/>
        <w:rPr>
          <w:szCs w:val="22"/>
        </w:rPr>
      </w:pPr>
      <w:r w:rsidRPr="0064234E">
        <w:rPr>
          <w:szCs w:val="22"/>
        </w:rPr>
        <w:t xml:space="preserve">For </w:t>
      </w:r>
      <w:r w:rsidR="00F87C05" w:rsidRPr="0064234E">
        <w:rPr>
          <w:szCs w:val="22"/>
        </w:rPr>
        <w:t>Auction 96</w:t>
      </w:r>
      <w:r w:rsidRPr="0064234E">
        <w:rPr>
          <w:szCs w:val="22"/>
        </w:rPr>
        <w:t>, the Bureau propose</w:t>
      </w:r>
      <w:r w:rsidR="00A0354B" w:rsidRPr="0064234E">
        <w:rPr>
          <w:szCs w:val="22"/>
        </w:rPr>
        <w:t>s</w:t>
      </w:r>
      <w:r w:rsidRPr="0064234E">
        <w:rPr>
          <w:szCs w:val="22"/>
        </w:rPr>
        <w:t xml:space="preserve"> the following bid removal procedures.  Before the close of a bidding round, a bidder has the option of removing any bid placed in that round.  By removing a selected bid in the FCC Auction System, a bidder may effectively “</w:t>
      </w:r>
      <w:r w:rsidR="001E1791" w:rsidRPr="0064234E">
        <w:rPr>
          <w:szCs w:val="22"/>
        </w:rPr>
        <w:t>undo</w:t>
      </w:r>
      <w:r w:rsidRPr="0064234E">
        <w:rPr>
          <w:szCs w:val="22"/>
        </w:rPr>
        <w:t>” any bid placed within that round.  Once a round closes, a bidder may no longer remove a bid.  We seek comment on this bid removal proposal.</w:t>
      </w:r>
    </w:p>
    <w:p w:rsidR="00A0354B" w:rsidRPr="0064234E" w:rsidRDefault="00A0354B" w:rsidP="007B0488">
      <w:pPr>
        <w:pStyle w:val="Heading3"/>
        <w:widowControl/>
        <w:rPr>
          <w:szCs w:val="22"/>
        </w:rPr>
      </w:pPr>
      <w:bookmarkStart w:id="625" w:name="_Toc346007155"/>
      <w:bookmarkStart w:id="626" w:name="_Toc357766171"/>
      <w:bookmarkStart w:id="627" w:name="_Toc357766243"/>
      <w:bookmarkStart w:id="628" w:name="_Toc357801033"/>
      <w:bookmarkStart w:id="629" w:name="_Toc357801097"/>
      <w:bookmarkStart w:id="630" w:name="_Toc360525977"/>
      <w:bookmarkStart w:id="631" w:name="_Toc360797649"/>
      <w:bookmarkStart w:id="632" w:name="_Toc361137012"/>
      <w:bookmarkStart w:id="633" w:name="_Toc361153074"/>
      <w:bookmarkStart w:id="634" w:name="_Toc361667832"/>
      <w:r w:rsidRPr="0064234E">
        <w:rPr>
          <w:szCs w:val="22"/>
        </w:rPr>
        <w:t>Bid Withdrawal</w:t>
      </w:r>
      <w:bookmarkEnd w:id="625"/>
      <w:bookmarkEnd w:id="626"/>
      <w:bookmarkEnd w:id="627"/>
      <w:bookmarkEnd w:id="628"/>
      <w:bookmarkEnd w:id="629"/>
      <w:bookmarkEnd w:id="630"/>
      <w:bookmarkEnd w:id="631"/>
      <w:bookmarkEnd w:id="632"/>
      <w:bookmarkEnd w:id="633"/>
      <w:bookmarkEnd w:id="634"/>
    </w:p>
    <w:p w:rsidR="008C1844" w:rsidRPr="0064234E" w:rsidRDefault="000C2062" w:rsidP="007B0488">
      <w:pPr>
        <w:pStyle w:val="ParaNum0"/>
        <w:widowControl/>
        <w:rPr>
          <w:szCs w:val="22"/>
        </w:rPr>
      </w:pPr>
      <w:r w:rsidRPr="0064234E">
        <w:t>Under our proposal to use SMR with HPB procedures, t</w:t>
      </w:r>
      <w:r w:rsidR="007771ED" w:rsidRPr="0064234E">
        <w:t xml:space="preserve">he Bureau proposes not to permit any </w:t>
      </w:r>
      <w:r w:rsidR="002F6FFB" w:rsidRPr="0064234E">
        <w:t xml:space="preserve">bids, </w:t>
      </w:r>
      <w:r w:rsidR="007771ED" w:rsidRPr="0064234E">
        <w:t>provisionally winning</w:t>
      </w:r>
      <w:r w:rsidR="002F6FFB" w:rsidRPr="0064234E">
        <w:t xml:space="preserve"> or otherwise, </w:t>
      </w:r>
      <w:r w:rsidR="007771ED" w:rsidRPr="0064234E">
        <w:t>to be</w:t>
      </w:r>
      <w:r w:rsidR="002F6FFB" w:rsidRPr="0064234E">
        <w:t xml:space="preserve"> dropped or</w:t>
      </w:r>
      <w:r w:rsidR="007771ED" w:rsidRPr="0064234E">
        <w:t xml:space="preserve"> withdrawn </w:t>
      </w:r>
      <w:r w:rsidR="002F6FFB" w:rsidRPr="0064234E">
        <w:t>from consideration</w:t>
      </w:r>
      <w:r w:rsidR="007771ED" w:rsidRPr="0064234E">
        <w:t xml:space="preserve"> in </w:t>
      </w:r>
      <w:r w:rsidR="00F87C05" w:rsidRPr="0064234E">
        <w:t>Auction 96</w:t>
      </w:r>
      <w:r w:rsidR="007771ED" w:rsidRPr="0064234E">
        <w:t xml:space="preserve">. </w:t>
      </w:r>
      <w:r w:rsidR="00510C3D" w:rsidRPr="0064234E">
        <w:t>The benefits that bidders may realize from withdrawing bids in a typical SMR auction are minimized under the proposed package bidding format</w:t>
      </w:r>
      <w:r w:rsidRPr="0064234E">
        <w:t>.  In addition,</w:t>
      </w:r>
      <w:r w:rsidR="00510C3D" w:rsidRPr="0064234E">
        <w:t xml:space="preserve"> </w:t>
      </w:r>
      <w:r w:rsidRPr="0064234E">
        <w:t xml:space="preserve">in an SMR auction with package bidding there are significant </w:t>
      </w:r>
      <w:r w:rsidR="00510C3D" w:rsidRPr="0064234E">
        <w:t xml:space="preserve">risks </w:t>
      </w:r>
      <w:r w:rsidRPr="0064234E">
        <w:t>associated with bid withdrawals that are not present in an SMR auction without package bidding</w:t>
      </w:r>
      <w:r w:rsidR="008C1844" w:rsidRPr="0064234E">
        <w:t>.</w:t>
      </w:r>
      <w:r w:rsidR="00510C3D" w:rsidRPr="0064234E">
        <w:t xml:space="preserve"> </w:t>
      </w:r>
      <w:r w:rsidR="007771ED" w:rsidRPr="0064234E">
        <w:t xml:space="preserve"> </w:t>
      </w:r>
      <w:r w:rsidR="00577ED5" w:rsidRPr="0064234E">
        <w:t xml:space="preserve">In the </w:t>
      </w:r>
      <w:r w:rsidR="00577ED5" w:rsidRPr="0064234E">
        <w:rPr>
          <w:i/>
          <w:iCs/>
        </w:rPr>
        <w:t>Part 1 Third Report and Order</w:t>
      </w:r>
      <w:r w:rsidR="00577ED5" w:rsidRPr="0064234E">
        <w:t xml:space="preserve">, the Commission explained that </w:t>
      </w:r>
      <w:r w:rsidR="00914B6A" w:rsidRPr="0064234E">
        <w:t xml:space="preserve">under its typical SMR auction format without package bidding, </w:t>
      </w:r>
      <w:r w:rsidR="00A0354B" w:rsidRPr="0064234E">
        <w:t>allowing bid withdrawals facilitates efficient aggregation of licenses and the pursuit of backup strategies as information becomes available during the course of an auction.</w:t>
      </w:r>
      <w:r w:rsidR="00A0354B" w:rsidRPr="0064234E">
        <w:rPr>
          <w:rStyle w:val="FootnoteReference"/>
        </w:rPr>
        <w:footnoteReference w:id="53"/>
      </w:r>
      <w:r w:rsidR="00A0354B" w:rsidRPr="0064234E">
        <w:t xml:space="preserve">  The Commission noted, however, that in some instances bidders may seek to withdraw bids for improper reasons.  The Bureau, therefore, has discretion in managing the auction to limit the number of withdrawals to prevent any bidding abuses.  </w:t>
      </w:r>
    </w:p>
    <w:p w:rsidR="00EF09CD" w:rsidRPr="0064234E" w:rsidRDefault="002B3DBB" w:rsidP="007B0488">
      <w:pPr>
        <w:pStyle w:val="ParaNum0"/>
        <w:widowControl/>
      </w:pPr>
      <w:r w:rsidRPr="0064234E">
        <w:t>Under the HPB auction</w:t>
      </w:r>
      <w:r w:rsidR="00914B6A" w:rsidRPr="0064234E">
        <w:t xml:space="preserve"> format that we propose for </w:t>
      </w:r>
      <w:r w:rsidR="00F87C05" w:rsidRPr="0064234E">
        <w:t>Auction 96</w:t>
      </w:r>
      <w:r w:rsidR="00914B6A" w:rsidRPr="0064234E">
        <w:t xml:space="preserve">, </w:t>
      </w:r>
      <w:r w:rsidRPr="0064234E">
        <w:t xml:space="preserve">the potential benefits of withdrawn or dropped bids </w:t>
      </w:r>
      <w:r w:rsidR="00EF09CD" w:rsidRPr="0064234E">
        <w:t xml:space="preserve">in facilitating aggregations </w:t>
      </w:r>
      <w:r w:rsidRPr="0064234E">
        <w:t>are far lower than they would be in a typical SMR auction</w:t>
      </w:r>
      <w:r w:rsidR="00EF09CD" w:rsidRPr="0064234E">
        <w:t xml:space="preserve">.  </w:t>
      </w:r>
      <w:r w:rsidRPr="0064234E">
        <w:t xml:space="preserve">While the predetermined packages may not coincide with the “all or nothing” aggregation needs of all bidders, the hierarchical packages should significantly reduce the overall risk that bidders will win only some of the licenses in a desired set.  Therefore, to the extent that package bids allow bidders to avoid such risk, withdrawals are less useful to bidders. </w:t>
      </w:r>
      <w:r w:rsidR="00EF09CD" w:rsidRPr="0064234E">
        <w:t xml:space="preserve"> </w:t>
      </w:r>
      <w:r w:rsidR="001314EB" w:rsidRPr="0064234E">
        <w:t xml:space="preserve">Further, because the licenses available in </w:t>
      </w:r>
      <w:r w:rsidR="00F87C05" w:rsidRPr="0064234E">
        <w:t>Auction 96</w:t>
      </w:r>
      <w:r w:rsidR="001314EB" w:rsidRPr="0064234E">
        <w:t xml:space="preserve"> consist of a single frequency block, bidders will not need to use withdrawals to pursue backup strategies in other blocks</w:t>
      </w:r>
      <w:r w:rsidR="00735C63" w:rsidRPr="0064234E">
        <w:t xml:space="preserve">, as they </w:t>
      </w:r>
      <w:r w:rsidR="00CD1143" w:rsidRPr="0064234E">
        <w:t xml:space="preserve">sometimes </w:t>
      </w:r>
      <w:r w:rsidR="00735C63" w:rsidRPr="0064234E">
        <w:t xml:space="preserve">have in other </w:t>
      </w:r>
      <w:r w:rsidR="00021ED6">
        <w:t>Commission</w:t>
      </w:r>
      <w:r w:rsidR="00735C63" w:rsidRPr="0064234E">
        <w:t xml:space="preserve"> spectrum auctions conducted with SMR procedures</w:t>
      </w:r>
      <w:r w:rsidR="001314EB" w:rsidRPr="0064234E">
        <w:t xml:space="preserve">. </w:t>
      </w:r>
      <w:r w:rsidR="00EF09CD" w:rsidRPr="0064234E">
        <w:t xml:space="preserve"> At the same time, </w:t>
      </w:r>
      <w:r w:rsidR="001314EB" w:rsidRPr="0064234E">
        <w:t>in an auction with package bidding, dropping bids from consideration can have negative effects that would not arise in a typical SMR auction.  W</w:t>
      </w:r>
      <w:r w:rsidR="00EF09CD" w:rsidRPr="0064234E">
        <w:t xml:space="preserve">ithdrawals by one bidder on licenses subject to package bidding can be more disruptive to the bidding strategies of others than withdrawals on licenses not subject to package bidding.  </w:t>
      </w:r>
      <w:r w:rsidR="008C1844" w:rsidRPr="0064234E">
        <w:t>In a non-package bidding auction, w</w:t>
      </w:r>
      <w:r w:rsidR="00EF09CD" w:rsidRPr="0064234E">
        <w:t>hether a bid on a license becomes provisionally winning depends only upon the bid</w:t>
      </w:r>
      <w:r w:rsidR="00905890" w:rsidRPr="0064234E">
        <w:t>s</w:t>
      </w:r>
      <w:r w:rsidR="00EF09CD" w:rsidRPr="0064234E">
        <w:t xml:space="preserve"> submitted for th</w:t>
      </w:r>
      <w:r w:rsidR="00905890" w:rsidRPr="0064234E">
        <w:t>at</w:t>
      </w:r>
      <w:r w:rsidR="00EF09CD" w:rsidRPr="0064234E">
        <w:t xml:space="preserve"> license.  In contrast, whether a bid becomes provisionally winning on a license subject to package bidding depends upon </w:t>
      </w:r>
      <w:r w:rsidR="001F431C" w:rsidRPr="0064234E">
        <w:t xml:space="preserve">the </w:t>
      </w:r>
      <w:r w:rsidR="00EF09CD" w:rsidRPr="0064234E">
        <w:t xml:space="preserve">bids submitted </w:t>
      </w:r>
      <w:r w:rsidR="001F431C" w:rsidRPr="0064234E">
        <w:t>for that license, the bids submitted for the packages containing that license, and the bids submitted for other licenses in those packages</w:t>
      </w:r>
      <w:r w:rsidR="00EF09CD" w:rsidRPr="0064234E">
        <w:t xml:space="preserve">.  Consequently, a withdrawn bid on a license subject to package bidding has the potential to alter the composition of the provisionally winning </w:t>
      </w:r>
      <w:r w:rsidR="00A111AC" w:rsidRPr="0064234E">
        <w:t xml:space="preserve">set of </w:t>
      </w:r>
      <w:r w:rsidR="00EF09CD" w:rsidRPr="0064234E">
        <w:t xml:space="preserve">bids, and may adversely affect other bidders.  Moreover, </w:t>
      </w:r>
      <w:r w:rsidR="008C1844" w:rsidRPr="0064234E">
        <w:t xml:space="preserve">because </w:t>
      </w:r>
      <w:r w:rsidR="00EF09CD" w:rsidRPr="0064234E">
        <w:t xml:space="preserve">bidders interested in single licenses or smaller </w:t>
      </w:r>
      <w:r w:rsidR="00735C63" w:rsidRPr="0064234E">
        <w:t>packages need</w:t>
      </w:r>
      <w:r w:rsidR="008C1844" w:rsidRPr="0064234E">
        <w:t xml:space="preserve"> </w:t>
      </w:r>
      <w:r w:rsidR="00EF09CD" w:rsidRPr="0064234E">
        <w:t xml:space="preserve">their bids </w:t>
      </w:r>
      <w:r w:rsidR="004E6EC0" w:rsidRPr="0064234E">
        <w:t xml:space="preserve">to combine </w:t>
      </w:r>
      <w:r w:rsidR="00EF09CD" w:rsidRPr="0064234E">
        <w:t xml:space="preserve">with the </w:t>
      </w:r>
      <w:r w:rsidR="00F459DE" w:rsidRPr="0064234E">
        <w:t xml:space="preserve">bids </w:t>
      </w:r>
      <w:r w:rsidR="004E6EC0" w:rsidRPr="0064234E">
        <w:t xml:space="preserve">by </w:t>
      </w:r>
      <w:r w:rsidR="00F459DE" w:rsidRPr="0064234E">
        <w:t>other</w:t>
      </w:r>
      <w:r w:rsidR="004E6EC0" w:rsidRPr="0064234E">
        <w:t xml:space="preserve"> bidder</w:t>
      </w:r>
      <w:r w:rsidR="00F459DE" w:rsidRPr="0064234E">
        <w:t xml:space="preserve">s </w:t>
      </w:r>
      <w:r w:rsidR="004E6EC0" w:rsidRPr="0064234E">
        <w:t xml:space="preserve">in order </w:t>
      </w:r>
      <w:r w:rsidR="00F459DE" w:rsidRPr="0064234E">
        <w:t xml:space="preserve">to </w:t>
      </w:r>
      <w:r w:rsidR="004E6EC0" w:rsidRPr="0064234E">
        <w:t xml:space="preserve">be </w:t>
      </w:r>
      <w:r w:rsidR="00F459DE" w:rsidRPr="0064234E">
        <w:t>compet</w:t>
      </w:r>
      <w:r w:rsidR="004E6EC0" w:rsidRPr="0064234E">
        <w:t>itive</w:t>
      </w:r>
      <w:r w:rsidR="00F459DE" w:rsidRPr="0064234E">
        <w:t xml:space="preserve"> with</w:t>
      </w:r>
      <w:r w:rsidR="00EF09CD" w:rsidRPr="0064234E">
        <w:t xml:space="preserve"> bid</w:t>
      </w:r>
      <w:r w:rsidR="00F459DE" w:rsidRPr="0064234E">
        <w:t>s</w:t>
      </w:r>
      <w:r w:rsidR="004E6EC0" w:rsidRPr="0064234E">
        <w:t xml:space="preserve"> on larger package</w:t>
      </w:r>
      <w:r w:rsidR="001F431C" w:rsidRPr="0064234E">
        <w:t>s</w:t>
      </w:r>
      <w:r w:rsidR="008C1844" w:rsidRPr="0064234E">
        <w:t xml:space="preserve">, having even non-provisionally </w:t>
      </w:r>
      <w:r w:rsidR="00A111AC" w:rsidRPr="0064234E">
        <w:t xml:space="preserve">winning </w:t>
      </w:r>
      <w:r w:rsidR="008C1844" w:rsidRPr="0064234E">
        <w:t>bids withdrawn from consideration can adversely affect their ability to compete</w:t>
      </w:r>
      <w:r w:rsidR="00F459DE" w:rsidRPr="0064234E">
        <w:t>.  In addition, because CPEs for a license depend in part on package bids including the license, the process for determining current price estimates is more stable</w:t>
      </w:r>
      <w:r w:rsidR="007E7342" w:rsidRPr="0064234E">
        <w:t>—</w:t>
      </w:r>
      <w:r w:rsidR="00510C3D" w:rsidRPr="0064234E">
        <w:t>and less subject to undesirable manipulation</w:t>
      </w:r>
      <w:r w:rsidR="00856482" w:rsidRPr="0064234E">
        <w:t>—</w:t>
      </w:r>
      <w:r w:rsidR="00F459DE" w:rsidRPr="0064234E">
        <w:t xml:space="preserve">if bids cannot be withdrawn from consideration.  Hence, because of the potential </w:t>
      </w:r>
      <w:r w:rsidR="00510C3D" w:rsidRPr="0064234E">
        <w:t xml:space="preserve">under the proposed package bidding auction format </w:t>
      </w:r>
      <w:r w:rsidR="00F459DE" w:rsidRPr="0064234E">
        <w:t xml:space="preserve">for withdrawn bids, provisionally winning or not, to affect auction dynamics and the bidding strategies of other bidders, </w:t>
      </w:r>
      <w:r w:rsidR="00510C3D" w:rsidRPr="0064234E">
        <w:t>we propose not to allow any bids to be withdrawn after the round in which they were placed has closed.</w:t>
      </w:r>
    </w:p>
    <w:p w:rsidR="008C1844" w:rsidRPr="0064234E" w:rsidRDefault="008C1844" w:rsidP="007B0488">
      <w:pPr>
        <w:pStyle w:val="ParaNum0"/>
        <w:widowControl/>
      </w:pPr>
      <w:r w:rsidRPr="0064234E">
        <w:t xml:space="preserve">We seek comment on this proposal not to allow bids to be withdrawn or removed from consideration </w:t>
      </w:r>
      <w:r w:rsidR="002E7244" w:rsidRPr="0064234E">
        <w:t xml:space="preserve">under </w:t>
      </w:r>
      <w:r w:rsidRPr="0064234E">
        <w:t>our proposed HPB auction</w:t>
      </w:r>
      <w:r w:rsidR="002E7244" w:rsidRPr="0064234E">
        <w:t xml:space="preserve"> procedures</w:t>
      </w:r>
      <w:r w:rsidRPr="0064234E">
        <w:t xml:space="preserve">.  </w:t>
      </w:r>
      <w:r w:rsidR="00735C63" w:rsidRPr="0064234E">
        <w:t xml:space="preserve">If bidders disagree with this proposal, we ask them to support their arguments by taking into account the structure of the </w:t>
      </w:r>
      <w:r w:rsidR="00F87C05" w:rsidRPr="0064234E">
        <w:t>H Block</w:t>
      </w:r>
      <w:r w:rsidR="00735C63" w:rsidRPr="0064234E">
        <w:t xml:space="preserve"> inventory, the impact on auction dynamics and the pricing mechanism, and the effects on the bidding strategies of other bidders.</w:t>
      </w:r>
      <w:r w:rsidR="00CE3D92" w:rsidRPr="0064234E">
        <w:t xml:space="preserve">  In the event we do not utilize HPB procedures with an SMR format, should we allow bid withdrawals?  In the past, when we have allowed bid withdrawals in SMR auctions, we have typically limited withdrawn bids to a maximum of three rounds, and sometimes set a lower limit on the number of withdrawal rounds.  What would be the appropriate number of rounds in </w:t>
      </w:r>
      <w:r w:rsidR="00F87C05" w:rsidRPr="0064234E">
        <w:t>Auction 96</w:t>
      </w:r>
      <w:r w:rsidR="00CE3D92" w:rsidRPr="0064234E">
        <w:t xml:space="preserve"> if we permit bid withdrawals? </w:t>
      </w:r>
    </w:p>
    <w:p w:rsidR="00577ED5" w:rsidRPr="0064234E" w:rsidRDefault="00577ED5" w:rsidP="007B0488">
      <w:pPr>
        <w:pStyle w:val="Heading2"/>
        <w:widowControl/>
      </w:pPr>
      <w:bookmarkStart w:id="635" w:name="_Toc150843264"/>
      <w:bookmarkStart w:id="636" w:name="_Toc150843331"/>
      <w:bookmarkStart w:id="637" w:name="_Toc150843528"/>
      <w:bookmarkStart w:id="638" w:name="_Toc150843641"/>
      <w:bookmarkStart w:id="639" w:name="_Toc150843716"/>
      <w:bookmarkStart w:id="640" w:name="_Toc150857311"/>
      <w:bookmarkStart w:id="641" w:name="_Toc151201054"/>
      <w:bookmarkStart w:id="642" w:name="_Toc153165404"/>
      <w:bookmarkStart w:id="643" w:name="_Toc153190415"/>
      <w:bookmarkStart w:id="644" w:name="_Toc190859724"/>
      <w:bookmarkStart w:id="645" w:name="_Toc190867601"/>
      <w:bookmarkStart w:id="646" w:name="_Toc191282394"/>
      <w:bookmarkStart w:id="647" w:name="_Toc191296801"/>
      <w:bookmarkStart w:id="648" w:name="_Toc203461503"/>
      <w:bookmarkStart w:id="649" w:name="_Toc214427399"/>
      <w:bookmarkStart w:id="650" w:name="_Toc252353644"/>
      <w:bookmarkStart w:id="651" w:name="_Toc252456333"/>
      <w:bookmarkStart w:id="652" w:name="_Toc252881331"/>
      <w:bookmarkStart w:id="653" w:name="_Toc266452590"/>
      <w:bookmarkStart w:id="654" w:name="_Toc267580119"/>
      <w:bookmarkStart w:id="655" w:name="_Toc268005364"/>
      <w:bookmarkStart w:id="656" w:name="_Toc268513868"/>
      <w:bookmarkStart w:id="657" w:name="_Toc272760383"/>
      <w:bookmarkStart w:id="658" w:name="_Toc303331696"/>
      <w:bookmarkStart w:id="659" w:name="_Toc334798947"/>
      <w:bookmarkStart w:id="660" w:name="_Toc346007156"/>
      <w:bookmarkStart w:id="661" w:name="_Toc357766172"/>
      <w:bookmarkStart w:id="662" w:name="_Toc357766244"/>
      <w:bookmarkStart w:id="663" w:name="_Toc357801034"/>
      <w:bookmarkStart w:id="664" w:name="_Toc357801098"/>
      <w:bookmarkStart w:id="665" w:name="_Toc360525978"/>
      <w:bookmarkStart w:id="666" w:name="_Toc360797650"/>
      <w:bookmarkStart w:id="667" w:name="_Toc361137013"/>
      <w:bookmarkStart w:id="668" w:name="_Toc361153075"/>
      <w:bookmarkStart w:id="669" w:name="_Toc361667833"/>
      <w:r w:rsidRPr="0064234E">
        <w:t>Post-Auction Payments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64234E">
        <w:t xml:space="preserve"> </w:t>
      </w:r>
    </w:p>
    <w:p w:rsidR="00A111AC" w:rsidRPr="0064234E" w:rsidRDefault="00A111AC" w:rsidP="007B0488">
      <w:pPr>
        <w:pStyle w:val="Heading3"/>
        <w:widowControl/>
      </w:pPr>
      <w:bookmarkStart w:id="670" w:name="_Toc360797651"/>
      <w:bookmarkStart w:id="671" w:name="_Toc361137014"/>
      <w:bookmarkStart w:id="672" w:name="_Toc361153076"/>
      <w:bookmarkStart w:id="673" w:name="_Toc361667834"/>
      <w:bookmarkStart w:id="674" w:name="_Toc150843265"/>
      <w:bookmarkStart w:id="675" w:name="_Toc150843332"/>
      <w:bookmarkStart w:id="676" w:name="_Toc150843529"/>
      <w:bookmarkStart w:id="677" w:name="_Toc150843642"/>
      <w:bookmarkStart w:id="678" w:name="_Toc150843717"/>
      <w:bookmarkStart w:id="679" w:name="_Toc150857312"/>
      <w:bookmarkStart w:id="680" w:name="_Toc151201055"/>
      <w:bookmarkStart w:id="681" w:name="_Toc153165405"/>
      <w:bookmarkStart w:id="682" w:name="_Toc153190416"/>
      <w:bookmarkStart w:id="683" w:name="_Toc190859725"/>
      <w:bookmarkStart w:id="684" w:name="_Toc190867602"/>
      <w:bookmarkStart w:id="685" w:name="_Toc191282395"/>
      <w:bookmarkStart w:id="686" w:name="_Toc191296802"/>
      <w:bookmarkStart w:id="687" w:name="_Toc203461504"/>
      <w:bookmarkStart w:id="688" w:name="_Toc214427400"/>
      <w:bookmarkStart w:id="689" w:name="_Toc252353645"/>
      <w:bookmarkStart w:id="690" w:name="_Toc252456334"/>
      <w:bookmarkStart w:id="691" w:name="_Toc252881332"/>
      <w:bookmarkStart w:id="692" w:name="_Toc266452591"/>
      <w:bookmarkStart w:id="693" w:name="_Toc267580120"/>
      <w:bookmarkStart w:id="694" w:name="_Toc268005365"/>
      <w:bookmarkStart w:id="695" w:name="_Toc268513869"/>
      <w:bookmarkStart w:id="696" w:name="_Toc272760384"/>
      <w:bookmarkStart w:id="697" w:name="_Toc303331697"/>
      <w:bookmarkStart w:id="698" w:name="_Toc334798948"/>
      <w:bookmarkStart w:id="699" w:name="_Toc346007157"/>
      <w:bookmarkStart w:id="700" w:name="_Toc357766173"/>
      <w:bookmarkStart w:id="701" w:name="_Toc357766245"/>
      <w:bookmarkStart w:id="702" w:name="_Toc357801035"/>
      <w:bookmarkStart w:id="703" w:name="_Toc357801099"/>
      <w:bookmarkStart w:id="704" w:name="_Toc360525979"/>
      <w:r w:rsidRPr="0064234E">
        <w:t>Apportioning Package Bids</w:t>
      </w:r>
      <w:bookmarkEnd w:id="670"/>
      <w:bookmarkEnd w:id="671"/>
      <w:bookmarkEnd w:id="672"/>
      <w:bookmarkEnd w:id="673"/>
    </w:p>
    <w:p w:rsidR="00A111AC" w:rsidRPr="0064234E" w:rsidRDefault="00A111AC" w:rsidP="007B0488">
      <w:pPr>
        <w:pStyle w:val="ParaNum0"/>
        <w:widowControl/>
      </w:pPr>
      <w:r w:rsidRPr="0064234E">
        <w:t xml:space="preserve">In package bidding, when a bidder places an all-or-nothing bid on a package of licenses, there will be no identifiable bid amounts on the individual licenses that </w:t>
      </w:r>
      <w:r w:rsidR="00504C6F">
        <w:t>compose</w:t>
      </w:r>
      <w:r w:rsidRPr="0064234E">
        <w:t xml:space="preserve"> the package.  However, the Commission’s competitive bidding rules and procedures assume that the amount of each bid on an individual license always is known.  For example, rules for calculating the amount of small business, new entrant, or tribal land bidding credits presume that the winning bid on the license is known.</w:t>
      </w:r>
      <w:r w:rsidRPr="0064234E">
        <w:rPr>
          <w:rStyle w:val="FootnoteReference"/>
        </w:rPr>
        <w:footnoteReference w:id="54"/>
      </w:r>
      <w:r w:rsidRPr="0064234E">
        <w:t xml:space="preserve">  Similarly, in determining the amount of a default or withdrawal payment, which involves a comparison between the withdrawing or defaulting bidder’s bid and a subsequent bid, the rules assume that there are bid amounts for individual licenses.</w:t>
      </w:r>
      <w:r w:rsidRPr="0064234E">
        <w:rPr>
          <w:rStyle w:val="FootnoteReference"/>
        </w:rPr>
        <w:footnoteReference w:id="55"/>
      </w:r>
      <w:r w:rsidRPr="0064234E">
        <w:t xml:space="preserve">  Accordingly, the Commission adopted a rule providing that, in advance of each auction with package bidding, the Commission shall establish a methodology for determining how to estimate the price or bid on an individual license included in a package of licenses.</w:t>
      </w:r>
      <w:r w:rsidRPr="0064234E">
        <w:rPr>
          <w:rStyle w:val="FootnoteReference"/>
        </w:rPr>
        <w:footnoteReference w:id="56"/>
      </w:r>
    </w:p>
    <w:p w:rsidR="00A111AC" w:rsidRPr="0064234E" w:rsidRDefault="00A111AC" w:rsidP="007B0488">
      <w:pPr>
        <w:pStyle w:val="ParaNum0"/>
        <w:widowControl/>
      </w:pPr>
      <w:r w:rsidRPr="0064234E">
        <w:t xml:space="preserve">We propose that under our HPB procedures, we will use final CPEs as an estimate of the price or bid on an individual license for the purpose of later apportioning package bids.  Therefore, when regulatory calculations require individual license bid amounts, we will divide the package bid amount among the licenses </w:t>
      </w:r>
      <w:r w:rsidR="00504C6F">
        <w:t>composing</w:t>
      </w:r>
      <w:r w:rsidRPr="0064234E">
        <w:t xml:space="preserve"> the package in proportion to the final round CPEs for the licenses. </w:t>
      </w:r>
      <w:r w:rsidR="00FB6351" w:rsidRPr="0064234E">
        <w:t xml:space="preserve"> </w:t>
      </w:r>
      <w:r w:rsidRPr="0064234E">
        <w:t>We seek comment on this proposal.</w:t>
      </w:r>
    </w:p>
    <w:p w:rsidR="00577ED5" w:rsidRPr="0064234E" w:rsidRDefault="00577ED5" w:rsidP="007B0488">
      <w:pPr>
        <w:pStyle w:val="Heading3"/>
        <w:widowControl/>
      </w:pPr>
      <w:bookmarkStart w:id="705" w:name="_Toc360797652"/>
      <w:bookmarkStart w:id="706" w:name="_Toc361137015"/>
      <w:bookmarkStart w:id="707" w:name="_Toc361153077"/>
      <w:bookmarkStart w:id="708" w:name="_Toc361667835"/>
      <w:r w:rsidRPr="0064234E">
        <w:t>Interim Withdrawal Payment Percentage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A111AC" w:rsidRPr="0064234E" w:rsidRDefault="00A111AC" w:rsidP="007B0488">
      <w:pPr>
        <w:pStyle w:val="ParaNum0"/>
        <w:widowControl/>
      </w:pPr>
      <w:r w:rsidRPr="0064234E">
        <w:t xml:space="preserve">In conjunction with our proposal to use HPB procedures, we </w:t>
      </w:r>
      <w:r w:rsidR="0014426A" w:rsidRPr="0064234E">
        <w:t>seek</w:t>
      </w:r>
      <w:r w:rsidRPr="0064234E">
        <w:t xml:space="preserve"> comment on not permitting any bids, provisionally winning or otherwise, to be withdrawn or dropped from consideration in </w:t>
      </w:r>
      <w:r w:rsidR="00F87C05" w:rsidRPr="0064234E">
        <w:t>Auction 96</w:t>
      </w:r>
      <w:r w:rsidRPr="0064234E">
        <w:t xml:space="preserve">. </w:t>
      </w:r>
      <w:r w:rsidR="0014426A" w:rsidRPr="0064234E">
        <w:t xml:space="preserve"> </w:t>
      </w:r>
      <w:r w:rsidRPr="0064234E">
        <w:t>Hence, under our proposal, we would have no need to determine an appropriate interim withdrawal payment percentage.</w:t>
      </w:r>
    </w:p>
    <w:p w:rsidR="00CB700E" w:rsidRPr="0064234E" w:rsidRDefault="0014426A" w:rsidP="007B0488">
      <w:pPr>
        <w:pStyle w:val="ParaNum0"/>
        <w:widowControl/>
      </w:pPr>
      <w:r w:rsidRPr="0064234E">
        <w:t>T</w:t>
      </w:r>
      <w:r w:rsidR="00CB700E" w:rsidRPr="0064234E">
        <w:t>he Bureau seeks comment</w:t>
      </w:r>
      <w:r w:rsidRPr="0064234E">
        <w:t>, however,</w:t>
      </w:r>
      <w:r w:rsidR="00CB700E" w:rsidRPr="0064234E">
        <w:t xml:space="preserve"> on the appropriate </w:t>
      </w:r>
      <w:r w:rsidR="00A111AC" w:rsidRPr="0064234E">
        <w:t xml:space="preserve">interim withdrawal payment </w:t>
      </w:r>
      <w:r w:rsidR="00CB700E" w:rsidRPr="0064234E">
        <w:t xml:space="preserve">percentage </w:t>
      </w:r>
      <w:r w:rsidR="00A111AC" w:rsidRPr="0064234E">
        <w:t xml:space="preserve">to apply if we allow withdrawals under procedures for an SMR auction without package bidding for </w:t>
      </w:r>
      <w:r w:rsidR="00F87C05" w:rsidRPr="0064234E">
        <w:t>Auction 96</w:t>
      </w:r>
      <w:r w:rsidR="00A111AC" w:rsidRPr="0064234E">
        <w:t xml:space="preserve">.  Specifically, we seek comment on the percentage </w:t>
      </w:r>
      <w:r w:rsidR="00CB700E" w:rsidRPr="0064234E">
        <w:t>of a withdrawn bid that should be assessed as an interim withdrawal payment in the event that a final withdrawal payment cannot be determined at the close of the auction.  In general, the Commission’s rules provide that a bidder that withdraws a bid during an auction is subject to a withdrawal payment equal to the difference between the amount of the withdrawn bid and the amount of the winning bid in the same or subsequent auction(s).</w:t>
      </w:r>
      <w:r w:rsidR="00CB700E" w:rsidRPr="0064234E">
        <w:rPr>
          <w:rStyle w:val="FootnoteReference"/>
          <w:szCs w:val="22"/>
        </w:rPr>
        <w:footnoteReference w:id="57"/>
      </w:r>
      <w:r w:rsidR="00CB700E" w:rsidRPr="0064234E">
        <w:t xml:space="preserve">  If a bid is withdrawn and no subsequent higher bid is placed and/or the license is not won in the same auction, the final withdrawal payment cannot be calculated until after the close of a subsequent auction in which a higher bid for the license (or the equivalent to the license) is placed or the license is won.</w:t>
      </w:r>
      <w:r w:rsidR="00CB700E" w:rsidRPr="0064234E">
        <w:rPr>
          <w:rStyle w:val="FootnoteReference"/>
          <w:szCs w:val="22"/>
        </w:rPr>
        <w:footnoteReference w:id="58"/>
      </w:r>
      <w:r w:rsidR="00CB700E" w:rsidRPr="0064234E">
        <w:t xml:space="preserve">  When that final payment cannot yet be calculated, the bidder responsible for the withdrawn bid is assessed an interim bid withdrawal payment, which will be applied toward any final bid withdrawal payment that is ultimately assessed.</w:t>
      </w:r>
      <w:r w:rsidR="00CB700E" w:rsidRPr="0064234E">
        <w:rPr>
          <w:rStyle w:val="FootnoteReference"/>
          <w:szCs w:val="22"/>
        </w:rPr>
        <w:footnoteReference w:id="59"/>
      </w:r>
      <w:r w:rsidR="00CB700E" w:rsidRPr="0064234E">
        <w:t xml:space="preserve">  Section 1.2104(g)(1) of the Commission</w:t>
      </w:r>
      <w:r w:rsidR="00036DC1">
        <w:t>’s</w:t>
      </w:r>
      <w:r w:rsidR="00CB700E" w:rsidRPr="0064234E">
        <w:t xml:space="preserve"> rules requires that the percentage of the withdrawn bid to be assessed as an interim bid withdrawal payment be between three percent and twenty percent and that it be set in advance of the auction.</w:t>
      </w:r>
      <w:r w:rsidR="00CB700E" w:rsidRPr="0064234E">
        <w:rPr>
          <w:rStyle w:val="FootnoteReference"/>
          <w:szCs w:val="22"/>
        </w:rPr>
        <w:footnoteReference w:id="60"/>
      </w:r>
      <w:r w:rsidR="00CB700E" w:rsidRPr="0064234E">
        <w:t xml:space="preserve">  </w:t>
      </w:r>
    </w:p>
    <w:p w:rsidR="00577ED5" w:rsidRPr="0064234E" w:rsidRDefault="00CB700E" w:rsidP="007B0488">
      <w:pPr>
        <w:pStyle w:val="ParaNum0"/>
        <w:widowControl/>
        <w:rPr>
          <w:szCs w:val="22"/>
        </w:rPr>
      </w:pPr>
      <w:r w:rsidRPr="0064234E">
        <w:t>The Commission has determined that the level of the interim withdrawal payment in a particular auction will be based on the nature of the service and the inventory of the licenses being offered.</w:t>
      </w:r>
      <w:r w:rsidRPr="0064234E">
        <w:rPr>
          <w:rStyle w:val="FootnoteReference"/>
        </w:rPr>
        <w:footnoteReference w:id="61"/>
      </w:r>
      <w:r w:rsidRPr="0064234E">
        <w:t xml:space="preserve">  The Commission has noted that it may impose a higher interim withdrawal payment percentage to deter the anti-competitive use of withdrawals when, for example, bidders likely will not need to aggregate the licenses being offered in the auction, such as when few licenses are offered that are on adjacent frequencies or in adjacent areas, or when there are few synergies to be captured by combining licenses.</w:t>
      </w:r>
      <w:r w:rsidRPr="0064234E">
        <w:rPr>
          <w:rStyle w:val="FootnoteReference"/>
        </w:rPr>
        <w:footnoteReference w:id="62"/>
      </w:r>
      <w:r w:rsidRPr="0064234E">
        <w:t xml:space="preserve">  </w:t>
      </w:r>
      <w:r w:rsidR="0064364E" w:rsidRPr="0064234E">
        <w:t xml:space="preserve">However, as we have discussed in connection with our proposal to </w:t>
      </w:r>
      <w:r w:rsidR="0014426A" w:rsidRPr="0064234E">
        <w:t xml:space="preserve">use </w:t>
      </w:r>
      <w:r w:rsidR="0064364E" w:rsidRPr="0064234E">
        <w:t xml:space="preserve">package bidding for </w:t>
      </w:r>
      <w:r w:rsidR="00F87C05" w:rsidRPr="0064234E">
        <w:t>Auction 96</w:t>
      </w:r>
      <w:r w:rsidR="0064364E" w:rsidRPr="0064234E">
        <w:t xml:space="preserve">, we believe that there may be significant benefits for some bidders from aggregating EA licenses.  Hence, </w:t>
      </w:r>
      <w:r w:rsidR="0014426A" w:rsidRPr="0064234E">
        <w:t xml:space="preserve">if we do not use package bidding, </w:t>
      </w:r>
      <w:r w:rsidR="00B97453" w:rsidRPr="0064234E">
        <w:t>withdrawals</w:t>
      </w:r>
      <w:r w:rsidR="0064364E" w:rsidRPr="0064234E">
        <w:t xml:space="preserve"> may be useful</w:t>
      </w:r>
      <w:r w:rsidR="00B97453" w:rsidRPr="0064234E">
        <w:t xml:space="preserve"> to protect</w:t>
      </w:r>
      <w:r w:rsidR="0064364E" w:rsidRPr="0064234E">
        <w:t xml:space="preserve"> bidders</w:t>
      </w:r>
      <w:r w:rsidR="00B97453" w:rsidRPr="0064234E">
        <w:t xml:space="preserve"> against incomplete aggregations</w:t>
      </w:r>
      <w:r w:rsidR="003501D2" w:rsidRPr="0064234E">
        <w:t xml:space="preserve"> in </w:t>
      </w:r>
      <w:r w:rsidR="00F87C05" w:rsidRPr="0064234E">
        <w:t>Auction 96</w:t>
      </w:r>
      <w:r w:rsidR="00917F27" w:rsidRPr="0064234E">
        <w:rPr>
          <w:snapToGrid/>
          <w:kern w:val="0"/>
          <w:szCs w:val="22"/>
        </w:rPr>
        <w:t xml:space="preserve">. </w:t>
      </w:r>
      <w:r w:rsidR="00B97453" w:rsidRPr="0064234E">
        <w:rPr>
          <w:snapToGrid/>
          <w:kern w:val="0"/>
          <w:szCs w:val="22"/>
        </w:rPr>
        <w:t xml:space="preserve"> </w:t>
      </w:r>
      <w:r w:rsidR="00917F27" w:rsidRPr="0064234E">
        <w:rPr>
          <w:snapToGrid/>
          <w:kern w:val="0"/>
          <w:szCs w:val="22"/>
        </w:rPr>
        <w:t xml:space="preserve">Balancing the potential need for bidders to use withdrawals to avoid winning incomplete combinations of licenses with the Bureau’s interest in deterring undesirable strategic use of withdrawals, the Bureau proposes a percentage below the maximum twenty percent permitted under the current rules but above the three percent previously provided by the Commission’s rules.  Specifically, the Bureau proposes to establish an interim bid withdrawal payment of </w:t>
      </w:r>
      <w:r w:rsidR="007327C4" w:rsidRPr="0064234E">
        <w:rPr>
          <w:snapToGrid/>
          <w:kern w:val="0"/>
          <w:szCs w:val="22"/>
        </w:rPr>
        <w:t>fifteen</w:t>
      </w:r>
      <w:r w:rsidR="00917F27" w:rsidRPr="0064234E">
        <w:rPr>
          <w:snapToGrid/>
          <w:kern w:val="0"/>
          <w:szCs w:val="22"/>
        </w:rPr>
        <w:t xml:space="preserve"> percent of the withdrawn bid for this auction.  The Bureau seeks comment on this proposal.</w:t>
      </w:r>
    </w:p>
    <w:p w:rsidR="00577ED5" w:rsidRPr="0064234E" w:rsidRDefault="00577ED5" w:rsidP="007B0488">
      <w:pPr>
        <w:pStyle w:val="Heading3"/>
        <w:widowControl/>
        <w:rPr>
          <w:szCs w:val="22"/>
        </w:rPr>
      </w:pPr>
      <w:bookmarkStart w:id="709" w:name="_Toc271880883"/>
      <w:bookmarkStart w:id="710" w:name="_Toc272760385"/>
      <w:bookmarkStart w:id="711" w:name="_Toc303331698"/>
      <w:bookmarkStart w:id="712" w:name="_Toc334798949"/>
      <w:bookmarkStart w:id="713" w:name="_Toc346007158"/>
      <w:bookmarkStart w:id="714" w:name="_Toc357766174"/>
      <w:bookmarkStart w:id="715" w:name="_Toc357766246"/>
      <w:bookmarkStart w:id="716" w:name="_Toc357801036"/>
      <w:bookmarkStart w:id="717" w:name="_Toc357801100"/>
      <w:bookmarkStart w:id="718" w:name="_Toc360525980"/>
      <w:bookmarkStart w:id="719" w:name="_Toc360797653"/>
      <w:bookmarkStart w:id="720" w:name="_Toc361137016"/>
      <w:bookmarkStart w:id="721" w:name="_Toc361153078"/>
      <w:bookmarkStart w:id="722" w:name="_Toc361667836"/>
      <w:r w:rsidRPr="0064234E">
        <w:rPr>
          <w:szCs w:val="22"/>
        </w:rPr>
        <w:t>Additional Default Payment Percentage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64364E" w:rsidRPr="0064234E" w:rsidRDefault="00577ED5" w:rsidP="007B0488">
      <w:pPr>
        <w:pStyle w:val="ParaNum0"/>
        <w:widowControl/>
        <w:rPr>
          <w:szCs w:val="22"/>
        </w:rPr>
      </w:pPr>
      <w:r w:rsidRPr="0064234E">
        <w:t xml:space="preserve">Any winning bidder that defaults or is disqualified after the close of an auction (i.e., fails to remit the required down payment within the prescribed period of time, fails to submit a timely long-form application, fails to make full and timely final payment, or is otherwise disqualified) is liable for a default payment under 47 C.F.R. § 1.2104(g)(2).  This payment consists of a deficiency payment, equal to the difference between the amount of the </w:t>
      </w:r>
      <w:r w:rsidR="00F87C05" w:rsidRPr="0064234E">
        <w:t>Auction 96</w:t>
      </w:r>
      <w:r w:rsidRPr="0064234E">
        <w:t xml:space="preserve"> bidder’s winning bid and the amount of the winning bid the next time a </w:t>
      </w:r>
      <w:r w:rsidR="00917F27" w:rsidRPr="0064234E">
        <w:t>license</w:t>
      </w:r>
      <w:r w:rsidRPr="0064234E">
        <w:t xml:space="preserve"> covering the same spectrum is won in an auction, plus an additional payment equal to a percentage of the defaulter’s bid or of the subsequent winning bid, whichever is less.</w:t>
      </w:r>
    </w:p>
    <w:p w:rsidR="00577ED5" w:rsidRPr="0064234E" w:rsidRDefault="0064364E" w:rsidP="007B0488">
      <w:pPr>
        <w:pStyle w:val="ParaNum0"/>
        <w:widowControl/>
        <w:rPr>
          <w:szCs w:val="22"/>
        </w:rPr>
      </w:pPr>
      <w:r w:rsidRPr="0064234E">
        <w:t xml:space="preserve">The percentage of the bid that a defaulting bidder must pay in addition to the deficiency will depend on the auction format ultimately chosen for a particular auction.  In auctions with package bidding, as we propose to use in </w:t>
      </w:r>
      <w:r w:rsidR="00F87C05" w:rsidRPr="0064234E">
        <w:t>Auction 96</w:t>
      </w:r>
      <w:r w:rsidRPr="0064234E">
        <w:t xml:space="preserve">, the additional payment is set, pursuant to </w:t>
      </w:r>
      <w:r w:rsidR="0014426A" w:rsidRPr="0064234E">
        <w:t>s</w:t>
      </w:r>
      <w:r w:rsidRPr="0064234E">
        <w:t>ection 1.2104(g)(2)(ii), at 25 percent of the applicable bid.  This higher level reflects the fact that a defaulted winning bid in an auction with package bidding may affect</w:t>
      </w:r>
      <w:r w:rsidR="0014426A" w:rsidRPr="0064234E">
        <w:t xml:space="preserve"> multiple licenses and perhaps all of the </w:t>
      </w:r>
      <w:r w:rsidRPr="0064234E">
        <w:t>other licenses</w:t>
      </w:r>
      <w:r w:rsidR="0014426A" w:rsidRPr="0064234E">
        <w:t xml:space="preserve"> being offered</w:t>
      </w:r>
      <w:r w:rsidRPr="0064234E">
        <w:t>.</w:t>
      </w:r>
      <w:r w:rsidRPr="0064234E">
        <w:rPr>
          <w:rStyle w:val="FootnoteReference"/>
        </w:rPr>
        <w:footnoteReference w:id="63"/>
      </w:r>
      <w:r w:rsidR="00577ED5" w:rsidRPr="0064234E">
        <w:t xml:space="preserve">  </w:t>
      </w:r>
    </w:p>
    <w:p w:rsidR="003976F5" w:rsidRPr="0064234E" w:rsidRDefault="0064364E" w:rsidP="003E793F">
      <w:pPr>
        <w:pStyle w:val="ParaNum0"/>
        <w:widowControl/>
      </w:pPr>
      <w:r w:rsidRPr="0064234E">
        <w:t>In non-package auctions, the amount can range from three percent up to a maximum of twenty percent, established in advance of the auction and based on the nature of the service and the inventory of the licenses being offered,</w:t>
      </w:r>
      <w:r w:rsidR="00C02BD4" w:rsidRPr="0064234E">
        <w:rPr>
          <w:rStyle w:val="FootnoteReference"/>
        </w:rPr>
        <w:footnoteReference w:id="64"/>
      </w:r>
      <w:r w:rsidRPr="0064234E">
        <w:t xml:space="preserve"> and so, we seek comment on an appropriate additional default payment percentage in the event we do not conduct </w:t>
      </w:r>
      <w:r w:rsidR="00F87C05" w:rsidRPr="0064234E">
        <w:t>Auction 96</w:t>
      </w:r>
      <w:r w:rsidRPr="0064234E">
        <w:t xml:space="preserve"> with package bidding procedures.  </w:t>
      </w:r>
      <w:r w:rsidR="00577ED5" w:rsidRPr="0064234E">
        <w:t xml:space="preserve">As noted in the </w:t>
      </w:r>
      <w:r w:rsidR="00577ED5" w:rsidRPr="0064234E">
        <w:rPr>
          <w:i/>
          <w:iCs/>
        </w:rPr>
        <w:t>CSEA/Part 1 Report and Order</w:t>
      </w:r>
      <w:r w:rsidR="00577ED5" w:rsidRPr="0064234E">
        <w:rPr>
          <w:iCs/>
        </w:rPr>
        <w:t>,</w:t>
      </w:r>
      <w:r w:rsidR="00577ED5" w:rsidRPr="0064234E">
        <w:t xml:space="preserve"> defaults weaken the integrity of the auction process and may impede the deployment of service to the public, and an additional default payment </w:t>
      </w:r>
      <w:r w:rsidR="00021ED6">
        <w:t xml:space="preserve">of up to 20 percent </w:t>
      </w:r>
      <w:r w:rsidR="00577ED5" w:rsidRPr="0064234E">
        <w:t>will be more effective in deterring defaults than the three percent used in some earlier auctions.</w:t>
      </w:r>
      <w:r w:rsidR="00577ED5" w:rsidRPr="0064234E">
        <w:rPr>
          <w:rStyle w:val="FootnoteReference"/>
        </w:rPr>
        <w:footnoteReference w:id="65"/>
      </w:r>
      <w:r w:rsidR="00577ED5" w:rsidRPr="0064234E">
        <w:t xml:space="preserve">  </w:t>
      </w:r>
      <w:r w:rsidR="003437EC" w:rsidRPr="0064234E">
        <w:rPr>
          <w:snapToGrid/>
          <w:kern w:val="0"/>
          <w:szCs w:val="22"/>
        </w:rPr>
        <w:t xml:space="preserve">At the same time, </w:t>
      </w:r>
      <w:r w:rsidR="00BD1AE9" w:rsidRPr="0064234E">
        <w:rPr>
          <w:snapToGrid/>
          <w:kern w:val="0"/>
          <w:szCs w:val="22"/>
        </w:rPr>
        <w:t>we</w:t>
      </w:r>
      <w:r w:rsidR="003437EC" w:rsidRPr="0064234E">
        <w:rPr>
          <w:snapToGrid/>
          <w:kern w:val="0"/>
          <w:szCs w:val="22"/>
        </w:rPr>
        <w:t xml:space="preserve"> do not believe the detrimental effects of any defaults in </w:t>
      </w:r>
      <w:r w:rsidR="00F87C05" w:rsidRPr="0064234E">
        <w:rPr>
          <w:snapToGrid/>
          <w:kern w:val="0"/>
          <w:szCs w:val="22"/>
        </w:rPr>
        <w:t>Auction 96</w:t>
      </w:r>
      <w:r w:rsidR="003437EC" w:rsidRPr="0064234E">
        <w:rPr>
          <w:snapToGrid/>
          <w:kern w:val="0"/>
          <w:szCs w:val="22"/>
        </w:rPr>
        <w:t xml:space="preserve"> are likely to be unusually great.  </w:t>
      </w:r>
      <w:r w:rsidR="00BD1AE9" w:rsidRPr="0064234E">
        <w:t xml:space="preserve">Balancing these considerations, we propose to establish an additional default payment for </w:t>
      </w:r>
      <w:r w:rsidR="00F87C05" w:rsidRPr="0064234E">
        <w:t>Auction 96</w:t>
      </w:r>
      <w:r w:rsidR="00BD1AE9" w:rsidRPr="0064234E">
        <w:t xml:space="preserve"> of </w:t>
      </w:r>
      <w:r w:rsidR="007327C4" w:rsidRPr="0064234E">
        <w:t>fifteen</w:t>
      </w:r>
      <w:r w:rsidR="00BD1AE9" w:rsidRPr="0064234E">
        <w:t xml:space="preserve"> percent of the applicable bid.</w:t>
      </w:r>
      <w:r w:rsidR="00BD1AE9" w:rsidRPr="0064234E">
        <w:rPr>
          <w:snapToGrid/>
          <w:kern w:val="0"/>
          <w:szCs w:val="22"/>
        </w:rPr>
        <w:t xml:space="preserve">  </w:t>
      </w:r>
      <w:r w:rsidR="003437EC" w:rsidRPr="0064234E">
        <w:rPr>
          <w:snapToGrid/>
          <w:kern w:val="0"/>
          <w:szCs w:val="22"/>
        </w:rPr>
        <w:t>The Bureau seeks comment on this proposal.</w:t>
      </w:r>
      <w:bookmarkStart w:id="723" w:name="_Toc153165407"/>
      <w:bookmarkStart w:id="724" w:name="_Toc153190418"/>
      <w:r w:rsidR="00577ED5" w:rsidRPr="0064234E">
        <w:t xml:space="preserve"> </w:t>
      </w:r>
      <w:bookmarkStart w:id="725" w:name="_Toc190859729"/>
      <w:bookmarkStart w:id="726" w:name="_Toc190867606"/>
      <w:bookmarkStart w:id="727" w:name="_Toc191282399"/>
      <w:bookmarkStart w:id="728" w:name="_Toc191296806"/>
      <w:bookmarkStart w:id="729" w:name="_Toc203461508"/>
      <w:bookmarkStart w:id="730" w:name="_Toc214427403"/>
      <w:bookmarkStart w:id="731" w:name="_Toc252353647"/>
      <w:bookmarkStart w:id="732" w:name="_Toc252456336"/>
      <w:bookmarkStart w:id="733" w:name="_Toc252881334"/>
      <w:bookmarkStart w:id="734" w:name="_Toc266452593"/>
      <w:bookmarkStart w:id="735" w:name="_Toc267580122"/>
      <w:bookmarkStart w:id="736" w:name="_Toc268005367"/>
      <w:bookmarkStart w:id="737" w:name="_Toc268513871"/>
      <w:bookmarkStart w:id="738" w:name="_Toc271880884"/>
      <w:bookmarkStart w:id="739" w:name="_Toc272760386"/>
      <w:bookmarkStart w:id="740" w:name="_Toc303331699"/>
      <w:bookmarkStart w:id="741" w:name="_Toc334798950"/>
      <w:bookmarkStart w:id="742" w:name="_Toc346007159"/>
      <w:bookmarkStart w:id="743" w:name="_Toc357766175"/>
      <w:bookmarkStart w:id="744" w:name="_Toc357766247"/>
      <w:bookmarkStart w:id="745" w:name="_Toc357801037"/>
      <w:bookmarkStart w:id="746" w:name="_Toc357801101"/>
    </w:p>
    <w:p w:rsidR="00577ED5" w:rsidRPr="0064234E" w:rsidRDefault="00577ED5" w:rsidP="009C292E">
      <w:pPr>
        <w:pStyle w:val="Heading1"/>
        <w:widowControl/>
      </w:pPr>
      <w:bookmarkStart w:id="747" w:name="_Toc360525981"/>
      <w:bookmarkStart w:id="748" w:name="_Toc360797654"/>
      <w:bookmarkStart w:id="749" w:name="_Toc361137017"/>
      <w:bookmarkStart w:id="750" w:name="_Toc361153079"/>
      <w:bookmarkStart w:id="751" w:name="_Toc361667837"/>
      <w:r w:rsidRPr="0064234E">
        <w:t>DEADLINES AND FILING PROCEDURES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577ED5" w:rsidRPr="0064234E" w:rsidRDefault="00577ED5" w:rsidP="007B0488">
      <w:pPr>
        <w:pStyle w:val="ParaNum0"/>
        <w:widowControl/>
        <w:rPr>
          <w:szCs w:val="22"/>
        </w:rPr>
      </w:pPr>
      <w:r w:rsidRPr="0064234E">
        <w:t xml:space="preserve">Comments are due on or before </w:t>
      </w:r>
      <w:r w:rsidR="00967755" w:rsidRPr="0064234E">
        <w:t xml:space="preserve">August </w:t>
      </w:r>
      <w:r w:rsidR="00C2529A">
        <w:t>5</w:t>
      </w:r>
      <w:r w:rsidR="003437EC" w:rsidRPr="0064234E">
        <w:t>, 2013</w:t>
      </w:r>
      <w:r w:rsidRPr="0064234E">
        <w:t xml:space="preserve">, and reply comments are due on or before </w:t>
      </w:r>
      <w:r w:rsidR="00017256" w:rsidRPr="0064234E">
        <w:t>August</w:t>
      </w:r>
      <w:r w:rsidR="008804C6" w:rsidRPr="0064234E">
        <w:t xml:space="preserve"> </w:t>
      </w:r>
      <w:r w:rsidR="00342BB3">
        <w:t>16</w:t>
      </w:r>
      <w:r w:rsidR="003437EC" w:rsidRPr="0064234E">
        <w:t>, 2013</w:t>
      </w:r>
      <w:r w:rsidRPr="0064234E">
        <w:t xml:space="preserve">.  All filings related to procedures for </w:t>
      </w:r>
      <w:r w:rsidR="00F87C05" w:rsidRPr="0064234E">
        <w:t>Auction 96</w:t>
      </w:r>
      <w:r w:rsidRPr="0064234E">
        <w:t xml:space="preserve"> must refer to AU Docket No. 1</w:t>
      </w:r>
      <w:r w:rsidR="003437EC" w:rsidRPr="0064234E">
        <w:t>3</w:t>
      </w:r>
      <w:r w:rsidRPr="0064234E">
        <w:t>-</w:t>
      </w:r>
      <w:r w:rsidR="00F576A7">
        <w:t>178</w:t>
      </w:r>
      <w:r w:rsidR="00017256" w:rsidRPr="0064234E">
        <w:t>.</w:t>
      </w:r>
      <w:r w:rsidRPr="0064234E">
        <w:t xml:space="preserve">  Comments may be submitted using the Commission’s Electronic Comment Filing System (“ECFS”) or by filing paper copies.</w:t>
      </w:r>
      <w:r w:rsidRPr="0064234E">
        <w:rPr>
          <w:rStyle w:val="FootnoteReference"/>
        </w:rPr>
        <w:footnoteReference w:id="66"/>
      </w:r>
      <w:r w:rsidRPr="0064234E">
        <w:t xml:space="preserve">  We strongly encourage interested parties to file comments electronically.  </w:t>
      </w:r>
    </w:p>
    <w:p w:rsidR="00577ED5" w:rsidRPr="0064234E" w:rsidRDefault="00577ED5" w:rsidP="007B0488">
      <w:pPr>
        <w:pStyle w:val="ParaNum0"/>
        <w:widowControl/>
        <w:rPr>
          <w:szCs w:val="22"/>
        </w:rPr>
      </w:pPr>
      <w:r w:rsidRPr="0064234E">
        <w:rPr>
          <w:i/>
        </w:rPr>
        <w:t>Electronic Filers</w:t>
      </w:r>
      <w:r w:rsidRPr="0064234E">
        <w:t xml:space="preserve">:  Comments may be filed electronically using the Internet by accessing the ECFS at </w:t>
      </w:r>
      <w:hyperlink r:id="rId9" w:history="1">
        <w:r w:rsidRPr="0064234E">
          <w:rPr>
            <w:rStyle w:val="Hyperlink"/>
            <w:color w:val="auto"/>
          </w:rPr>
          <w:t>http://www.fcc.gov/cgb/ecfs</w:t>
        </w:r>
      </w:hyperlink>
      <w:r w:rsidRPr="0064234E">
        <w:t>.  Filers should follow the instructions provided on the website for submitting comments.  In completing the transmittal screen, filers should include their full name, U.S. Postal Service mailing address, and the applicable docket number, AU Docket No. 1</w:t>
      </w:r>
      <w:r w:rsidR="003437EC" w:rsidRPr="0064234E">
        <w:t>3</w:t>
      </w:r>
      <w:r w:rsidRPr="0064234E">
        <w:t>-</w:t>
      </w:r>
      <w:r w:rsidR="00F576A7">
        <w:t>178</w:t>
      </w:r>
      <w:r w:rsidRPr="0064234E">
        <w:t xml:space="preserve">.  To get filing instructions, filers should send an e-mail to </w:t>
      </w:r>
      <w:hyperlink r:id="rId10" w:history="1">
        <w:r w:rsidRPr="0064234E">
          <w:rPr>
            <w:u w:val="single"/>
          </w:rPr>
          <w:t>ecfs@fcc.gov</w:t>
        </w:r>
      </w:hyperlink>
      <w:r w:rsidRPr="0064234E">
        <w:t>, and include the following words in the body of the message: “get form.”  A sample form and directions will be sent in response.</w:t>
      </w:r>
    </w:p>
    <w:p w:rsidR="00577ED5" w:rsidRPr="0064234E" w:rsidRDefault="00577ED5" w:rsidP="007B0488">
      <w:pPr>
        <w:pStyle w:val="ParaNum0"/>
        <w:widowControl/>
      </w:pPr>
      <w:r w:rsidRPr="0064234E">
        <w:rPr>
          <w:i/>
        </w:rPr>
        <w:t>Paper Filers</w:t>
      </w:r>
      <w:r w:rsidRPr="0064234E">
        <w:t>:  Parties who choose to file by paper must file an original and four copies of each filing.  Filings can be sent by hand or messenger delivery, by commercial overnight courier, or by first-class or overnight U.S. Postal Service mail.  All filings must be addressed to the Commission’s Secretary Attn: WTB/ASAD, Office of the Secretary, Federal Communications Commission.</w:t>
      </w:r>
    </w:p>
    <w:p w:rsidR="00577ED5" w:rsidRPr="0064234E" w:rsidRDefault="00577ED5" w:rsidP="007B0488">
      <w:pPr>
        <w:widowControl/>
        <w:tabs>
          <w:tab w:val="left" w:pos="360"/>
        </w:tabs>
        <w:spacing w:after="120"/>
        <w:ind w:left="720" w:hanging="360"/>
        <w:rPr>
          <w:szCs w:val="22"/>
        </w:rPr>
      </w:pPr>
      <w:r w:rsidRPr="0064234E">
        <w:rPr>
          <w:rFonts w:ascii="Symbol" w:hAnsi="Symbol" w:cs="Symbol"/>
          <w:szCs w:val="22"/>
        </w:rPr>
        <w:t></w:t>
      </w:r>
      <w:r w:rsidRPr="0064234E">
        <w:rPr>
          <w:rFonts w:ascii="Symbol" w:hAnsi="Symbol" w:cs="Symbol"/>
          <w:szCs w:val="22"/>
        </w:rPr>
        <w:tab/>
      </w:r>
      <w:r w:rsidRPr="0064234E">
        <w:rPr>
          <w:rFonts w:cs="Symbol"/>
          <w:szCs w:val="22"/>
        </w:rPr>
        <w:t>The Commission’s c</w:t>
      </w:r>
      <w:r w:rsidRPr="0064234E">
        <w:rPr>
          <w:szCs w:val="22"/>
        </w:rPr>
        <w:t>ontractor will receive hand-delivered or messenger-delivered paper filings for the Commission’s Secretary at the FCC Headquarters building located at 445 12</w:t>
      </w:r>
      <w:r w:rsidRPr="0064234E">
        <w:rPr>
          <w:szCs w:val="22"/>
          <w:vertAlign w:val="superscript"/>
        </w:rPr>
        <w:t>th</w:t>
      </w:r>
      <w:r w:rsidRPr="0064234E">
        <w:rPr>
          <w:szCs w:val="22"/>
        </w:rPr>
        <w:t xml:space="preserve"> Street, SW, Room TW-A325, Washington, DC  20554.  The filing hours at this location are 8:00 a.m. to 7:00 p.m. Eastern Time (ET).  All hand deliveries must be held together with rubber bands or fasteners.  Any envelopes must be disposed of before entering the building.</w:t>
      </w:r>
    </w:p>
    <w:p w:rsidR="00577ED5" w:rsidRPr="0064234E" w:rsidRDefault="00577ED5" w:rsidP="007B0488">
      <w:pPr>
        <w:widowControl/>
        <w:tabs>
          <w:tab w:val="left" w:pos="360"/>
        </w:tabs>
        <w:spacing w:after="120"/>
        <w:ind w:left="720" w:hanging="360"/>
        <w:rPr>
          <w:szCs w:val="22"/>
        </w:rPr>
      </w:pPr>
      <w:r w:rsidRPr="0064234E">
        <w:rPr>
          <w:rFonts w:ascii="Symbol" w:hAnsi="Symbol" w:cs="Symbol"/>
          <w:szCs w:val="22"/>
        </w:rPr>
        <w:t></w:t>
      </w:r>
      <w:r w:rsidRPr="0064234E">
        <w:rPr>
          <w:rFonts w:ascii="Symbol" w:hAnsi="Symbol" w:cs="Symbol"/>
          <w:szCs w:val="22"/>
        </w:rPr>
        <w:tab/>
      </w:r>
      <w:r w:rsidRPr="0064234E">
        <w:rPr>
          <w:szCs w:val="22"/>
        </w:rPr>
        <w:t>Commercial overnight mail (other than U.S. Postal Service Express Mail and Priority Mail) must be sent to 9300 East Hampton Drive, Capitol Heights, MD 20743.</w:t>
      </w:r>
    </w:p>
    <w:p w:rsidR="00577ED5" w:rsidRPr="0064234E" w:rsidRDefault="00577ED5" w:rsidP="007B0488">
      <w:pPr>
        <w:widowControl/>
        <w:tabs>
          <w:tab w:val="left" w:pos="360"/>
        </w:tabs>
        <w:ind w:left="720" w:hanging="360"/>
        <w:rPr>
          <w:szCs w:val="22"/>
        </w:rPr>
      </w:pPr>
      <w:r w:rsidRPr="0064234E">
        <w:rPr>
          <w:rFonts w:ascii="Symbol" w:hAnsi="Symbol" w:cs="Symbol"/>
          <w:szCs w:val="22"/>
        </w:rPr>
        <w:t></w:t>
      </w:r>
      <w:r w:rsidRPr="0064234E">
        <w:rPr>
          <w:rFonts w:ascii="Symbol" w:hAnsi="Symbol" w:cs="Symbol"/>
          <w:szCs w:val="22"/>
        </w:rPr>
        <w:tab/>
      </w:r>
      <w:r w:rsidRPr="0064234E">
        <w:rPr>
          <w:szCs w:val="22"/>
        </w:rPr>
        <w:t>U.S. Postal Service first-class, Express, and Priority mail must be addressed to 445 12th Street, SW, Washington DC  20554.</w:t>
      </w:r>
    </w:p>
    <w:p w:rsidR="00577ED5" w:rsidRPr="0064234E" w:rsidRDefault="00577ED5" w:rsidP="007B0488">
      <w:pPr>
        <w:widowControl/>
        <w:tabs>
          <w:tab w:val="left" w:pos="360"/>
        </w:tabs>
        <w:ind w:left="720" w:hanging="360"/>
        <w:rPr>
          <w:szCs w:val="22"/>
        </w:rPr>
      </w:pPr>
    </w:p>
    <w:p w:rsidR="00577ED5" w:rsidRPr="0064234E" w:rsidRDefault="00F87C05" w:rsidP="007B0488">
      <w:pPr>
        <w:pStyle w:val="ParaNum0"/>
        <w:widowControl/>
        <w:rPr>
          <w:szCs w:val="22"/>
        </w:rPr>
      </w:pPr>
      <w:r w:rsidRPr="0064234E">
        <w:rPr>
          <w:i/>
        </w:rPr>
        <w:t>Auction 96</w:t>
      </w:r>
      <w:r w:rsidR="00577ED5" w:rsidRPr="0064234E">
        <w:rPr>
          <w:i/>
        </w:rPr>
        <w:t xml:space="preserve"> E-mail Box</w:t>
      </w:r>
      <w:r w:rsidR="00577ED5" w:rsidRPr="0064234E">
        <w:t xml:space="preserve">:  We also request that a copy of all comments and reply comments be submitted electronically to the following address: </w:t>
      </w:r>
      <w:hyperlink r:id="rId11" w:history="1">
        <w:r w:rsidR="00017256" w:rsidRPr="0064234E">
          <w:rPr>
            <w:rStyle w:val="Hyperlink"/>
            <w:color w:val="auto"/>
          </w:rPr>
          <w:t>auction96@fcc.gov</w:t>
        </w:r>
      </w:hyperlink>
      <w:r w:rsidR="00577ED5" w:rsidRPr="0064234E">
        <w:t>.</w:t>
      </w:r>
    </w:p>
    <w:p w:rsidR="00577ED5" w:rsidRPr="0064234E" w:rsidRDefault="00577ED5" w:rsidP="007B0488">
      <w:pPr>
        <w:pStyle w:val="ParaNum0"/>
        <w:widowControl/>
        <w:rPr>
          <w:szCs w:val="22"/>
        </w:rPr>
      </w:pPr>
      <w:r w:rsidRPr="0064234E">
        <w:t xml:space="preserve">Copies of comments and reply comments will be available for public inspection between 8:00 a.m. and 4:30 p.m. ET Monday through Thursday, or 8:00 a.m. to 11:30 a.m. ET on Fridays, in the FCC Reference Information Center, Room CY-A257, 445 12th Street, SW, Washington, DC 20554, and will also be accessible through the search function on the ECFS web page at </w:t>
      </w:r>
      <w:hyperlink r:id="rId12" w:history="1">
        <w:r w:rsidRPr="0064234E">
          <w:rPr>
            <w:rStyle w:val="Hyperlink"/>
            <w:color w:val="auto"/>
          </w:rPr>
          <w:t>http://www.fcc.gov/cgb/ecfs</w:t>
        </w:r>
      </w:hyperlink>
      <w:r w:rsidRPr="0064234E">
        <w:t>.</w:t>
      </w:r>
    </w:p>
    <w:p w:rsidR="00577ED5" w:rsidRPr="0064234E" w:rsidRDefault="00577ED5" w:rsidP="007B0488">
      <w:pPr>
        <w:pStyle w:val="ParaNum0"/>
        <w:widowControl/>
        <w:rPr>
          <w:szCs w:val="22"/>
        </w:rPr>
      </w:pPr>
      <w:r w:rsidRPr="0064234E">
        <w:t xml:space="preserve">This proceeding has been designated as a “permit-but-disclose” proceeding in accordance with the Commission’s </w:t>
      </w:r>
      <w:r w:rsidRPr="0064234E">
        <w:rPr>
          <w:i/>
          <w:iCs/>
        </w:rPr>
        <w:t>ex parte</w:t>
      </w:r>
      <w:r w:rsidRPr="0064234E">
        <w:t xml:space="preserve"> rules.</w:t>
      </w:r>
      <w:r w:rsidRPr="0064234E">
        <w:rPr>
          <w:rStyle w:val="FootnoteReference"/>
        </w:rPr>
        <w:footnoteReference w:id="67"/>
      </w:r>
      <w:r w:rsidRPr="0064234E">
        <w:t xml:space="preserve">  Persons making oral </w:t>
      </w:r>
      <w:r w:rsidRPr="0064234E">
        <w:rPr>
          <w:i/>
          <w:iCs/>
        </w:rPr>
        <w:t>ex parte</w:t>
      </w:r>
      <w:r w:rsidRPr="0064234E">
        <w:t xml:space="preserve"> presentations are reminded that memoranda summarizing the presentations must contain summaries of the substance of the presentations and not merely a listing of the subjects discussed.  More than a one or two sentence description of the views and arguments presented is generally required.  Other provisions pertaining to oral and written </w:t>
      </w:r>
      <w:r w:rsidRPr="0064234E">
        <w:rPr>
          <w:i/>
          <w:iCs/>
        </w:rPr>
        <w:t>ex parte</w:t>
      </w:r>
      <w:r w:rsidRPr="0064234E">
        <w:t xml:space="preserve"> presentations in permit-but-disclose proceedings are set forth in </w:t>
      </w:r>
      <w:r w:rsidR="00463474">
        <w:t>s</w:t>
      </w:r>
      <w:r w:rsidRPr="0064234E">
        <w:t>ection 1.1206(b) of the Commission’s rules.</w:t>
      </w:r>
      <w:r w:rsidRPr="0064234E">
        <w:rPr>
          <w:rStyle w:val="FootnoteReference"/>
        </w:rPr>
        <w:t xml:space="preserve"> </w:t>
      </w:r>
      <w:r w:rsidRPr="0064234E">
        <w:rPr>
          <w:rStyle w:val="FootnoteReference"/>
        </w:rPr>
        <w:footnoteReference w:id="68"/>
      </w:r>
      <w:r w:rsidRPr="0064234E">
        <w:t xml:space="preserve">  </w:t>
      </w:r>
    </w:p>
    <w:p w:rsidR="00031616" w:rsidRPr="0064234E" w:rsidRDefault="00577ED5" w:rsidP="0080184E">
      <w:pPr>
        <w:pStyle w:val="ParaNum0"/>
        <w:widowControl/>
        <w:rPr>
          <w:szCs w:val="22"/>
        </w:rPr>
      </w:pPr>
      <w:r w:rsidRPr="0064234E">
        <w:t xml:space="preserve">To request materials in accessible formats (Braille, large print, electronic files, audio format) for people with disabilities, send an e-mail to </w:t>
      </w:r>
      <w:hyperlink r:id="rId13" w:history="1">
        <w:r w:rsidR="002019E6" w:rsidRPr="0064234E">
          <w:rPr>
            <w:rStyle w:val="Hyperlink"/>
            <w:color w:val="auto"/>
          </w:rPr>
          <w:t>fcc504@fcc.gov</w:t>
        </w:r>
      </w:hyperlink>
      <w:r w:rsidRPr="0064234E">
        <w:t xml:space="preserve"> or call the Consumer and Government Affairs Bureau at (202) 418-0530 or (202) 418-0432 (TTY).</w:t>
      </w:r>
      <w:bookmarkStart w:id="752" w:name="_Toc150843268"/>
      <w:bookmarkStart w:id="753" w:name="_Toc150843335"/>
      <w:bookmarkStart w:id="754" w:name="_Toc150843532"/>
      <w:bookmarkStart w:id="755" w:name="_Toc150843645"/>
      <w:bookmarkStart w:id="756" w:name="_Toc150843720"/>
      <w:bookmarkStart w:id="757" w:name="_Toc150857315"/>
      <w:bookmarkStart w:id="758" w:name="_Toc151201058"/>
      <w:bookmarkStart w:id="759" w:name="_Toc153165408"/>
      <w:bookmarkStart w:id="760" w:name="_Toc153190419"/>
      <w:bookmarkStart w:id="761" w:name="_Toc190859730"/>
      <w:bookmarkStart w:id="762" w:name="_Toc190867607"/>
      <w:bookmarkStart w:id="763" w:name="_Toc191282400"/>
      <w:bookmarkStart w:id="764" w:name="_Toc191296807"/>
      <w:bookmarkStart w:id="765" w:name="_Toc203461509"/>
      <w:bookmarkStart w:id="766" w:name="_Toc214427404"/>
      <w:bookmarkStart w:id="767" w:name="_Toc252353648"/>
      <w:bookmarkStart w:id="768" w:name="_Toc252456337"/>
      <w:bookmarkStart w:id="769" w:name="_Toc252881335"/>
      <w:bookmarkStart w:id="770" w:name="_Toc266452594"/>
      <w:bookmarkStart w:id="771" w:name="_Toc267580123"/>
      <w:bookmarkStart w:id="772" w:name="_Toc268005368"/>
      <w:bookmarkStart w:id="773" w:name="_Toc268513872"/>
      <w:bookmarkStart w:id="774" w:name="_Toc271880885"/>
      <w:bookmarkStart w:id="775" w:name="_Toc272760387"/>
      <w:bookmarkStart w:id="776" w:name="_Toc303331700"/>
      <w:bookmarkStart w:id="777" w:name="_Toc334798951"/>
      <w:bookmarkStart w:id="778" w:name="_Toc346007160"/>
    </w:p>
    <w:p w:rsidR="00577ED5" w:rsidRPr="0064234E" w:rsidRDefault="00F9523A" w:rsidP="009C292E">
      <w:pPr>
        <w:pStyle w:val="Heading1"/>
        <w:widowControl/>
      </w:pPr>
      <w:bookmarkStart w:id="779" w:name="_Toc361667838"/>
      <w:bookmarkStart w:id="780" w:name="start_from_here"/>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CONTACTS</w:t>
      </w:r>
      <w:bookmarkEnd w:id="779"/>
      <w:bookmarkEnd w:id="780"/>
    </w:p>
    <w:p w:rsidR="00577ED5" w:rsidRPr="0064234E" w:rsidRDefault="00577ED5" w:rsidP="007B0488">
      <w:pPr>
        <w:pStyle w:val="ParaNum0"/>
        <w:widowControl/>
        <w:spacing w:after="240"/>
        <w:ind w:firstLine="540"/>
        <w:rPr>
          <w:szCs w:val="22"/>
        </w:rPr>
      </w:pPr>
      <w:r w:rsidRPr="0064234E">
        <w:t xml:space="preserve">For further information concerning this proceeding, contact the offices listed below: </w:t>
      </w:r>
    </w:p>
    <w:p w:rsidR="002E7F32" w:rsidRPr="0064234E" w:rsidRDefault="00017256" w:rsidP="007B0488">
      <w:pPr>
        <w:keepNext/>
        <w:keepLines/>
        <w:widowControl/>
        <w:tabs>
          <w:tab w:val="left" w:pos="1080"/>
        </w:tabs>
        <w:suppressAutoHyphens/>
        <w:rPr>
          <w:b/>
          <w:bCs/>
          <w:szCs w:val="22"/>
        </w:rPr>
      </w:pPr>
      <w:r w:rsidRPr="0064234E">
        <w:rPr>
          <w:b/>
          <w:bCs/>
          <w:szCs w:val="22"/>
        </w:rPr>
        <w:t>Broadband</w:t>
      </w:r>
      <w:r w:rsidR="002E7F32" w:rsidRPr="0064234E">
        <w:rPr>
          <w:b/>
          <w:bCs/>
          <w:szCs w:val="22"/>
        </w:rPr>
        <w:t xml:space="preserve"> Division, Wireless Telecommunications Bureau </w:t>
      </w:r>
    </w:p>
    <w:p w:rsidR="002E7F32" w:rsidRPr="0064234E" w:rsidRDefault="002E7F32" w:rsidP="007B0488">
      <w:pPr>
        <w:keepNext/>
        <w:keepLines/>
        <w:widowControl/>
        <w:tabs>
          <w:tab w:val="left" w:pos="1080"/>
        </w:tabs>
        <w:suppressAutoHyphens/>
        <w:rPr>
          <w:szCs w:val="22"/>
        </w:rPr>
      </w:pPr>
    </w:p>
    <w:p w:rsidR="002E7F32" w:rsidRPr="0064234E" w:rsidRDefault="002E7F32" w:rsidP="007B0488">
      <w:pPr>
        <w:widowControl/>
        <w:suppressAutoHyphens/>
        <w:ind w:left="4320" w:hanging="4320"/>
        <w:rPr>
          <w:szCs w:val="22"/>
        </w:rPr>
      </w:pPr>
      <w:r w:rsidRPr="0064234E">
        <w:rPr>
          <w:szCs w:val="22"/>
        </w:rPr>
        <w:t xml:space="preserve">For </w:t>
      </w:r>
      <w:r w:rsidR="00F87C05" w:rsidRPr="0064234E">
        <w:rPr>
          <w:szCs w:val="22"/>
        </w:rPr>
        <w:t>H Block</w:t>
      </w:r>
      <w:r w:rsidRPr="0064234E">
        <w:rPr>
          <w:szCs w:val="22"/>
        </w:rPr>
        <w:t xml:space="preserve"> service rule questions:</w:t>
      </w:r>
      <w:r w:rsidRPr="0064234E">
        <w:rPr>
          <w:szCs w:val="22"/>
        </w:rPr>
        <w:tab/>
      </w:r>
      <w:r w:rsidR="00FF36BB" w:rsidRPr="0064234E">
        <w:rPr>
          <w:szCs w:val="22"/>
        </w:rPr>
        <w:t>Matthew Pearl</w:t>
      </w:r>
      <w:r w:rsidRPr="0064234E">
        <w:rPr>
          <w:szCs w:val="22"/>
        </w:rPr>
        <w:t xml:space="preserve"> (legal) or </w:t>
      </w:r>
      <w:r w:rsidR="00FF36BB" w:rsidRPr="0064234E">
        <w:rPr>
          <w:szCs w:val="22"/>
        </w:rPr>
        <w:t>Janet Young</w:t>
      </w:r>
      <w:r w:rsidRPr="0064234E">
        <w:rPr>
          <w:szCs w:val="22"/>
        </w:rPr>
        <w:t xml:space="preserve"> (technical), at (202) 418-</w:t>
      </w:r>
      <w:r w:rsidR="001C78E5" w:rsidRPr="0064234E">
        <w:rPr>
          <w:szCs w:val="22"/>
        </w:rPr>
        <w:t>2487</w:t>
      </w:r>
    </w:p>
    <w:p w:rsidR="002E7F32" w:rsidRPr="0064234E" w:rsidRDefault="002E7F32" w:rsidP="007B0488">
      <w:pPr>
        <w:widowControl/>
        <w:tabs>
          <w:tab w:val="left" w:pos="1080"/>
        </w:tabs>
        <w:suppressAutoHyphens/>
        <w:ind w:left="2880" w:hanging="2880"/>
        <w:rPr>
          <w:szCs w:val="22"/>
        </w:rPr>
      </w:pPr>
    </w:p>
    <w:p w:rsidR="002E7F32" w:rsidRPr="0064234E" w:rsidRDefault="002E7F32" w:rsidP="007B0488">
      <w:pPr>
        <w:keepNext/>
        <w:keepLines/>
        <w:widowControl/>
        <w:tabs>
          <w:tab w:val="left" w:pos="1080"/>
        </w:tabs>
        <w:suppressAutoHyphens/>
        <w:rPr>
          <w:b/>
          <w:bCs/>
          <w:szCs w:val="22"/>
        </w:rPr>
      </w:pPr>
      <w:r w:rsidRPr="0064234E">
        <w:rPr>
          <w:b/>
          <w:bCs/>
          <w:szCs w:val="22"/>
        </w:rPr>
        <w:t>Auctions and Spectrum Access Division, Wireless Telecommunications Bureau</w:t>
      </w:r>
    </w:p>
    <w:p w:rsidR="002E7F32" w:rsidRPr="0064234E" w:rsidRDefault="002E7F32" w:rsidP="007B0488">
      <w:pPr>
        <w:keepNext/>
        <w:keepLines/>
        <w:widowControl/>
        <w:tabs>
          <w:tab w:val="left" w:pos="1080"/>
        </w:tabs>
        <w:suppressAutoHyphens/>
        <w:rPr>
          <w:b/>
          <w:bCs/>
          <w:szCs w:val="22"/>
        </w:rPr>
      </w:pPr>
    </w:p>
    <w:p w:rsidR="002E7F32" w:rsidRPr="0064234E" w:rsidRDefault="002E7F32" w:rsidP="000A6DC3">
      <w:pPr>
        <w:widowControl/>
        <w:suppressAutoHyphens/>
        <w:ind w:left="4320" w:hanging="4320"/>
        <w:rPr>
          <w:szCs w:val="22"/>
        </w:rPr>
      </w:pPr>
      <w:r w:rsidRPr="0064234E">
        <w:rPr>
          <w:szCs w:val="22"/>
        </w:rPr>
        <w:t>For general auctio</w:t>
      </w:r>
      <w:r w:rsidR="00017256" w:rsidRPr="0064234E">
        <w:rPr>
          <w:szCs w:val="22"/>
        </w:rPr>
        <w:t>n questions:</w:t>
      </w:r>
      <w:r w:rsidR="00017256" w:rsidRPr="0064234E">
        <w:rPr>
          <w:szCs w:val="22"/>
        </w:rPr>
        <w:tab/>
      </w:r>
      <w:r w:rsidR="00482B89" w:rsidRPr="0064234E">
        <w:rPr>
          <w:szCs w:val="22"/>
        </w:rPr>
        <w:t>Jeff Crooks</w:t>
      </w:r>
      <w:r w:rsidR="00017256" w:rsidRPr="0064234E">
        <w:rPr>
          <w:szCs w:val="22"/>
        </w:rPr>
        <w:t xml:space="preserve"> </w:t>
      </w:r>
      <w:r w:rsidR="006F10A1" w:rsidRPr="0064234E">
        <w:rPr>
          <w:szCs w:val="22"/>
        </w:rPr>
        <w:t xml:space="preserve">at (202) 418-0660 </w:t>
      </w:r>
      <w:r w:rsidR="00017256" w:rsidRPr="0064234E">
        <w:rPr>
          <w:szCs w:val="22"/>
        </w:rPr>
        <w:t>or Linda Sanderson</w:t>
      </w:r>
      <w:r w:rsidRPr="0064234E">
        <w:rPr>
          <w:szCs w:val="22"/>
        </w:rPr>
        <w:t xml:space="preserve"> at (717) 338-2868</w:t>
      </w:r>
    </w:p>
    <w:p w:rsidR="006F10A1" w:rsidRPr="0064234E" w:rsidRDefault="006F10A1" w:rsidP="007B0488">
      <w:pPr>
        <w:widowControl/>
        <w:suppressAutoHyphens/>
        <w:ind w:left="2880" w:hanging="2880"/>
        <w:rPr>
          <w:szCs w:val="22"/>
        </w:rPr>
      </w:pPr>
    </w:p>
    <w:p w:rsidR="00577ED5" w:rsidRPr="0064234E" w:rsidRDefault="002E7F32" w:rsidP="000A6DC3">
      <w:pPr>
        <w:widowControl/>
        <w:suppressAutoHyphens/>
        <w:ind w:left="4320" w:hanging="4320"/>
        <w:rPr>
          <w:szCs w:val="22"/>
        </w:rPr>
      </w:pPr>
      <w:r w:rsidRPr="0064234E">
        <w:rPr>
          <w:szCs w:val="22"/>
        </w:rPr>
        <w:t xml:space="preserve">For auctions </w:t>
      </w:r>
      <w:r w:rsidR="000A6DC3">
        <w:rPr>
          <w:szCs w:val="22"/>
        </w:rPr>
        <w:t>legal questions:</w:t>
      </w:r>
      <w:r w:rsidR="00EA03CB" w:rsidRPr="0064234E">
        <w:rPr>
          <w:szCs w:val="22"/>
        </w:rPr>
        <w:tab/>
      </w:r>
      <w:r w:rsidR="00017256" w:rsidRPr="0064234E">
        <w:rPr>
          <w:szCs w:val="22"/>
        </w:rPr>
        <w:t>Valerie Barrish</w:t>
      </w:r>
      <w:r w:rsidRPr="0064234E">
        <w:rPr>
          <w:szCs w:val="22"/>
        </w:rPr>
        <w:t xml:space="preserve"> at (202) 418-0660</w:t>
      </w:r>
      <w:r w:rsidR="00577ED5" w:rsidRPr="0064234E">
        <w:rPr>
          <w:szCs w:val="22"/>
        </w:rPr>
        <w:t xml:space="preserve"> </w:t>
      </w:r>
    </w:p>
    <w:p w:rsidR="00577ED5" w:rsidRPr="0064234E" w:rsidRDefault="00577ED5" w:rsidP="007B0488">
      <w:pPr>
        <w:widowControl/>
        <w:suppressAutoHyphens/>
        <w:ind w:left="2880" w:hanging="2880"/>
        <w:rPr>
          <w:szCs w:val="22"/>
        </w:rPr>
      </w:pPr>
    </w:p>
    <w:p w:rsidR="00577ED5" w:rsidRPr="0064234E" w:rsidRDefault="00577ED5" w:rsidP="007B0488">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rsidR="00577ED5" w:rsidRPr="0064234E" w:rsidRDefault="00577ED5" w:rsidP="007B0488">
      <w:pPr>
        <w:keepNext/>
        <w:widowControl/>
        <w:suppressAutoHyphens/>
        <w:ind w:left="2880" w:hanging="2880"/>
        <w:rPr>
          <w:szCs w:val="22"/>
        </w:rPr>
      </w:pPr>
    </w:p>
    <w:p w:rsidR="00FB6351" w:rsidRPr="0064234E" w:rsidRDefault="00577ED5" w:rsidP="003066E4">
      <w:pPr>
        <w:widowControl/>
        <w:suppressAutoHyphens/>
        <w:ind w:left="2880" w:hanging="2880"/>
        <w:rPr>
          <w:szCs w:val="22"/>
        </w:rPr>
      </w:pPr>
      <w:r w:rsidRPr="0064234E">
        <w:rPr>
          <w:szCs w:val="22"/>
        </w:rPr>
        <w:t>For questions concerning small business inquiries:</w:t>
      </w:r>
      <w:r w:rsidRPr="0064234E">
        <w:rPr>
          <w:szCs w:val="22"/>
        </w:rPr>
        <w:tab/>
        <w:t>(202) 418-0990</w:t>
      </w:r>
    </w:p>
    <w:p w:rsidR="00FB6351" w:rsidRPr="0064234E" w:rsidRDefault="00FB6351" w:rsidP="003066E4">
      <w:pPr>
        <w:widowControl/>
        <w:suppressAutoHyphens/>
        <w:ind w:left="2880" w:hanging="2880"/>
        <w:rPr>
          <w:szCs w:val="22"/>
        </w:rPr>
      </w:pPr>
    </w:p>
    <w:p w:rsidR="00D51409" w:rsidRDefault="00577ED5" w:rsidP="00F7012C">
      <w:pPr>
        <w:widowControl/>
        <w:suppressAutoHyphens/>
        <w:jc w:val="center"/>
        <w:rPr>
          <w:b/>
        </w:rPr>
      </w:pPr>
      <w:r w:rsidRPr="0064234E">
        <w:rPr>
          <w:b/>
        </w:rPr>
        <w:t xml:space="preserve">- FCC </w:t>
      </w:r>
      <w:r w:rsidR="00CB700E" w:rsidRPr="0064234E">
        <w:rPr>
          <w:b/>
        </w:rPr>
        <w:t>-</w:t>
      </w:r>
    </w:p>
    <w:p w:rsidR="008B06AA" w:rsidRDefault="008B06AA">
      <w:pPr>
        <w:widowControl/>
        <w:rPr>
          <w:b/>
        </w:rPr>
      </w:pPr>
      <w:r>
        <w:rPr>
          <w:b/>
        </w:rPr>
        <w:br w:type="page"/>
      </w:r>
    </w:p>
    <w:p w:rsidR="008B06AA" w:rsidRDefault="008B06AA" w:rsidP="008B06AA">
      <w:pPr>
        <w:widowControl/>
        <w:suppressAutoHyphens/>
        <w:rPr>
          <w:b/>
        </w:rPr>
        <w:sectPr w:rsidR="008B06AA" w:rsidSect="0019727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008" w:left="1440" w:header="720" w:footer="504" w:gutter="0"/>
          <w:pgNumType w:start="1"/>
          <w:cols w:space="720"/>
          <w:vAlign w:val="center"/>
          <w:noEndnote/>
          <w:titlePg/>
          <w:docGrid w:linePitch="299"/>
        </w:sectPr>
      </w:pPr>
    </w:p>
    <w:p w:rsidR="005A7B05" w:rsidRPr="0064234E" w:rsidRDefault="00F9523A" w:rsidP="0032023D">
      <w:pPr>
        <w:pStyle w:val="Heading1"/>
        <w:widowControl/>
        <w:numPr>
          <w:ilvl w:val="0"/>
          <w:numId w:val="0"/>
        </w:numPr>
        <w:spacing w:after="0"/>
        <w:jc w:val="center"/>
      </w:pPr>
      <w:bookmarkStart w:id="783" w:name="_Toc361667839"/>
      <w:r>
        <w:t>ATTACHMENT A</w:t>
      </w:r>
      <w:bookmarkEnd w:id="783"/>
    </w:p>
    <w:p w:rsidR="005A7B05" w:rsidRDefault="005A7B05" w:rsidP="0032023D">
      <w:pPr>
        <w:widowControl/>
        <w:suppressAutoHyphens/>
        <w:rPr>
          <w:b/>
        </w:rPr>
      </w:pPr>
    </w:p>
    <w:p w:rsidR="005A7B05" w:rsidRPr="0032023D" w:rsidRDefault="00EE52F3" w:rsidP="005A7B05">
      <w:pPr>
        <w:widowControl/>
        <w:suppressAutoHyphens/>
        <w:jc w:val="center"/>
        <w:rPr>
          <w:b/>
        </w:rPr>
      </w:pPr>
      <w:r w:rsidRPr="001D1C06">
        <w:rPr>
          <w:b/>
          <w:szCs w:val="22"/>
        </w:rPr>
        <w:t>Licenses to Be Auctioned</w:t>
      </w:r>
    </w:p>
    <w:p w:rsidR="005A7B05" w:rsidRDefault="005A7B05" w:rsidP="0032023D"/>
    <w:p w:rsidR="00EE52F3" w:rsidRDefault="00EE52F3" w:rsidP="0032023D"/>
    <w:p w:rsidR="005A7B05" w:rsidRDefault="005A7B05" w:rsidP="0032023D">
      <w:r>
        <w:t xml:space="preserve">This page </w:t>
      </w:r>
      <w:r w:rsidRPr="005A7B05">
        <w:t>was intentionally inserted as a placeholder for Attachment A, which is available as a separate file</w:t>
      </w:r>
      <w:r>
        <w:t>.</w:t>
      </w:r>
    </w:p>
    <w:p w:rsidR="005828D0" w:rsidRDefault="005828D0" w:rsidP="0032023D"/>
    <w:p w:rsidR="005828D0" w:rsidRDefault="005828D0">
      <w:pPr>
        <w:widowControl/>
        <w:rPr>
          <w:b/>
        </w:rPr>
        <w:sectPr w:rsidR="005828D0" w:rsidSect="005A7B05">
          <w:headerReference w:type="default" r:id="rId20"/>
          <w:footerReference w:type="default" r:id="rId21"/>
          <w:headerReference w:type="first" r:id="rId22"/>
          <w:endnotePr>
            <w:numFmt w:val="decimal"/>
          </w:endnotePr>
          <w:pgSz w:w="12240" w:h="15840" w:code="1"/>
          <w:pgMar w:top="1440" w:right="1440" w:bottom="1008" w:left="1440" w:header="720" w:footer="504" w:gutter="0"/>
          <w:pgNumType w:start="1"/>
          <w:cols w:space="720"/>
          <w:noEndnote/>
          <w:docGrid w:linePitch="299"/>
        </w:sectPr>
      </w:pPr>
    </w:p>
    <w:p w:rsidR="005A7B05" w:rsidRPr="0064234E" w:rsidRDefault="00F9523A" w:rsidP="0032023D">
      <w:pPr>
        <w:pStyle w:val="Heading1"/>
        <w:widowControl/>
        <w:numPr>
          <w:ilvl w:val="0"/>
          <w:numId w:val="0"/>
        </w:numPr>
        <w:spacing w:after="0"/>
        <w:jc w:val="center"/>
      </w:pPr>
      <w:bookmarkStart w:id="784" w:name="_Toc361667840"/>
      <w:r>
        <w:t>ATTACHMENT</w:t>
      </w:r>
      <w:r w:rsidR="005A7B05">
        <w:t xml:space="preserve"> B</w:t>
      </w:r>
      <w:bookmarkEnd w:id="784"/>
    </w:p>
    <w:p w:rsidR="005A7B05" w:rsidRPr="0032023D" w:rsidRDefault="005A7B05" w:rsidP="0032023D">
      <w:pPr>
        <w:widowControl/>
        <w:suppressAutoHyphens/>
      </w:pPr>
    </w:p>
    <w:p w:rsidR="005A7B05" w:rsidRDefault="005A7B05" w:rsidP="00710449">
      <w:pPr>
        <w:widowControl/>
        <w:suppressAutoHyphens/>
        <w:jc w:val="center"/>
      </w:pPr>
      <w:r w:rsidRPr="00CA6286">
        <w:rPr>
          <w:b/>
          <w:szCs w:val="22"/>
        </w:rPr>
        <w:t>Determining Provisionally Winning Bids and Current Price Estimates</w:t>
      </w:r>
    </w:p>
    <w:p w:rsidR="005A7B05" w:rsidRDefault="005A7B05" w:rsidP="00710449">
      <w:pPr>
        <w:widowControl/>
        <w:suppressAutoHyphens/>
      </w:pPr>
    </w:p>
    <w:p w:rsidR="00710449" w:rsidRPr="00CA6286" w:rsidRDefault="00710449" w:rsidP="00710449">
      <w:pPr>
        <w:pStyle w:val="ParaNum0"/>
        <w:widowControl/>
        <w:numPr>
          <w:ilvl w:val="0"/>
          <w:numId w:val="0"/>
        </w:numPr>
      </w:pPr>
      <w:r w:rsidRPr="00CA6286">
        <w:rPr>
          <w:szCs w:val="22"/>
        </w:rPr>
        <w:t xml:space="preserve">The licenses subject to package bidding in a Hierarchical Package Bidding auction are grouped into non-overlapping, successively larger packages at each level.  This attachment </w:t>
      </w:r>
      <w:r>
        <w:rPr>
          <w:szCs w:val="22"/>
        </w:rPr>
        <w:t xml:space="preserve">discusses a two-tier </w:t>
      </w:r>
      <w:r w:rsidRPr="00CA6286">
        <w:rPr>
          <w:szCs w:val="22"/>
        </w:rPr>
        <w:t>HPB structure</w:t>
      </w:r>
      <w:r>
        <w:rPr>
          <w:szCs w:val="22"/>
        </w:rPr>
        <w:t xml:space="preserve">, which is one of the options </w:t>
      </w:r>
      <w:r w:rsidRPr="00CA6286">
        <w:rPr>
          <w:szCs w:val="22"/>
        </w:rPr>
        <w:t xml:space="preserve">for Auction </w:t>
      </w:r>
      <w:r>
        <w:rPr>
          <w:szCs w:val="22"/>
        </w:rPr>
        <w:t>9</w:t>
      </w:r>
      <w:r w:rsidRPr="00CA6286">
        <w:rPr>
          <w:szCs w:val="22"/>
        </w:rPr>
        <w:t xml:space="preserve">6.  </w:t>
      </w:r>
      <w:r>
        <w:rPr>
          <w:szCs w:val="22"/>
        </w:rPr>
        <w:t xml:space="preserve">In this example, the </w:t>
      </w:r>
      <w:r w:rsidRPr="00001296">
        <w:rPr>
          <w:szCs w:val="22"/>
        </w:rPr>
        <w:t>hierarchical structure has two levels, consisting of 176 individual Economic Area (EA) licenses in the first tier and 52 packages in the second tier.  These packages consist of EAs aggregated into</w:t>
      </w:r>
      <w:r>
        <w:rPr>
          <w:szCs w:val="22"/>
        </w:rPr>
        <w:t xml:space="preserve"> Major Economic Areas (MEAs).  </w:t>
      </w:r>
      <w:r w:rsidRPr="00CA6286">
        <w:rPr>
          <w:szCs w:val="22"/>
        </w:rPr>
        <w:t>After each round, all considered bids and minimum opening bids are used to determine the largest bid on each license and on each package.</w:t>
      </w:r>
      <w:r w:rsidRPr="00CA6286">
        <w:rPr>
          <w:rStyle w:val="FootnoteReference"/>
          <w:szCs w:val="22"/>
        </w:rPr>
        <w:footnoteReference w:id="69"/>
      </w:r>
      <w:r w:rsidRPr="00CA6286">
        <w:rPr>
          <w:szCs w:val="22"/>
        </w:rPr>
        <w:t xml:space="preserve">  A simple procedure is used to calculate the provisionally winning set of bids and a current price estimate (“CPE”) for each individual license.</w:t>
      </w:r>
      <w:r w:rsidRPr="00CA6286">
        <w:rPr>
          <w:rStyle w:val="FootnoteReference"/>
          <w:szCs w:val="22"/>
        </w:rPr>
        <w:footnoteReference w:id="70"/>
      </w:r>
      <w:r w:rsidRPr="00CA6286">
        <w:rPr>
          <w:szCs w:val="22"/>
        </w:rPr>
        <w:t xml:space="preserve">  This appendix describes the winner determination and pricing rules, first in terms of an example and then in more general terms.  </w:t>
      </w:r>
    </w:p>
    <w:p w:rsidR="00710449" w:rsidRPr="00CA6286" w:rsidRDefault="00710449" w:rsidP="00710449">
      <w:pPr>
        <w:pStyle w:val="ParaNum0"/>
        <w:keepNext/>
        <w:widowControl/>
        <w:numPr>
          <w:ilvl w:val="0"/>
          <w:numId w:val="0"/>
        </w:numPr>
        <w:rPr>
          <w:rFonts w:ascii="Times New Roman Bold" w:hAnsi="Times New Roman Bold"/>
          <w:b/>
          <w:szCs w:val="22"/>
          <w:u w:val="single"/>
        </w:rPr>
      </w:pPr>
      <w:r w:rsidRPr="00CA6286">
        <w:rPr>
          <w:rFonts w:ascii="Times New Roman Bold" w:hAnsi="Times New Roman Bold"/>
          <w:b/>
          <w:szCs w:val="22"/>
          <w:u w:val="single"/>
        </w:rPr>
        <w:t>Determining Provisionally Winning Bids</w:t>
      </w:r>
    </w:p>
    <w:p w:rsidR="00710449" w:rsidRPr="00CA6286" w:rsidRDefault="00710449" w:rsidP="00710449">
      <w:pPr>
        <w:pStyle w:val="ParaNum0"/>
        <w:widowControl/>
        <w:numPr>
          <w:ilvl w:val="0"/>
          <w:numId w:val="0"/>
        </w:numPr>
        <w:rPr>
          <w:szCs w:val="22"/>
        </w:rPr>
      </w:pPr>
      <w:r w:rsidRPr="00CA6286">
        <w:t xml:space="preserve">After each round of bidding, the FCC Auction System determines which combination of bids provides the greatest aggregate gross amount and are therefore provisionally winning.  </w:t>
      </w:r>
      <w:r w:rsidRPr="00CA6286">
        <w:rPr>
          <w:szCs w:val="22"/>
        </w:rPr>
        <w:t>In order to determine the best combination of bids, the system takes the highest bid on each individual license.  It then compares the sum of the high bids on individual licenses in a package with the highest package bid</w:t>
      </w:r>
      <w:r>
        <w:rPr>
          <w:szCs w:val="22"/>
        </w:rPr>
        <w:t xml:space="preserve"> at each tier</w:t>
      </w:r>
      <w:r w:rsidRPr="00CA6286">
        <w:rPr>
          <w:szCs w:val="22"/>
        </w:rPr>
        <w:t xml:space="preserve"> to determine provisionally winning bid(s).  </w:t>
      </w:r>
    </w:p>
    <w:p w:rsidR="00710449" w:rsidRDefault="00710449" w:rsidP="00710449">
      <w:pPr>
        <w:pStyle w:val="ParaNum0"/>
        <w:widowControl/>
        <w:numPr>
          <w:ilvl w:val="0"/>
          <w:numId w:val="0"/>
        </w:numPr>
        <w:rPr>
          <w:szCs w:val="22"/>
        </w:rPr>
      </w:pPr>
      <w:r w:rsidRPr="00CA6286">
        <w:rPr>
          <w:i/>
          <w:szCs w:val="22"/>
        </w:rPr>
        <w:t>Example</w:t>
      </w:r>
      <w:r w:rsidRPr="00CA6286">
        <w:rPr>
          <w:szCs w:val="22"/>
        </w:rPr>
        <w:t xml:space="preserve">:  Suppose that the highest bids on each license and package are as shown in Table </w:t>
      </w:r>
      <w:r>
        <w:rPr>
          <w:szCs w:val="22"/>
        </w:rPr>
        <w:t>1</w:t>
      </w:r>
      <w:r w:rsidRPr="00CA6286">
        <w:rPr>
          <w:szCs w:val="22"/>
        </w:rPr>
        <w:t xml:space="preserve"> below</w:t>
      </w:r>
      <w:r>
        <w:rPr>
          <w:szCs w:val="22"/>
        </w:rPr>
        <w:t xml:space="preserve"> for a sample configuration of EAs and MEAs</w:t>
      </w:r>
      <w:r w:rsidRPr="00CA6286">
        <w:rPr>
          <w:szCs w:val="22"/>
        </w:rPr>
        <w:t xml:space="preserve">.  The sum of the highest bids on EA licenses </w:t>
      </w:r>
      <w:r>
        <w:rPr>
          <w:szCs w:val="22"/>
        </w:rPr>
        <w:t>EA</w:t>
      </w:r>
      <w:r w:rsidRPr="00CA6286">
        <w:rPr>
          <w:szCs w:val="22"/>
        </w:rPr>
        <w:t>1-</w:t>
      </w:r>
      <w:r>
        <w:rPr>
          <w:szCs w:val="22"/>
        </w:rPr>
        <w:t>EA3, 30</w:t>
      </w:r>
      <w:r w:rsidRPr="00CA6286">
        <w:rPr>
          <w:szCs w:val="22"/>
        </w:rPr>
        <w:t xml:space="preserve">, exceeds </w:t>
      </w:r>
      <w:r>
        <w:rPr>
          <w:szCs w:val="22"/>
        </w:rPr>
        <w:t xml:space="preserve">the highest bid on the MEA1 package, 20.  The </w:t>
      </w:r>
      <w:r w:rsidRPr="00CA6286">
        <w:rPr>
          <w:szCs w:val="22"/>
        </w:rPr>
        <w:t xml:space="preserve">highest bid on the </w:t>
      </w:r>
      <w:r>
        <w:rPr>
          <w:szCs w:val="22"/>
        </w:rPr>
        <w:t xml:space="preserve">MEA2 package, 32, exceeds the sum of the highest bids on </w:t>
      </w:r>
      <w:r w:rsidRPr="00CA6286">
        <w:rPr>
          <w:szCs w:val="22"/>
        </w:rPr>
        <w:t>EA</w:t>
      </w:r>
      <w:r>
        <w:rPr>
          <w:szCs w:val="22"/>
        </w:rPr>
        <w:t xml:space="preserve"> licenses EA4 and EA5</w:t>
      </w:r>
      <w:r w:rsidRPr="00CA6286">
        <w:rPr>
          <w:szCs w:val="22"/>
        </w:rPr>
        <w:t>, 20</w:t>
      </w:r>
      <w:r>
        <w:rPr>
          <w:szCs w:val="22"/>
        </w:rPr>
        <w:t>.</w:t>
      </w:r>
      <w:r w:rsidRPr="00CA6286">
        <w:rPr>
          <w:szCs w:val="22"/>
        </w:rPr>
        <w:t xml:space="preserve">  Thus, the provisionally winning bids would be the bids on the individual</w:t>
      </w:r>
      <w:r>
        <w:rPr>
          <w:szCs w:val="22"/>
        </w:rPr>
        <w:t xml:space="preserve"> EA</w:t>
      </w:r>
      <w:r w:rsidRPr="00CA6286">
        <w:rPr>
          <w:szCs w:val="22"/>
        </w:rPr>
        <w:t xml:space="preserve"> licenses</w:t>
      </w:r>
      <w:r>
        <w:rPr>
          <w:szCs w:val="22"/>
        </w:rPr>
        <w:t xml:space="preserve"> EA1-EA3, and the package bid on MEA2</w:t>
      </w:r>
      <w:r w:rsidRPr="00CA6286">
        <w:rPr>
          <w:szCs w:val="22"/>
        </w:rPr>
        <w:t xml:space="preserve">.  </w:t>
      </w:r>
    </w:p>
    <w:p w:rsidR="00710449" w:rsidRPr="00CA6286" w:rsidRDefault="00710449" w:rsidP="00710449">
      <w:pPr>
        <w:pStyle w:val="ParaNum0"/>
        <w:widowControl/>
        <w:numPr>
          <w:ilvl w:val="0"/>
          <w:numId w:val="0"/>
        </w:numPr>
        <w:rPr>
          <w:szCs w:val="22"/>
        </w:rPr>
      </w:pPr>
    </w:p>
    <w:p w:rsidR="00710449" w:rsidRDefault="00710449" w:rsidP="00710449">
      <w:pPr>
        <w:pStyle w:val="ParaNum0"/>
        <w:keepNext/>
        <w:keepLines/>
        <w:widowControl/>
        <w:numPr>
          <w:ilvl w:val="0"/>
          <w:numId w:val="0"/>
        </w:numPr>
        <w:spacing w:after="0"/>
        <w:jc w:val="center"/>
        <w:rPr>
          <w:b/>
          <w:szCs w:val="22"/>
        </w:rPr>
      </w:pPr>
      <w:r>
        <w:rPr>
          <w:b/>
          <w:szCs w:val="22"/>
        </w:rPr>
        <w:t xml:space="preserve">Example </w:t>
      </w:r>
      <w:r w:rsidRPr="00CA6286">
        <w:rPr>
          <w:b/>
          <w:szCs w:val="22"/>
        </w:rPr>
        <w:t>with High Bids in Parentheses</w:t>
      </w:r>
    </w:p>
    <w:p w:rsidR="00710449" w:rsidRDefault="00710449" w:rsidP="00710449">
      <w:pPr>
        <w:pStyle w:val="ParaNum0"/>
        <w:keepNext/>
        <w:keepLines/>
        <w:widowControl/>
        <w:numPr>
          <w:ilvl w:val="0"/>
          <w:numId w:val="0"/>
        </w:numPr>
        <w:spacing w:after="0"/>
        <w:jc w:val="center"/>
        <w:rPr>
          <w:b/>
          <w:szCs w:val="22"/>
        </w:rPr>
      </w:pPr>
    </w:p>
    <w:tbl>
      <w:tblPr>
        <w:tblStyle w:val="TableGrid"/>
        <w:tblW w:w="0" w:type="auto"/>
        <w:jc w:val="center"/>
        <w:tblLook w:val="04A0" w:firstRow="1" w:lastRow="0" w:firstColumn="1" w:lastColumn="0" w:noHBand="0" w:noVBand="1"/>
      </w:tblPr>
      <w:tblGrid>
        <w:gridCol w:w="1376"/>
        <w:gridCol w:w="1376"/>
        <w:gridCol w:w="1376"/>
        <w:gridCol w:w="1376"/>
        <w:gridCol w:w="1376"/>
        <w:gridCol w:w="1376"/>
      </w:tblGrid>
      <w:tr w:rsidR="00710449" w:rsidTr="002F6946">
        <w:trPr>
          <w:trHeight w:val="816"/>
          <w:jc w:val="center"/>
        </w:trPr>
        <w:tc>
          <w:tcPr>
            <w:tcW w:w="1376" w:type="dxa"/>
            <w:vAlign w:val="center"/>
          </w:tcPr>
          <w:p w:rsidR="00710449" w:rsidRDefault="00710449" w:rsidP="00710449">
            <w:pPr>
              <w:pStyle w:val="ParaNum0"/>
              <w:keepNext/>
              <w:keepLines/>
              <w:widowControl/>
              <w:numPr>
                <w:ilvl w:val="0"/>
                <w:numId w:val="0"/>
              </w:numPr>
              <w:spacing w:after="0"/>
              <w:jc w:val="center"/>
              <w:rPr>
                <w:b/>
                <w:szCs w:val="22"/>
              </w:rPr>
            </w:pPr>
            <w:r>
              <w:rPr>
                <w:b/>
                <w:szCs w:val="22"/>
              </w:rPr>
              <w:t>Tier 2:</w:t>
            </w:r>
          </w:p>
          <w:p w:rsidR="00710449" w:rsidRDefault="00710449" w:rsidP="00710449">
            <w:pPr>
              <w:pStyle w:val="ParaNum0"/>
              <w:keepNext/>
              <w:keepLines/>
              <w:widowControl/>
              <w:numPr>
                <w:ilvl w:val="0"/>
                <w:numId w:val="0"/>
              </w:numPr>
              <w:spacing w:after="0"/>
              <w:jc w:val="center"/>
              <w:rPr>
                <w:b/>
                <w:szCs w:val="22"/>
              </w:rPr>
            </w:pPr>
            <w:r>
              <w:rPr>
                <w:b/>
                <w:szCs w:val="22"/>
              </w:rPr>
              <w:t>Packages</w:t>
            </w:r>
          </w:p>
        </w:tc>
        <w:tc>
          <w:tcPr>
            <w:tcW w:w="4127" w:type="dxa"/>
            <w:gridSpan w:val="3"/>
            <w:vAlign w:val="center"/>
          </w:tcPr>
          <w:p w:rsidR="00710449" w:rsidRDefault="00710449" w:rsidP="00710449">
            <w:pPr>
              <w:pStyle w:val="ParaNum0"/>
              <w:keepNext/>
              <w:keepLines/>
              <w:widowControl/>
              <w:numPr>
                <w:ilvl w:val="0"/>
                <w:numId w:val="0"/>
              </w:numPr>
              <w:spacing w:after="0"/>
              <w:jc w:val="center"/>
              <w:rPr>
                <w:b/>
                <w:szCs w:val="22"/>
              </w:rPr>
            </w:pPr>
            <w:r>
              <w:rPr>
                <w:b/>
                <w:szCs w:val="22"/>
              </w:rPr>
              <w:t>MEA1</w:t>
            </w:r>
          </w:p>
          <w:p w:rsidR="00710449" w:rsidRDefault="00710449" w:rsidP="00710449">
            <w:pPr>
              <w:pStyle w:val="ParaNum0"/>
              <w:keepNext/>
              <w:keepLines/>
              <w:widowControl/>
              <w:numPr>
                <w:ilvl w:val="0"/>
                <w:numId w:val="0"/>
              </w:numPr>
              <w:spacing w:after="0"/>
              <w:jc w:val="center"/>
              <w:rPr>
                <w:b/>
                <w:szCs w:val="22"/>
              </w:rPr>
            </w:pPr>
            <w:r>
              <w:rPr>
                <w:b/>
                <w:szCs w:val="22"/>
              </w:rPr>
              <w:t>(20)</w:t>
            </w:r>
          </w:p>
        </w:tc>
        <w:tc>
          <w:tcPr>
            <w:tcW w:w="2751" w:type="dxa"/>
            <w:gridSpan w:val="2"/>
            <w:vAlign w:val="center"/>
          </w:tcPr>
          <w:p w:rsidR="00710449" w:rsidRDefault="00710449" w:rsidP="00710449">
            <w:pPr>
              <w:pStyle w:val="ParaNum0"/>
              <w:keepNext/>
              <w:keepLines/>
              <w:widowControl/>
              <w:numPr>
                <w:ilvl w:val="0"/>
                <w:numId w:val="0"/>
              </w:numPr>
              <w:spacing w:after="0"/>
              <w:jc w:val="center"/>
              <w:rPr>
                <w:b/>
                <w:szCs w:val="22"/>
              </w:rPr>
            </w:pPr>
            <w:r>
              <w:rPr>
                <w:b/>
                <w:szCs w:val="22"/>
              </w:rPr>
              <w:t>MEA2</w:t>
            </w:r>
          </w:p>
          <w:p w:rsidR="00710449" w:rsidRDefault="00710449" w:rsidP="00710449">
            <w:pPr>
              <w:pStyle w:val="ParaNum0"/>
              <w:keepNext/>
              <w:keepLines/>
              <w:widowControl/>
              <w:numPr>
                <w:ilvl w:val="0"/>
                <w:numId w:val="0"/>
              </w:numPr>
              <w:spacing w:after="0"/>
              <w:jc w:val="center"/>
              <w:rPr>
                <w:b/>
                <w:szCs w:val="22"/>
              </w:rPr>
            </w:pPr>
            <w:r>
              <w:rPr>
                <w:b/>
                <w:szCs w:val="22"/>
              </w:rPr>
              <w:t>(32)</w:t>
            </w:r>
          </w:p>
        </w:tc>
      </w:tr>
      <w:tr w:rsidR="00710449" w:rsidTr="002F6946">
        <w:trPr>
          <w:trHeight w:val="832"/>
          <w:jc w:val="center"/>
        </w:trPr>
        <w:tc>
          <w:tcPr>
            <w:tcW w:w="1376" w:type="dxa"/>
            <w:vAlign w:val="center"/>
          </w:tcPr>
          <w:p w:rsidR="00710449" w:rsidRDefault="00710449" w:rsidP="00710449">
            <w:pPr>
              <w:pStyle w:val="ParaNum0"/>
              <w:keepNext/>
              <w:keepLines/>
              <w:widowControl/>
              <w:numPr>
                <w:ilvl w:val="0"/>
                <w:numId w:val="0"/>
              </w:numPr>
              <w:spacing w:after="0"/>
              <w:jc w:val="center"/>
              <w:rPr>
                <w:b/>
                <w:szCs w:val="22"/>
              </w:rPr>
            </w:pPr>
            <w:r>
              <w:rPr>
                <w:b/>
                <w:szCs w:val="22"/>
              </w:rPr>
              <w:t>Tier 1:</w:t>
            </w:r>
          </w:p>
          <w:p w:rsidR="00710449" w:rsidRDefault="00710449" w:rsidP="00710449">
            <w:pPr>
              <w:pStyle w:val="ParaNum0"/>
              <w:keepNext/>
              <w:keepLines/>
              <w:widowControl/>
              <w:numPr>
                <w:ilvl w:val="0"/>
                <w:numId w:val="0"/>
              </w:numPr>
              <w:spacing w:after="0"/>
              <w:jc w:val="center"/>
              <w:rPr>
                <w:b/>
                <w:szCs w:val="22"/>
              </w:rPr>
            </w:pPr>
            <w:r>
              <w:rPr>
                <w:b/>
                <w:szCs w:val="22"/>
              </w:rPr>
              <w:t>EAs</w:t>
            </w:r>
          </w:p>
        </w:tc>
        <w:tc>
          <w:tcPr>
            <w:tcW w:w="1376" w:type="dxa"/>
            <w:vAlign w:val="center"/>
          </w:tcPr>
          <w:p w:rsidR="00710449" w:rsidRDefault="00710449" w:rsidP="00710449">
            <w:pPr>
              <w:pStyle w:val="ParaNum0"/>
              <w:keepNext/>
              <w:keepLines/>
              <w:widowControl/>
              <w:numPr>
                <w:ilvl w:val="0"/>
                <w:numId w:val="0"/>
              </w:numPr>
              <w:spacing w:after="0"/>
              <w:jc w:val="center"/>
              <w:rPr>
                <w:b/>
                <w:szCs w:val="22"/>
              </w:rPr>
            </w:pPr>
            <w:r>
              <w:rPr>
                <w:b/>
                <w:szCs w:val="22"/>
              </w:rPr>
              <w:t>EA1</w:t>
            </w:r>
          </w:p>
          <w:p w:rsidR="00710449" w:rsidRDefault="00710449" w:rsidP="00710449">
            <w:pPr>
              <w:pStyle w:val="ParaNum0"/>
              <w:keepNext/>
              <w:keepLines/>
              <w:widowControl/>
              <w:numPr>
                <w:ilvl w:val="0"/>
                <w:numId w:val="0"/>
              </w:numPr>
              <w:spacing w:after="0"/>
              <w:jc w:val="center"/>
              <w:rPr>
                <w:b/>
                <w:szCs w:val="22"/>
              </w:rPr>
            </w:pPr>
            <w:r>
              <w:rPr>
                <w:b/>
                <w:szCs w:val="22"/>
              </w:rPr>
              <w:t>(10)</w:t>
            </w:r>
          </w:p>
        </w:tc>
        <w:tc>
          <w:tcPr>
            <w:tcW w:w="1376" w:type="dxa"/>
            <w:vAlign w:val="center"/>
          </w:tcPr>
          <w:p w:rsidR="00710449" w:rsidRDefault="00710449" w:rsidP="00710449">
            <w:pPr>
              <w:pStyle w:val="ParaNum0"/>
              <w:keepNext/>
              <w:keepLines/>
              <w:widowControl/>
              <w:numPr>
                <w:ilvl w:val="0"/>
                <w:numId w:val="0"/>
              </w:numPr>
              <w:spacing w:after="0"/>
              <w:jc w:val="center"/>
              <w:rPr>
                <w:b/>
                <w:szCs w:val="22"/>
              </w:rPr>
            </w:pPr>
            <w:r>
              <w:rPr>
                <w:b/>
                <w:szCs w:val="22"/>
              </w:rPr>
              <w:t>EA2</w:t>
            </w:r>
          </w:p>
          <w:p w:rsidR="00710449" w:rsidRDefault="00710449" w:rsidP="00710449">
            <w:pPr>
              <w:pStyle w:val="ParaNum0"/>
              <w:keepNext/>
              <w:keepLines/>
              <w:widowControl/>
              <w:numPr>
                <w:ilvl w:val="0"/>
                <w:numId w:val="0"/>
              </w:numPr>
              <w:spacing w:after="0"/>
              <w:jc w:val="center"/>
              <w:rPr>
                <w:b/>
                <w:szCs w:val="22"/>
              </w:rPr>
            </w:pPr>
            <w:r>
              <w:rPr>
                <w:b/>
                <w:szCs w:val="22"/>
              </w:rPr>
              <w:t>(10)</w:t>
            </w:r>
          </w:p>
        </w:tc>
        <w:tc>
          <w:tcPr>
            <w:tcW w:w="1376" w:type="dxa"/>
            <w:vAlign w:val="center"/>
          </w:tcPr>
          <w:p w:rsidR="00710449" w:rsidRDefault="00710449" w:rsidP="00710449">
            <w:pPr>
              <w:pStyle w:val="ParaNum0"/>
              <w:keepNext/>
              <w:keepLines/>
              <w:widowControl/>
              <w:numPr>
                <w:ilvl w:val="0"/>
                <w:numId w:val="0"/>
              </w:numPr>
              <w:spacing w:after="0"/>
              <w:jc w:val="center"/>
              <w:rPr>
                <w:b/>
                <w:szCs w:val="22"/>
              </w:rPr>
            </w:pPr>
            <w:r>
              <w:rPr>
                <w:b/>
                <w:szCs w:val="22"/>
              </w:rPr>
              <w:t>EA3</w:t>
            </w:r>
          </w:p>
          <w:p w:rsidR="00710449" w:rsidRDefault="00710449" w:rsidP="00710449">
            <w:pPr>
              <w:pStyle w:val="ParaNum0"/>
              <w:keepNext/>
              <w:keepLines/>
              <w:widowControl/>
              <w:numPr>
                <w:ilvl w:val="0"/>
                <w:numId w:val="0"/>
              </w:numPr>
              <w:spacing w:after="0"/>
              <w:jc w:val="center"/>
              <w:rPr>
                <w:b/>
                <w:szCs w:val="22"/>
              </w:rPr>
            </w:pPr>
            <w:r>
              <w:rPr>
                <w:b/>
                <w:szCs w:val="22"/>
              </w:rPr>
              <w:t>(10)</w:t>
            </w:r>
          </w:p>
        </w:tc>
        <w:tc>
          <w:tcPr>
            <w:tcW w:w="1376" w:type="dxa"/>
            <w:vAlign w:val="center"/>
          </w:tcPr>
          <w:p w:rsidR="00710449" w:rsidRDefault="00710449" w:rsidP="00710449">
            <w:pPr>
              <w:pStyle w:val="ParaNum0"/>
              <w:keepNext/>
              <w:keepLines/>
              <w:widowControl/>
              <w:numPr>
                <w:ilvl w:val="0"/>
                <w:numId w:val="0"/>
              </w:numPr>
              <w:spacing w:after="0"/>
              <w:jc w:val="center"/>
              <w:rPr>
                <w:b/>
                <w:szCs w:val="22"/>
              </w:rPr>
            </w:pPr>
            <w:r>
              <w:rPr>
                <w:b/>
                <w:szCs w:val="22"/>
              </w:rPr>
              <w:t>EA4</w:t>
            </w:r>
          </w:p>
          <w:p w:rsidR="00710449" w:rsidRDefault="00710449" w:rsidP="00710449">
            <w:pPr>
              <w:pStyle w:val="ParaNum0"/>
              <w:keepNext/>
              <w:keepLines/>
              <w:widowControl/>
              <w:numPr>
                <w:ilvl w:val="0"/>
                <w:numId w:val="0"/>
              </w:numPr>
              <w:spacing w:after="0"/>
              <w:jc w:val="center"/>
              <w:rPr>
                <w:b/>
                <w:szCs w:val="22"/>
              </w:rPr>
            </w:pPr>
            <w:r>
              <w:rPr>
                <w:b/>
                <w:szCs w:val="22"/>
              </w:rPr>
              <w:t>(10)</w:t>
            </w:r>
          </w:p>
        </w:tc>
        <w:tc>
          <w:tcPr>
            <w:tcW w:w="1376" w:type="dxa"/>
            <w:vAlign w:val="center"/>
          </w:tcPr>
          <w:p w:rsidR="00710449" w:rsidRDefault="00710449" w:rsidP="00710449">
            <w:pPr>
              <w:pStyle w:val="ParaNum0"/>
              <w:keepNext/>
              <w:keepLines/>
              <w:widowControl/>
              <w:numPr>
                <w:ilvl w:val="0"/>
                <w:numId w:val="0"/>
              </w:numPr>
              <w:spacing w:after="0"/>
              <w:jc w:val="center"/>
              <w:rPr>
                <w:b/>
                <w:szCs w:val="22"/>
              </w:rPr>
            </w:pPr>
            <w:r>
              <w:rPr>
                <w:b/>
                <w:szCs w:val="22"/>
              </w:rPr>
              <w:t>EA5</w:t>
            </w:r>
          </w:p>
          <w:p w:rsidR="00710449" w:rsidRDefault="00710449" w:rsidP="00710449">
            <w:pPr>
              <w:pStyle w:val="ParaNum0"/>
              <w:keepNext/>
              <w:keepLines/>
              <w:widowControl/>
              <w:numPr>
                <w:ilvl w:val="0"/>
                <w:numId w:val="0"/>
              </w:numPr>
              <w:spacing w:after="0"/>
              <w:jc w:val="center"/>
              <w:rPr>
                <w:b/>
                <w:szCs w:val="22"/>
              </w:rPr>
            </w:pPr>
            <w:r>
              <w:rPr>
                <w:b/>
                <w:szCs w:val="22"/>
              </w:rPr>
              <w:t>(10)</w:t>
            </w:r>
          </w:p>
        </w:tc>
      </w:tr>
    </w:tbl>
    <w:p w:rsidR="00710449" w:rsidRPr="00CA6286" w:rsidRDefault="00710449" w:rsidP="00710449">
      <w:pPr>
        <w:pStyle w:val="ParaNum0"/>
        <w:keepNext/>
        <w:keepLines/>
        <w:widowControl/>
        <w:numPr>
          <w:ilvl w:val="0"/>
          <w:numId w:val="0"/>
        </w:numPr>
        <w:jc w:val="center"/>
        <w:rPr>
          <w:b/>
          <w:szCs w:val="22"/>
        </w:rPr>
      </w:pPr>
    </w:p>
    <w:p w:rsidR="00710449" w:rsidRPr="00CA6286" w:rsidRDefault="00710449" w:rsidP="00710449">
      <w:pPr>
        <w:widowControl/>
        <w:jc w:val="both"/>
        <w:rPr>
          <w:iCs/>
          <w:szCs w:val="22"/>
        </w:rPr>
      </w:pPr>
    </w:p>
    <w:p w:rsidR="00710449" w:rsidRPr="00CA6286" w:rsidRDefault="00710449" w:rsidP="00710449">
      <w:pPr>
        <w:pStyle w:val="ParaNum0"/>
        <w:keepNext/>
        <w:widowControl/>
        <w:numPr>
          <w:ilvl w:val="0"/>
          <w:numId w:val="0"/>
        </w:numPr>
        <w:rPr>
          <w:rFonts w:ascii="Times New Roman Bold" w:hAnsi="Times New Roman Bold"/>
          <w:b/>
          <w:szCs w:val="22"/>
          <w:u w:val="single"/>
        </w:rPr>
      </w:pPr>
      <w:r w:rsidRPr="00CA6286">
        <w:rPr>
          <w:rFonts w:ascii="Times New Roman Bold" w:hAnsi="Times New Roman Bold"/>
          <w:b/>
          <w:szCs w:val="22"/>
          <w:u w:val="single"/>
        </w:rPr>
        <w:t>Determining Current Price Estimates for Licenses</w:t>
      </w:r>
    </w:p>
    <w:p w:rsidR="00710449" w:rsidRPr="00CA6286" w:rsidRDefault="00710449" w:rsidP="00710449">
      <w:pPr>
        <w:pStyle w:val="ParaNum0"/>
        <w:widowControl/>
        <w:numPr>
          <w:ilvl w:val="0"/>
          <w:numId w:val="0"/>
        </w:numPr>
        <w:rPr>
          <w:snapToGrid/>
          <w:kern w:val="0"/>
          <w:szCs w:val="22"/>
        </w:rPr>
      </w:pPr>
      <w:r w:rsidRPr="00CA6286">
        <w:rPr>
          <w:snapToGrid/>
          <w:kern w:val="0"/>
          <w:szCs w:val="22"/>
        </w:rPr>
        <w:t>CPEs for licenses are determined in such a way as to indicate to bidders how high they must bid to compete with the provisionally winning bid on the package containing those licenses in the event the package bid is the provisionally winning bid.  If the bids on the individual EA licenses are all provisionally winning, then the CPEs are simply equal to those bids, as is the case in an FCC simultaneous multiple round (SMR) auction without package bidding.  But if the bid amount for a package is greater than the sum of the bid amounts for the individual licenses it contains, then the highest bids received so far for the licenses are scaled up to the package bid amount by adding “shares.”</w:t>
      </w:r>
      <w:r w:rsidRPr="00CA6286">
        <w:rPr>
          <w:rStyle w:val="FootnoteReference"/>
          <w:szCs w:val="22"/>
        </w:rPr>
        <w:footnoteReference w:id="71"/>
      </w:r>
      <w:r w:rsidRPr="00CA6286">
        <w:rPr>
          <w:snapToGrid/>
          <w:kern w:val="0"/>
          <w:szCs w:val="22"/>
        </w:rPr>
        <w:t xml:space="preserve">  These shares are proportional to the bidding units associated with each license relative to the total number of bidding units in the package.  </w:t>
      </w:r>
    </w:p>
    <w:p w:rsidR="00710449" w:rsidRPr="00CA6286" w:rsidRDefault="00710449" w:rsidP="00710449">
      <w:pPr>
        <w:pStyle w:val="ParaNum0"/>
        <w:widowControl/>
        <w:numPr>
          <w:ilvl w:val="0"/>
          <w:numId w:val="0"/>
        </w:numPr>
        <w:rPr>
          <w:snapToGrid/>
          <w:kern w:val="0"/>
          <w:szCs w:val="22"/>
        </w:rPr>
      </w:pPr>
      <w:r w:rsidRPr="00CA6286">
        <w:rPr>
          <w:snapToGrid/>
          <w:kern w:val="0"/>
          <w:szCs w:val="22"/>
        </w:rPr>
        <w:t xml:space="preserve">Suppose that all EA licenses have equal bidding units, and that the bid amounts are as shown as in </w:t>
      </w:r>
      <w:r>
        <w:rPr>
          <w:snapToGrid/>
          <w:kern w:val="0"/>
          <w:szCs w:val="22"/>
        </w:rPr>
        <w:t xml:space="preserve">the example </w:t>
      </w:r>
      <w:r w:rsidRPr="005D6F2C">
        <w:rPr>
          <w:snapToGrid/>
          <w:kern w:val="0"/>
          <w:szCs w:val="22"/>
        </w:rPr>
        <w:t xml:space="preserve">above.  The high bid on the MEA2 package is 32, which exceeds the sum of the bids for the EA licenses in the package.  Therefore, </w:t>
      </w:r>
      <w:r>
        <w:rPr>
          <w:snapToGrid/>
          <w:kern w:val="0"/>
          <w:szCs w:val="22"/>
        </w:rPr>
        <w:t xml:space="preserve">to calculate the CPE </w:t>
      </w:r>
      <w:r w:rsidRPr="005D6F2C">
        <w:rPr>
          <w:snapToGrid/>
          <w:kern w:val="0"/>
          <w:szCs w:val="22"/>
        </w:rPr>
        <w:t>the individual bids for licenses EA4 and EA5 are raised from 10, to 10 + (1/2)</w:t>
      </w:r>
      <w:r>
        <w:rPr>
          <w:snapToGrid/>
          <w:kern w:val="0"/>
          <w:szCs w:val="22"/>
        </w:rPr>
        <w:t>(</w:t>
      </w:r>
      <w:r w:rsidRPr="005D6F2C">
        <w:rPr>
          <w:snapToGrid/>
          <w:kern w:val="0"/>
          <w:szCs w:val="22"/>
        </w:rPr>
        <w:t>32-20</w:t>
      </w:r>
      <w:r>
        <w:rPr>
          <w:snapToGrid/>
          <w:kern w:val="0"/>
          <w:szCs w:val="22"/>
        </w:rPr>
        <w:t>)</w:t>
      </w:r>
      <w:r w:rsidRPr="005D6F2C">
        <w:rPr>
          <w:snapToGrid/>
          <w:kern w:val="0"/>
          <w:szCs w:val="22"/>
        </w:rPr>
        <w:t xml:space="preserve"> = </w:t>
      </w:r>
      <w:r>
        <w:rPr>
          <w:snapToGrid/>
          <w:kern w:val="0"/>
          <w:szCs w:val="22"/>
        </w:rPr>
        <w:t>1</w:t>
      </w:r>
      <w:r w:rsidRPr="005D6F2C">
        <w:rPr>
          <w:snapToGrid/>
          <w:kern w:val="0"/>
          <w:szCs w:val="22"/>
        </w:rPr>
        <w:t>6.  In other words, the “shortfall” of 12 is divided among the 2 licenses in the package in proportion to their bidding units (</w:t>
      </w:r>
      <w:r>
        <w:rPr>
          <w:snapToGrid/>
          <w:kern w:val="0"/>
          <w:szCs w:val="22"/>
        </w:rPr>
        <w:t xml:space="preserve">which are </w:t>
      </w:r>
      <w:r w:rsidRPr="005D6F2C">
        <w:rPr>
          <w:snapToGrid/>
          <w:kern w:val="0"/>
          <w:szCs w:val="22"/>
        </w:rPr>
        <w:t>equal</w:t>
      </w:r>
      <w:r>
        <w:rPr>
          <w:snapToGrid/>
          <w:kern w:val="0"/>
          <w:szCs w:val="22"/>
        </w:rPr>
        <w:t xml:space="preserve"> in this case</w:t>
      </w:r>
      <w:r w:rsidRPr="005D6F2C">
        <w:rPr>
          <w:snapToGrid/>
          <w:kern w:val="0"/>
          <w:szCs w:val="22"/>
        </w:rPr>
        <w:t xml:space="preserve">).  In this example, a “package share” of 6 is added to the high bids on the EA licenses in the MEA2 package, but there is no package share for the licenses in the </w:t>
      </w:r>
      <w:r>
        <w:rPr>
          <w:snapToGrid/>
          <w:kern w:val="0"/>
          <w:szCs w:val="22"/>
        </w:rPr>
        <w:t>MEA1</w:t>
      </w:r>
      <w:r w:rsidRPr="005D6F2C">
        <w:rPr>
          <w:snapToGrid/>
          <w:kern w:val="0"/>
          <w:szCs w:val="22"/>
        </w:rPr>
        <w:t xml:space="preserve"> package.</w:t>
      </w:r>
      <w:r w:rsidRPr="00CA6286">
        <w:rPr>
          <w:snapToGrid/>
          <w:kern w:val="0"/>
          <w:szCs w:val="22"/>
        </w:rPr>
        <w:t xml:space="preserve">  </w:t>
      </w:r>
    </w:p>
    <w:p w:rsidR="00710449" w:rsidRPr="00CA6286" w:rsidRDefault="00710449" w:rsidP="00710449">
      <w:pPr>
        <w:pStyle w:val="ParaNum0"/>
        <w:widowControl/>
        <w:numPr>
          <w:ilvl w:val="0"/>
          <w:numId w:val="0"/>
        </w:numPr>
        <w:spacing w:after="0"/>
      </w:pPr>
      <w:r w:rsidRPr="00CA6286">
        <w:rPr>
          <w:szCs w:val="22"/>
        </w:rPr>
        <w:t>Minimum acceptable bids for licenses in the next round of the auction are calculated by adding a percentage to the license CPE.</w:t>
      </w:r>
      <w:r w:rsidRPr="00CA6286">
        <w:rPr>
          <w:rStyle w:val="FootnoteReference"/>
          <w:szCs w:val="22"/>
        </w:rPr>
        <w:footnoteReference w:id="72"/>
      </w:r>
      <w:r w:rsidRPr="00CA6286">
        <w:rPr>
          <w:szCs w:val="22"/>
        </w:rPr>
        <w:t xml:space="preserve">  For packages, minimum acceptable bids are the sums of the minimum acceptable bids for the licenses in the package.  </w:t>
      </w:r>
      <w:r w:rsidRPr="00CA6286">
        <w:rPr>
          <w:snapToGrid/>
          <w:kern w:val="0"/>
          <w:szCs w:val="22"/>
        </w:rPr>
        <w:t xml:space="preserve">As a result of constructing CPEs in this way, the minimum acceptable bids for the next round will indicate to bidders what they must bid to </w:t>
      </w:r>
      <w:r>
        <w:rPr>
          <w:snapToGrid/>
          <w:kern w:val="0"/>
          <w:szCs w:val="22"/>
        </w:rPr>
        <w:t xml:space="preserve">be able to </w:t>
      </w:r>
      <w:r w:rsidRPr="00CA6286">
        <w:rPr>
          <w:snapToGrid/>
          <w:kern w:val="0"/>
          <w:szCs w:val="22"/>
        </w:rPr>
        <w:t xml:space="preserve">unseat the provisionally winning bids from the last round.  </w:t>
      </w:r>
    </w:p>
    <w:p w:rsidR="00710449" w:rsidRPr="00CA6286" w:rsidRDefault="00710449" w:rsidP="00710449">
      <w:pPr>
        <w:widowControl/>
        <w:jc w:val="both"/>
        <w:rPr>
          <w:szCs w:val="22"/>
        </w:rPr>
      </w:pPr>
    </w:p>
    <w:p w:rsidR="00710449" w:rsidRPr="00CA6286" w:rsidRDefault="00710449" w:rsidP="00710449">
      <w:pPr>
        <w:keepNext/>
        <w:widowControl/>
        <w:spacing w:after="120"/>
        <w:rPr>
          <w:b/>
          <w:szCs w:val="22"/>
          <w:u w:val="single"/>
        </w:rPr>
      </w:pPr>
      <w:r w:rsidRPr="00CA6286">
        <w:rPr>
          <w:b/>
          <w:szCs w:val="22"/>
          <w:u w:val="single"/>
        </w:rPr>
        <w:t>Technical Description</w:t>
      </w:r>
    </w:p>
    <w:p w:rsidR="00710449" w:rsidRPr="00CA6286" w:rsidRDefault="00710449" w:rsidP="00710449">
      <w:pPr>
        <w:widowControl/>
        <w:rPr>
          <w:szCs w:val="22"/>
        </w:rPr>
      </w:pPr>
      <w:r w:rsidRPr="00CA6286">
        <w:rPr>
          <w:szCs w:val="22"/>
        </w:rPr>
        <w:t xml:space="preserve">The discussion below </w:t>
      </w:r>
      <w:r>
        <w:rPr>
          <w:szCs w:val="22"/>
        </w:rPr>
        <w:t xml:space="preserve">is specific to a two-tier </w:t>
      </w:r>
      <w:r w:rsidRPr="00CA6286">
        <w:rPr>
          <w:szCs w:val="22"/>
        </w:rPr>
        <w:t xml:space="preserve">package structure.  For a more general description, which can be applied to variations on HPB, see Goeree and Holt, </w:t>
      </w:r>
      <w:r>
        <w:t xml:space="preserve">“Hierarchical Package Bidding: A Paper &amp; Pencil Combinatorial Auction,” </w:t>
      </w:r>
      <w:r w:rsidRPr="00275063">
        <w:rPr>
          <w:i/>
        </w:rPr>
        <w:t>Games and Economic Behavior</w:t>
      </w:r>
      <w:r>
        <w:t xml:space="preserve"> 70(1), September 2010, 146-169.</w:t>
      </w:r>
      <w:r w:rsidRPr="00CA6286">
        <w:rPr>
          <w:szCs w:val="22"/>
        </w:rPr>
        <w:t xml:space="preserve">  </w:t>
      </w:r>
    </w:p>
    <w:p w:rsidR="00710449" w:rsidRPr="00CA6286" w:rsidRDefault="00710449" w:rsidP="00710449">
      <w:pPr>
        <w:widowControl/>
        <w:rPr>
          <w:i/>
          <w:szCs w:val="22"/>
        </w:rPr>
      </w:pPr>
    </w:p>
    <w:p w:rsidR="00710449" w:rsidRPr="00CA6286" w:rsidRDefault="00710449" w:rsidP="00710449">
      <w:pPr>
        <w:widowControl/>
        <w:rPr>
          <w:szCs w:val="22"/>
          <w:u w:val="single"/>
        </w:rPr>
      </w:pPr>
      <w:r w:rsidRPr="00CA6286">
        <w:rPr>
          <w:i/>
          <w:szCs w:val="22"/>
        </w:rPr>
        <w:t>To Determine Provisionally Winning Bids</w:t>
      </w:r>
      <w:r w:rsidRPr="00CA6286">
        <w:rPr>
          <w:szCs w:val="22"/>
        </w:rPr>
        <w:t xml:space="preserve">:  Suppose a package </w:t>
      </w:r>
      <w:r w:rsidRPr="00CA6286">
        <w:rPr>
          <w:i/>
          <w:iCs/>
          <w:szCs w:val="22"/>
        </w:rPr>
        <w:t>r</w:t>
      </w:r>
      <w:r w:rsidRPr="00CA6286">
        <w:rPr>
          <w:szCs w:val="22"/>
        </w:rPr>
        <w:t xml:space="preserve"> is divided into individual licenses, </w:t>
      </w:r>
      <w:r w:rsidRPr="00CA6286">
        <w:rPr>
          <w:i/>
          <w:iCs/>
          <w:szCs w:val="22"/>
        </w:rPr>
        <w:t xml:space="preserve">i </w:t>
      </w:r>
      <w:r w:rsidRPr="00CA6286">
        <w:rPr>
          <w:szCs w:val="22"/>
        </w:rPr>
        <w:t>= 1</w:t>
      </w:r>
      <w:r w:rsidRPr="00CA6286">
        <w:rPr>
          <w:i/>
          <w:iCs/>
          <w:szCs w:val="22"/>
        </w:rPr>
        <w:t>,…,I</w:t>
      </w:r>
      <w:r w:rsidRPr="00CA6286">
        <w:rPr>
          <w:i/>
          <w:iCs/>
          <w:szCs w:val="22"/>
          <w:vertAlign w:val="subscript"/>
        </w:rPr>
        <w:t>r</w:t>
      </w:r>
      <w:r w:rsidRPr="00CA6286">
        <w:rPr>
          <w:i/>
          <w:iCs/>
          <w:szCs w:val="22"/>
        </w:rPr>
        <w:t xml:space="preserve"> </w:t>
      </w:r>
      <w:r w:rsidRPr="00CA6286">
        <w:rPr>
          <w:szCs w:val="22"/>
        </w:rPr>
        <w:t xml:space="preserve">where </w:t>
      </w:r>
      <w:r w:rsidRPr="00CA6286">
        <w:rPr>
          <w:i/>
          <w:iCs/>
          <w:szCs w:val="22"/>
        </w:rPr>
        <w:t>I</w:t>
      </w:r>
      <w:r w:rsidRPr="00CA6286">
        <w:rPr>
          <w:i/>
          <w:iCs/>
          <w:szCs w:val="22"/>
          <w:vertAlign w:val="subscript"/>
        </w:rPr>
        <w:t>r</w:t>
      </w:r>
      <w:r w:rsidRPr="00CA6286">
        <w:rPr>
          <w:i/>
          <w:iCs/>
          <w:szCs w:val="22"/>
        </w:rPr>
        <w:t xml:space="preserve"> </w:t>
      </w:r>
      <w:r w:rsidRPr="00CA6286">
        <w:rPr>
          <w:szCs w:val="22"/>
        </w:rPr>
        <w:t xml:space="preserve">is the number of individual licenses in package </w:t>
      </w:r>
      <w:r w:rsidRPr="00CA6286">
        <w:rPr>
          <w:i/>
          <w:iCs/>
          <w:szCs w:val="22"/>
        </w:rPr>
        <w:t>r</w:t>
      </w:r>
      <w:r w:rsidRPr="00CA6286">
        <w:rPr>
          <w:szCs w:val="22"/>
        </w:rPr>
        <w:t xml:space="preserve">, each with </w:t>
      </w:r>
      <w:r w:rsidRPr="00CA6286">
        <w:rPr>
          <w:i/>
          <w:iCs/>
          <w:szCs w:val="22"/>
        </w:rPr>
        <w:t>α</w:t>
      </w:r>
      <w:r w:rsidRPr="00CA6286">
        <w:rPr>
          <w:i/>
          <w:iCs/>
          <w:szCs w:val="22"/>
          <w:vertAlign w:val="subscript"/>
        </w:rPr>
        <w:t>ir</w:t>
      </w:r>
      <w:r w:rsidRPr="00CA6286">
        <w:rPr>
          <w:i/>
          <w:iCs/>
          <w:szCs w:val="22"/>
        </w:rPr>
        <w:t xml:space="preserve"> </w:t>
      </w:r>
      <w:r w:rsidRPr="00CA6286">
        <w:rPr>
          <w:szCs w:val="22"/>
        </w:rPr>
        <w:t xml:space="preserve">bidding units.  Bidders can submit bids on individual licenses and package bids for the entire package.  Let </w:t>
      </w:r>
      <w:r w:rsidRPr="00CA6286">
        <w:rPr>
          <w:i/>
          <w:iCs/>
          <w:szCs w:val="22"/>
        </w:rPr>
        <w:t>b</w:t>
      </w:r>
      <w:r w:rsidRPr="00CA6286">
        <w:rPr>
          <w:i/>
          <w:iCs/>
          <w:szCs w:val="22"/>
          <w:vertAlign w:val="subscript"/>
        </w:rPr>
        <w:t>ir</w:t>
      </w:r>
      <w:r w:rsidRPr="00CA6286">
        <w:rPr>
          <w:szCs w:val="22"/>
          <w:vertAlign w:val="superscript"/>
        </w:rPr>
        <w:t>max</w:t>
      </w:r>
      <w:r w:rsidRPr="00CA6286">
        <w:rPr>
          <w:i/>
          <w:iCs/>
          <w:szCs w:val="22"/>
        </w:rPr>
        <w:t xml:space="preserve"> </w:t>
      </w:r>
      <w:r w:rsidRPr="00CA6286">
        <w:rPr>
          <w:szCs w:val="22"/>
        </w:rPr>
        <w:t xml:space="preserve">denote the highest bid for license </w:t>
      </w:r>
      <w:r w:rsidRPr="00CA6286">
        <w:rPr>
          <w:i/>
          <w:iCs/>
          <w:szCs w:val="22"/>
        </w:rPr>
        <w:t xml:space="preserve">i </w:t>
      </w:r>
      <w:r w:rsidRPr="00CA6286">
        <w:rPr>
          <w:szCs w:val="22"/>
        </w:rPr>
        <w:t xml:space="preserve">in package </w:t>
      </w:r>
      <w:r w:rsidRPr="00CA6286">
        <w:rPr>
          <w:i/>
          <w:iCs/>
          <w:szCs w:val="22"/>
        </w:rPr>
        <w:t>r</w:t>
      </w:r>
      <w:r w:rsidRPr="00CA6286">
        <w:rPr>
          <w:szCs w:val="22"/>
        </w:rPr>
        <w:t xml:space="preserve"> and </w:t>
      </w:r>
      <w:r w:rsidRPr="00CA6286">
        <w:rPr>
          <w:i/>
          <w:iCs/>
          <w:szCs w:val="22"/>
        </w:rPr>
        <w:t>b</w:t>
      </w:r>
      <w:r w:rsidRPr="00CA6286">
        <w:rPr>
          <w:i/>
          <w:iCs/>
          <w:szCs w:val="22"/>
          <w:vertAlign w:val="subscript"/>
        </w:rPr>
        <w:t>r</w:t>
      </w:r>
      <w:r w:rsidRPr="00CA6286">
        <w:rPr>
          <w:szCs w:val="22"/>
          <w:vertAlign w:val="superscript"/>
        </w:rPr>
        <w:t>max</w:t>
      </w:r>
      <w:r w:rsidRPr="00CA6286">
        <w:rPr>
          <w:szCs w:val="22"/>
        </w:rPr>
        <w:t xml:space="preserve"> the highest package bid for package </w:t>
      </w:r>
      <w:r w:rsidRPr="00CA6286">
        <w:rPr>
          <w:i/>
          <w:iCs/>
          <w:szCs w:val="22"/>
        </w:rPr>
        <w:t>r</w:t>
      </w:r>
      <w:r w:rsidRPr="00CA6286">
        <w:rPr>
          <w:szCs w:val="22"/>
        </w:rPr>
        <w:t xml:space="preserve">.  In this case, the revenue-maximizing allocation can be found recursively (Rothkopf, Pekeč, and Harstad, 1998):  </w:t>
      </w:r>
    </w:p>
    <w:p w:rsidR="00710449" w:rsidRPr="00CA6286" w:rsidRDefault="00710449" w:rsidP="00710449">
      <w:pPr>
        <w:widowControl/>
        <w:rPr>
          <w:szCs w:val="22"/>
        </w:rPr>
      </w:pPr>
    </w:p>
    <w:p w:rsidR="00710449" w:rsidRPr="00CA6286" w:rsidRDefault="00710449" w:rsidP="00710449">
      <w:pPr>
        <w:widowControl/>
        <w:numPr>
          <w:ilvl w:val="0"/>
          <w:numId w:val="49"/>
        </w:numPr>
        <w:spacing w:after="120"/>
        <w:rPr>
          <w:szCs w:val="22"/>
        </w:rPr>
      </w:pPr>
      <w:r w:rsidRPr="00CA6286">
        <w:rPr>
          <w:szCs w:val="22"/>
        </w:rPr>
        <w:t xml:space="preserve">Pick the larger of </w:t>
      </w:r>
      <w:r w:rsidRPr="00CA6286">
        <w:rPr>
          <w:i/>
          <w:iCs/>
          <w:szCs w:val="22"/>
        </w:rPr>
        <w:t>b</w:t>
      </w:r>
      <w:r w:rsidRPr="00CA6286">
        <w:rPr>
          <w:i/>
          <w:iCs/>
          <w:szCs w:val="22"/>
          <w:vertAlign w:val="subscript"/>
        </w:rPr>
        <w:t>r</w:t>
      </w:r>
      <w:r w:rsidRPr="00CA6286">
        <w:rPr>
          <w:szCs w:val="22"/>
          <w:vertAlign w:val="superscript"/>
        </w:rPr>
        <w:t>max</w:t>
      </w:r>
      <w:r w:rsidRPr="00CA6286">
        <w:rPr>
          <w:szCs w:val="22"/>
        </w:rPr>
        <w:t xml:space="preserve"> and Σ</w:t>
      </w:r>
      <w:r w:rsidRPr="00CA6286">
        <w:rPr>
          <w:i/>
          <w:iCs/>
          <w:szCs w:val="22"/>
          <w:vertAlign w:val="superscript"/>
        </w:rPr>
        <w:t>Ir</w:t>
      </w:r>
      <w:r w:rsidRPr="00CA6286">
        <w:rPr>
          <w:i/>
          <w:iCs/>
          <w:szCs w:val="22"/>
          <w:vertAlign w:val="subscript"/>
        </w:rPr>
        <w:t>i</w:t>
      </w:r>
      <w:r w:rsidRPr="00CA6286">
        <w:rPr>
          <w:szCs w:val="22"/>
          <w:vertAlign w:val="subscript"/>
        </w:rPr>
        <w:t>=1</w:t>
      </w:r>
      <w:r w:rsidRPr="00CA6286">
        <w:rPr>
          <w:szCs w:val="22"/>
        </w:rPr>
        <w:t xml:space="preserve"> </w:t>
      </w:r>
      <w:r w:rsidRPr="00CA6286">
        <w:rPr>
          <w:i/>
          <w:iCs/>
          <w:szCs w:val="22"/>
        </w:rPr>
        <w:t>b</w:t>
      </w:r>
      <w:r w:rsidRPr="00CA6286">
        <w:rPr>
          <w:i/>
          <w:iCs/>
          <w:szCs w:val="22"/>
          <w:vertAlign w:val="subscript"/>
        </w:rPr>
        <w:t>ir</w:t>
      </w:r>
      <w:r w:rsidRPr="00CA6286">
        <w:rPr>
          <w:szCs w:val="22"/>
          <w:vertAlign w:val="superscript"/>
        </w:rPr>
        <w:t>max</w:t>
      </w:r>
      <w:r w:rsidRPr="00CA6286">
        <w:rPr>
          <w:szCs w:val="22"/>
        </w:rPr>
        <w:t xml:space="preserve">, which determines </w:t>
      </w:r>
      <w:r w:rsidRPr="00CA6286">
        <w:rPr>
          <w:i/>
          <w:szCs w:val="22"/>
        </w:rPr>
        <w:t>Rev</w:t>
      </w:r>
      <w:r w:rsidRPr="00CA6286">
        <w:rPr>
          <w:i/>
          <w:iCs/>
          <w:szCs w:val="22"/>
          <w:vertAlign w:val="subscript"/>
        </w:rPr>
        <w:t>r</w:t>
      </w:r>
      <w:r w:rsidRPr="00CA6286">
        <w:rPr>
          <w:szCs w:val="22"/>
        </w:rPr>
        <w:t xml:space="preserve">, the revenue for package </w:t>
      </w:r>
      <w:r w:rsidRPr="00CA6286">
        <w:rPr>
          <w:i/>
          <w:iCs/>
          <w:szCs w:val="22"/>
        </w:rPr>
        <w:t>r</w:t>
      </w:r>
      <w:r w:rsidRPr="00CA6286">
        <w:rPr>
          <w:szCs w:val="22"/>
        </w:rPr>
        <w:t xml:space="preserve">.  </w:t>
      </w:r>
    </w:p>
    <w:p w:rsidR="00710449" w:rsidRPr="00CA6286" w:rsidRDefault="00710449" w:rsidP="00710449">
      <w:pPr>
        <w:widowControl/>
        <w:numPr>
          <w:ilvl w:val="0"/>
          <w:numId w:val="49"/>
        </w:numPr>
        <w:spacing w:after="120"/>
        <w:rPr>
          <w:szCs w:val="22"/>
        </w:rPr>
      </w:pPr>
      <w:r w:rsidRPr="00CA6286">
        <w:rPr>
          <w:szCs w:val="22"/>
        </w:rPr>
        <w:t xml:space="preserve">If </w:t>
      </w:r>
      <w:r w:rsidRPr="00CA6286">
        <w:rPr>
          <w:i/>
          <w:szCs w:val="22"/>
        </w:rPr>
        <w:t>Rev</w:t>
      </w:r>
      <w:r w:rsidRPr="00CA6286">
        <w:rPr>
          <w:i/>
          <w:iCs/>
          <w:szCs w:val="22"/>
          <w:vertAlign w:val="subscript"/>
        </w:rPr>
        <w:t>r</w:t>
      </w:r>
      <w:r w:rsidRPr="00CA6286">
        <w:rPr>
          <w:i/>
          <w:iCs/>
          <w:szCs w:val="22"/>
        </w:rPr>
        <w:t xml:space="preserve"> </w:t>
      </w:r>
      <w:r w:rsidRPr="00CA6286">
        <w:rPr>
          <w:szCs w:val="22"/>
        </w:rPr>
        <w:t xml:space="preserve">= </w:t>
      </w:r>
      <w:r w:rsidRPr="00CA6286">
        <w:rPr>
          <w:i/>
          <w:iCs/>
          <w:szCs w:val="22"/>
        </w:rPr>
        <w:t>b</w:t>
      </w:r>
      <w:r w:rsidRPr="00CA6286">
        <w:rPr>
          <w:i/>
          <w:iCs/>
          <w:szCs w:val="22"/>
          <w:vertAlign w:val="subscript"/>
        </w:rPr>
        <w:t>r</w:t>
      </w:r>
      <w:r w:rsidRPr="00CA6286">
        <w:rPr>
          <w:szCs w:val="22"/>
          <w:vertAlign w:val="superscript"/>
        </w:rPr>
        <w:t>max</w:t>
      </w:r>
      <w:r w:rsidRPr="00CA6286">
        <w:rPr>
          <w:szCs w:val="22"/>
        </w:rPr>
        <w:t xml:space="preserve">, the highest package bid for package </w:t>
      </w:r>
      <w:r w:rsidRPr="00CA6286">
        <w:rPr>
          <w:i/>
          <w:iCs/>
          <w:szCs w:val="22"/>
        </w:rPr>
        <w:t xml:space="preserve">r </w:t>
      </w:r>
      <w:r w:rsidRPr="00CA6286">
        <w:rPr>
          <w:szCs w:val="22"/>
        </w:rPr>
        <w:t xml:space="preserve">is provisionally winning and the bids on individual licenses in that package are losing, otherwise the highest bids on individual licenses in package </w:t>
      </w:r>
      <w:r w:rsidRPr="00CA6286">
        <w:rPr>
          <w:i/>
          <w:iCs/>
          <w:szCs w:val="22"/>
        </w:rPr>
        <w:t xml:space="preserve">r </w:t>
      </w:r>
      <w:r w:rsidRPr="00CA6286">
        <w:rPr>
          <w:szCs w:val="22"/>
        </w:rPr>
        <w:t xml:space="preserve">are provisionally winning and the package bid for package </w:t>
      </w:r>
      <w:r w:rsidRPr="00CA6286">
        <w:rPr>
          <w:i/>
          <w:szCs w:val="22"/>
        </w:rPr>
        <w:t>r</w:t>
      </w:r>
      <w:r w:rsidRPr="00CA6286">
        <w:rPr>
          <w:szCs w:val="22"/>
        </w:rPr>
        <w:t xml:space="preserve"> is losing.  </w:t>
      </w:r>
    </w:p>
    <w:p w:rsidR="00710449" w:rsidRPr="00CA6286" w:rsidRDefault="00710449" w:rsidP="00710449">
      <w:pPr>
        <w:widowControl/>
        <w:rPr>
          <w:szCs w:val="22"/>
        </w:rPr>
      </w:pPr>
    </w:p>
    <w:p w:rsidR="00710449" w:rsidRPr="00CA6286" w:rsidRDefault="00710449" w:rsidP="00710449">
      <w:pPr>
        <w:widowControl/>
        <w:spacing w:after="120"/>
        <w:rPr>
          <w:szCs w:val="22"/>
        </w:rPr>
      </w:pPr>
      <w:r w:rsidRPr="00CA6286">
        <w:rPr>
          <w:i/>
          <w:szCs w:val="22"/>
        </w:rPr>
        <w:t>To Determine CPEs for Licenses</w:t>
      </w:r>
      <w:r w:rsidRPr="00CA6286">
        <w:rPr>
          <w:szCs w:val="22"/>
        </w:rPr>
        <w:t>:  A second procedure is used to calculate CPEs for</w:t>
      </w:r>
      <w:r>
        <w:rPr>
          <w:szCs w:val="22"/>
        </w:rPr>
        <w:t xml:space="preserve"> licenses (Goeree and Holt, 2010</w:t>
      </w:r>
      <w:r w:rsidRPr="00CA6286">
        <w:rPr>
          <w:szCs w:val="22"/>
        </w:rPr>
        <w:t>).</w:t>
      </w:r>
      <w:r w:rsidRPr="00CA6286">
        <w:rPr>
          <w:rStyle w:val="FootnoteReference"/>
          <w:szCs w:val="22"/>
        </w:rPr>
        <w:footnoteReference w:id="73"/>
      </w:r>
      <w:r w:rsidRPr="00CA6286">
        <w:rPr>
          <w:szCs w:val="22"/>
        </w:rPr>
        <w:t xml:space="preserve">  The CPE </w:t>
      </w:r>
      <w:r w:rsidRPr="00CA6286">
        <w:rPr>
          <w:i/>
          <w:iCs/>
          <w:szCs w:val="22"/>
        </w:rPr>
        <w:t>p</w:t>
      </w:r>
      <w:r w:rsidRPr="00CA6286">
        <w:rPr>
          <w:i/>
          <w:iCs/>
          <w:szCs w:val="22"/>
          <w:vertAlign w:val="subscript"/>
        </w:rPr>
        <w:t>ir</w:t>
      </w:r>
      <w:r w:rsidRPr="00CA6286">
        <w:rPr>
          <w:i/>
          <w:iCs/>
          <w:szCs w:val="22"/>
        </w:rPr>
        <w:t xml:space="preserve"> </w:t>
      </w:r>
      <w:r w:rsidRPr="00CA6286">
        <w:rPr>
          <w:szCs w:val="22"/>
        </w:rPr>
        <w:t xml:space="preserve">of license </w:t>
      </w:r>
      <w:r w:rsidRPr="00CA6286">
        <w:rPr>
          <w:i/>
          <w:iCs/>
          <w:szCs w:val="22"/>
        </w:rPr>
        <w:t xml:space="preserve">i </w:t>
      </w:r>
      <w:r w:rsidRPr="00CA6286">
        <w:rPr>
          <w:szCs w:val="22"/>
        </w:rPr>
        <w:t xml:space="preserve">in package </w:t>
      </w:r>
      <w:r w:rsidRPr="00CA6286">
        <w:rPr>
          <w:i/>
          <w:iCs/>
          <w:szCs w:val="22"/>
        </w:rPr>
        <w:t xml:space="preserve">r </w:t>
      </w:r>
      <w:r w:rsidRPr="00CA6286">
        <w:rPr>
          <w:szCs w:val="22"/>
        </w:rPr>
        <w:t xml:space="preserve">is the maximum bid for the license plus a “package share” (if the sum of the high bids for individual licenses in the package falls short of </w:t>
      </w:r>
      <w:r w:rsidRPr="00CA6286">
        <w:rPr>
          <w:i/>
          <w:szCs w:val="22"/>
        </w:rPr>
        <w:t>Rev</w:t>
      </w:r>
      <w:r w:rsidRPr="00CA6286">
        <w:rPr>
          <w:i/>
          <w:iCs/>
          <w:szCs w:val="22"/>
          <w:vertAlign w:val="subscript"/>
        </w:rPr>
        <w:t>r</w:t>
      </w:r>
      <w:r w:rsidRPr="00CA6286">
        <w:rPr>
          <w:szCs w:val="22"/>
        </w:rPr>
        <w:t xml:space="preserve">).  The shares are determined by the relative sizes of the licenses in terms of bidding units.  Let </w:t>
      </w:r>
      <w:r w:rsidRPr="00CA6286">
        <w:rPr>
          <w:i/>
          <w:iCs/>
          <w:szCs w:val="22"/>
        </w:rPr>
        <w:t>α</w:t>
      </w:r>
      <w:r w:rsidRPr="00CA6286">
        <w:rPr>
          <w:i/>
          <w:iCs/>
          <w:szCs w:val="22"/>
          <w:vertAlign w:val="subscript"/>
        </w:rPr>
        <w:t>r</w:t>
      </w:r>
      <w:r w:rsidRPr="00CA6286">
        <w:rPr>
          <w:i/>
          <w:iCs/>
          <w:szCs w:val="22"/>
        </w:rPr>
        <w:t xml:space="preserve"> </w:t>
      </w:r>
      <w:r w:rsidRPr="00CA6286">
        <w:rPr>
          <w:szCs w:val="22"/>
        </w:rPr>
        <w:t>= Σ</w:t>
      </w:r>
      <w:r w:rsidRPr="00CA6286">
        <w:rPr>
          <w:i/>
          <w:iCs/>
          <w:szCs w:val="22"/>
          <w:vertAlign w:val="superscript"/>
        </w:rPr>
        <w:t>Ir</w:t>
      </w:r>
      <w:r w:rsidRPr="00CA6286">
        <w:rPr>
          <w:i/>
          <w:iCs/>
          <w:szCs w:val="22"/>
          <w:vertAlign w:val="subscript"/>
        </w:rPr>
        <w:t>i</w:t>
      </w:r>
      <w:r w:rsidRPr="00CA6286">
        <w:rPr>
          <w:szCs w:val="22"/>
          <w:vertAlign w:val="subscript"/>
        </w:rPr>
        <w:t>=1</w:t>
      </w:r>
      <w:r w:rsidRPr="00CA6286">
        <w:rPr>
          <w:i/>
          <w:iCs/>
          <w:szCs w:val="22"/>
        </w:rPr>
        <w:t>α</w:t>
      </w:r>
      <w:r w:rsidRPr="00CA6286">
        <w:rPr>
          <w:i/>
          <w:iCs/>
          <w:szCs w:val="22"/>
          <w:vertAlign w:val="subscript"/>
        </w:rPr>
        <w:t>ir</w:t>
      </w:r>
      <w:r w:rsidRPr="00CA6286">
        <w:rPr>
          <w:i/>
          <w:iCs/>
          <w:szCs w:val="22"/>
        </w:rPr>
        <w:t xml:space="preserve"> </w:t>
      </w:r>
      <w:r w:rsidRPr="00CA6286">
        <w:rPr>
          <w:szCs w:val="22"/>
        </w:rPr>
        <w:t xml:space="preserve">denote the total number of bidding units in package </w:t>
      </w:r>
      <w:r w:rsidRPr="00CA6286">
        <w:rPr>
          <w:i/>
          <w:iCs/>
          <w:szCs w:val="22"/>
        </w:rPr>
        <w:t>r</w:t>
      </w:r>
      <w:r w:rsidRPr="00CA6286">
        <w:rPr>
          <w:szCs w:val="22"/>
        </w:rPr>
        <w:t>.  With this notation, the pricing formula is:</w:t>
      </w:r>
    </w:p>
    <w:p w:rsidR="00710449" w:rsidRPr="00CA6286" w:rsidRDefault="00710449" w:rsidP="00710449">
      <w:pPr>
        <w:widowControl/>
        <w:spacing w:after="120"/>
        <w:jc w:val="center"/>
        <w:rPr>
          <w:bCs/>
          <w:szCs w:val="22"/>
        </w:rPr>
      </w:pPr>
      <w:r>
        <w:rPr>
          <w:noProof/>
          <w:snapToGrid/>
          <w:position w:val="-32"/>
        </w:rPr>
        <w:drawing>
          <wp:inline distT="0" distB="0" distL="0" distR="0" wp14:anchorId="473B5041" wp14:editId="4982A86D">
            <wp:extent cx="22574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p>
    <w:p w:rsidR="00710449" w:rsidRPr="00CA6286" w:rsidRDefault="00710449" w:rsidP="00710449">
      <w:pPr>
        <w:widowControl/>
        <w:rPr>
          <w:szCs w:val="22"/>
        </w:rPr>
      </w:pPr>
      <w:r w:rsidRPr="00CA6286">
        <w:rPr>
          <w:bCs/>
          <w:szCs w:val="22"/>
        </w:rPr>
        <w:t>where the difference in parentheses is non-negative by construction.  Thus,</w:t>
      </w:r>
      <w:r w:rsidRPr="00CA6286">
        <w:rPr>
          <w:szCs w:val="22"/>
        </w:rPr>
        <w:t xml:space="preserve"> </w:t>
      </w:r>
    </w:p>
    <w:p w:rsidR="00710449" w:rsidRPr="00CA6286" w:rsidRDefault="00710449" w:rsidP="00710449">
      <w:pPr>
        <w:widowControl/>
        <w:rPr>
          <w:szCs w:val="22"/>
        </w:rPr>
      </w:pPr>
    </w:p>
    <w:p w:rsidR="00710449" w:rsidRPr="00CA6286" w:rsidRDefault="00710449" w:rsidP="00710449">
      <w:pPr>
        <w:widowControl/>
        <w:numPr>
          <w:ilvl w:val="0"/>
          <w:numId w:val="50"/>
        </w:numPr>
        <w:spacing w:after="120"/>
        <w:rPr>
          <w:szCs w:val="22"/>
        </w:rPr>
      </w:pPr>
      <w:r w:rsidRPr="00CA6286">
        <w:rPr>
          <w:i/>
          <w:iCs/>
          <w:szCs w:val="22"/>
        </w:rPr>
        <w:t>p</w:t>
      </w:r>
      <w:r w:rsidRPr="00CA6286">
        <w:rPr>
          <w:i/>
          <w:iCs/>
          <w:szCs w:val="22"/>
          <w:vertAlign w:val="subscript"/>
        </w:rPr>
        <w:t>ir</w:t>
      </w:r>
      <w:r w:rsidRPr="00CA6286">
        <w:rPr>
          <w:i/>
          <w:iCs/>
          <w:szCs w:val="22"/>
        </w:rPr>
        <w:t xml:space="preserve"> </w:t>
      </w:r>
      <w:r w:rsidRPr="00CA6286">
        <w:rPr>
          <w:szCs w:val="22"/>
        </w:rPr>
        <w:t xml:space="preserve">= </w:t>
      </w:r>
      <w:r w:rsidRPr="00CA6286">
        <w:rPr>
          <w:i/>
          <w:iCs/>
          <w:szCs w:val="22"/>
        </w:rPr>
        <w:t>b</w:t>
      </w:r>
      <w:r w:rsidRPr="00CA6286">
        <w:rPr>
          <w:i/>
          <w:iCs/>
          <w:szCs w:val="22"/>
          <w:vertAlign w:val="subscript"/>
        </w:rPr>
        <w:t>ir</w:t>
      </w:r>
      <w:r w:rsidRPr="00CA6286">
        <w:rPr>
          <w:iCs/>
          <w:szCs w:val="22"/>
          <w:vertAlign w:val="superscript"/>
        </w:rPr>
        <w:t>max</w:t>
      </w:r>
      <w:r w:rsidRPr="00CA6286">
        <w:rPr>
          <w:szCs w:val="22"/>
        </w:rPr>
        <w:t xml:space="preserve"> if an individual license bid wins.  </w:t>
      </w:r>
    </w:p>
    <w:p w:rsidR="00710449" w:rsidRPr="00CA6286" w:rsidRDefault="00710449" w:rsidP="00710449">
      <w:pPr>
        <w:widowControl/>
        <w:numPr>
          <w:ilvl w:val="0"/>
          <w:numId w:val="50"/>
        </w:numPr>
        <w:spacing w:after="120"/>
        <w:rPr>
          <w:szCs w:val="22"/>
        </w:rPr>
      </w:pPr>
      <w:r w:rsidRPr="00CA6286">
        <w:rPr>
          <w:i/>
          <w:iCs/>
          <w:szCs w:val="22"/>
        </w:rPr>
        <w:t>p</w:t>
      </w:r>
      <w:r w:rsidRPr="00CA6286">
        <w:rPr>
          <w:i/>
          <w:iCs/>
          <w:szCs w:val="22"/>
          <w:vertAlign w:val="subscript"/>
        </w:rPr>
        <w:t>ir</w:t>
      </w:r>
      <w:r w:rsidRPr="00CA6286">
        <w:rPr>
          <w:i/>
          <w:iCs/>
          <w:szCs w:val="22"/>
        </w:rPr>
        <w:t xml:space="preserve"> </w:t>
      </w:r>
      <w:r w:rsidRPr="00CA6286">
        <w:rPr>
          <w:szCs w:val="22"/>
        </w:rPr>
        <w:t xml:space="preserve">= </w:t>
      </w:r>
      <w:r w:rsidRPr="00CA6286">
        <w:rPr>
          <w:i/>
          <w:iCs/>
          <w:szCs w:val="22"/>
        </w:rPr>
        <w:t>b</w:t>
      </w:r>
      <w:r w:rsidRPr="00CA6286">
        <w:rPr>
          <w:i/>
          <w:iCs/>
          <w:szCs w:val="22"/>
          <w:vertAlign w:val="subscript"/>
        </w:rPr>
        <w:t>ir</w:t>
      </w:r>
      <w:r w:rsidRPr="00CA6286">
        <w:rPr>
          <w:iCs/>
          <w:szCs w:val="22"/>
          <w:vertAlign w:val="superscript"/>
        </w:rPr>
        <w:t>max</w:t>
      </w:r>
      <w:r w:rsidRPr="00CA6286">
        <w:rPr>
          <w:szCs w:val="22"/>
        </w:rPr>
        <w:t xml:space="preserve"> + package share if a package bid wins.  </w:t>
      </w:r>
    </w:p>
    <w:p w:rsidR="00710449" w:rsidRPr="00CA6286" w:rsidRDefault="00710449" w:rsidP="00710449">
      <w:pPr>
        <w:widowControl/>
        <w:rPr>
          <w:szCs w:val="22"/>
        </w:rPr>
      </w:pPr>
    </w:p>
    <w:p w:rsidR="00710449" w:rsidRPr="00CA6286" w:rsidRDefault="00710449" w:rsidP="00710449">
      <w:pPr>
        <w:widowControl/>
        <w:rPr>
          <w:szCs w:val="22"/>
        </w:rPr>
      </w:pPr>
      <w:r w:rsidRPr="00CA6286">
        <w:rPr>
          <w:szCs w:val="22"/>
        </w:rPr>
        <w:t xml:space="preserve">Current price estimates based on this procedure address the “threshold problem” in the sense that they provide benchmarks for bids on individual licenses that will, when </w:t>
      </w:r>
      <w:r>
        <w:rPr>
          <w:szCs w:val="22"/>
        </w:rPr>
        <w:t xml:space="preserve">scaled up, or </w:t>
      </w:r>
      <w:r w:rsidRPr="00CA6286">
        <w:rPr>
          <w:szCs w:val="22"/>
        </w:rPr>
        <w:t xml:space="preserve">incremented, allow the individual license bids to displace a provisionally winning bid on the package containing those licenses.  </w:t>
      </w:r>
    </w:p>
    <w:p w:rsidR="00710449" w:rsidRPr="00CA6286" w:rsidRDefault="00710449" w:rsidP="00710449">
      <w:pPr>
        <w:widowControl/>
        <w:rPr>
          <w:szCs w:val="22"/>
        </w:rPr>
      </w:pPr>
    </w:p>
    <w:p w:rsidR="0032023D" w:rsidRPr="00710449" w:rsidRDefault="00710449" w:rsidP="00710449">
      <w:pPr>
        <w:widowControl/>
        <w:rPr>
          <w:szCs w:val="22"/>
        </w:rPr>
      </w:pPr>
      <w:r w:rsidRPr="00CA6286">
        <w:rPr>
          <w:szCs w:val="22"/>
        </w:rPr>
        <w:t>The procedures for determining provisionally winning bids and CPEs for license</w:t>
      </w:r>
      <w:r>
        <w:rPr>
          <w:szCs w:val="22"/>
        </w:rPr>
        <w:t>s, set forth here for two tiers</w:t>
      </w:r>
      <w:r w:rsidRPr="00CA6286">
        <w:rPr>
          <w:szCs w:val="22"/>
        </w:rPr>
        <w:t xml:space="preserve">, can be generalized for any number of levels.  With a single level these procedures reduce to the SMR pricing and allocation rules in which the provisionally winning bid for a license is the highest bid received for that license.  With multiple levels, the algorithm for determining provisionally winning bids follows a “bottom-up” approach and checks at every level, </w:t>
      </w:r>
      <w:r w:rsidRPr="00CA6286">
        <w:rPr>
          <w:i/>
          <w:szCs w:val="22"/>
        </w:rPr>
        <w:t>h</w:t>
      </w:r>
      <w:r w:rsidRPr="00CA6286">
        <w:rPr>
          <w:szCs w:val="22"/>
        </w:rPr>
        <w:t>, whether it is better to provisionally assign a level-</w:t>
      </w:r>
      <w:r w:rsidRPr="00CA6286">
        <w:rPr>
          <w:i/>
          <w:szCs w:val="22"/>
        </w:rPr>
        <w:t>h</w:t>
      </w:r>
      <w:r w:rsidRPr="00CA6286">
        <w:rPr>
          <w:szCs w:val="22"/>
        </w:rPr>
        <w:t xml:space="preserve"> package to the high bidder for that package or to provisionally assign the smaller sub-packages that it contains.  The rule for determining CPEs follows from this recursive comparison of level-</w:t>
      </w:r>
      <w:r w:rsidRPr="00CA6286">
        <w:rPr>
          <w:i/>
          <w:szCs w:val="22"/>
        </w:rPr>
        <w:t>h</w:t>
      </w:r>
      <w:r w:rsidRPr="00CA6286">
        <w:rPr>
          <w:szCs w:val="22"/>
        </w:rPr>
        <w:t xml:space="preserve"> and level-</w:t>
      </w:r>
      <w:r w:rsidRPr="00CA6286">
        <w:rPr>
          <w:i/>
          <w:szCs w:val="22"/>
        </w:rPr>
        <w:t>(h+</w:t>
      </w:r>
      <w:r w:rsidRPr="00CA6286">
        <w:rPr>
          <w:szCs w:val="22"/>
        </w:rPr>
        <w:t>1</w:t>
      </w:r>
      <w:r w:rsidRPr="00CA6286">
        <w:rPr>
          <w:i/>
          <w:szCs w:val="22"/>
        </w:rPr>
        <w:t>)</w:t>
      </w:r>
      <w:r w:rsidRPr="00CA6286">
        <w:rPr>
          <w:szCs w:val="22"/>
        </w:rPr>
        <w:t xml:space="preserve"> packages:  if the larger packages provide higher revenue, then the prices of the individual licenses contained in the larger packages are incremented in proportion to bidding units to reflect this shortfall.  O</w:t>
      </w:r>
      <w:r w:rsidRPr="00CA6286">
        <w:rPr>
          <w:iCs/>
          <w:szCs w:val="22"/>
        </w:rPr>
        <w:t>nce</w:t>
      </w:r>
      <w:r w:rsidRPr="00CA6286">
        <w:rPr>
          <w:szCs w:val="22"/>
        </w:rPr>
        <w:t xml:space="preserve"> the algorithm finishes, the CPEs of the individual licenses add up to the sum of the associated provisionally winning bids.  </w:t>
      </w:r>
    </w:p>
    <w:p w:rsidR="005A7B05" w:rsidRDefault="005A7B05" w:rsidP="0032023D">
      <w:pPr>
        <w:widowControl/>
        <w:suppressAutoHyphens/>
      </w:pPr>
    </w:p>
    <w:p w:rsidR="005828D0" w:rsidRDefault="005828D0" w:rsidP="008B06AA">
      <w:pPr>
        <w:widowControl/>
        <w:suppressAutoHyphens/>
        <w:sectPr w:rsidR="005828D0" w:rsidSect="005A7B05">
          <w:footerReference w:type="default" r:id="rId24"/>
          <w:endnotePr>
            <w:numFmt w:val="decimal"/>
          </w:endnotePr>
          <w:pgSz w:w="12240" w:h="15840" w:code="1"/>
          <w:pgMar w:top="1440" w:right="1440" w:bottom="1008" w:left="1440" w:header="720" w:footer="504" w:gutter="0"/>
          <w:pgNumType w:start="1"/>
          <w:cols w:space="720"/>
          <w:noEndnote/>
          <w:docGrid w:linePitch="299"/>
        </w:sectPr>
      </w:pPr>
    </w:p>
    <w:p w:rsidR="005A7B05" w:rsidRPr="0064234E" w:rsidRDefault="00F9523A" w:rsidP="001D1C06">
      <w:pPr>
        <w:pStyle w:val="Heading1"/>
        <w:widowControl/>
        <w:numPr>
          <w:ilvl w:val="0"/>
          <w:numId w:val="0"/>
        </w:numPr>
        <w:spacing w:after="0"/>
        <w:jc w:val="center"/>
      </w:pPr>
      <w:bookmarkStart w:id="785" w:name="_Toc361667841"/>
      <w:r>
        <w:t>A</w:t>
      </w:r>
      <w:r w:rsidR="005A7B05">
        <w:t xml:space="preserve">TTACHMENT </w:t>
      </w:r>
      <w:r>
        <w:t>C</w:t>
      </w:r>
      <w:bookmarkEnd w:id="785"/>
    </w:p>
    <w:p w:rsidR="005A7B05" w:rsidRPr="00C76E4B" w:rsidRDefault="005A7B05" w:rsidP="001D1C06">
      <w:pPr>
        <w:widowControl/>
        <w:suppressAutoHyphens/>
      </w:pPr>
    </w:p>
    <w:p w:rsidR="005A7B05" w:rsidRDefault="00EE52F3" w:rsidP="001D1C06">
      <w:pPr>
        <w:widowControl/>
        <w:suppressAutoHyphens/>
        <w:jc w:val="center"/>
      </w:pPr>
      <w:r>
        <w:rPr>
          <w:b/>
        </w:rPr>
        <w:t>Minimum Acceptable Bid Formula</w:t>
      </w:r>
    </w:p>
    <w:p w:rsidR="005A7B05" w:rsidRDefault="005A7B05" w:rsidP="005A7B05">
      <w:pPr>
        <w:widowControl/>
        <w:suppressAutoHyphens/>
      </w:pPr>
    </w:p>
    <w:p w:rsidR="00EE52F3" w:rsidRDefault="00EE52F3" w:rsidP="00EE52F3">
      <w:pPr>
        <w:widowControl/>
        <w:suppressAutoHyphens/>
        <w:ind w:firstLine="4"/>
      </w:pPr>
      <w:r>
        <w:t xml:space="preserve">The following formula used to calculate minimum acceptable bids is based on activity.  After </w:t>
      </w:r>
      <w:r w:rsidR="008678A7">
        <w:t xml:space="preserve">current price estimate (CPE) for a license is calculated, </w:t>
      </w:r>
      <w:r>
        <w:t xml:space="preserve">the minimum acceptable bid amount for that license will be equal to the amount of the </w:t>
      </w:r>
      <w:r w:rsidR="008678A7">
        <w:t xml:space="preserve">CPE </w:t>
      </w:r>
      <w:r>
        <w:t xml:space="preserve">plus a percentage of that </w:t>
      </w:r>
      <w:r w:rsidR="008678A7">
        <w:t>CPE</w:t>
      </w:r>
      <w:r w:rsidR="006B73CE">
        <w:t>,</w:t>
      </w:r>
      <w:r>
        <w:t xml:space="preserve"> calculated using the formula below.  In general, the percentage will be higher for a license receiving many bids than for a license receiving few bids.  </w:t>
      </w:r>
    </w:p>
    <w:p w:rsidR="00EE52F3" w:rsidRDefault="00EE52F3" w:rsidP="00EE52F3">
      <w:pPr>
        <w:widowControl/>
        <w:tabs>
          <w:tab w:val="left" w:pos="720"/>
          <w:tab w:val="left" w:pos="1080"/>
        </w:tabs>
        <w:suppressAutoHyphens/>
        <w:spacing w:line="360" w:lineRule="auto"/>
        <w:ind w:left="450" w:hanging="450"/>
        <w:rPr>
          <w:color w:val="000000"/>
          <w:szCs w:val="22"/>
        </w:rPr>
      </w:pPr>
    </w:p>
    <w:p w:rsidR="00EE52F3" w:rsidRDefault="00EE52F3" w:rsidP="00EE52F3">
      <w:pPr>
        <w:widowControl/>
        <w:tabs>
          <w:tab w:val="left" w:pos="720"/>
          <w:tab w:val="left" w:pos="1080"/>
        </w:tabs>
        <w:suppressAutoHyphens/>
        <w:spacing w:line="360" w:lineRule="auto"/>
        <w:ind w:left="450" w:hanging="450"/>
        <w:rPr>
          <w:color w:val="000000"/>
          <w:szCs w:val="22"/>
          <w:lang w:val="it-IT"/>
        </w:rPr>
      </w:pPr>
      <w:r>
        <w:rPr>
          <w:color w:val="000000"/>
          <w:szCs w:val="22"/>
          <w:lang w:val="it-IT"/>
        </w:rPr>
        <w:t>A</w:t>
      </w:r>
      <w:r>
        <w:rPr>
          <w:color w:val="000000"/>
          <w:szCs w:val="22"/>
          <w:vertAlign w:val="subscript"/>
          <w:lang w:val="it-IT"/>
        </w:rPr>
        <w:t>i</w:t>
      </w:r>
      <w:r>
        <w:rPr>
          <w:color w:val="000000"/>
          <w:szCs w:val="22"/>
          <w:lang w:val="it-IT"/>
        </w:rPr>
        <w:tab/>
        <w:t>=</w:t>
      </w:r>
      <w:r>
        <w:rPr>
          <w:color w:val="000000"/>
          <w:szCs w:val="22"/>
          <w:lang w:val="it-IT"/>
        </w:rPr>
        <w:tab/>
        <w:t>(C * B</w:t>
      </w:r>
      <w:r>
        <w:rPr>
          <w:color w:val="000000"/>
          <w:szCs w:val="22"/>
          <w:vertAlign w:val="subscript"/>
          <w:lang w:val="it-IT"/>
        </w:rPr>
        <w:t>i</w:t>
      </w:r>
      <w:r>
        <w:rPr>
          <w:color w:val="000000"/>
          <w:szCs w:val="22"/>
          <w:lang w:val="it-IT"/>
        </w:rPr>
        <w:t>) + ((1-C) * A</w:t>
      </w:r>
      <w:r>
        <w:rPr>
          <w:color w:val="000000"/>
          <w:szCs w:val="22"/>
          <w:vertAlign w:val="subscript"/>
          <w:lang w:val="it-IT"/>
        </w:rPr>
        <w:t>i-1</w:t>
      </w:r>
      <w:r>
        <w:rPr>
          <w:color w:val="000000"/>
          <w:szCs w:val="22"/>
          <w:lang w:val="it-IT"/>
        </w:rPr>
        <w:t>)</w:t>
      </w:r>
    </w:p>
    <w:p w:rsidR="00EE52F3" w:rsidRDefault="00EE52F3" w:rsidP="00EE52F3">
      <w:pPr>
        <w:widowControl/>
        <w:tabs>
          <w:tab w:val="left" w:pos="720"/>
          <w:tab w:val="left" w:pos="1080"/>
        </w:tabs>
        <w:suppressAutoHyphens/>
        <w:spacing w:line="360" w:lineRule="auto"/>
        <w:ind w:left="450" w:hanging="450"/>
        <w:rPr>
          <w:color w:val="000000"/>
          <w:szCs w:val="22"/>
          <w:lang w:val="it-IT"/>
        </w:rPr>
      </w:pPr>
      <w:r>
        <w:rPr>
          <w:color w:val="000000"/>
          <w:szCs w:val="22"/>
          <w:lang w:val="it-IT"/>
        </w:rPr>
        <w:t>I</w:t>
      </w:r>
      <w:r>
        <w:rPr>
          <w:color w:val="000000"/>
          <w:szCs w:val="22"/>
          <w:vertAlign w:val="subscript"/>
          <w:lang w:val="it-IT"/>
        </w:rPr>
        <w:t>i+1</w:t>
      </w:r>
      <w:r>
        <w:rPr>
          <w:color w:val="000000"/>
          <w:szCs w:val="22"/>
          <w:lang w:val="it-IT"/>
        </w:rPr>
        <w:tab/>
        <w:t>=</w:t>
      </w:r>
      <w:r>
        <w:rPr>
          <w:color w:val="000000"/>
          <w:szCs w:val="22"/>
          <w:lang w:val="it-IT"/>
        </w:rPr>
        <w:tab/>
        <w:t>smaller of ((1 + A</w:t>
      </w:r>
      <w:r>
        <w:rPr>
          <w:color w:val="000000"/>
          <w:szCs w:val="22"/>
          <w:vertAlign w:val="subscript"/>
          <w:lang w:val="it-IT"/>
        </w:rPr>
        <w:t>i</w:t>
      </w:r>
      <w:r>
        <w:rPr>
          <w:color w:val="000000"/>
          <w:szCs w:val="22"/>
          <w:lang w:val="it-IT"/>
        </w:rPr>
        <w:t>) * N) and M</w:t>
      </w:r>
    </w:p>
    <w:p w:rsidR="00EE52F3" w:rsidRDefault="00EE52F3" w:rsidP="00EE52F3">
      <w:pPr>
        <w:widowControl/>
        <w:tabs>
          <w:tab w:val="left" w:pos="720"/>
          <w:tab w:val="left" w:pos="1080"/>
        </w:tabs>
        <w:suppressAutoHyphens/>
        <w:spacing w:line="360" w:lineRule="auto"/>
        <w:ind w:left="450" w:hanging="450"/>
        <w:rPr>
          <w:color w:val="000000"/>
          <w:szCs w:val="22"/>
        </w:rPr>
      </w:pPr>
      <w:r>
        <w:rPr>
          <w:color w:val="000000"/>
          <w:szCs w:val="22"/>
        </w:rPr>
        <w:t>X</w:t>
      </w:r>
      <w:r>
        <w:rPr>
          <w:color w:val="000000"/>
          <w:szCs w:val="22"/>
          <w:vertAlign w:val="subscript"/>
        </w:rPr>
        <w:t>i+1</w:t>
      </w:r>
      <w:r>
        <w:rPr>
          <w:color w:val="000000"/>
          <w:szCs w:val="22"/>
          <w:vertAlign w:val="subscript"/>
        </w:rPr>
        <w:tab/>
      </w:r>
      <w:r>
        <w:rPr>
          <w:color w:val="000000"/>
          <w:szCs w:val="22"/>
        </w:rPr>
        <w:t>=</w:t>
      </w:r>
      <w:r>
        <w:rPr>
          <w:color w:val="000000"/>
          <w:szCs w:val="22"/>
        </w:rPr>
        <w:tab/>
        <w:t>I</w:t>
      </w:r>
      <w:r>
        <w:rPr>
          <w:color w:val="000000"/>
          <w:szCs w:val="22"/>
          <w:vertAlign w:val="subscript"/>
        </w:rPr>
        <w:t xml:space="preserve">i+1 </w:t>
      </w:r>
      <w:r>
        <w:rPr>
          <w:color w:val="000000"/>
          <w:szCs w:val="22"/>
        </w:rPr>
        <w:t>* Y</w:t>
      </w:r>
      <w:r>
        <w:rPr>
          <w:color w:val="000000"/>
          <w:szCs w:val="22"/>
          <w:vertAlign w:val="subscript"/>
        </w:rPr>
        <w:t>i</w:t>
      </w:r>
    </w:p>
    <w:p w:rsidR="00EE52F3" w:rsidRDefault="00EE52F3" w:rsidP="00EE52F3">
      <w:pPr>
        <w:widowControl/>
        <w:tabs>
          <w:tab w:val="left" w:pos="1080"/>
        </w:tabs>
        <w:suppressAutoHyphens/>
        <w:spacing w:line="360" w:lineRule="auto"/>
        <w:rPr>
          <w:color w:val="000000"/>
          <w:szCs w:val="22"/>
        </w:rPr>
      </w:pPr>
      <w:r>
        <w:rPr>
          <w:color w:val="000000"/>
          <w:szCs w:val="22"/>
        </w:rPr>
        <w:t>where</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A</w:t>
      </w:r>
      <w:r>
        <w:rPr>
          <w:color w:val="000000"/>
          <w:szCs w:val="22"/>
          <w:vertAlign w:val="subscript"/>
        </w:rPr>
        <w:t>i</w:t>
      </w:r>
      <w:r>
        <w:rPr>
          <w:color w:val="000000"/>
          <w:szCs w:val="22"/>
        </w:rPr>
        <w:tab/>
        <w:t>=</w:t>
      </w:r>
      <w:r w:rsidR="00936C44">
        <w:rPr>
          <w:color w:val="000000"/>
          <w:szCs w:val="22"/>
        </w:rPr>
        <w:tab/>
      </w:r>
      <w:r>
        <w:rPr>
          <w:color w:val="000000"/>
          <w:szCs w:val="22"/>
        </w:rPr>
        <w:t>activity index for the current round (round i)</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C</w:t>
      </w:r>
      <w:r>
        <w:rPr>
          <w:color w:val="000000"/>
          <w:szCs w:val="22"/>
        </w:rPr>
        <w:tab/>
        <w:t>=</w:t>
      </w:r>
      <w:r w:rsidR="008678A7">
        <w:rPr>
          <w:color w:val="000000"/>
          <w:szCs w:val="22"/>
        </w:rPr>
        <w:tab/>
      </w:r>
      <w:r>
        <w:rPr>
          <w:color w:val="000000"/>
          <w:szCs w:val="22"/>
        </w:rPr>
        <w:t>activity weight factor</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B</w:t>
      </w:r>
      <w:r w:rsidRPr="00936C44">
        <w:rPr>
          <w:color w:val="000000"/>
          <w:szCs w:val="22"/>
        </w:rPr>
        <w:t>i</w:t>
      </w:r>
      <w:r>
        <w:rPr>
          <w:color w:val="000000"/>
          <w:szCs w:val="22"/>
        </w:rPr>
        <w:tab/>
        <w:t>=</w:t>
      </w:r>
      <w:r w:rsidR="008678A7">
        <w:rPr>
          <w:color w:val="000000"/>
          <w:szCs w:val="22"/>
        </w:rPr>
        <w:tab/>
      </w:r>
      <w:r>
        <w:rPr>
          <w:color w:val="000000"/>
          <w:szCs w:val="22"/>
        </w:rPr>
        <w:t>number of bidders submitting bids on the license in the current round (round i)</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A</w:t>
      </w:r>
      <w:r w:rsidRPr="008678A7">
        <w:rPr>
          <w:color w:val="000000"/>
          <w:szCs w:val="22"/>
          <w:vertAlign w:val="subscript"/>
        </w:rPr>
        <w:t>i-1</w:t>
      </w:r>
      <w:r>
        <w:rPr>
          <w:color w:val="000000"/>
          <w:szCs w:val="22"/>
        </w:rPr>
        <w:tab/>
        <w:t>=</w:t>
      </w:r>
      <w:r w:rsidR="008678A7">
        <w:rPr>
          <w:color w:val="000000"/>
          <w:szCs w:val="22"/>
        </w:rPr>
        <w:tab/>
      </w:r>
      <w:r>
        <w:rPr>
          <w:color w:val="000000"/>
          <w:szCs w:val="22"/>
        </w:rPr>
        <w:t>activity index from previous round (round i-1), A</w:t>
      </w:r>
      <w:r w:rsidRPr="00936C44">
        <w:rPr>
          <w:color w:val="000000"/>
          <w:szCs w:val="22"/>
        </w:rPr>
        <w:t>0</w:t>
      </w:r>
      <w:r>
        <w:rPr>
          <w:color w:val="000000"/>
          <w:szCs w:val="22"/>
        </w:rPr>
        <w:t xml:space="preserve"> is 0</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I</w:t>
      </w:r>
      <w:r w:rsidRPr="008678A7">
        <w:rPr>
          <w:color w:val="000000"/>
          <w:szCs w:val="22"/>
          <w:vertAlign w:val="subscript"/>
        </w:rPr>
        <w:t>i+1</w:t>
      </w:r>
      <w:r>
        <w:rPr>
          <w:color w:val="000000"/>
          <w:szCs w:val="22"/>
        </w:rPr>
        <w:tab/>
        <w:t>=</w:t>
      </w:r>
      <w:r w:rsidR="008678A7">
        <w:rPr>
          <w:color w:val="000000"/>
          <w:szCs w:val="22"/>
        </w:rPr>
        <w:tab/>
      </w:r>
      <w:r>
        <w:rPr>
          <w:color w:val="000000"/>
          <w:szCs w:val="22"/>
        </w:rPr>
        <w:t>additional percentage for the next round (round i+1)</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N</w:t>
      </w:r>
      <w:r>
        <w:rPr>
          <w:color w:val="000000"/>
          <w:szCs w:val="22"/>
        </w:rPr>
        <w:tab/>
        <w:t>=</w:t>
      </w:r>
      <w:r w:rsidR="00936C44">
        <w:rPr>
          <w:color w:val="000000"/>
          <w:szCs w:val="22"/>
        </w:rPr>
        <w:tab/>
      </w:r>
      <w:r>
        <w:rPr>
          <w:color w:val="000000"/>
          <w:szCs w:val="22"/>
        </w:rPr>
        <w:t>minimum additional percentage or floor</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M</w:t>
      </w:r>
      <w:r>
        <w:rPr>
          <w:color w:val="000000"/>
          <w:szCs w:val="22"/>
        </w:rPr>
        <w:tab/>
        <w:t>=</w:t>
      </w:r>
      <w:r w:rsidR="00936C44">
        <w:rPr>
          <w:color w:val="000000"/>
          <w:szCs w:val="22"/>
        </w:rPr>
        <w:tab/>
      </w:r>
      <w:r>
        <w:rPr>
          <w:color w:val="000000"/>
          <w:szCs w:val="22"/>
        </w:rPr>
        <w:t>maximum additional percentage or ceiling</w:t>
      </w:r>
    </w:p>
    <w:p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X</w:t>
      </w:r>
      <w:r w:rsidRPr="008678A7">
        <w:rPr>
          <w:color w:val="000000"/>
          <w:szCs w:val="22"/>
          <w:vertAlign w:val="subscript"/>
        </w:rPr>
        <w:t>i+1</w:t>
      </w:r>
      <w:r w:rsidRPr="00936C44">
        <w:rPr>
          <w:color w:val="000000"/>
          <w:szCs w:val="22"/>
        </w:rPr>
        <w:tab/>
      </w:r>
      <w:r>
        <w:rPr>
          <w:color w:val="000000"/>
          <w:szCs w:val="22"/>
        </w:rPr>
        <w:t>=</w:t>
      </w:r>
      <w:r w:rsidR="008678A7">
        <w:rPr>
          <w:color w:val="000000"/>
          <w:szCs w:val="22"/>
        </w:rPr>
        <w:tab/>
      </w:r>
      <w:r>
        <w:rPr>
          <w:color w:val="000000"/>
          <w:szCs w:val="22"/>
        </w:rPr>
        <w:t xml:space="preserve">dollar amount corresponding to the additional percentage </w:t>
      </w:r>
    </w:p>
    <w:p w:rsidR="00936C44" w:rsidRPr="00936C44"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Y</w:t>
      </w:r>
      <w:r w:rsidRPr="008678A7">
        <w:rPr>
          <w:color w:val="000000"/>
          <w:szCs w:val="22"/>
          <w:vertAlign w:val="subscript"/>
        </w:rPr>
        <w:t>i</w:t>
      </w:r>
      <w:r w:rsidRPr="00936C44">
        <w:rPr>
          <w:color w:val="000000"/>
          <w:szCs w:val="22"/>
        </w:rPr>
        <w:tab/>
      </w:r>
      <w:r>
        <w:rPr>
          <w:color w:val="000000"/>
          <w:szCs w:val="22"/>
        </w:rPr>
        <w:t>=</w:t>
      </w:r>
      <w:r w:rsidR="008678A7">
        <w:rPr>
          <w:color w:val="000000"/>
          <w:szCs w:val="22"/>
        </w:rPr>
        <w:tab/>
      </w:r>
      <w:r w:rsidR="00936C44" w:rsidRPr="00936C44">
        <w:rPr>
          <w:color w:val="000000"/>
          <w:szCs w:val="22"/>
        </w:rPr>
        <w:t xml:space="preserve">current price estimate (CPE) for the license from the current round  </w:t>
      </w:r>
    </w:p>
    <w:p w:rsidR="00EE52F3" w:rsidRDefault="00936C44" w:rsidP="008678A7">
      <w:pPr>
        <w:widowControl/>
        <w:suppressAutoHyphens/>
        <w:spacing w:line="360" w:lineRule="auto"/>
        <w:ind w:left="1440"/>
        <w:rPr>
          <w:color w:val="000000"/>
          <w:szCs w:val="22"/>
        </w:rPr>
      </w:pPr>
      <w:r w:rsidRPr="00936C44">
        <w:rPr>
          <w:color w:val="000000"/>
          <w:szCs w:val="22"/>
        </w:rPr>
        <w:t xml:space="preserve">(The CPE for a license is the provisionally winning bid, unless there is a provisionally winning package bid covering the license.  See Attachment </w:t>
      </w:r>
      <w:r w:rsidR="008678A7">
        <w:rPr>
          <w:color w:val="000000"/>
          <w:szCs w:val="22"/>
        </w:rPr>
        <w:t>B</w:t>
      </w:r>
      <w:r w:rsidRPr="00936C44">
        <w:rPr>
          <w:color w:val="000000"/>
          <w:szCs w:val="22"/>
        </w:rPr>
        <w:t xml:space="preserve"> for more information on CPEs.)  </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rPr>
          <w:color w:val="000000"/>
        </w:rPr>
      </w:pPr>
      <w:r>
        <w:rPr>
          <w:color w:val="000000"/>
        </w:rPr>
        <w:t>Examples</w:t>
      </w:r>
    </w:p>
    <w:p w:rsidR="00EE52F3" w:rsidRDefault="00EE52F3" w:rsidP="00EE52F3">
      <w:pPr>
        <w:widowControl/>
        <w:tabs>
          <w:tab w:val="left" w:pos="1080"/>
        </w:tabs>
        <w:rPr>
          <w:color w:val="000000"/>
        </w:rPr>
      </w:pPr>
    </w:p>
    <w:p w:rsidR="00EE52F3" w:rsidRDefault="00EE52F3" w:rsidP="00EE52F3">
      <w:pPr>
        <w:widowControl/>
        <w:tabs>
          <w:tab w:val="left" w:pos="1080"/>
        </w:tabs>
        <w:suppressAutoHyphens/>
        <w:rPr>
          <w:color w:val="000000"/>
          <w:szCs w:val="22"/>
        </w:rPr>
      </w:pPr>
      <w:r>
        <w:rPr>
          <w:color w:val="000000"/>
          <w:szCs w:val="22"/>
        </w:rPr>
        <w:t>C = 0.5, N = 0.1, M = 0.2</w:t>
      </w:r>
    </w:p>
    <w:p w:rsidR="00EE52F3" w:rsidRDefault="00EE52F3" w:rsidP="00EE52F3">
      <w:pPr>
        <w:widowControl/>
        <w:tabs>
          <w:tab w:val="left" w:pos="1080"/>
        </w:tabs>
        <w:suppressAutoHyphens/>
        <w:ind w:left="720"/>
        <w:rPr>
          <w:color w:val="000000"/>
          <w:szCs w:val="22"/>
        </w:rPr>
      </w:pPr>
      <w:r>
        <w:rPr>
          <w:color w:val="000000"/>
          <w:szCs w:val="22"/>
        </w:rPr>
        <w:t>Please note that these values are for illustrative purposes only and might not be the same as those used in the auction.</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p>
    <w:p w:rsidR="00EE52F3" w:rsidRDefault="00EE52F3" w:rsidP="00EE52F3">
      <w:pPr>
        <w:keepNext/>
        <w:keepLines/>
        <w:widowControl/>
        <w:tabs>
          <w:tab w:val="left" w:pos="1080"/>
        </w:tabs>
        <w:suppressAutoHyphens/>
        <w:rPr>
          <w:color w:val="000000"/>
          <w:szCs w:val="22"/>
        </w:rPr>
      </w:pPr>
      <w:r>
        <w:rPr>
          <w:color w:val="000000"/>
          <w:szCs w:val="22"/>
          <w:u w:val="single"/>
        </w:rPr>
        <w:t xml:space="preserve">Round 1 (2 bidders submitting bids, </w:t>
      </w:r>
      <w:r w:rsidR="006B73CE">
        <w:rPr>
          <w:color w:val="000000"/>
          <w:szCs w:val="22"/>
          <w:u w:val="single"/>
        </w:rPr>
        <w:t xml:space="preserve">CPE </w:t>
      </w:r>
      <w:r>
        <w:rPr>
          <w:color w:val="000000"/>
          <w:szCs w:val="22"/>
          <w:u w:val="single"/>
        </w:rPr>
        <w:t>= $1,000,000)</w:t>
      </w:r>
    </w:p>
    <w:p w:rsidR="00EE52F3" w:rsidRDefault="00EE52F3" w:rsidP="00EE52F3">
      <w:pPr>
        <w:keepNext/>
        <w:keepLines/>
        <w:widowControl/>
        <w:tabs>
          <w:tab w:val="left" w:pos="1080"/>
        </w:tabs>
        <w:suppressAutoHyphens/>
        <w:rPr>
          <w:color w:val="000000"/>
          <w:szCs w:val="22"/>
        </w:rPr>
      </w:pPr>
    </w:p>
    <w:p w:rsidR="00EE52F3" w:rsidRDefault="00EE52F3" w:rsidP="00EE52F3">
      <w:pPr>
        <w:keepNext/>
        <w:keepLines/>
        <w:widowControl/>
        <w:tabs>
          <w:tab w:val="left" w:pos="1080"/>
        </w:tabs>
        <w:suppressAutoHyphens/>
        <w:rPr>
          <w:color w:val="000000"/>
          <w:szCs w:val="22"/>
        </w:rPr>
      </w:pPr>
      <w:r>
        <w:rPr>
          <w:color w:val="000000"/>
          <w:szCs w:val="22"/>
        </w:rPr>
        <w:t>1. Calculation of additional percentage for round 2:</w:t>
      </w:r>
    </w:p>
    <w:p w:rsidR="00EE52F3" w:rsidRDefault="00EE52F3" w:rsidP="00EE52F3">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1</w:t>
      </w:r>
      <w:r>
        <w:rPr>
          <w:color w:val="000000"/>
          <w:szCs w:val="22"/>
        </w:rPr>
        <w:t xml:space="preserve"> </w:t>
      </w:r>
      <w:r>
        <w:rPr>
          <w:color w:val="000000"/>
          <w:szCs w:val="22"/>
        </w:rPr>
        <w:tab/>
        <w:t xml:space="preserve">= </w:t>
      </w:r>
      <w:r>
        <w:rPr>
          <w:color w:val="000000"/>
          <w:szCs w:val="22"/>
        </w:rPr>
        <w:tab/>
        <w:t>(0.5 * 2) + (0.5 * 0) = 1</w:t>
      </w:r>
    </w:p>
    <w:p w:rsidR="00EE52F3" w:rsidRDefault="00EE52F3" w:rsidP="00EE52F3">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The smaller of [((1 + 1) * 0.1) = 0.2] and 0.2 (the maximum additional percentage)</w:t>
      </w:r>
    </w:p>
    <w:p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r>
        <w:rPr>
          <w:color w:val="000000"/>
          <w:szCs w:val="22"/>
        </w:rPr>
        <w:t>2. Calculation of dollar amount associated with the additional percentage for round 2 (using I</w:t>
      </w:r>
      <w:r>
        <w:rPr>
          <w:color w:val="000000"/>
          <w:szCs w:val="22"/>
          <w:vertAlign w:val="subscript"/>
        </w:rPr>
        <w:t>2</w:t>
      </w:r>
      <w:r>
        <w:rPr>
          <w:color w:val="000000"/>
          <w:szCs w:val="22"/>
        </w:rPr>
        <w:t xml:space="preserve"> from above): </w:t>
      </w:r>
    </w:p>
    <w:p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0.2 * $1,000,000 = $200,000</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r>
        <w:rPr>
          <w:color w:val="000000"/>
          <w:szCs w:val="22"/>
        </w:rPr>
        <w:t>3. Minimum acceptable bid amount for round 2 = $1,200,000</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p>
    <w:p w:rsidR="00EE52F3" w:rsidRDefault="00EE52F3" w:rsidP="00EE52F3">
      <w:pPr>
        <w:keepNext/>
        <w:keepLines/>
        <w:widowControl/>
        <w:tabs>
          <w:tab w:val="left" w:pos="1080"/>
        </w:tabs>
        <w:suppressAutoHyphens/>
        <w:rPr>
          <w:color w:val="000000"/>
          <w:szCs w:val="22"/>
        </w:rPr>
      </w:pPr>
      <w:r>
        <w:rPr>
          <w:color w:val="000000"/>
          <w:szCs w:val="22"/>
          <w:u w:val="single"/>
        </w:rPr>
        <w:t xml:space="preserve">Round 2 (3 bidders submitting bids, </w:t>
      </w:r>
      <w:r w:rsidR="006B73CE">
        <w:rPr>
          <w:color w:val="000000"/>
          <w:szCs w:val="22"/>
          <w:u w:val="single"/>
        </w:rPr>
        <w:t>CPE</w:t>
      </w:r>
      <w:r>
        <w:rPr>
          <w:color w:val="000000"/>
          <w:szCs w:val="22"/>
          <w:u w:val="single"/>
        </w:rPr>
        <w:t xml:space="preserve"> = $2,000,000)</w:t>
      </w:r>
    </w:p>
    <w:p w:rsidR="00EE52F3" w:rsidRDefault="00EE52F3" w:rsidP="00EE52F3">
      <w:pPr>
        <w:keepNext/>
        <w:keepLines/>
        <w:widowControl/>
        <w:tabs>
          <w:tab w:val="left" w:pos="1080"/>
        </w:tabs>
        <w:suppressAutoHyphens/>
        <w:rPr>
          <w:color w:val="000000"/>
          <w:szCs w:val="22"/>
        </w:rPr>
      </w:pPr>
    </w:p>
    <w:p w:rsidR="00EE52F3" w:rsidRDefault="00EE52F3" w:rsidP="00EE52F3">
      <w:pPr>
        <w:keepNext/>
        <w:keepLines/>
        <w:widowControl/>
        <w:tabs>
          <w:tab w:val="left" w:pos="1080"/>
        </w:tabs>
        <w:suppressAutoHyphens/>
        <w:rPr>
          <w:color w:val="000000"/>
          <w:szCs w:val="22"/>
        </w:rPr>
      </w:pPr>
      <w:r>
        <w:rPr>
          <w:color w:val="000000"/>
          <w:szCs w:val="22"/>
        </w:rPr>
        <w:t>1. Calculation of additional percentage for round 3:</w:t>
      </w:r>
    </w:p>
    <w:p w:rsidR="00EE52F3" w:rsidRDefault="00EE52F3" w:rsidP="00EE52F3">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(0.5 * 3) + (0.5 * 1) = 2</w:t>
      </w:r>
    </w:p>
    <w:p w:rsidR="00EE52F3" w:rsidRDefault="00EE52F3" w:rsidP="00EE52F3">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 xml:space="preserve">3 </w:t>
      </w:r>
      <w:r>
        <w:rPr>
          <w:color w:val="000000"/>
          <w:szCs w:val="22"/>
          <w:vertAlign w:val="subscript"/>
        </w:rPr>
        <w:tab/>
      </w:r>
      <w:r>
        <w:rPr>
          <w:color w:val="000000"/>
          <w:szCs w:val="22"/>
        </w:rPr>
        <w:t xml:space="preserve">= </w:t>
      </w:r>
      <w:r>
        <w:rPr>
          <w:color w:val="000000"/>
          <w:szCs w:val="22"/>
        </w:rPr>
        <w:tab/>
        <w:t>The smaller of [((1 + 2) * 0.1) = 0.3] and 0.2 (the maximum additional percentage)</w:t>
      </w:r>
    </w:p>
    <w:p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r>
        <w:rPr>
          <w:color w:val="000000"/>
          <w:szCs w:val="22"/>
        </w:rPr>
        <w:t>2. Calculation of dollar amount associated with the additional percentage for round 3 (using I</w:t>
      </w:r>
      <w:r>
        <w:rPr>
          <w:color w:val="000000"/>
          <w:szCs w:val="22"/>
          <w:vertAlign w:val="subscript"/>
        </w:rPr>
        <w:t>3</w:t>
      </w:r>
      <w:r>
        <w:rPr>
          <w:color w:val="000000"/>
          <w:szCs w:val="22"/>
        </w:rPr>
        <w:t xml:space="preserve"> from above): </w:t>
      </w:r>
    </w:p>
    <w:p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3</w:t>
      </w:r>
      <w:r>
        <w:rPr>
          <w:color w:val="000000"/>
          <w:szCs w:val="22"/>
        </w:rPr>
        <w:t xml:space="preserve"> </w:t>
      </w:r>
      <w:r>
        <w:rPr>
          <w:color w:val="000000"/>
          <w:szCs w:val="22"/>
        </w:rPr>
        <w:tab/>
        <w:t xml:space="preserve">= </w:t>
      </w:r>
      <w:r>
        <w:rPr>
          <w:color w:val="000000"/>
          <w:szCs w:val="22"/>
        </w:rPr>
        <w:tab/>
        <w:t>0.2 * $2,000,000 = $400,000</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r>
        <w:rPr>
          <w:color w:val="000000"/>
          <w:szCs w:val="22"/>
        </w:rPr>
        <w:t>3. Minimum acceptable bid amount for round 3 = $2,400,000</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p>
    <w:p w:rsidR="00EE52F3" w:rsidRDefault="00EE52F3" w:rsidP="00EE52F3">
      <w:pPr>
        <w:keepNext/>
        <w:keepLines/>
        <w:widowControl/>
        <w:tabs>
          <w:tab w:val="left" w:pos="1080"/>
        </w:tabs>
        <w:suppressAutoHyphens/>
        <w:rPr>
          <w:color w:val="000000"/>
          <w:szCs w:val="22"/>
          <w:u w:val="single"/>
        </w:rPr>
      </w:pPr>
      <w:r>
        <w:rPr>
          <w:color w:val="000000"/>
          <w:szCs w:val="22"/>
          <w:u w:val="single"/>
        </w:rPr>
        <w:t xml:space="preserve">Round 3 (1 bidder submitting bids, </w:t>
      </w:r>
      <w:r w:rsidR="006B73CE">
        <w:rPr>
          <w:color w:val="000000"/>
          <w:szCs w:val="22"/>
          <w:u w:val="single"/>
        </w:rPr>
        <w:t>CPE</w:t>
      </w:r>
      <w:r>
        <w:rPr>
          <w:color w:val="000000"/>
          <w:szCs w:val="22"/>
          <w:u w:val="single"/>
        </w:rPr>
        <w:t xml:space="preserve"> = $2,400,000)</w:t>
      </w:r>
    </w:p>
    <w:p w:rsidR="00EE52F3" w:rsidRDefault="00EE52F3" w:rsidP="00EE52F3">
      <w:pPr>
        <w:keepNext/>
        <w:keepLines/>
        <w:widowControl/>
        <w:tabs>
          <w:tab w:val="left" w:pos="1080"/>
        </w:tabs>
        <w:suppressAutoHyphens/>
        <w:rPr>
          <w:color w:val="000000"/>
          <w:szCs w:val="22"/>
        </w:rPr>
      </w:pPr>
    </w:p>
    <w:p w:rsidR="00EE52F3" w:rsidRDefault="00EE52F3" w:rsidP="00EE52F3">
      <w:pPr>
        <w:keepNext/>
        <w:keepLines/>
        <w:widowControl/>
        <w:tabs>
          <w:tab w:val="left" w:pos="1080"/>
        </w:tabs>
        <w:suppressAutoHyphens/>
        <w:rPr>
          <w:color w:val="000000"/>
          <w:szCs w:val="22"/>
        </w:rPr>
      </w:pPr>
      <w:r>
        <w:rPr>
          <w:color w:val="000000"/>
          <w:szCs w:val="22"/>
        </w:rPr>
        <w:t>1. Calculation of additional percentage for round 4:</w:t>
      </w:r>
    </w:p>
    <w:p w:rsidR="00EE52F3" w:rsidRDefault="00EE52F3" w:rsidP="00EE52F3">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3</w:t>
      </w:r>
      <w:r>
        <w:rPr>
          <w:color w:val="000000"/>
          <w:szCs w:val="22"/>
        </w:rPr>
        <w:t xml:space="preserve"> </w:t>
      </w:r>
      <w:r>
        <w:rPr>
          <w:color w:val="000000"/>
          <w:szCs w:val="22"/>
        </w:rPr>
        <w:tab/>
        <w:t xml:space="preserve">= </w:t>
      </w:r>
      <w:r>
        <w:rPr>
          <w:color w:val="000000"/>
          <w:szCs w:val="22"/>
        </w:rPr>
        <w:tab/>
        <w:t>(0.5 * 1) + (0.5 * 2) = 1.5</w:t>
      </w:r>
    </w:p>
    <w:p w:rsidR="00EE52F3" w:rsidRDefault="00EE52F3" w:rsidP="00EE52F3">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 xml:space="preserve">4 </w:t>
      </w:r>
      <w:r>
        <w:rPr>
          <w:color w:val="000000"/>
          <w:szCs w:val="22"/>
          <w:vertAlign w:val="subscript"/>
        </w:rPr>
        <w:tab/>
      </w:r>
      <w:r>
        <w:rPr>
          <w:color w:val="000000"/>
          <w:szCs w:val="22"/>
        </w:rPr>
        <w:t xml:space="preserve">= </w:t>
      </w:r>
      <w:r>
        <w:rPr>
          <w:color w:val="000000"/>
          <w:szCs w:val="22"/>
        </w:rPr>
        <w:tab/>
        <w:t>The smaller of [((1 + 1.5) * 0.1) = 0.25] and 0.2 (the maximum additional percentage)</w:t>
      </w:r>
    </w:p>
    <w:p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suppressAutoHyphens/>
        <w:rPr>
          <w:color w:val="000000"/>
          <w:szCs w:val="22"/>
        </w:rPr>
      </w:pPr>
      <w:r>
        <w:rPr>
          <w:color w:val="000000"/>
          <w:szCs w:val="22"/>
        </w:rPr>
        <w:t>2. Calculation of dollar amount associated with the additional percentage for round 4 (using I</w:t>
      </w:r>
      <w:r>
        <w:rPr>
          <w:color w:val="000000"/>
          <w:szCs w:val="22"/>
          <w:vertAlign w:val="subscript"/>
        </w:rPr>
        <w:t>4</w:t>
      </w:r>
      <w:r>
        <w:rPr>
          <w:color w:val="000000"/>
          <w:szCs w:val="22"/>
        </w:rPr>
        <w:t xml:space="preserve"> from above): </w:t>
      </w:r>
    </w:p>
    <w:p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 xml:space="preserve">4 </w:t>
      </w:r>
      <w:r>
        <w:rPr>
          <w:color w:val="000000"/>
          <w:szCs w:val="22"/>
          <w:vertAlign w:val="subscript"/>
        </w:rPr>
        <w:tab/>
      </w:r>
      <w:r>
        <w:rPr>
          <w:color w:val="000000"/>
          <w:szCs w:val="22"/>
        </w:rPr>
        <w:t xml:space="preserve">= </w:t>
      </w:r>
      <w:r>
        <w:rPr>
          <w:color w:val="000000"/>
          <w:szCs w:val="22"/>
        </w:rPr>
        <w:tab/>
        <w:t>0.2 * $2,400,000 = $480,000</w:t>
      </w:r>
    </w:p>
    <w:p w:rsidR="00EE52F3" w:rsidRDefault="00EE52F3" w:rsidP="00EE52F3">
      <w:pPr>
        <w:widowControl/>
        <w:tabs>
          <w:tab w:val="left" w:pos="1080"/>
        </w:tabs>
        <w:suppressAutoHyphens/>
        <w:rPr>
          <w:color w:val="000000"/>
          <w:szCs w:val="22"/>
        </w:rPr>
      </w:pPr>
    </w:p>
    <w:p w:rsidR="00EE52F3" w:rsidRDefault="00EE52F3" w:rsidP="00EE52F3">
      <w:pPr>
        <w:widowControl/>
        <w:tabs>
          <w:tab w:val="left" w:pos="1080"/>
        </w:tabs>
      </w:pPr>
      <w:r>
        <w:rPr>
          <w:color w:val="000000"/>
          <w:szCs w:val="22"/>
        </w:rPr>
        <w:t>3. Minimum acceptable bid amount for round 4 = $2,880,000</w:t>
      </w:r>
    </w:p>
    <w:p w:rsidR="005A7B05" w:rsidRDefault="005A7B05" w:rsidP="006B73CE">
      <w:pPr>
        <w:widowControl/>
        <w:suppressAutoHyphens/>
      </w:pPr>
    </w:p>
    <w:p w:rsidR="006B73CE" w:rsidRDefault="006B73CE" w:rsidP="006B73CE">
      <w:pPr>
        <w:widowControl/>
        <w:suppressAutoHyphens/>
      </w:pPr>
    </w:p>
    <w:p w:rsidR="006B73CE" w:rsidRPr="00CA6286" w:rsidRDefault="006B73CE" w:rsidP="006B73CE">
      <w:pPr>
        <w:widowControl/>
      </w:pPr>
      <w:r w:rsidRPr="00CA6286">
        <w:rPr>
          <w:szCs w:val="22"/>
          <w:u w:val="single"/>
        </w:rPr>
        <w:t>For packages</w:t>
      </w:r>
      <w:r w:rsidRPr="00CA6286">
        <w:rPr>
          <w:szCs w:val="22"/>
        </w:rPr>
        <w:t>, the minimum acceptable bid amount is the sum of the minimum acceptable bid amounts for the licenses in the package.</w:t>
      </w:r>
    </w:p>
    <w:p w:rsidR="006B73CE" w:rsidRPr="001D1C06" w:rsidRDefault="006B73CE" w:rsidP="001D1C06">
      <w:pPr>
        <w:widowControl/>
        <w:suppressAutoHyphens/>
      </w:pPr>
    </w:p>
    <w:sectPr w:rsidR="006B73CE" w:rsidRPr="001D1C06" w:rsidSect="001D1C06">
      <w:footerReference w:type="default" r:id="rId25"/>
      <w:endnotePr>
        <w:numFmt w:val="decimal"/>
      </w:endnotePr>
      <w:pgSz w:w="12240" w:h="15840" w:code="1"/>
      <w:pgMar w:top="1440" w:right="1440" w:bottom="1008" w:left="1440" w:header="720" w:footer="50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5B" w:rsidRDefault="00C37E5B">
      <w:pPr>
        <w:spacing w:line="20" w:lineRule="exact"/>
      </w:pPr>
    </w:p>
  </w:endnote>
  <w:endnote w:type="continuationSeparator" w:id="0">
    <w:p w:rsidR="00C37E5B" w:rsidRDefault="00C37E5B">
      <w:r>
        <w:t xml:space="preserve"> </w:t>
      </w:r>
    </w:p>
  </w:endnote>
  <w:endnote w:type="continuationNotice" w:id="1">
    <w:p w:rsidR="00C37E5B" w:rsidRDefault="00C37E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Bookman Old Style"/>
    <w:panose1 w:val="02020803070505020304"/>
    <w:charset w:val="00"/>
    <w:family w:val="auto"/>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E9" w:rsidRDefault="00C04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Default="00C37E5B" w:rsidP="00E040CC">
    <w:pPr>
      <w:pStyle w:val="Footer"/>
      <w:jc w:val="center"/>
    </w:pPr>
    <w:r>
      <w:tab/>
    </w:r>
    <w:r>
      <w:fldChar w:fldCharType="begin"/>
    </w:r>
    <w:r>
      <w:instrText xml:space="preserve"> PAGE   \* MERGEFORMAT </w:instrText>
    </w:r>
    <w:r>
      <w:fldChar w:fldCharType="separate"/>
    </w:r>
    <w:r w:rsidR="00C407CF">
      <w:rPr>
        <w:noProof/>
      </w:rPr>
      <w:t>2</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E9" w:rsidRDefault="00C041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Default="00C37E5B" w:rsidP="00E040CC">
    <w:pPr>
      <w:pStyle w:val="Footer"/>
      <w:jc w:val="center"/>
    </w:pPr>
    <w:r>
      <w:tab/>
      <w:t>A-</w:t>
    </w:r>
    <w:r>
      <w:fldChar w:fldCharType="begin"/>
    </w:r>
    <w:r>
      <w:instrText xml:space="preserve"> PAGE   \* MERGEFORMAT </w:instrText>
    </w:r>
    <w:r>
      <w:fldChar w:fldCharType="separate"/>
    </w:r>
    <w:r w:rsidR="006C43A6">
      <w:rPr>
        <w:noProof/>
      </w:rPr>
      <w:t>1</w:t>
    </w:r>
    <w:r>
      <w:rPr>
        <w:noProof/>
      </w:rPr>
      <w:fldChar w:fldCharType="end"/>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Default="00C37E5B" w:rsidP="00E040CC">
    <w:pPr>
      <w:pStyle w:val="Footer"/>
      <w:jc w:val="center"/>
    </w:pPr>
    <w:r>
      <w:tab/>
      <w:t>B-</w:t>
    </w:r>
    <w:r>
      <w:fldChar w:fldCharType="begin"/>
    </w:r>
    <w:r>
      <w:instrText xml:space="preserve"> PAGE   \* MERGEFORMAT </w:instrText>
    </w:r>
    <w:r>
      <w:fldChar w:fldCharType="separate"/>
    </w:r>
    <w:r w:rsidR="006C43A6">
      <w:rPr>
        <w:noProof/>
      </w:rPr>
      <w:t>3</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Default="00C37E5B" w:rsidP="00E040CC">
    <w:pPr>
      <w:pStyle w:val="Footer"/>
      <w:jc w:val="center"/>
    </w:pPr>
    <w:r>
      <w:tab/>
      <w:t>C-</w:t>
    </w:r>
    <w:r>
      <w:fldChar w:fldCharType="begin"/>
    </w:r>
    <w:r>
      <w:instrText xml:space="preserve"> PAGE   \* MERGEFORMAT </w:instrText>
    </w:r>
    <w:r>
      <w:fldChar w:fldCharType="separate"/>
    </w:r>
    <w:r w:rsidR="006C43A6">
      <w:rPr>
        <w:noProof/>
      </w:rPr>
      <w:t>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5B" w:rsidRDefault="00C37E5B">
      <w:r>
        <w:separator/>
      </w:r>
    </w:p>
  </w:footnote>
  <w:footnote w:type="continuationSeparator" w:id="0">
    <w:p w:rsidR="00C37E5B" w:rsidRDefault="00C37E5B">
      <w:pPr>
        <w:rPr>
          <w:sz w:val="20"/>
        </w:rPr>
      </w:pPr>
      <w:r>
        <w:rPr>
          <w:sz w:val="20"/>
        </w:rPr>
        <w:t xml:space="preserve">(Continued from previous page)  </w:t>
      </w:r>
      <w:r>
        <w:rPr>
          <w:sz w:val="20"/>
        </w:rPr>
        <w:separator/>
      </w:r>
    </w:p>
  </w:footnote>
  <w:footnote w:type="continuationNotice" w:id="1">
    <w:p w:rsidR="00C37E5B" w:rsidRDefault="00C37E5B">
      <w:pPr>
        <w:rPr>
          <w:sz w:val="20"/>
        </w:rPr>
      </w:pPr>
      <w:r>
        <w:rPr>
          <w:sz w:val="20"/>
        </w:rPr>
        <w:t>(continued….)</w:t>
      </w:r>
    </w:p>
  </w:footnote>
  <w:footnote w:id="2">
    <w:p w:rsidR="00C37E5B" w:rsidRPr="004B1086" w:rsidRDefault="00C37E5B" w:rsidP="00F17609">
      <w:pPr>
        <w:pStyle w:val="FootnoteText"/>
        <w:rPr>
          <w:highlight w:val="cyan"/>
        </w:rPr>
      </w:pPr>
      <w:r w:rsidRPr="004B1086">
        <w:rPr>
          <w:rStyle w:val="FootnoteReference"/>
          <w:sz w:val="20"/>
        </w:rPr>
        <w:footnoteRef/>
      </w:r>
      <w:r>
        <w:t xml:space="preserve"> Service Rules for the Advanced Wireless Services H Block—Implementing Section 6401 of the Middle Class Tax Relief and Job Creation Act of 2012 Related to the 1915-1920 MHz and 1995-2000 MHz Bands, WT Docket No. 12-357, </w:t>
      </w:r>
      <w:r>
        <w:rPr>
          <w:i/>
        </w:rPr>
        <w:t>Report and Order</w:t>
      </w:r>
      <w:r>
        <w:t xml:space="preserve">, FCC 13-88 (rel. Jun. </w:t>
      </w:r>
      <w:r w:rsidRPr="00FE09D3">
        <w:t>27,</w:t>
      </w:r>
      <w:r>
        <w:t xml:space="preserve"> 2013) (</w:t>
      </w:r>
      <w:r>
        <w:rPr>
          <w:i/>
        </w:rPr>
        <w:t>H Block Report and Order</w:t>
      </w:r>
      <w:r>
        <w:t>)</w:t>
      </w:r>
      <w:r w:rsidRPr="004B1086">
        <w:t xml:space="preserve">.  </w:t>
      </w:r>
      <w:r w:rsidRPr="00616591">
        <w:t xml:space="preserve">All references to the Part 27 rules adopted </w:t>
      </w:r>
      <w:r>
        <w:t xml:space="preserve">by the Commission </w:t>
      </w:r>
      <w:r w:rsidRPr="00616591">
        <w:t xml:space="preserve">in the </w:t>
      </w:r>
      <w:r w:rsidRPr="00616591">
        <w:rPr>
          <w:i/>
        </w:rPr>
        <w:t xml:space="preserve">H Block Report and Order </w:t>
      </w:r>
      <w:r w:rsidRPr="00616591">
        <w:t xml:space="preserve">and cited herein will become effective on the dates announced in the Federal Register Notice regarding the </w:t>
      </w:r>
      <w:r w:rsidRPr="00616591">
        <w:rPr>
          <w:i/>
        </w:rPr>
        <w:t>H Block Report and Order</w:t>
      </w:r>
      <w:r w:rsidRPr="00616591">
        <w:t>.</w:t>
      </w:r>
    </w:p>
  </w:footnote>
  <w:footnote w:id="3">
    <w:p w:rsidR="00C37E5B" w:rsidRDefault="00C37E5B">
      <w:pPr>
        <w:pStyle w:val="FootnoteText"/>
      </w:pPr>
      <w:r>
        <w:rPr>
          <w:rStyle w:val="FootnoteReference"/>
        </w:rPr>
        <w:footnoteRef/>
      </w:r>
      <w:r>
        <w:t xml:space="preserve"> </w:t>
      </w:r>
      <w:r>
        <w:rPr>
          <w:i/>
          <w:iCs/>
        </w:rPr>
        <w:t>See</w:t>
      </w:r>
      <w:r>
        <w:t xml:space="preserve"> Middle Class Tax Relief and Job Creation Act of 2012, Pub. L. No. 112-96, 126 Stat. 156 (2012) (Spectrum Act).</w:t>
      </w:r>
    </w:p>
  </w:footnote>
  <w:footnote w:id="4">
    <w:p w:rsidR="00C37E5B" w:rsidRPr="00964862" w:rsidRDefault="00C37E5B">
      <w:pPr>
        <w:pStyle w:val="FootnoteText"/>
        <w:rPr>
          <w:i/>
        </w:rPr>
      </w:pPr>
      <w:r>
        <w:rPr>
          <w:rStyle w:val="FootnoteReference"/>
        </w:rPr>
        <w:footnoteRef/>
      </w:r>
      <w:r>
        <w:t xml:space="preserve"> Spectrum Act, § 6401(b), codified at 47 U.S.C. § 1451(b).  The Commission concluded in the </w:t>
      </w:r>
      <w:r>
        <w:rPr>
          <w:i/>
        </w:rPr>
        <w:t>H Block Report and Order</w:t>
      </w:r>
      <w:r>
        <w:t xml:space="preserve"> that both blocks of the H Block spectrum are already allocated for non-Federal Fixed and Mobile use on a primary basis, with their present spectrum pairing, and that no further action to allocate the frequencies in the H Block bands for commercial use is necessary to meet the Spectrum Act’s allocation requirements.  </w:t>
      </w:r>
      <w:r>
        <w:rPr>
          <w:i/>
        </w:rPr>
        <w:t>See H Block Report and Order</w:t>
      </w:r>
      <w:r>
        <w:t xml:space="preserve"> </w:t>
      </w:r>
      <w:r w:rsidRPr="00964862">
        <w:t xml:space="preserve">at </w:t>
      </w:r>
      <w:r>
        <w:t xml:space="preserve">¶ </w:t>
      </w:r>
      <w:r w:rsidRPr="00982A8E">
        <w:t>14</w:t>
      </w:r>
      <w:r>
        <w:t xml:space="preserve">.  </w:t>
      </w:r>
      <w:r w:rsidRPr="002220FF">
        <w:rPr>
          <w:i/>
        </w:rPr>
        <w:t>See</w:t>
      </w:r>
      <w:r w:rsidRPr="002220FF">
        <w:t xml:space="preserve"> </w:t>
      </w:r>
      <w:r w:rsidRPr="005F0BC4">
        <w:rPr>
          <w:i/>
        </w:rPr>
        <w:t xml:space="preserve">also </w:t>
      </w:r>
      <w:r w:rsidRPr="002220FF">
        <w:t>Amendment of Part 2 of the Commission’s Rules to Allocate Spectrum Below 3</w:t>
      </w:r>
      <w:r>
        <w:t> </w:t>
      </w:r>
      <w:r w:rsidRPr="002220FF">
        <w:t xml:space="preserve">GHz for Mobile and Fixed Services to Support the Introduction of New Advanced Wireless Services, including Third Generation Wireless Systems, ET Docket No. 00-258, </w:t>
      </w:r>
      <w:r>
        <w:t xml:space="preserve">RM-9498, RM-10024, </w:t>
      </w:r>
      <w:r w:rsidRPr="002220FF">
        <w:rPr>
          <w:i/>
        </w:rPr>
        <w:t>Third Report and Order, Third Notice of Proposed Rulemaking and Second Memorandum Opinion and Order</w:t>
      </w:r>
      <w:r w:rsidRPr="002220FF">
        <w:t xml:space="preserve">, </w:t>
      </w:r>
      <w:r w:rsidRPr="0049456A">
        <w:t>18 FCC Rcd 2223</w:t>
      </w:r>
      <w:r>
        <w:t>, 2238 ¶ 28</w:t>
      </w:r>
      <w:r w:rsidRPr="002220FF">
        <w:t xml:space="preserve"> (2003)</w:t>
      </w:r>
      <w:r>
        <w:t xml:space="preserve">; </w:t>
      </w:r>
      <w:r w:rsidRPr="002220FF">
        <w:t xml:space="preserve">Amendment of Part 2 of the Commission’s Rules to Allocate Spectrum Below 3 GHz for Mobile and Fixed Services to Support the Introduction of New Advanced Wireless Services, Including Third Generation Wireless Systems, ET Docket No. 00-258, </w:t>
      </w:r>
      <w:r>
        <w:t xml:space="preserve">IB Docket No. 99-81, </w:t>
      </w:r>
      <w:r w:rsidRPr="002220FF">
        <w:rPr>
          <w:i/>
        </w:rPr>
        <w:t>Sixth Report and Order, Third</w:t>
      </w:r>
      <w:r w:rsidRPr="002220FF">
        <w:t xml:space="preserve"> </w:t>
      </w:r>
      <w:r w:rsidRPr="002220FF">
        <w:rPr>
          <w:i/>
        </w:rPr>
        <w:t>Memorandum Opinion and Order and Fifth Memorandum Opinion and Order</w:t>
      </w:r>
      <w:r w:rsidRPr="002220FF">
        <w:t xml:space="preserve">, 19 FCC Rcd </w:t>
      </w:r>
      <w:r w:rsidRPr="0049456A">
        <w:t>20720</w:t>
      </w:r>
      <w:r>
        <w:t>, 20722 ¶ 1</w:t>
      </w:r>
      <w:r w:rsidRPr="002220FF">
        <w:t xml:space="preserve"> (2004).  </w:t>
      </w:r>
    </w:p>
  </w:footnote>
  <w:footnote w:id="5">
    <w:p w:rsidR="00C37E5B" w:rsidRPr="006C2987" w:rsidRDefault="00C37E5B">
      <w:pPr>
        <w:pStyle w:val="FootnoteText"/>
      </w:pPr>
      <w:r>
        <w:rPr>
          <w:rStyle w:val="FootnoteReference"/>
        </w:rPr>
        <w:footnoteRef/>
      </w:r>
      <w:r>
        <w:t xml:space="preserve"> </w:t>
      </w:r>
      <w:r>
        <w:rPr>
          <w:i/>
        </w:rPr>
        <w:t xml:space="preserve">See H Block Report and Order </w:t>
      </w:r>
      <w:r>
        <w:t xml:space="preserve">at ¶¶ </w:t>
      </w:r>
      <w:r w:rsidRPr="008C59D6">
        <w:t>37, 45</w:t>
      </w:r>
      <w:r>
        <w:t>.</w:t>
      </w:r>
    </w:p>
  </w:footnote>
  <w:footnote w:id="6">
    <w:p w:rsidR="00C37E5B" w:rsidRPr="003379D8" w:rsidRDefault="00C37E5B">
      <w:pPr>
        <w:pStyle w:val="FootnoteText"/>
      </w:pPr>
      <w:r>
        <w:rPr>
          <w:rStyle w:val="FootnoteReference"/>
        </w:rPr>
        <w:footnoteRef/>
      </w:r>
      <w:r>
        <w:t xml:space="preserve"> </w:t>
      </w:r>
      <w:r>
        <w:rPr>
          <w:i/>
        </w:rPr>
        <w:t>See id</w:t>
      </w:r>
      <w:r>
        <w:t>. at ¶¶ 28-29.</w:t>
      </w:r>
    </w:p>
  </w:footnote>
  <w:footnote w:id="7">
    <w:p w:rsidR="00C37E5B" w:rsidRPr="00211FAE" w:rsidRDefault="00C37E5B" w:rsidP="00CA036A">
      <w:pPr>
        <w:pStyle w:val="FootnoteText"/>
      </w:pPr>
      <w:r>
        <w:rPr>
          <w:rStyle w:val="FootnoteReference"/>
        </w:rPr>
        <w:footnoteRef/>
      </w:r>
      <w:r>
        <w:t xml:space="preserve"> </w:t>
      </w:r>
      <w:r>
        <w:rPr>
          <w:i/>
        </w:rPr>
        <w:t xml:space="preserve">See H Block Report and Order </w:t>
      </w:r>
      <w:r>
        <w:t xml:space="preserve">at Section II.B (Cost Sharing Obligations).  For background information related to past clearing of Lower H Block incumbents, </w:t>
      </w:r>
      <w:r>
        <w:rPr>
          <w:i/>
        </w:rPr>
        <w:t>see id</w:t>
      </w:r>
      <w:r>
        <w:t xml:space="preserve">. at ¶¶ 157-58.  For background information related to past clearing of the Upper H Block incumbents, </w:t>
      </w:r>
      <w:r>
        <w:rPr>
          <w:i/>
        </w:rPr>
        <w:t>see id</w:t>
      </w:r>
      <w:r>
        <w:t>. at ¶ 159.</w:t>
      </w:r>
    </w:p>
  </w:footnote>
  <w:footnote w:id="8">
    <w:p w:rsidR="00C37E5B" w:rsidRPr="003107CE" w:rsidRDefault="00C37E5B" w:rsidP="00DA509C">
      <w:pPr>
        <w:pStyle w:val="FootnoteText"/>
      </w:pPr>
      <w:r>
        <w:rPr>
          <w:rStyle w:val="FootnoteReference"/>
        </w:rPr>
        <w:footnoteRef/>
      </w:r>
      <w:r>
        <w:t xml:space="preserve"> </w:t>
      </w:r>
      <w:r>
        <w:rPr>
          <w:i/>
        </w:rPr>
        <w:t>See</w:t>
      </w:r>
      <w:r>
        <w:t xml:space="preserve">, </w:t>
      </w:r>
      <w:r>
        <w:rPr>
          <w:i/>
        </w:rPr>
        <w:t>e.g.</w:t>
      </w:r>
      <w:r>
        <w:t>,</w:t>
      </w:r>
      <w:r>
        <w:rPr>
          <w:i/>
        </w:rPr>
        <w:t xml:space="preserve"> H Block Report and Order</w:t>
      </w:r>
      <w:r>
        <w:t xml:space="preserve"> at ¶ 15</w:t>
      </w:r>
      <w:r w:rsidRPr="00B47790">
        <w:t>7</w:t>
      </w:r>
      <w:r>
        <w:rPr>
          <w:i/>
        </w:rPr>
        <w:t xml:space="preserve"> </w:t>
      </w:r>
      <w:r w:rsidRPr="00A12815">
        <w:t>n.483</w:t>
      </w:r>
      <w:r>
        <w:t>,</w:t>
      </w:r>
      <w:r>
        <w:rPr>
          <w:i/>
        </w:rPr>
        <w:t xml:space="preserve"> citing Emerging Technologies </w:t>
      </w:r>
      <w:r>
        <w:t>proceeding.</w:t>
      </w:r>
    </w:p>
  </w:footnote>
  <w:footnote w:id="9">
    <w:p w:rsidR="00C37E5B" w:rsidRPr="00B27B1A" w:rsidRDefault="00C37E5B">
      <w:pPr>
        <w:pStyle w:val="FootnoteText"/>
      </w:pPr>
      <w:r>
        <w:rPr>
          <w:rStyle w:val="FootnoteReference"/>
        </w:rPr>
        <w:footnoteRef/>
      </w:r>
      <w:r>
        <w:t xml:space="preserve"> </w:t>
      </w:r>
      <w:r>
        <w:rPr>
          <w:i/>
        </w:rPr>
        <w:t xml:space="preserve">See id. </w:t>
      </w:r>
      <w:r>
        <w:t xml:space="preserve">at ¶¶ 167-73. The Commission made clear in the </w:t>
      </w:r>
      <w:r>
        <w:rPr>
          <w:i/>
        </w:rPr>
        <w:t>H Block Report and Order</w:t>
      </w:r>
      <w:r>
        <w:t xml:space="preserve"> </w:t>
      </w:r>
      <w:r>
        <w:rPr>
          <w:color w:val="000000"/>
          <w:szCs w:val="22"/>
        </w:rPr>
        <w:t xml:space="preserve">that winning bidders in the first auction offering H Block licenses may not seek reimbursement from other H Block licensees, including for licenses awarded in subsequent auctions.  </w:t>
      </w:r>
      <w:r w:rsidRPr="004E4ACB">
        <w:rPr>
          <w:i/>
          <w:color w:val="000000"/>
          <w:szCs w:val="22"/>
        </w:rPr>
        <w:t>Id</w:t>
      </w:r>
      <w:r>
        <w:rPr>
          <w:color w:val="000000"/>
          <w:szCs w:val="22"/>
        </w:rPr>
        <w:t xml:space="preserve">. at </w:t>
      </w:r>
      <w:r>
        <w:t>¶ 168</w:t>
      </w:r>
      <w:r>
        <w:rPr>
          <w:color w:val="000000"/>
          <w:szCs w:val="22"/>
        </w:rPr>
        <w:t xml:space="preserve">.  </w:t>
      </w:r>
    </w:p>
  </w:footnote>
  <w:footnote w:id="10">
    <w:p w:rsidR="00C37E5B" w:rsidRDefault="00C37E5B" w:rsidP="00377CB7">
      <w:pPr>
        <w:pStyle w:val="FootnoteText"/>
        <w:spacing w:before="120"/>
      </w:pPr>
      <w:r>
        <w:rPr>
          <w:rStyle w:val="FootnoteReference"/>
        </w:rPr>
        <w:footnoteRef/>
      </w:r>
      <w:r>
        <w:t xml:space="preserve"> </w:t>
      </w:r>
      <w:r>
        <w:rPr>
          <w:i/>
        </w:rPr>
        <w:t xml:space="preserve">See </w:t>
      </w:r>
      <w:r>
        <w:t xml:space="preserve">47 C.F.R. § 27.102(a).  </w:t>
      </w:r>
      <w:r>
        <w:rPr>
          <w:i/>
        </w:rPr>
        <w:t xml:space="preserve">See also </w:t>
      </w:r>
      <w:r w:rsidRPr="00A12815">
        <w:rPr>
          <w:i/>
        </w:rPr>
        <w:t xml:space="preserve"> </w:t>
      </w:r>
      <w:r>
        <w:rPr>
          <w:i/>
        </w:rPr>
        <w:t>H Block Report and Order</w:t>
      </w:r>
      <w:r>
        <w:t xml:space="preserve"> at ¶¶ 167-73.  The Commission noted that $12,629,857 is the amount UTAM has identified as the amount collectively owed to UTAM by future Lower H Block licensees for UTAM’s clearing of the 1910-1930 MHz band; that is, this amount represents one-fourth of UTAM’s total reimbursable clearing costs for the entire 1910-1930 MHz band.  </w:t>
      </w:r>
      <w:r>
        <w:rPr>
          <w:i/>
        </w:rPr>
        <w:t xml:space="preserve">See H Block Report and Order </w:t>
      </w:r>
      <w:r>
        <w:t>at ¶ 158</w:t>
      </w:r>
      <w:r w:rsidRPr="00A42A76">
        <w:t xml:space="preserve"> n.</w:t>
      </w:r>
      <w:r>
        <w:t xml:space="preserve"> 491.  </w:t>
      </w:r>
    </w:p>
  </w:footnote>
  <w:footnote w:id="11">
    <w:p w:rsidR="00C37E5B" w:rsidRDefault="00C37E5B">
      <w:pPr>
        <w:pStyle w:val="FootnoteText"/>
      </w:pPr>
      <w:r>
        <w:rPr>
          <w:rStyle w:val="FootnoteReference"/>
        </w:rPr>
        <w:footnoteRef/>
      </w:r>
      <w:r>
        <w:t xml:space="preserve"> </w:t>
      </w:r>
      <w:r>
        <w:rPr>
          <w:i/>
        </w:rPr>
        <w:t xml:space="preserve">See </w:t>
      </w:r>
      <w:r>
        <w:t xml:space="preserve">47 C.F.R. § 27.1031(a).  </w:t>
      </w:r>
      <w:r>
        <w:rPr>
          <w:i/>
        </w:rPr>
        <w:t>See also H Block Report and Order</w:t>
      </w:r>
      <w:r>
        <w:t xml:space="preserve"> at ¶¶ 158-59.  The Commission noted that Sprint has stated that the </w:t>
      </w:r>
      <w:r>
        <w:rPr>
          <w:i/>
        </w:rPr>
        <w:t>pro rata</w:t>
      </w:r>
      <w:r>
        <w:t xml:space="preserve"> share of the overall Broadcast Auxiliary Service (BAS) relocation costs attributable to each five megahertz of relocated BAS spectrum amounts to $94,875,516.  </w:t>
      </w:r>
      <w:r>
        <w:rPr>
          <w:i/>
        </w:rPr>
        <w:t>See H Block Report and Order</w:t>
      </w:r>
      <w:r>
        <w:t xml:space="preserve"> at ¶ 159 n.496.</w:t>
      </w:r>
    </w:p>
  </w:footnote>
  <w:footnote w:id="12">
    <w:p w:rsidR="00C37E5B" w:rsidRDefault="00C37E5B" w:rsidP="00BF551A">
      <w:pPr>
        <w:pStyle w:val="FootnoteText"/>
      </w:pPr>
      <w:r>
        <w:rPr>
          <w:rStyle w:val="FootnoteReference"/>
        </w:rPr>
        <w:footnoteRef/>
      </w:r>
      <w:r>
        <w:t xml:space="preserve"> </w:t>
      </w:r>
      <w:r>
        <w:rPr>
          <w:i/>
        </w:rPr>
        <w:t xml:space="preserve">See </w:t>
      </w:r>
      <w:r>
        <w:t xml:space="preserve">47 C.F.R. §§ 27.2021(e), 27.1031(e), 27.1041(b).  </w:t>
      </w:r>
      <w:r>
        <w:rPr>
          <w:i/>
        </w:rPr>
        <w:t xml:space="preserve">See also H Block Report and Order </w:t>
      </w:r>
      <w:r>
        <w:t>at ¶¶ 170-73.</w:t>
      </w:r>
    </w:p>
  </w:footnote>
  <w:footnote w:id="13">
    <w:p w:rsidR="00C37E5B" w:rsidRPr="00714A8B" w:rsidRDefault="00C37E5B" w:rsidP="00714A8B">
      <w:pPr>
        <w:pStyle w:val="FootnoteText"/>
        <w:spacing w:before="120" w:after="0"/>
      </w:pPr>
      <w:r>
        <w:rPr>
          <w:rStyle w:val="FootnoteReference"/>
        </w:rPr>
        <w:footnoteRef/>
      </w:r>
      <w:r>
        <w:t xml:space="preserve"> </w:t>
      </w:r>
      <w:r>
        <w:rPr>
          <w:i/>
        </w:rPr>
        <w:t xml:space="preserve">See H Block Report and Order </w:t>
      </w:r>
      <w:r>
        <w:t xml:space="preserve">at ¶¶ 163, 168.  In such a scenario the population would be measured using 2010 Census data, which is the most recent decennial census data.  </w:t>
      </w:r>
      <w:r>
        <w:rPr>
          <w:i/>
        </w:rPr>
        <w:t>Id.</w:t>
      </w:r>
      <w:r>
        <w:t xml:space="preserve"> at ¶ 168</w:t>
      </w:r>
      <w:r w:rsidRPr="00D93250">
        <w:t xml:space="preserve"> n. </w:t>
      </w:r>
      <w:r>
        <w:t>528.</w:t>
      </w:r>
    </w:p>
  </w:footnote>
  <w:footnote w:id="14">
    <w:p w:rsidR="00C37E5B" w:rsidRPr="00AB79B6" w:rsidRDefault="00C37E5B" w:rsidP="00AC3CFD">
      <w:pPr>
        <w:pStyle w:val="FootnoteText"/>
        <w:spacing w:before="120" w:after="0"/>
        <w:rPr>
          <w:i/>
        </w:rPr>
      </w:pPr>
      <w:r>
        <w:rPr>
          <w:rStyle w:val="FootnoteReference"/>
        </w:rPr>
        <w:footnoteRef/>
      </w:r>
      <w:r>
        <w:t xml:space="preserve"> </w:t>
      </w:r>
      <w:r>
        <w:rPr>
          <w:i/>
        </w:rPr>
        <w:t xml:space="preserve">See </w:t>
      </w:r>
      <w:r>
        <w:t xml:space="preserve">47 C.F.R. §§ 27.1021(b)-(c), 27.1031(b)-(c).  </w:t>
      </w:r>
      <w:r w:rsidRPr="009621C4">
        <w:rPr>
          <w:i/>
        </w:rPr>
        <w:t xml:space="preserve">See also </w:t>
      </w:r>
      <w:r>
        <w:rPr>
          <w:i/>
        </w:rPr>
        <w:t>H Block Report and Order</w:t>
      </w:r>
      <w:r w:rsidRPr="009621C4">
        <w:t xml:space="preserve"> </w:t>
      </w:r>
      <w:r>
        <w:t>at ¶¶ 163, 168.</w:t>
      </w:r>
    </w:p>
  </w:footnote>
  <w:footnote w:id="15">
    <w:p w:rsidR="00C37E5B" w:rsidRDefault="00C37E5B">
      <w:pPr>
        <w:pStyle w:val="FootnoteText"/>
      </w:pPr>
      <w:r>
        <w:rPr>
          <w:rStyle w:val="FootnoteReference"/>
          <w:sz w:val="20"/>
        </w:rPr>
        <w:footnoteRef/>
      </w:r>
      <w:r>
        <w:t xml:space="preserve"> 47 C.F.R. Chapter 1, Part 1, Subpart I.</w:t>
      </w:r>
    </w:p>
  </w:footnote>
  <w:footnote w:id="16">
    <w:p w:rsidR="00C37E5B" w:rsidRDefault="00C37E5B">
      <w:pPr>
        <w:pStyle w:val="FootnoteText"/>
      </w:pPr>
      <w:r>
        <w:rPr>
          <w:rStyle w:val="FootnoteReference"/>
          <w:sz w:val="20"/>
        </w:rPr>
        <w:footnoteRef/>
      </w:r>
      <w:r>
        <w:t xml:space="preserve"> 47 U.S.C. § 309(j)(3)(E)(i).  </w:t>
      </w:r>
      <w:r>
        <w:rPr>
          <w:i/>
          <w:iCs/>
          <w:kern w:val="28"/>
        </w:rPr>
        <w:t xml:space="preserve">See </w:t>
      </w:r>
      <w:r>
        <w:rPr>
          <w:kern w:val="28"/>
        </w:rPr>
        <w:t xml:space="preserve">Amendment of Part 1 of the Commission’s Rules—Competitive Bidding Procedures, WT Docket No. 97-82, </w:t>
      </w:r>
      <w:r>
        <w:rPr>
          <w:i/>
          <w:iCs/>
          <w:kern w:val="28"/>
        </w:rPr>
        <w:t>Third Report and Order and Second Further Notice of Proposed Rule Making</w:t>
      </w:r>
      <w:r>
        <w:rPr>
          <w:kern w:val="28"/>
        </w:rPr>
        <w:t>, FCC 97-413, 13 FCC Rcd 374, 447-49 ¶¶ 124-25 (1997) (</w:t>
      </w:r>
      <w:r>
        <w:rPr>
          <w:i/>
          <w:iCs/>
          <w:kern w:val="28"/>
        </w:rPr>
        <w:t>Part 1 Third Report and Order</w:t>
      </w:r>
      <w:r>
        <w:rPr>
          <w:kern w:val="28"/>
        </w:rPr>
        <w:t xml:space="preserve">) (directing WTB 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8D48C9">
        <w:rPr>
          <w:i/>
          <w:kern w:val="28"/>
        </w:rPr>
        <w:t>S</w:t>
      </w:r>
      <w:r>
        <w:rPr>
          <w:i/>
          <w:kern w:val="28"/>
        </w:rPr>
        <w:t>ee also</w:t>
      </w:r>
      <w:r>
        <w:rPr>
          <w:kern w:val="28"/>
        </w:rPr>
        <w:t xml:space="preserve"> </w:t>
      </w:r>
      <w:r>
        <w:t xml:space="preserve"> 47 C.F.R. § 0.131; </w:t>
      </w:r>
      <w:r>
        <w:rPr>
          <w:kern w:val="28"/>
        </w:rPr>
        <w:t xml:space="preserve">Amendment of Part 1 of the Commission’s Rules—Competitive Bidding Proceeding, WT Docket No. 97-82, </w:t>
      </w:r>
      <w:r>
        <w:rPr>
          <w:i/>
          <w:iCs/>
          <w:kern w:val="28"/>
        </w:rPr>
        <w:t>Order, Memorandum Opinion and Order and Notice of Proposed Rule Making</w:t>
      </w:r>
      <w:r>
        <w:rPr>
          <w:kern w:val="28"/>
        </w:rPr>
        <w:t>, FCC 97-60, 12 FCC Rcd 5686, 5697-98 ¶ 16 (1997) (</w:t>
      </w:r>
      <w:r>
        <w:rPr>
          <w:i/>
          <w:iCs/>
          <w:kern w:val="28"/>
        </w:rPr>
        <w:t>Part 1 Order</w:t>
      </w:r>
      <w:r>
        <w:rPr>
          <w:kern w:val="28"/>
        </w:rPr>
        <w:t xml:space="preserve">). </w:t>
      </w:r>
    </w:p>
  </w:footnote>
  <w:footnote w:id="17">
    <w:p w:rsidR="00C37E5B" w:rsidRDefault="00C37E5B" w:rsidP="007F4316">
      <w:pPr>
        <w:pStyle w:val="FootnoteText"/>
      </w:pPr>
      <w:r>
        <w:rPr>
          <w:rStyle w:val="FootnoteReference"/>
        </w:rPr>
        <w:footnoteRef/>
      </w:r>
      <w:r>
        <w:t xml:space="preserve"> </w:t>
      </w:r>
      <w:r>
        <w:rPr>
          <w:i/>
        </w:rPr>
        <w:t>See</w:t>
      </w:r>
      <w:r>
        <w:t xml:space="preserve"> Implementation of Section 309(j) of the Communications Act—Competitive Bidding, PP Docket No. 93-253, </w:t>
      </w:r>
      <w:r>
        <w:rPr>
          <w:i/>
        </w:rPr>
        <w:t>Second Report and Order</w:t>
      </w:r>
      <w:r>
        <w:t>, FCC 94-61, 9 FCC Rcd 2348, 2360-75 ¶¶ 68-159 (1994) (</w:t>
      </w:r>
      <w:r>
        <w:rPr>
          <w:i/>
        </w:rPr>
        <w:t>Second Report and Order</w:t>
      </w:r>
      <w:r>
        <w:t xml:space="preserve">) for a general discussion of competitive bidding design. </w:t>
      </w:r>
    </w:p>
  </w:footnote>
  <w:footnote w:id="18">
    <w:p w:rsidR="00C37E5B" w:rsidRDefault="00C37E5B">
      <w:pPr>
        <w:pStyle w:val="FootnoteText"/>
      </w:pPr>
      <w:r>
        <w:rPr>
          <w:rStyle w:val="FootnoteReference"/>
        </w:rPr>
        <w:footnoteRef/>
      </w:r>
      <w:r>
        <w:t xml:space="preserve"> </w:t>
      </w:r>
      <w:r>
        <w:rPr>
          <w:i/>
        </w:rPr>
        <w:t xml:space="preserve">See H Block Report and Order </w:t>
      </w:r>
      <w:r>
        <w:t xml:space="preserve">at ¶¶ </w:t>
      </w:r>
      <w:r w:rsidRPr="008C59D6">
        <w:t>37</w:t>
      </w:r>
      <w:r>
        <w:t>-</w:t>
      </w:r>
      <w:r w:rsidRPr="008C59D6">
        <w:t xml:space="preserve"> </w:t>
      </w:r>
      <w:r>
        <w:t xml:space="preserve">39, 42, </w:t>
      </w:r>
      <w:r w:rsidRPr="008C59D6">
        <w:t>45</w:t>
      </w:r>
      <w:r>
        <w:t>.</w:t>
      </w:r>
    </w:p>
  </w:footnote>
  <w:footnote w:id="19">
    <w:p w:rsidR="00C37E5B" w:rsidRDefault="00C37E5B" w:rsidP="007F4316">
      <w:pPr>
        <w:pStyle w:val="FootnoteText"/>
      </w:pPr>
      <w:r>
        <w:rPr>
          <w:rStyle w:val="FootnoteReference"/>
        </w:rPr>
        <w:footnoteRef/>
      </w:r>
      <w:r>
        <w:t xml:space="preserve"> </w:t>
      </w:r>
      <w:r w:rsidRPr="00275063">
        <w:rPr>
          <w:i/>
        </w:rPr>
        <w:t>See</w:t>
      </w:r>
      <w:r>
        <w:rPr>
          <w:i/>
        </w:rPr>
        <w:t>, e.g.</w:t>
      </w:r>
      <w:r>
        <w:t xml:space="preserve">, </w:t>
      </w:r>
      <w:r w:rsidRPr="00672743">
        <w:t>Goeree, J. K. and C. A. Holt,</w:t>
      </w:r>
      <w:r w:rsidRPr="00227425">
        <w:t xml:space="preserve"> </w:t>
      </w:r>
      <w:r>
        <w:t xml:space="preserve">“Hierarchical Package Bidding: A Paper &amp; Pencil Combinatorial Auction,” </w:t>
      </w:r>
      <w:r w:rsidRPr="00275063">
        <w:rPr>
          <w:i/>
        </w:rPr>
        <w:t>Games and Economic Behavior</w:t>
      </w:r>
      <w:r>
        <w:t xml:space="preserve"> 70(1), September 2010, 146-169</w:t>
      </w:r>
      <w:r w:rsidRPr="00672743">
        <w:t>; Rothkopf, M. H., A. Pekeč, and R. M. Harstad, “Computationally</w:t>
      </w:r>
      <w:r w:rsidRPr="00672743">
        <w:rPr>
          <w:sz w:val="24"/>
        </w:rPr>
        <w:t xml:space="preserve"> </w:t>
      </w:r>
      <w:r w:rsidRPr="00672743">
        <w:t xml:space="preserve">Manageable Combinatorial Auctions,” </w:t>
      </w:r>
      <w:r w:rsidRPr="00672743">
        <w:rPr>
          <w:i/>
        </w:rPr>
        <w:t>Management Sciences</w:t>
      </w:r>
      <w:r w:rsidRPr="00672743">
        <w:t>, 44(8), August 1998, 1131-1147;</w:t>
      </w:r>
      <w:r>
        <w:t xml:space="preserve"> </w:t>
      </w:r>
      <w:r w:rsidRPr="00227425">
        <w:t>T. Scheffel, G. Ziegler, and M. Bichler</w:t>
      </w:r>
      <w:r>
        <w:t>,</w:t>
      </w:r>
      <w:r w:rsidRPr="00227425">
        <w:t xml:space="preserve"> </w:t>
      </w:r>
      <w:r>
        <w:t>“</w:t>
      </w:r>
      <w:r w:rsidRPr="00227425">
        <w:t>On the impact of package selection in combinatorial auctions: an experimental study in the context of spectrum auction design</w:t>
      </w:r>
      <w:r>
        <w:t>,”</w:t>
      </w:r>
      <w:r w:rsidRPr="00227425">
        <w:t xml:space="preserve"> </w:t>
      </w:r>
      <w:r w:rsidRPr="00275063">
        <w:rPr>
          <w:i/>
        </w:rPr>
        <w:t>Experimental Economics</w:t>
      </w:r>
      <w:r w:rsidRPr="00227425">
        <w:t>, 15</w:t>
      </w:r>
      <w:r>
        <w:t xml:space="preserve">(4), December 2012, </w:t>
      </w:r>
      <w:r w:rsidRPr="00227425">
        <w:t>667-692</w:t>
      </w:r>
      <w:r>
        <w:t xml:space="preserve">.  Bichler, M., Goeree, J.K., Mayer, S., and Shabalin, P., “Spectrum Auction Design: Simple Auctions For Complex Sales,” working paper (June 2013) (viewable at </w:t>
      </w:r>
      <w:hyperlink r:id="rId1" w:history="1">
        <w:r w:rsidRPr="00EB0A53">
          <w:rPr>
            <w:rStyle w:val="Hyperlink"/>
            <w:color w:val="auto"/>
          </w:rPr>
          <w:t>http://www.esei.ch/people/jacob-goeree/working-papers</w:t>
        </w:r>
      </w:hyperlink>
      <w:r>
        <w:t>).</w:t>
      </w:r>
      <w:r w:rsidRPr="000C75B8" w:rsidDel="000C75B8">
        <w:t xml:space="preserve"> </w:t>
      </w:r>
      <w:r>
        <w:t xml:space="preserve"> </w:t>
      </w:r>
    </w:p>
  </w:footnote>
  <w:footnote w:id="20">
    <w:p w:rsidR="00C37E5B" w:rsidRPr="003757CD" w:rsidRDefault="00C37E5B" w:rsidP="00EC15FA">
      <w:pPr>
        <w:widowControl/>
        <w:autoSpaceDE w:val="0"/>
        <w:autoSpaceDN w:val="0"/>
        <w:adjustRightInd w:val="0"/>
        <w:rPr>
          <w:snapToGrid/>
          <w:color w:val="010101"/>
          <w:kern w:val="0"/>
          <w:sz w:val="20"/>
        </w:rPr>
      </w:pPr>
      <w:r>
        <w:rPr>
          <w:rStyle w:val="FootnoteReference"/>
        </w:rPr>
        <w:footnoteRef/>
      </w:r>
      <w:r>
        <w:t xml:space="preserve"> </w:t>
      </w:r>
      <w:r w:rsidRPr="003757CD">
        <w:rPr>
          <w:i/>
          <w:sz w:val="20"/>
        </w:rPr>
        <w:t xml:space="preserve">See </w:t>
      </w:r>
      <w:r w:rsidRPr="003757CD">
        <w:rPr>
          <w:snapToGrid/>
          <w:color w:val="010101"/>
          <w:kern w:val="0"/>
          <w:sz w:val="20"/>
        </w:rPr>
        <w:t>Auction of 700 MHz Band Licenses Scheduled for January 24, 2008; Notice and Filing Requirements,</w:t>
      </w:r>
    </w:p>
    <w:p w:rsidR="00C37E5B" w:rsidRPr="003757CD" w:rsidRDefault="00C37E5B" w:rsidP="00EC15FA">
      <w:pPr>
        <w:widowControl/>
        <w:autoSpaceDE w:val="0"/>
        <w:autoSpaceDN w:val="0"/>
        <w:adjustRightInd w:val="0"/>
        <w:rPr>
          <w:snapToGrid/>
          <w:color w:val="010101"/>
          <w:kern w:val="0"/>
          <w:sz w:val="20"/>
        </w:rPr>
      </w:pPr>
      <w:r w:rsidRPr="003757CD">
        <w:rPr>
          <w:snapToGrid/>
          <w:color w:val="010101"/>
          <w:kern w:val="0"/>
          <w:sz w:val="20"/>
        </w:rPr>
        <w:t xml:space="preserve">Minimum Opening Bids, Upfront Payments and Other Procedures for Auction 73 and 76, </w:t>
      </w:r>
      <w:r w:rsidRPr="003757CD">
        <w:rPr>
          <w:i/>
          <w:sz w:val="20"/>
        </w:rPr>
        <w:t>Public Notice</w:t>
      </w:r>
      <w:r w:rsidRPr="003757CD">
        <w:rPr>
          <w:snapToGrid/>
          <w:color w:val="010101"/>
          <w:kern w:val="0"/>
          <w:sz w:val="20"/>
        </w:rPr>
        <w:t>, 22 FCC</w:t>
      </w:r>
    </w:p>
    <w:p w:rsidR="00C37E5B" w:rsidRPr="003757CD" w:rsidRDefault="00C37E5B" w:rsidP="00EC15FA">
      <w:pPr>
        <w:pStyle w:val="FootnoteText"/>
      </w:pPr>
      <w:r w:rsidRPr="003757CD">
        <w:rPr>
          <w:color w:val="010101"/>
        </w:rPr>
        <w:t>Rcd 18141 ¶¶ 248-68 (2008).</w:t>
      </w:r>
    </w:p>
  </w:footnote>
  <w:footnote w:id="21">
    <w:p w:rsidR="00C37E5B" w:rsidRPr="009F2B4B" w:rsidRDefault="00C37E5B" w:rsidP="007F4316">
      <w:pPr>
        <w:pStyle w:val="FootnoteText"/>
      </w:pPr>
      <w:r w:rsidRPr="00672743">
        <w:rPr>
          <w:rStyle w:val="FootnoteReference"/>
        </w:rPr>
        <w:footnoteRef/>
      </w:r>
      <w:r w:rsidRPr="00672743">
        <w:t xml:space="preserve"> </w:t>
      </w:r>
      <w:r w:rsidRPr="00CB0752">
        <w:t xml:space="preserve">This set of considered bids for licenses and packages </w:t>
      </w:r>
      <w:r>
        <w:t xml:space="preserve">would </w:t>
      </w:r>
      <w:r w:rsidRPr="00CB0752">
        <w:t xml:space="preserve">likely include many bids with very little likelihood of ever becoming provisionally winning.  Bidders will be able to assess the chances that a considered bid from a previous round will become provisionally winning in a later round by comparing it to the considered bids and to </w:t>
      </w:r>
      <w:r w:rsidRPr="009F2B4B">
        <w:t xml:space="preserve">prevailing prices.  </w:t>
      </w:r>
    </w:p>
  </w:footnote>
  <w:footnote w:id="22">
    <w:p w:rsidR="00C37E5B" w:rsidRPr="009F2B4B" w:rsidRDefault="00C37E5B" w:rsidP="007F4316">
      <w:pPr>
        <w:pStyle w:val="FootnoteText"/>
      </w:pPr>
      <w:r w:rsidRPr="00672743">
        <w:rPr>
          <w:rStyle w:val="FootnoteReference"/>
        </w:rPr>
        <w:footnoteRef/>
      </w:r>
      <w:r w:rsidRPr="00672743">
        <w:t xml:space="preserve"> </w:t>
      </w:r>
      <w:r w:rsidRPr="00CB0752">
        <w:t xml:space="preserve">Packages do not overlap within a </w:t>
      </w:r>
      <w:r>
        <w:t>tier</w:t>
      </w:r>
      <w:r w:rsidRPr="00CB0752">
        <w:t xml:space="preserve">.  That is, a license cannot be included in more than one package in a given </w:t>
      </w:r>
      <w:r>
        <w:t>tier</w:t>
      </w:r>
      <w:r w:rsidRPr="00CB0752">
        <w:t xml:space="preserve">.  Consequently, comparing aggregate gross bid amounts at each </w:t>
      </w:r>
      <w:r>
        <w:t>tier</w:t>
      </w:r>
      <w:r w:rsidRPr="00CB0752">
        <w:t xml:space="preserve"> does not require combinatorial optimization.  </w:t>
      </w:r>
      <w:r w:rsidRPr="00CB0752">
        <w:rPr>
          <w:i/>
        </w:rPr>
        <w:t>See</w:t>
      </w:r>
      <w:r w:rsidRPr="00CB0752">
        <w:t xml:space="preserve"> Attachment </w:t>
      </w:r>
      <w:r>
        <w:t>B</w:t>
      </w:r>
      <w:r w:rsidRPr="00CB0752">
        <w:t xml:space="preserve"> for a more detailed discussion.  </w:t>
      </w:r>
      <w:r w:rsidRPr="00CB0752">
        <w:rPr>
          <w:i/>
        </w:rPr>
        <w:t>See</w:t>
      </w:r>
      <w:r w:rsidRPr="00CB0752">
        <w:t xml:space="preserve"> </w:t>
      </w:r>
      <w:r w:rsidRPr="00530B39">
        <w:rPr>
          <w:i/>
        </w:rPr>
        <w:t xml:space="preserve">also </w:t>
      </w:r>
      <w:r w:rsidRPr="00CB0752">
        <w:t>Rothkopf, M. H., A. Pekeč, and R. M. Harstad, “Computationally</w:t>
      </w:r>
      <w:r w:rsidRPr="00CB0752">
        <w:rPr>
          <w:sz w:val="24"/>
        </w:rPr>
        <w:t xml:space="preserve"> </w:t>
      </w:r>
      <w:r w:rsidRPr="00CB0752">
        <w:t xml:space="preserve">Manageable Combinatorial Auctions,” </w:t>
      </w:r>
      <w:r w:rsidRPr="00CB0752">
        <w:rPr>
          <w:i/>
        </w:rPr>
        <w:t>Management Sciences</w:t>
      </w:r>
      <w:r w:rsidRPr="00CB0752">
        <w:t>, 44(8), August 1998, 1131-1147.  A more complex combinatorial optimization process to determine provisionally winning bids is required in some other package bidding designs, including SMR-PB, the design o</w:t>
      </w:r>
      <w:r>
        <w:t>n</w:t>
      </w:r>
      <w:r w:rsidRPr="00CB0752">
        <w:t xml:space="preserve"> which the FCC sought comment for Auction 66.</w:t>
      </w:r>
      <w:r>
        <w:t xml:space="preserve">  </w:t>
      </w:r>
      <w:r w:rsidRPr="00530B39">
        <w:rPr>
          <w:i/>
        </w:rPr>
        <w:t xml:space="preserve"> </w:t>
      </w:r>
      <w:r w:rsidRPr="00383FE3">
        <w:rPr>
          <w:i/>
        </w:rPr>
        <w:t>See</w:t>
      </w:r>
      <w:r>
        <w:t xml:space="preserve"> </w:t>
      </w:r>
      <w:r w:rsidRPr="0035418A">
        <w:rPr>
          <w:bCs/>
        </w:rPr>
        <w:t>Auction of Advanced Wireless Services Licenses Scheduled for June 29, 2006;</w:t>
      </w:r>
      <w:r>
        <w:t xml:space="preserve"> Comment Sought on Reserve Prices or </w:t>
      </w:r>
      <w:r w:rsidRPr="009F2B4B">
        <w:t xml:space="preserve">Minimum Opening Bids and Other Procedures, </w:t>
      </w:r>
      <w:r w:rsidRPr="009F2B4B">
        <w:rPr>
          <w:i/>
        </w:rPr>
        <w:t>Public Notice</w:t>
      </w:r>
      <w:r w:rsidRPr="009F2B4B">
        <w:t>, DA 06-238, 21 FCC Rcd 794, 797-98 (2006) (</w:t>
      </w:r>
      <w:r w:rsidRPr="009F2B4B">
        <w:rPr>
          <w:i/>
        </w:rPr>
        <w:t>Auction 66 Comment Public Notice</w:t>
      </w:r>
      <w:r w:rsidRPr="009F2B4B">
        <w:t>).</w:t>
      </w:r>
    </w:p>
  </w:footnote>
  <w:footnote w:id="23">
    <w:p w:rsidR="00C37E5B" w:rsidRDefault="00C37E5B" w:rsidP="008D48C9">
      <w:pPr>
        <w:pStyle w:val="FootnoteText"/>
      </w:pPr>
      <w:r>
        <w:rPr>
          <w:rStyle w:val="FootnoteReference"/>
        </w:rPr>
        <w:footnoteRef/>
      </w:r>
      <w:r>
        <w:t xml:space="preserve"> </w:t>
      </w:r>
      <w:r w:rsidRPr="0035418A">
        <w:rPr>
          <w:i/>
        </w:rPr>
        <w:t>See, e.g.,</w:t>
      </w:r>
      <w:r w:rsidRPr="0035418A">
        <w:t xml:space="preserve"> Auction of 700 MHz Band Licenses Scheduled for January 24, 2008; Notice and Filing Requirements, Minimum Opening Bids, Reserve Prices, Upfront Payments, and Other Procedures for Auctions 73 and 76, </w:t>
      </w:r>
      <w:r w:rsidRPr="0035418A">
        <w:rPr>
          <w:i/>
        </w:rPr>
        <w:t>Public Notice,</w:t>
      </w:r>
      <w:r w:rsidRPr="0035418A">
        <w:t xml:space="preserve"> DA 07-4171, 22 FCC Rcd 18141, 18181-85 ¶¶ 145-56 (WTB 2007); </w:t>
      </w:r>
      <w:r w:rsidRPr="0035418A">
        <w:rPr>
          <w:bCs/>
        </w:rPr>
        <w:t xml:space="preserve">Auction of Advanced Wireless Services Licenses Scheduled for June 29, 2006; </w:t>
      </w:r>
      <w:r w:rsidRPr="0035418A">
        <w:rPr>
          <w:bCs/>
          <w:szCs w:val="23"/>
        </w:rPr>
        <w:t>Notice and Filing Requirements, Minimum Opening Bids, Upfront Payments and Other Procedures</w:t>
      </w:r>
      <w:r w:rsidRPr="0035418A">
        <w:rPr>
          <w:bCs/>
        </w:rPr>
        <w:t xml:space="preserve"> </w:t>
      </w:r>
      <w:r w:rsidRPr="0035418A">
        <w:rPr>
          <w:bCs/>
          <w:szCs w:val="23"/>
        </w:rPr>
        <w:t xml:space="preserve">for Auction No. 66, </w:t>
      </w:r>
      <w:r w:rsidRPr="0035418A">
        <w:rPr>
          <w:bCs/>
          <w:i/>
          <w:szCs w:val="23"/>
        </w:rPr>
        <w:t>Public Notice,</w:t>
      </w:r>
      <w:r w:rsidRPr="0035418A">
        <w:rPr>
          <w:bCs/>
          <w:szCs w:val="23"/>
        </w:rPr>
        <w:t xml:space="preserve"> FCC 06-47</w:t>
      </w:r>
      <w:r w:rsidRPr="0035418A">
        <w:rPr>
          <w:bCs/>
        </w:rPr>
        <w:t xml:space="preserve">, </w:t>
      </w:r>
      <w:r w:rsidRPr="0035418A">
        <w:rPr>
          <w:bCs/>
          <w:szCs w:val="23"/>
        </w:rPr>
        <w:t>21 FCC Rcd 4562, 4600-05 ¶¶ 140-57 (2006)</w:t>
      </w:r>
      <w:r>
        <w:rPr>
          <w:bCs/>
          <w:szCs w:val="23"/>
        </w:rPr>
        <w:t xml:space="preserve"> (</w:t>
      </w:r>
      <w:r>
        <w:rPr>
          <w:bCs/>
          <w:i/>
          <w:szCs w:val="23"/>
        </w:rPr>
        <w:t>Auction 66 Procedures Public Notice</w:t>
      </w:r>
      <w:r w:rsidRPr="004004E2">
        <w:rPr>
          <w:bCs/>
          <w:szCs w:val="23"/>
        </w:rPr>
        <w:t>)</w:t>
      </w:r>
      <w:r>
        <w:rPr>
          <w:bCs/>
          <w:szCs w:val="23"/>
        </w:rPr>
        <w:t xml:space="preserve">; </w:t>
      </w:r>
      <w:r>
        <w:t xml:space="preserve">Auction of 700 MHz Band Licenses Scheduled for July 19, 2011; Notice and Filing Requirements, Minimum Opening Bids, Upfront Payments, and Other Procedures for Auction 92,  </w:t>
      </w:r>
      <w:r w:rsidRPr="004B1086">
        <w:rPr>
          <w:i/>
        </w:rPr>
        <w:t>Public Notice</w:t>
      </w:r>
      <w:r>
        <w:t>, DA 11-420</w:t>
      </w:r>
      <w:r w:rsidRPr="004B1086">
        <w:t xml:space="preserve">, </w:t>
      </w:r>
      <w:r>
        <w:t>26</w:t>
      </w:r>
      <w:r w:rsidRPr="004B1086">
        <w:t xml:space="preserve"> FCC Rcd </w:t>
      </w:r>
      <w:r>
        <w:t xml:space="preserve">3342, 3372-73 </w:t>
      </w:r>
      <w:r w:rsidRPr="0035418A">
        <w:t>¶¶</w:t>
      </w:r>
      <w:r>
        <w:t xml:space="preserve"> 126-29</w:t>
      </w:r>
      <w:r w:rsidRPr="004B1086">
        <w:t xml:space="preserve"> (WTB </w:t>
      </w:r>
      <w:r>
        <w:t>2011</w:t>
      </w:r>
      <w:r w:rsidRPr="004B1086">
        <w:t>)</w:t>
      </w:r>
      <w:r w:rsidRPr="0035418A">
        <w:rPr>
          <w:bCs/>
          <w:szCs w:val="23"/>
        </w:rPr>
        <w:t>.</w:t>
      </w:r>
      <w:r>
        <w:rPr>
          <w:bCs/>
          <w:szCs w:val="23"/>
        </w:rPr>
        <w:t xml:space="preserve">  </w:t>
      </w:r>
    </w:p>
  </w:footnote>
  <w:footnote w:id="24">
    <w:p w:rsidR="00C37E5B" w:rsidRDefault="00C37E5B">
      <w:pPr>
        <w:pStyle w:val="FootnoteText"/>
      </w:pPr>
      <w:r>
        <w:rPr>
          <w:rStyle w:val="FootnoteReference"/>
        </w:rPr>
        <w:footnoteRef/>
      </w:r>
      <w:r>
        <w:t xml:space="preserve"> The FCC Auction System is also known as the “</w:t>
      </w:r>
      <w:r w:rsidRPr="00505067">
        <w:rPr>
          <w:color w:val="000000"/>
        </w:rPr>
        <w:t>Integrated Spectrum Auction System</w:t>
      </w:r>
      <w:r>
        <w:rPr>
          <w:color w:val="000000"/>
        </w:rPr>
        <w:t xml:space="preserve">” or </w:t>
      </w:r>
      <w:r w:rsidRPr="00505067">
        <w:rPr>
          <w:color w:val="000000"/>
        </w:rPr>
        <w:t>“ISAS</w:t>
      </w:r>
      <w:r>
        <w:rPr>
          <w:color w:val="000000"/>
        </w:rPr>
        <w:t>.</w:t>
      </w:r>
      <w:r w:rsidRPr="00505067">
        <w:rPr>
          <w:color w:val="000000"/>
        </w:rPr>
        <w:t>”</w:t>
      </w:r>
    </w:p>
  </w:footnote>
  <w:footnote w:id="25">
    <w:p w:rsidR="00C37E5B" w:rsidRDefault="00C37E5B" w:rsidP="00011103">
      <w:pPr>
        <w:pStyle w:val="FootnoteText"/>
      </w:pPr>
      <w:r>
        <w:rPr>
          <w:rStyle w:val="FootnoteReference"/>
          <w:sz w:val="20"/>
        </w:rPr>
        <w:footnoteRef/>
      </w:r>
      <w:r>
        <w:t xml:space="preserve"> </w:t>
      </w:r>
      <w:r>
        <w:rPr>
          <w:i/>
        </w:rPr>
        <w:t>See</w:t>
      </w:r>
      <w:r>
        <w:t xml:space="preserve"> 47 C.F.R. § 1.2105(c).</w:t>
      </w:r>
    </w:p>
  </w:footnote>
  <w:footnote w:id="26">
    <w:p w:rsidR="00C37E5B" w:rsidRPr="004B1086" w:rsidRDefault="00C37E5B" w:rsidP="00011103">
      <w:pPr>
        <w:pStyle w:val="FootnoteText"/>
      </w:pPr>
      <w:r w:rsidRPr="004B1086">
        <w:rPr>
          <w:rStyle w:val="FootnoteReference"/>
          <w:sz w:val="20"/>
        </w:rPr>
        <w:footnoteRef/>
      </w:r>
      <w:r w:rsidRPr="004B1086">
        <w:t xml:space="preserve"> </w:t>
      </w:r>
      <w:r>
        <w:rPr>
          <w:i/>
        </w:rPr>
        <w:t>Auction</w:t>
      </w:r>
      <w:r w:rsidRPr="009D0B47">
        <w:rPr>
          <w:i/>
        </w:rPr>
        <w:t xml:space="preserve"> 66 Comment Public Notice</w:t>
      </w:r>
      <w:r>
        <w:rPr>
          <w:bCs/>
          <w:szCs w:val="23"/>
        </w:rPr>
        <w:t>, 21 FCC Rcd at 799</w:t>
      </w:r>
      <w:r w:rsidRPr="004B1086">
        <w:rPr>
          <w:rStyle w:val="FootnoteTextChar3Char1"/>
        </w:rPr>
        <w:t>.</w:t>
      </w:r>
    </w:p>
  </w:footnote>
  <w:footnote w:id="27">
    <w:p w:rsidR="00C37E5B" w:rsidRDefault="00C37E5B">
      <w:pPr>
        <w:pStyle w:val="FootnoteText"/>
      </w:pPr>
      <w:r>
        <w:rPr>
          <w:rStyle w:val="FootnoteReference"/>
          <w:sz w:val="20"/>
        </w:rPr>
        <w:footnoteRef/>
      </w:r>
      <w:r>
        <w:t xml:space="preserve"> 47 C.F.R. § 1.2104(e). </w:t>
      </w:r>
    </w:p>
  </w:footnote>
  <w:footnote w:id="28">
    <w:p w:rsidR="00C37E5B" w:rsidRDefault="00C37E5B">
      <w:pPr>
        <w:pStyle w:val="FootnoteText"/>
      </w:pPr>
      <w:r>
        <w:rPr>
          <w:rStyle w:val="FootnoteReference"/>
          <w:sz w:val="20"/>
        </w:rPr>
        <w:footnoteRef/>
      </w:r>
      <w:r>
        <w:t xml:space="preserve"> Provisionally winning bids are bids that would become final winning bids if the auction were to close in that given round.  They are discussed in </w:t>
      </w:r>
      <w:r w:rsidRPr="00F87208">
        <w:t>Section IV.</w:t>
      </w:r>
      <w:r>
        <w:t>C</w:t>
      </w:r>
      <w:r w:rsidRPr="00F87208">
        <w:t>.6.</w:t>
      </w:r>
      <w:r>
        <w:t xml:space="preserve"> (Provisionally Winning Bids).  Proactive waivers are described in </w:t>
      </w:r>
      <w:r w:rsidRPr="00F87208">
        <w:t>Section IV.</w:t>
      </w:r>
      <w:r>
        <w:t>C</w:t>
      </w:r>
      <w:r w:rsidRPr="00F87208">
        <w:t>.3.</w:t>
      </w:r>
      <w:r>
        <w:t xml:space="preserve"> (Activity Rule Waivers and Reducing Eligibility), and bid withdrawals are described </w:t>
      </w:r>
      <w:r w:rsidRPr="00F87208">
        <w:t>in Section IV.</w:t>
      </w:r>
      <w:r>
        <w:t>C</w:t>
      </w:r>
      <w:r w:rsidRPr="00F87208">
        <w:t>.</w:t>
      </w:r>
      <w:r>
        <w:t>8. (Bid Withdrawal) below.</w:t>
      </w:r>
    </w:p>
  </w:footnote>
  <w:footnote w:id="29">
    <w:p w:rsidR="00C37E5B" w:rsidRDefault="00C37E5B">
      <w:pPr>
        <w:pStyle w:val="FootnoteText"/>
      </w:pPr>
      <w:r>
        <w:rPr>
          <w:rStyle w:val="FootnoteReference"/>
          <w:sz w:val="20"/>
        </w:rPr>
        <w:footnoteRef/>
      </w:r>
      <w:r>
        <w:t xml:space="preserve"> </w:t>
      </w:r>
      <w:r>
        <w:rPr>
          <w:kern w:val="28"/>
        </w:rPr>
        <w:t>47 C.F.R. § 1.2104(i).</w:t>
      </w:r>
    </w:p>
  </w:footnote>
  <w:footnote w:id="30">
    <w:p w:rsidR="00C37E5B" w:rsidRPr="004B1086" w:rsidRDefault="00C37E5B" w:rsidP="0000439D">
      <w:pPr>
        <w:pStyle w:val="FootnoteText"/>
      </w:pPr>
      <w:r w:rsidRPr="004B1086">
        <w:rPr>
          <w:rStyle w:val="FootnoteReference"/>
          <w:sz w:val="20"/>
        </w:rPr>
        <w:footnoteRef/>
      </w:r>
      <w:r w:rsidRPr="004B1086">
        <w:t xml:space="preserve"> </w:t>
      </w:r>
      <w:r w:rsidRPr="004B1086">
        <w:rPr>
          <w:i/>
          <w:iCs/>
        </w:rPr>
        <w:t>See Part 1 Order,</w:t>
      </w:r>
      <w:r w:rsidRPr="004B1086">
        <w:t xml:space="preserve"> 12 FCC Rcd at 5697-98 ¶ 16.  </w:t>
      </w:r>
      <w:r w:rsidRPr="004B1086">
        <w:rPr>
          <w:i/>
          <w:iCs/>
        </w:rPr>
        <w:t>See also Part 1 Third Report and Order</w:t>
      </w:r>
      <w:r w:rsidRPr="004B1086">
        <w:t xml:space="preserve">, 13 FCC Rcd at 425 ¶ 86; </w:t>
      </w:r>
      <w:r w:rsidRPr="004B1086">
        <w:rPr>
          <w:i/>
          <w:iCs/>
        </w:rPr>
        <w:t>Second Report and Order</w:t>
      </w:r>
      <w:r w:rsidRPr="004B1086">
        <w:t>, 9 FCC Rcd 237</w:t>
      </w:r>
      <w:r>
        <w:t>7</w:t>
      </w:r>
      <w:r w:rsidRPr="004B1086">
        <w:t>-79 ¶¶ 1</w:t>
      </w:r>
      <w:r>
        <w:t>69</w:t>
      </w:r>
      <w:r w:rsidRPr="004B1086">
        <w:t>-75.</w:t>
      </w:r>
    </w:p>
  </w:footnote>
  <w:footnote w:id="31">
    <w:p w:rsidR="00C37E5B" w:rsidRPr="004B1086" w:rsidRDefault="00C37E5B" w:rsidP="0000439D">
      <w:pPr>
        <w:pStyle w:val="FootnoteText"/>
      </w:pPr>
      <w:r w:rsidRPr="004B1086">
        <w:rPr>
          <w:rStyle w:val="FootnoteReference"/>
          <w:sz w:val="20"/>
        </w:rPr>
        <w:footnoteRef/>
      </w:r>
      <w:r w:rsidRPr="004B1086">
        <w:t xml:space="preserve"> </w:t>
      </w:r>
      <w:r w:rsidRPr="004B1086">
        <w:rPr>
          <w:i/>
        </w:rPr>
        <w:t>See Second Report and Order</w:t>
      </w:r>
      <w:r w:rsidRPr="004B1086">
        <w:t>, 9 FCC Rcd at 237</w:t>
      </w:r>
      <w:r>
        <w:t>7</w:t>
      </w:r>
      <w:r w:rsidRPr="004B1086">
        <w:t>-79 ¶¶ 1</w:t>
      </w:r>
      <w:r>
        <w:t>69</w:t>
      </w:r>
      <w:r w:rsidRPr="004B1086">
        <w:t>-76.</w:t>
      </w:r>
    </w:p>
  </w:footnote>
  <w:footnote w:id="32">
    <w:p w:rsidR="00C37E5B" w:rsidRPr="004B1086" w:rsidRDefault="00C37E5B" w:rsidP="00F87208">
      <w:pPr>
        <w:pStyle w:val="FootnoteText"/>
      </w:pPr>
      <w:r w:rsidRPr="004B1086">
        <w:rPr>
          <w:rStyle w:val="FootnoteReference"/>
          <w:sz w:val="20"/>
        </w:rPr>
        <w:footnoteRef/>
      </w:r>
      <w:r w:rsidRPr="004B1086">
        <w:t xml:space="preserve"> </w:t>
      </w:r>
      <w:r w:rsidRPr="00F87208">
        <w:rPr>
          <w:i/>
          <w:iCs/>
        </w:rPr>
        <w:t xml:space="preserve">See </w:t>
      </w:r>
      <w:r w:rsidRPr="00F87208">
        <w:t>Section IV.</w:t>
      </w:r>
      <w:r>
        <w:t>C</w:t>
      </w:r>
      <w:r w:rsidRPr="00F87208">
        <w:t xml:space="preserve">.3. </w:t>
      </w:r>
      <w:r>
        <w:t>(</w:t>
      </w:r>
      <w:r w:rsidRPr="00F87208">
        <w:t>Activity</w:t>
      </w:r>
      <w:r w:rsidRPr="004B1086">
        <w:t xml:space="preserve"> Rule Waivers and Reducing Eligibility</w:t>
      </w:r>
      <w:r>
        <w:t>)</w:t>
      </w:r>
      <w:r w:rsidRPr="004B1086">
        <w:t xml:space="preserve"> below</w:t>
      </w:r>
      <w:r>
        <w:t>.</w:t>
      </w:r>
    </w:p>
  </w:footnote>
  <w:footnote w:id="33">
    <w:p w:rsidR="00C37E5B" w:rsidRPr="004B1086" w:rsidRDefault="00C37E5B" w:rsidP="00212003">
      <w:pPr>
        <w:pStyle w:val="FootnoteText"/>
      </w:pPr>
      <w:r w:rsidRPr="004B1086">
        <w:rPr>
          <w:rStyle w:val="FootnoteReference"/>
          <w:sz w:val="20"/>
        </w:rPr>
        <w:footnoteRef/>
      </w:r>
      <w:r w:rsidRPr="004B1086">
        <w:t xml:space="preserve"> </w:t>
      </w:r>
      <w:r w:rsidRPr="004B1086">
        <w:rPr>
          <w:i/>
          <w:iCs/>
        </w:rPr>
        <w:t>See</w:t>
      </w:r>
      <w:r w:rsidRPr="004B1086">
        <w:rPr>
          <w:iCs/>
        </w:rPr>
        <w:t xml:space="preserve"> 47 C.F.R. </w:t>
      </w:r>
      <w:r w:rsidRPr="004B1086">
        <w:rPr>
          <w:kern w:val="28"/>
        </w:rPr>
        <w:t>§ 1.2104(</w:t>
      </w:r>
      <w:r>
        <w:rPr>
          <w:kern w:val="28"/>
        </w:rPr>
        <w:t>f</w:t>
      </w:r>
      <w:r w:rsidRPr="004B1086">
        <w:rPr>
          <w:kern w:val="28"/>
        </w:rPr>
        <w:t>).</w:t>
      </w:r>
    </w:p>
  </w:footnote>
  <w:footnote w:id="34">
    <w:p w:rsidR="00C37E5B" w:rsidRPr="004B1086" w:rsidRDefault="00C37E5B" w:rsidP="00212003">
      <w:pPr>
        <w:pStyle w:val="FootnoteText"/>
      </w:pPr>
      <w:r w:rsidRPr="004B1086">
        <w:rPr>
          <w:rStyle w:val="FootnoteReference"/>
          <w:sz w:val="20"/>
        </w:rPr>
        <w:footnoteRef/>
      </w:r>
      <w:r w:rsidRPr="004B1086">
        <w:t xml:space="preserve"> For example, when monitoring activity for determining when to change stages, the Bureau may consider the percentage of bidding units of the licenses receiving new provisionally winning bids, excluding any FCC-held licenses.  In past auctions, the Bureau h</w:t>
      </w:r>
      <w:r>
        <w:t>as generally—but not always—</w:t>
      </w:r>
      <w:r w:rsidRPr="004B1086">
        <w:t>changed stages when this measure was approximately twenty percent or below for three consecutive rounds of bidding.</w:t>
      </w:r>
    </w:p>
  </w:footnote>
  <w:footnote w:id="35">
    <w:p w:rsidR="00C37E5B" w:rsidRPr="004B1086" w:rsidRDefault="00C37E5B" w:rsidP="00212003">
      <w:pPr>
        <w:pStyle w:val="FootnoteText"/>
      </w:pPr>
      <w:r w:rsidRPr="004B1086">
        <w:rPr>
          <w:rStyle w:val="FootnoteReference"/>
          <w:sz w:val="20"/>
        </w:rPr>
        <w:footnoteRef/>
      </w:r>
      <w:r w:rsidRPr="004B1086">
        <w:t xml:space="preserve"> If the Bureau implements stages with activity requirements other than the ones listed above, a bidder’s reduced eligibility for the next round will be calculated by multiplying the bidder’s current round activity by the reciprocal of the activity requirement.  For example, with a 98 percent activity requirement, the bidder’s current round activity would be multiplied by 50/49; with a 100 percent activity requirement, the bidder’s current round activity would become its bidding eligibility (current round activity would be multiplied by 1/1).</w:t>
      </w:r>
    </w:p>
  </w:footnote>
  <w:footnote w:id="36">
    <w:p w:rsidR="00C37E5B" w:rsidRDefault="00C37E5B">
      <w:pPr>
        <w:pStyle w:val="FootnoteText"/>
      </w:pPr>
      <w:r>
        <w:rPr>
          <w:rStyle w:val="FootnoteReference"/>
          <w:sz w:val="20"/>
        </w:rPr>
        <w:footnoteRef/>
      </w:r>
      <w:r>
        <w:t xml:space="preserve"> In general, once a bidder places a proactive waiver during a round, the FCC Auction System does not allow the bidder to take any other bidding-related action in that round, including placing bids or withdrawing bids.</w:t>
      </w:r>
    </w:p>
  </w:footnote>
  <w:footnote w:id="37">
    <w:p w:rsidR="00C37E5B" w:rsidRDefault="00C37E5B" w:rsidP="00A4697A">
      <w:pPr>
        <w:autoSpaceDE w:val="0"/>
        <w:autoSpaceDN w:val="0"/>
        <w:adjustRightInd w:val="0"/>
        <w:spacing w:after="120"/>
        <w:rPr>
          <w:sz w:val="20"/>
        </w:rPr>
      </w:pPr>
      <w:r>
        <w:rPr>
          <w:rStyle w:val="FootnoteReference"/>
          <w:sz w:val="20"/>
        </w:rPr>
        <w:footnoteRef/>
      </w:r>
      <w:r>
        <w:rPr>
          <w:sz w:val="20"/>
        </w:rPr>
        <w:t xml:space="preserve"> 47 U.S.C. § 309(j)(4)(F).  </w:t>
      </w:r>
      <w:r>
        <w:rPr>
          <w:i/>
          <w:iCs/>
          <w:sz w:val="20"/>
        </w:rPr>
        <w:t>See also</w:t>
      </w:r>
      <w:r>
        <w:rPr>
          <w:sz w:val="20"/>
        </w:rPr>
        <w:t xml:space="preserve"> 47 C.F.R. § 1.2104(c) and (d).</w:t>
      </w:r>
    </w:p>
  </w:footnote>
  <w:footnote w:id="38">
    <w:p w:rsidR="00C37E5B" w:rsidRDefault="00C37E5B">
      <w:pPr>
        <w:pStyle w:val="FootnoteText"/>
      </w:pPr>
      <w:r>
        <w:rPr>
          <w:rStyle w:val="FootnoteReference"/>
        </w:rPr>
        <w:footnoteRef/>
      </w:r>
      <w:r>
        <w:t xml:space="preserve"> </w:t>
      </w:r>
      <w:r>
        <w:rPr>
          <w:i/>
        </w:rPr>
        <w:t>Part 1 Third Report and Order</w:t>
      </w:r>
      <w:r>
        <w:t xml:space="preserve">, 13 FCC Rcd at 454-56 ¶ 141.  </w:t>
      </w:r>
      <w:r>
        <w:rPr>
          <w:i/>
        </w:rPr>
        <w:t>See</w:t>
      </w:r>
      <w:r>
        <w:t xml:space="preserve"> </w:t>
      </w:r>
      <w:r>
        <w:rPr>
          <w:i/>
        </w:rPr>
        <w:t xml:space="preserve">also </w:t>
      </w:r>
      <w:r>
        <w:t>47 C.F.R. § 1.2104(c).</w:t>
      </w:r>
    </w:p>
  </w:footnote>
  <w:footnote w:id="39">
    <w:p w:rsidR="00C37E5B" w:rsidRPr="00672743" w:rsidRDefault="00C37E5B" w:rsidP="00EA2BE6">
      <w:pPr>
        <w:pStyle w:val="FootnoteText"/>
      </w:pPr>
      <w:r w:rsidRPr="00672743">
        <w:rPr>
          <w:rStyle w:val="FootnoteReference"/>
        </w:rPr>
        <w:footnoteRef/>
      </w:r>
      <w:r w:rsidRPr="00672743">
        <w:t xml:space="preserve"> </w:t>
      </w:r>
      <w:r w:rsidRPr="00672743">
        <w:rPr>
          <w:i/>
        </w:rPr>
        <w:t>See</w:t>
      </w:r>
      <w:r w:rsidRPr="00672743">
        <w:t xml:space="preserve"> 47 C.F.R. § 1.2104(c).  </w:t>
      </w:r>
      <w:r w:rsidRPr="00672743">
        <w:rPr>
          <w:i/>
        </w:rPr>
        <w:t>See also</w:t>
      </w:r>
      <w:r w:rsidRPr="00672743">
        <w:t xml:space="preserve"> </w:t>
      </w:r>
      <w:r w:rsidRPr="00672743">
        <w:rPr>
          <w:i/>
        </w:rPr>
        <w:t>Part 1 Third Report and Order</w:t>
      </w:r>
      <w:r w:rsidRPr="00672743">
        <w:t>, 13 FCC Rcd at 455 ¶ 140.</w:t>
      </w:r>
    </w:p>
  </w:footnote>
  <w:footnote w:id="40">
    <w:p w:rsidR="00C37E5B" w:rsidRDefault="00C37E5B" w:rsidP="00B85ECA">
      <w:pPr>
        <w:pStyle w:val="FootnoteText"/>
      </w:pPr>
      <w:r>
        <w:rPr>
          <w:rStyle w:val="FootnoteReference"/>
        </w:rPr>
        <w:footnoteRef/>
      </w:r>
      <w:r>
        <w:t xml:space="preserve"> </w:t>
      </w:r>
      <w:r>
        <w:rPr>
          <w:i/>
        </w:rPr>
        <w:t>Part 1 Third Report and Order</w:t>
      </w:r>
      <w:r>
        <w:t>, 13 FCC Rcd at 454-56 ¶ 141.</w:t>
      </w:r>
    </w:p>
  </w:footnote>
  <w:footnote w:id="41">
    <w:p w:rsidR="00C37E5B" w:rsidRPr="00672743" w:rsidRDefault="00C37E5B" w:rsidP="001052F0">
      <w:pPr>
        <w:pStyle w:val="FootnoteText"/>
      </w:pPr>
      <w:r w:rsidRPr="00672743">
        <w:rPr>
          <w:rStyle w:val="FootnoteReference"/>
        </w:rPr>
        <w:footnoteRef/>
      </w:r>
      <w:r w:rsidRPr="00672743">
        <w:t xml:space="preserve"> 47 U.S.C. § 309(j)(3)(C).</w:t>
      </w:r>
    </w:p>
  </w:footnote>
  <w:footnote w:id="42">
    <w:p w:rsidR="00C37E5B" w:rsidRDefault="00C37E5B">
      <w:pPr>
        <w:pStyle w:val="FootnoteText"/>
      </w:pPr>
      <w:r>
        <w:rPr>
          <w:rStyle w:val="FootnoteReference"/>
        </w:rPr>
        <w:footnoteRef/>
      </w:r>
      <w:r>
        <w:t xml:space="preserve"> Spectrum Act, §§ 6401(c)(4),</w:t>
      </w:r>
      <w:r w:rsidRPr="009937F5">
        <w:rPr>
          <w:szCs w:val="22"/>
        </w:rPr>
        <w:t xml:space="preserve"> 6413</w:t>
      </w:r>
      <w:r>
        <w:t xml:space="preserve">, codified at 47 U.S.C. §§ 309(j)(8)(F), 1457; </w:t>
      </w:r>
      <w:r>
        <w:rPr>
          <w:i/>
        </w:rPr>
        <w:t>see also</w:t>
      </w:r>
      <w:r>
        <w:t xml:space="preserve"> Spectrum Act, § 6202(a), codified at 47 U.S.C. § 1422(a). </w:t>
      </w:r>
    </w:p>
  </w:footnote>
  <w:footnote w:id="43">
    <w:p w:rsidR="00C37E5B" w:rsidRDefault="00C37E5B">
      <w:pPr>
        <w:pStyle w:val="FootnoteText"/>
      </w:pPr>
      <w:r>
        <w:rPr>
          <w:rStyle w:val="FootnoteReference"/>
        </w:rPr>
        <w:footnoteRef/>
      </w:r>
      <w:r>
        <w:t xml:space="preserve"> </w:t>
      </w:r>
      <w:r>
        <w:rPr>
          <w:i/>
          <w:iCs/>
        </w:rPr>
        <w:t>See</w:t>
      </w:r>
      <w:r>
        <w:t xml:space="preserve">, </w:t>
      </w:r>
      <w:r>
        <w:rPr>
          <w:i/>
          <w:iCs/>
        </w:rPr>
        <w:t>e.g.</w:t>
      </w:r>
      <w:r>
        <w:t xml:space="preserve">, Auction of 800 MHz SMR Upper 10 MHz Band, Minimum Opening Bids or Reserve Prices, </w:t>
      </w:r>
      <w:r>
        <w:rPr>
          <w:i/>
          <w:iCs/>
        </w:rPr>
        <w:t>Order</w:t>
      </w:r>
      <w:r>
        <w:t xml:space="preserve">, DA 97-2147, 12 FCC Rcd 16354 (1997); Auction of the Phase II 220 MHz Service Licenses, Auction Notice and Filing Requirements for 908 Licenses Consisting of Economic Area (EA), Economic Area Grouping (EAG), and Nationwide Licenses, Scheduled for September 15, 1998, Minimum Opening Bids and Other Procedural Issues, </w:t>
      </w:r>
      <w:r>
        <w:rPr>
          <w:i/>
          <w:iCs/>
        </w:rPr>
        <w:t>Public Notice</w:t>
      </w:r>
      <w:r>
        <w:t>, DA 98-1010, 13 FCC Rcd 16445 (1998).</w:t>
      </w:r>
    </w:p>
  </w:footnote>
  <w:footnote w:id="44">
    <w:p w:rsidR="00C37E5B" w:rsidRDefault="00C37E5B" w:rsidP="00BB223E">
      <w:pPr>
        <w:pStyle w:val="FootnoteText"/>
      </w:pPr>
      <w:r>
        <w:rPr>
          <w:rStyle w:val="FootnoteReference"/>
          <w:sz w:val="20"/>
        </w:rPr>
        <w:footnoteRef/>
      </w:r>
      <w:r>
        <w:t xml:space="preserve"> </w:t>
      </w:r>
      <w:r w:rsidRPr="007A0F52">
        <w:rPr>
          <w:kern w:val="28"/>
        </w:rPr>
        <w:t xml:space="preserve">All population figures are from the 2010 U.S. Census, U.S. Department of Commerce, Bureau of the Census.  </w:t>
      </w:r>
      <w:r w:rsidRPr="007A0F52">
        <w:rPr>
          <w:i/>
          <w:iCs/>
          <w:kern w:val="28"/>
        </w:rPr>
        <w:t>See</w:t>
      </w:r>
      <w:r w:rsidRPr="007A0F52">
        <w:rPr>
          <w:kern w:val="28"/>
        </w:rPr>
        <w:t xml:space="preserve"> Census 2010 Summary File 1 (SF1) and </w:t>
      </w:r>
      <w:r>
        <w:rPr>
          <w:kern w:val="28"/>
        </w:rPr>
        <w:t>Island Areas: 2010 Census Summary File (</w:t>
      </w:r>
      <w:r w:rsidRPr="007A0F52">
        <w:rPr>
          <w:kern w:val="28"/>
        </w:rPr>
        <w:t>covering the U.S. Virgin Islands, Guam, the Northern Mariana Islands, and American Samoa</w:t>
      </w:r>
      <w:r>
        <w:rPr>
          <w:kern w:val="28"/>
        </w:rPr>
        <w:t>).</w:t>
      </w:r>
    </w:p>
  </w:footnote>
  <w:footnote w:id="45">
    <w:p w:rsidR="00C37E5B" w:rsidRDefault="00C37E5B">
      <w:pPr>
        <w:autoSpaceDE w:val="0"/>
        <w:autoSpaceDN w:val="0"/>
        <w:adjustRightInd w:val="0"/>
        <w:spacing w:after="120"/>
        <w:rPr>
          <w:sz w:val="20"/>
        </w:rPr>
      </w:pPr>
      <w:r>
        <w:rPr>
          <w:rStyle w:val="FootnoteReference"/>
          <w:sz w:val="20"/>
        </w:rPr>
        <w:footnoteRef/>
      </w:r>
      <w:r>
        <w:rPr>
          <w:sz w:val="20"/>
        </w:rPr>
        <w:t xml:space="preserve"> Bidders must have sufficient eligibility to place a bid on the particular license.  </w:t>
      </w:r>
      <w:r w:rsidRPr="00F87208">
        <w:rPr>
          <w:i/>
          <w:iCs/>
          <w:sz w:val="20"/>
        </w:rPr>
        <w:t>See</w:t>
      </w:r>
      <w:r w:rsidRPr="00F87208">
        <w:rPr>
          <w:sz w:val="20"/>
        </w:rPr>
        <w:t xml:space="preserve"> Section IV.</w:t>
      </w:r>
      <w:r>
        <w:rPr>
          <w:sz w:val="20"/>
        </w:rPr>
        <w:t>C</w:t>
      </w:r>
      <w:r w:rsidRPr="00F87208">
        <w:rPr>
          <w:sz w:val="20"/>
        </w:rPr>
        <w:t>.1.</w:t>
      </w:r>
      <w:r>
        <w:rPr>
          <w:sz w:val="20"/>
        </w:rPr>
        <w:t xml:space="preserve"> (Upfront Payments and Bidding Eligibility) above.</w:t>
      </w:r>
    </w:p>
  </w:footnote>
  <w:footnote w:id="46">
    <w:p w:rsidR="00C37E5B" w:rsidRPr="00013BEE" w:rsidRDefault="00C37E5B">
      <w:pPr>
        <w:pStyle w:val="FootnoteText"/>
      </w:pPr>
      <w:r>
        <w:rPr>
          <w:rStyle w:val="FootnoteReference"/>
        </w:rPr>
        <w:footnoteRef/>
      </w:r>
      <w:r>
        <w:t xml:space="preserve"> I</w:t>
      </w:r>
      <w:r w:rsidRPr="00CA6286">
        <w:t>f a bid on an individual license is provisionally winning, the CPE for that license will be the provisionally winning bid amount.  If a package bid is provisionally winning, the CPEs for individual licenses in the package will be constructed by scaling up the bids on individual licenses so that the sum of the license CPEs equals the provisionally winning package bid.  Bids are scaled up by adding “shares” to the highest bid received so far in the auction for each license in the package.  These shares are proportional to the bidding units associated with each license relative to the total number of bidding units in the package.</w:t>
      </w:r>
      <w:r>
        <w:t xml:space="preserve"> </w:t>
      </w:r>
      <w:r w:rsidRPr="00F624E1">
        <w:rPr>
          <w:i/>
        </w:rPr>
        <w:t>See</w:t>
      </w:r>
      <w:r w:rsidRPr="00013BEE">
        <w:t xml:space="preserve"> </w:t>
      </w:r>
      <w:r w:rsidRPr="00672743">
        <w:t>Goeree, J. K. and C. A. Holt,</w:t>
      </w:r>
      <w:r w:rsidRPr="00227425">
        <w:t xml:space="preserve"> </w:t>
      </w:r>
      <w:r>
        <w:t xml:space="preserve">“Hierarchical Package Bidding: A Paper &amp; Pencil Combinatorial Auction,” </w:t>
      </w:r>
      <w:r w:rsidRPr="00275063">
        <w:rPr>
          <w:i/>
        </w:rPr>
        <w:t>Games and Economic Behavior</w:t>
      </w:r>
      <w:r>
        <w:t xml:space="preserve"> 70(1), September 2010, 146-169.  </w:t>
      </w:r>
    </w:p>
  </w:footnote>
  <w:footnote w:id="47">
    <w:p w:rsidR="00C37E5B" w:rsidRPr="00672743" w:rsidRDefault="00C37E5B" w:rsidP="0009791C">
      <w:pPr>
        <w:pStyle w:val="FootnoteText"/>
      </w:pPr>
      <w:r w:rsidRPr="00672743">
        <w:rPr>
          <w:rStyle w:val="FootnoteReference"/>
        </w:rPr>
        <w:footnoteRef/>
      </w:r>
      <w:r w:rsidRPr="00672743">
        <w:t xml:space="preserve"> For Round 1 calculations, because there is no prior round (i.e., no round 0), the activity index from the prior round is set at 0.</w:t>
      </w:r>
    </w:p>
  </w:footnote>
  <w:footnote w:id="48">
    <w:p w:rsidR="00C37E5B" w:rsidRPr="00672743" w:rsidRDefault="00C37E5B" w:rsidP="0009791C">
      <w:pPr>
        <w:pStyle w:val="FootnoteText"/>
      </w:pPr>
      <w:r w:rsidRPr="00672743">
        <w:rPr>
          <w:rStyle w:val="FootnoteReference"/>
        </w:rPr>
        <w:footnoteRef/>
      </w:r>
      <w:r w:rsidRPr="00672743">
        <w:t xml:space="preserve"> The Bureau will round the result using our standard rounding procedures: results above $10,000 are rounded to the nearest $1,000; results below $10,000 but above $1,000 are rounded to the nearest $100; and results below $1,000 are rounded to the nearest $10.</w:t>
      </w:r>
    </w:p>
  </w:footnote>
  <w:footnote w:id="49">
    <w:p w:rsidR="00C37E5B" w:rsidRDefault="00C37E5B">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note 47 (concerning rounding), above. </w:t>
      </w:r>
    </w:p>
  </w:footnote>
  <w:footnote w:id="50">
    <w:p w:rsidR="00C37E5B" w:rsidRDefault="00C37E5B">
      <w:pPr>
        <w:pStyle w:val="FootnoteText"/>
      </w:pPr>
      <w:r>
        <w:rPr>
          <w:rStyle w:val="FootnoteReference"/>
        </w:rPr>
        <w:footnoteRef/>
      </w:r>
      <w:r>
        <w:t xml:space="preserve"> </w:t>
      </w:r>
      <w:r w:rsidRPr="00672743">
        <w:t>Consequent</w:t>
      </w:r>
      <w:r>
        <w:t>ly,</w:t>
      </w:r>
      <w:r w:rsidRPr="00672743">
        <w:t xml:space="preserve"> an individual license or package bid that does not become a provisionally winning bid at the conclusion of the round in which it was placed may become a provisionally winning bid at the conclusion of a subsequent round.  This may occur even if the bidder does not have the bidding eligibility to cover the newly-provisionally winning bid</w:t>
      </w:r>
      <w:r>
        <w:t>, a situation that would not occur under the FCC’s usual SMR auction procedures.  In such cases, bidding eligibility will not be increased.</w:t>
      </w:r>
    </w:p>
  </w:footnote>
  <w:footnote w:id="51">
    <w:p w:rsidR="00C37E5B" w:rsidRDefault="00C37E5B">
      <w:pPr>
        <w:pStyle w:val="FootnoteText"/>
      </w:pPr>
      <w:r>
        <w:rPr>
          <w:rStyle w:val="FootnoteReference"/>
        </w:rPr>
        <w:footnoteRef/>
      </w:r>
      <w:r>
        <w:t xml:space="preserve"> With package bidding, i</w:t>
      </w:r>
      <w:r w:rsidRPr="003C128E">
        <w:t>n the event of ties among bids that generate the highest aggregate gross bid amount, the set of bids with the highest sum of random numbers becomes provisionally winning.</w:t>
      </w:r>
    </w:p>
  </w:footnote>
  <w:footnote w:id="52">
    <w:p w:rsidR="00C37E5B" w:rsidRDefault="00C37E5B">
      <w:pPr>
        <w:autoSpaceDE w:val="0"/>
        <w:autoSpaceDN w:val="0"/>
        <w:adjustRightInd w:val="0"/>
        <w:spacing w:after="120"/>
        <w:rPr>
          <w:sz w:val="20"/>
        </w:rPr>
      </w:pPr>
      <w:r>
        <w:rPr>
          <w:rStyle w:val="FootnoteReference"/>
          <w:sz w:val="20"/>
        </w:rPr>
        <w:footnoteRef/>
      </w:r>
      <w:r>
        <w:rPr>
          <w:sz w:val="20"/>
        </w:rPr>
        <w:t xml:space="preserve"> </w:t>
      </w:r>
      <w:r w:rsidRPr="00F87208">
        <w:rPr>
          <w:i/>
          <w:iCs/>
          <w:sz w:val="20"/>
        </w:rPr>
        <w:t>See</w:t>
      </w:r>
      <w:r w:rsidRPr="00F87208">
        <w:rPr>
          <w:sz w:val="20"/>
        </w:rPr>
        <w:t xml:space="preserve"> Section IV.</w:t>
      </w:r>
      <w:r>
        <w:rPr>
          <w:sz w:val="20"/>
        </w:rPr>
        <w:t>C</w:t>
      </w:r>
      <w:r w:rsidRPr="00F87208">
        <w:rPr>
          <w:sz w:val="20"/>
        </w:rPr>
        <w:t xml:space="preserve">.2. </w:t>
      </w:r>
      <w:r>
        <w:rPr>
          <w:sz w:val="20"/>
        </w:rPr>
        <w:t>(Activity Rule) above.</w:t>
      </w:r>
    </w:p>
  </w:footnote>
  <w:footnote w:id="53">
    <w:p w:rsidR="00C37E5B" w:rsidRPr="004B1086" w:rsidRDefault="00C37E5B" w:rsidP="00A0354B">
      <w:pPr>
        <w:pStyle w:val="FootnoteText"/>
      </w:pPr>
      <w:r w:rsidRPr="004B1086">
        <w:rPr>
          <w:rStyle w:val="FootnoteReference"/>
          <w:sz w:val="20"/>
        </w:rPr>
        <w:footnoteRef/>
      </w:r>
      <w:r w:rsidRPr="004B1086">
        <w:t xml:space="preserve"> </w:t>
      </w:r>
      <w:r w:rsidRPr="004B1086">
        <w:rPr>
          <w:i/>
          <w:iCs/>
        </w:rPr>
        <w:t>Part 1 Third Report and Order</w:t>
      </w:r>
      <w:r w:rsidRPr="004B1086">
        <w:t>, 13 FCC Rcd at 459-60 ¶ 150.</w:t>
      </w:r>
    </w:p>
  </w:footnote>
  <w:footnote w:id="54">
    <w:p w:rsidR="00C37E5B" w:rsidRPr="00CA6286" w:rsidRDefault="00C37E5B" w:rsidP="00A111AC">
      <w:pPr>
        <w:pStyle w:val="FootnoteText"/>
      </w:pPr>
      <w:r w:rsidRPr="00CA6286">
        <w:rPr>
          <w:rStyle w:val="FootnoteReference"/>
        </w:rPr>
        <w:footnoteRef/>
      </w:r>
      <w:r w:rsidRPr="00CA6286">
        <w:t xml:space="preserve"> 47 C.F.R. </w:t>
      </w:r>
      <w:r w:rsidRPr="00CA6286">
        <w:rPr>
          <w:kern w:val="28"/>
        </w:rPr>
        <w:t>§ 1.2110(f).  Knowing the size of a small business bidding credit on an individual license may be necessary in order to calculate a small business bidding credit unjust enrichment obligation on a license won as part of a package.</w:t>
      </w:r>
    </w:p>
  </w:footnote>
  <w:footnote w:id="55">
    <w:p w:rsidR="00C37E5B" w:rsidRPr="00CA6286" w:rsidRDefault="00C37E5B" w:rsidP="00A111AC">
      <w:pPr>
        <w:pStyle w:val="FootnoteText"/>
      </w:pPr>
      <w:r w:rsidRPr="00CA6286">
        <w:rPr>
          <w:rStyle w:val="FootnoteReference"/>
        </w:rPr>
        <w:footnoteRef/>
      </w:r>
      <w:r w:rsidRPr="00CA6286">
        <w:t xml:space="preserve"> 47 C.F.R. </w:t>
      </w:r>
      <w:r w:rsidRPr="00CA6286">
        <w:rPr>
          <w:kern w:val="28"/>
        </w:rPr>
        <w:t>§ 1.2104(g).</w:t>
      </w:r>
    </w:p>
  </w:footnote>
  <w:footnote w:id="56">
    <w:p w:rsidR="00C37E5B" w:rsidRDefault="00C37E5B">
      <w:pPr>
        <w:pStyle w:val="FootnoteText"/>
      </w:pPr>
      <w:r>
        <w:rPr>
          <w:rStyle w:val="FootnoteReference"/>
        </w:rPr>
        <w:footnoteRef/>
      </w:r>
      <w:r>
        <w:t xml:space="preserve"> </w:t>
      </w:r>
      <w:r w:rsidRPr="00CA6286">
        <w:rPr>
          <w:i/>
          <w:kern w:val="28"/>
        </w:rPr>
        <w:t xml:space="preserve">See </w:t>
      </w:r>
      <w:r w:rsidRPr="00CA6286">
        <w:rPr>
          <w:kern w:val="28"/>
        </w:rPr>
        <w:t xml:space="preserve">47 C.F.R. § 1.2103(b), as amended by the </w:t>
      </w:r>
      <w:r w:rsidRPr="00CA6286">
        <w:rPr>
          <w:i/>
          <w:kern w:val="28"/>
        </w:rPr>
        <w:t>CSEA/Part 1 Report and Order</w:t>
      </w:r>
      <w:r w:rsidRPr="00CA6286">
        <w:rPr>
          <w:kern w:val="28"/>
        </w:rPr>
        <w:t xml:space="preserve">.  </w:t>
      </w:r>
      <w:r w:rsidRPr="00CA6286">
        <w:rPr>
          <w:i/>
        </w:rPr>
        <w:t>CSEA/Part 1 Report and Order</w:t>
      </w:r>
      <w:r w:rsidRPr="00CA6286">
        <w:t xml:space="preserve">, </w:t>
      </w:r>
      <w:r w:rsidRPr="00CA6286">
        <w:rPr>
          <w:kern w:val="28"/>
        </w:rPr>
        <w:t>21 FCC Rcd at 906 ¶ 39</w:t>
      </w:r>
      <w:r>
        <w:rPr>
          <w:kern w:val="28"/>
        </w:rPr>
        <w:t>.</w:t>
      </w:r>
    </w:p>
  </w:footnote>
  <w:footnote w:id="57">
    <w:p w:rsidR="00C37E5B" w:rsidRDefault="00C37E5B" w:rsidP="00CB700E">
      <w:pPr>
        <w:pStyle w:val="FootnoteText"/>
      </w:pPr>
      <w:r>
        <w:rPr>
          <w:rStyle w:val="FootnoteReference"/>
        </w:rPr>
        <w:footnoteRef/>
      </w:r>
      <w:r>
        <w:rPr>
          <w:kern w:val="28"/>
        </w:rPr>
        <w:t xml:space="preserve"> </w:t>
      </w:r>
      <w:r>
        <w:rPr>
          <w:i/>
          <w:kern w:val="28"/>
        </w:rPr>
        <w:t xml:space="preserve">See </w:t>
      </w:r>
      <w:r>
        <w:rPr>
          <w:kern w:val="28"/>
        </w:rPr>
        <w:t xml:space="preserve">47 C.F.R. § 1.2104(g)(1).  The withdrawal payment amount is deducted from any upfront payments or down payments that the withdrawing bidder has deposited with the Commission.  No withdrawal payment is assessed for a withdrawn bid if either the subsequent winning bid or any of the intervening subsequent withdrawn bids equals or exceeds that withdrawn bid.  </w:t>
      </w:r>
      <w:r>
        <w:rPr>
          <w:i/>
          <w:iCs/>
          <w:kern w:val="28"/>
        </w:rPr>
        <w:t>Id.</w:t>
      </w:r>
    </w:p>
  </w:footnote>
  <w:footnote w:id="58">
    <w:p w:rsidR="00C37E5B" w:rsidRDefault="00C37E5B" w:rsidP="00CB700E">
      <w:pPr>
        <w:pStyle w:val="FootnoteText"/>
      </w:pPr>
      <w:r>
        <w:rPr>
          <w:rStyle w:val="FootnoteReference"/>
        </w:rPr>
        <w:footnoteRef/>
      </w:r>
      <w:r>
        <w:t xml:space="preserve"> </w:t>
      </w:r>
      <w:r>
        <w:rPr>
          <w:i/>
        </w:rPr>
        <w:t>Id</w:t>
      </w:r>
      <w:r>
        <w:t>.</w:t>
      </w:r>
    </w:p>
  </w:footnote>
  <w:footnote w:id="59">
    <w:p w:rsidR="00C37E5B" w:rsidRDefault="00C37E5B" w:rsidP="00CB700E">
      <w:pPr>
        <w:pStyle w:val="FootnoteText"/>
      </w:pPr>
      <w:r>
        <w:rPr>
          <w:rStyle w:val="FootnoteReference"/>
        </w:rPr>
        <w:footnoteRef/>
      </w:r>
      <w:r>
        <w:t xml:space="preserve"> </w:t>
      </w:r>
      <w:r>
        <w:rPr>
          <w:i/>
        </w:rPr>
        <w:t>Id.</w:t>
      </w:r>
    </w:p>
  </w:footnote>
  <w:footnote w:id="60">
    <w:p w:rsidR="00C37E5B" w:rsidRDefault="00C37E5B" w:rsidP="00CB700E">
      <w:pPr>
        <w:pStyle w:val="FootnoteText"/>
      </w:pPr>
      <w:r>
        <w:rPr>
          <w:rStyle w:val="FootnoteReference"/>
        </w:rPr>
        <w:footnoteRef/>
      </w:r>
      <w:r>
        <w:t xml:space="preserve"> </w:t>
      </w:r>
      <w:r>
        <w:rPr>
          <w:i/>
          <w:iCs/>
          <w:kern w:val="28"/>
        </w:rPr>
        <w:t xml:space="preserve">See </w:t>
      </w:r>
      <w:r>
        <w:rPr>
          <w:i/>
          <w:kern w:val="28"/>
        </w:rPr>
        <w:t>id.</w:t>
      </w:r>
      <w:r>
        <w:rPr>
          <w:kern w:val="28"/>
        </w:rPr>
        <w:t xml:space="preserve">, as amended by </w:t>
      </w:r>
      <w:r>
        <w:rPr>
          <w:i/>
          <w:iCs/>
          <w:kern w:val="28"/>
        </w:rPr>
        <w:t>CSEA/Part 1 Report and Order</w:t>
      </w:r>
      <w:r>
        <w:rPr>
          <w:kern w:val="28"/>
        </w:rPr>
        <w:t>, 21 FCC Rcd at 901-04 ¶</w:t>
      </w:r>
      <w:r w:rsidRPr="004B1086">
        <w:t>¶</w:t>
      </w:r>
      <w:r>
        <w:rPr>
          <w:kern w:val="28"/>
        </w:rPr>
        <w:t xml:space="preserve"> 27-32. </w:t>
      </w:r>
    </w:p>
  </w:footnote>
  <w:footnote w:id="61">
    <w:p w:rsidR="00C37E5B" w:rsidRDefault="00C37E5B" w:rsidP="00CB700E">
      <w:pPr>
        <w:pStyle w:val="FootnoteText"/>
      </w:pPr>
      <w:r>
        <w:rPr>
          <w:rStyle w:val="FootnoteReference"/>
        </w:rPr>
        <w:footnoteRef/>
      </w:r>
      <w:r>
        <w:t xml:space="preserve"> </w:t>
      </w:r>
      <w:r>
        <w:rPr>
          <w:i/>
          <w:iCs/>
          <w:kern w:val="28"/>
        </w:rPr>
        <w:t xml:space="preserve">See </w:t>
      </w:r>
      <w:r>
        <w:rPr>
          <w:i/>
          <w:kern w:val="28"/>
        </w:rPr>
        <w:t>CSEA/Part 1 Report and Order</w:t>
      </w:r>
      <w:r>
        <w:rPr>
          <w:kern w:val="28"/>
        </w:rPr>
        <w:t>, 21 FCC Rcd at 903-04 ¶ 31.</w:t>
      </w:r>
    </w:p>
  </w:footnote>
  <w:footnote w:id="62">
    <w:p w:rsidR="00C37E5B" w:rsidRDefault="00C37E5B" w:rsidP="00CB700E">
      <w:pPr>
        <w:pStyle w:val="FootnoteText"/>
      </w:pPr>
      <w:r>
        <w:rPr>
          <w:rStyle w:val="FootnoteReference"/>
        </w:rPr>
        <w:footnoteRef/>
      </w:r>
      <w:r>
        <w:t xml:space="preserve"> </w:t>
      </w:r>
      <w:r>
        <w:rPr>
          <w:i/>
          <w:iCs/>
        </w:rPr>
        <w:t xml:space="preserve">See </w:t>
      </w:r>
      <w:r>
        <w:rPr>
          <w:i/>
        </w:rPr>
        <w:t xml:space="preserve">id. </w:t>
      </w:r>
      <w:r>
        <w:t>at 904</w:t>
      </w:r>
      <w:r>
        <w:rPr>
          <w:i/>
        </w:rPr>
        <w:t xml:space="preserve"> </w:t>
      </w:r>
      <w:r>
        <w:t>n.57</w:t>
      </w:r>
      <w:r>
        <w:rPr>
          <w:i/>
        </w:rPr>
        <w:t>.</w:t>
      </w:r>
    </w:p>
  </w:footnote>
  <w:footnote w:id="63">
    <w:p w:rsidR="00C37E5B" w:rsidRDefault="00C37E5B">
      <w:pPr>
        <w:pStyle w:val="FootnoteText"/>
      </w:pPr>
      <w:r>
        <w:rPr>
          <w:rStyle w:val="FootnoteReference"/>
        </w:rPr>
        <w:footnoteRef/>
      </w:r>
      <w:r>
        <w:t xml:space="preserve"> </w:t>
      </w:r>
      <w:r w:rsidRPr="00CA6286">
        <w:t xml:space="preserve">47 C.F.R. </w:t>
      </w:r>
      <w:r w:rsidRPr="00CA6286">
        <w:rPr>
          <w:kern w:val="28"/>
        </w:rPr>
        <w:t>§ 1.2104(g)(2)(ii)</w:t>
      </w:r>
      <w:r>
        <w:rPr>
          <w:kern w:val="28"/>
        </w:rPr>
        <w:t xml:space="preserve">; </w:t>
      </w:r>
      <w:r>
        <w:rPr>
          <w:i/>
          <w:kern w:val="28"/>
        </w:rPr>
        <w:t xml:space="preserve">see also </w:t>
      </w:r>
      <w:r w:rsidRPr="00917AFC">
        <w:rPr>
          <w:kern w:val="28"/>
        </w:rPr>
        <w:t xml:space="preserve">Service Rules for the 746-764 and 776-794 MHz Bands, and Revisions to Part 27 of the Commission’s Rules, </w:t>
      </w:r>
      <w:r w:rsidRPr="00096B9D">
        <w:rPr>
          <w:i/>
          <w:kern w:val="28"/>
        </w:rPr>
        <w:t>Second Memorandum Opinion and Order</w:t>
      </w:r>
      <w:r w:rsidRPr="00917AFC">
        <w:rPr>
          <w:kern w:val="28"/>
        </w:rPr>
        <w:t xml:space="preserve">, 15 FCC Rcd 21070, 21079-80 </w:t>
      </w:r>
      <w:r w:rsidRPr="00F366C7">
        <w:rPr>
          <w:kern w:val="28"/>
        </w:rPr>
        <w:t xml:space="preserve"> </w:t>
      </w:r>
      <w:r>
        <w:rPr>
          <w:kern w:val="28"/>
        </w:rPr>
        <w:t>¶</w:t>
      </w:r>
      <w:r w:rsidRPr="004B1086">
        <w:t>¶</w:t>
      </w:r>
      <w:r w:rsidRPr="00917AFC">
        <w:rPr>
          <w:kern w:val="28"/>
        </w:rPr>
        <w:t xml:space="preserve"> 17-18 (2000) (adopting 25% additional default amount for package bidding auctions)</w:t>
      </w:r>
      <w:r>
        <w:rPr>
          <w:kern w:val="28"/>
        </w:rPr>
        <w:t>.</w:t>
      </w:r>
    </w:p>
  </w:footnote>
  <w:footnote w:id="64">
    <w:p w:rsidR="00C37E5B" w:rsidRDefault="00C37E5B" w:rsidP="00C02BD4">
      <w:pPr>
        <w:pStyle w:val="FootnoteText"/>
      </w:pPr>
      <w:r>
        <w:rPr>
          <w:rStyle w:val="FootnoteReference"/>
        </w:rPr>
        <w:footnoteRef/>
      </w:r>
      <w:r>
        <w:t xml:space="preserve"> </w:t>
      </w:r>
      <w:r w:rsidRPr="00CA6286">
        <w:rPr>
          <w:i/>
          <w:kern w:val="28"/>
        </w:rPr>
        <w:t>See CSEA/Part 1 Report and Order</w:t>
      </w:r>
      <w:r w:rsidRPr="00CA6286">
        <w:rPr>
          <w:kern w:val="28"/>
        </w:rPr>
        <w:t>, 21 FCC Rcd at 903</w:t>
      </w:r>
      <w:r>
        <w:rPr>
          <w:kern w:val="28"/>
        </w:rPr>
        <w:t>-04</w:t>
      </w:r>
      <w:r w:rsidRPr="00CA6286">
        <w:rPr>
          <w:kern w:val="28"/>
        </w:rPr>
        <w:t xml:space="preserve"> ¶¶ 30</w:t>
      </w:r>
      <w:r>
        <w:rPr>
          <w:kern w:val="28"/>
        </w:rPr>
        <w:t>-31.</w:t>
      </w:r>
    </w:p>
  </w:footnote>
  <w:footnote w:id="65">
    <w:p w:rsidR="00C37E5B" w:rsidRDefault="00C37E5B">
      <w:pPr>
        <w:pStyle w:val="FootnoteText"/>
      </w:pPr>
      <w:r>
        <w:rPr>
          <w:rStyle w:val="FootnoteReference"/>
          <w:sz w:val="20"/>
        </w:rPr>
        <w:footnoteRef/>
      </w:r>
      <w:r>
        <w:t xml:space="preserve"> </w:t>
      </w:r>
      <w:r>
        <w:rPr>
          <w:i/>
        </w:rPr>
        <w:t>Id</w:t>
      </w:r>
      <w:r>
        <w:t>. at 902-04 ¶ 29-31.</w:t>
      </w:r>
    </w:p>
  </w:footnote>
  <w:footnote w:id="66">
    <w:p w:rsidR="00C37E5B" w:rsidRDefault="00C37E5B">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Electronic Filing of Documents in Rulemaking Proceedings, GC Docket No. 97-113, </w:t>
      </w:r>
      <w:r>
        <w:rPr>
          <w:i/>
          <w:iCs/>
          <w:sz w:val="20"/>
        </w:rPr>
        <w:t>Report and Order</w:t>
      </w:r>
      <w:r>
        <w:rPr>
          <w:sz w:val="20"/>
        </w:rPr>
        <w:t>, FCC 98-56, 13 FCC Rcd 11322 (1998).</w:t>
      </w:r>
    </w:p>
  </w:footnote>
  <w:footnote w:id="67">
    <w:p w:rsidR="00C37E5B" w:rsidRDefault="00C37E5B">
      <w:pPr>
        <w:autoSpaceDE w:val="0"/>
        <w:autoSpaceDN w:val="0"/>
        <w:adjustRightInd w:val="0"/>
        <w:spacing w:after="120"/>
        <w:rPr>
          <w:sz w:val="20"/>
        </w:rPr>
      </w:pPr>
      <w:r>
        <w:rPr>
          <w:rStyle w:val="FootnoteReference"/>
          <w:sz w:val="20"/>
        </w:rPr>
        <w:footnoteRef/>
      </w:r>
      <w:r>
        <w:rPr>
          <w:sz w:val="20"/>
        </w:rPr>
        <w:t xml:space="preserve"> 47 C.F.R. §§ 1.1200(a), 1.1206.</w:t>
      </w:r>
    </w:p>
  </w:footnote>
  <w:footnote w:id="68">
    <w:p w:rsidR="00C37E5B" w:rsidRDefault="00C37E5B">
      <w:pPr>
        <w:pStyle w:val="FootnoteText"/>
      </w:pPr>
      <w:r>
        <w:rPr>
          <w:rStyle w:val="FootnoteReference"/>
        </w:rPr>
        <w:footnoteRef/>
      </w:r>
      <w:r>
        <w:t xml:space="preserve"> The Commission substantially revised its </w:t>
      </w:r>
      <w:r>
        <w:rPr>
          <w:i/>
        </w:rPr>
        <w:t>ex parte</w:t>
      </w:r>
      <w:r>
        <w:t xml:space="preserve"> rules in 2011.  These revised rules require for example, that an </w:t>
      </w:r>
      <w:r>
        <w:rPr>
          <w:i/>
        </w:rPr>
        <w:t>ex parte</w:t>
      </w:r>
      <w:r>
        <w:t xml:space="preserve"> notice must be filed for each oral </w:t>
      </w:r>
      <w:r>
        <w:rPr>
          <w:i/>
        </w:rPr>
        <w:t>ex parte</w:t>
      </w:r>
      <w:r>
        <w:t xml:space="preserve"> presentation, not just for those presentations that involve new information or arguments not already in the record.  Further, a filer typically must submit an </w:t>
      </w:r>
      <w:r>
        <w:rPr>
          <w:i/>
        </w:rPr>
        <w:t>ex parte</w:t>
      </w:r>
      <w:r>
        <w:t xml:space="preserve"> notice electronically in machine-readable format.  A filer may not submit a PDF image created by scanning a paper document, except in a situation in which a word processing version of the document is not available.  </w:t>
      </w:r>
      <w:r>
        <w:rPr>
          <w:i/>
        </w:rPr>
        <w:t>See</w:t>
      </w:r>
      <w:r>
        <w:t xml:space="preserve"> Amendment of the Commission’s </w:t>
      </w:r>
      <w:r>
        <w:rPr>
          <w:i/>
        </w:rPr>
        <w:t>Ex Parte</w:t>
      </w:r>
      <w:r>
        <w:t xml:space="preserve"> Rules and Other Procedural Rules, GC Docket No. 10-43, </w:t>
      </w:r>
      <w:r>
        <w:rPr>
          <w:i/>
        </w:rPr>
        <w:t>Report and Order and Further Notice of Proposed Rulemaking</w:t>
      </w:r>
      <w:r>
        <w:t>, FCC 11-11, 26 FCC Rcd 4517 (2011).</w:t>
      </w:r>
    </w:p>
  </w:footnote>
  <w:footnote w:id="69">
    <w:p w:rsidR="00C37E5B" w:rsidRPr="00CA6286" w:rsidRDefault="00C37E5B" w:rsidP="00710449">
      <w:pPr>
        <w:pStyle w:val="FootnoteText"/>
        <w:keepLines/>
      </w:pPr>
      <w:r w:rsidRPr="00CA6286">
        <w:rPr>
          <w:rStyle w:val="FootnoteReference"/>
        </w:rPr>
        <w:footnoteRef/>
      </w:r>
      <w:r w:rsidRPr="00CA6286">
        <w:t xml:space="preserve"> The set of considered bids in a round includes new bids for that given round and each bidder’s highest bid on each license or package, regardless of the round in which it was placed.  For a description of how tied </w:t>
      </w:r>
      <w:r w:rsidRPr="00A101D1">
        <w:t xml:space="preserve">bids are broken, see </w:t>
      </w:r>
      <w:r w:rsidRPr="00001296">
        <w:t>Section IV.C.6. (Provisionally Winning Bids).</w:t>
      </w:r>
      <w:r w:rsidRPr="00A101D1">
        <w:t xml:space="preserve">  In addition to these bids, the FCC</w:t>
      </w:r>
      <w:r w:rsidRPr="00CA6286">
        <w:t xml:space="preserve"> Auction System considers a set of “FCC bids.”  There is an FCC bid on each license, and the amount of each FCC bid is slightly below the minimum opening bid amount. </w:t>
      </w:r>
    </w:p>
  </w:footnote>
  <w:footnote w:id="70">
    <w:p w:rsidR="00C37E5B" w:rsidRPr="00CA6286" w:rsidRDefault="00C37E5B" w:rsidP="00710449">
      <w:pPr>
        <w:pStyle w:val="FootnoteText"/>
        <w:keepLines/>
      </w:pPr>
      <w:r w:rsidRPr="00CA6286">
        <w:rPr>
          <w:rStyle w:val="FootnoteReference"/>
        </w:rPr>
        <w:footnoteRef/>
      </w:r>
      <w:r w:rsidRPr="00CA6286">
        <w:t xml:space="preserve"> The hierarchical structure of HPB was suggested by Rothkopf, Pekeč, and Harstad, “Computationally Manageable Combinatorial Auctions,” </w:t>
      </w:r>
      <w:r w:rsidRPr="00CA6286">
        <w:rPr>
          <w:i/>
        </w:rPr>
        <w:t>Management Science</w:t>
      </w:r>
      <w:r w:rsidRPr="00CA6286">
        <w:t xml:space="preserve">, 44(8), August 1998, 1131-1147.  The pricing mechanism for HPB was proposed by </w:t>
      </w:r>
      <w:r w:rsidRPr="00672743">
        <w:t>Goeree, J. K. and C. A. Holt,</w:t>
      </w:r>
      <w:r w:rsidRPr="00227425">
        <w:t xml:space="preserve"> </w:t>
      </w:r>
      <w:r>
        <w:t xml:space="preserve">“Hierarchical Package Bidding: A Paper &amp; Pencil Combinatorial Auction,” </w:t>
      </w:r>
      <w:r w:rsidRPr="00275063">
        <w:rPr>
          <w:i/>
        </w:rPr>
        <w:t>Games and Economic Behavior</w:t>
      </w:r>
      <w:r>
        <w:t xml:space="preserve"> 70(1), September 2010, 146-169</w:t>
      </w:r>
      <w:r w:rsidRPr="00CA6286">
        <w:t xml:space="preserve">.  </w:t>
      </w:r>
    </w:p>
  </w:footnote>
  <w:footnote w:id="71">
    <w:p w:rsidR="00C37E5B" w:rsidRPr="00CA6286" w:rsidRDefault="00C37E5B" w:rsidP="00710449">
      <w:pPr>
        <w:pStyle w:val="FootnoteText"/>
        <w:keepLines/>
      </w:pPr>
      <w:r w:rsidRPr="00CA6286">
        <w:rPr>
          <w:rStyle w:val="FootnoteReference"/>
        </w:rPr>
        <w:footnoteRef/>
      </w:r>
      <w:r w:rsidRPr="00CA6286">
        <w:t xml:space="preserve"> If no bids have been placed on an individual license, the share will be added to the minimum opening bid amount.</w:t>
      </w:r>
    </w:p>
  </w:footnote>
  <w:footnote w:id="72">
    <w:p w:rsidR="00C37E5B" w:rsidRPr="00CA6286" w:rsidRDefault="00C37E5B" w:rsidP="00710449">
      <w:pPr>
        <w:pStyle w:val="FootnoteText"/>
        <w:keepLines/>
      </w:pPr>
      <w:r w:rsidRPr="00CA6286">
        <w:rPr>
          <w:rStyle w:val="FootnoteReference"/>
        </w:rPr>
        <w:footnoteRef/>
      </w:r>
      <w:r w:rsidRPr="00CA6286">
        <w:t xml:space="preserve"> In a standard FCC SMR auction (without package bidding), the FCC Auction System adds a percentage to the current provisionally winning bid amount for each license to determine minimum acceptable bids for </w:t>
      </w:r>
      <w:r w:rsidRPr="00EA334A">
        <w:t xml:space="preserve">the next round.  This percentage may be determined by </w:t>
      </w:r>
      <w:r>
        <w:t>an</w:t>
      </w:r>
      <w:r w:rsidRPr="00EA334A">
        <w:t xml:space="preserve"> activity-based formula, described in Attachment</w:t>
      </w:r>
      <w:r w:rsidRPr="00001296">
        <w:t> C and in Section IV.C.5. (Bid Amounts).</w:t>
      </w:r>
    </w:p>
  </w:footnote>
  <w:footnote w:id="73">
    <w:p w:rsidR="00C37E5B" w:rsidRPr="00CA6286" w:rsidRDefault="00C37E5B" w:rsidP="00710449">
      <w:pPr>
        <w:pStyle w:val="FootnoteText"/>
        <w:keepLines/>
      </w:pPr>
      <w:r w:rsidRPr="00CA6286">
        <w:rPr>
          <w:rStyle w:val="FootnoteReference"/>
        </w:rPr>
        <w:footnoteRef/>
      </w:r>
      <w:r w:rsidRPr="00CA6286">
        <w:t xml:space="preserve"> The computed prices determine minimum acceptable bids for licenses by adding a percentage.  The minimum acceptable bid for a package is equal to the sum of the minimum acceptable bids for the licenses it contains.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E9" w:rsidRDefault="00C04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Pr="003066E4" w:rsidRDefault="00C37E5B" w:rsidP="003066E4">
    <w:pPr>
      <w:tabs>
        <w:tab w:val="center" w:pos="4680"/>
        <w:tab w:val="right" w:pos="9360"/>
      </w:tabs>
      <w:rPr>
        <w:b/>
        <w:szCs w:val="22"/>
      </w:rPr>
    </w:pPr>
    <w:r>
      <w:rPr>
        <w:b/>
        <w:noProof/>
        <w:snapToGrid/>
        <w:szCs w:val="22"/>
      </w:rPr>
      <mc:AlternateContent>
        <mc:Choice Requires="wps">
          <w:drawing>
            <wp:anchor distT="0" distB="0" distL="114300" distR="114300" simplePos="0" relativeHeight="251665408" behindDoc="1" locked="0" layoutInCell="0" allowOverlap="1" wp14:anchorId="28016F06" wp14:editId="5A0D0AA0">
              <wp:simplePos x="0" y="0"/>
              <wp:positionH relativeFrom="margin">
                <wp:posOffset>0</wp:posOffset>
              </wp:positionH>
              <wp:positionV relativeFrom="paragraph">
                <wp:posOffset>177800</wp:posOffset>
              </wp:positionV>
              <wp:extent cx="5943600" cy="1206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7E5B" w:rsidRDefault="00C37E5B" w:rsidP="00476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margin-left:0;margin-top:14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tN7QIAAD8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" o:allowincell="f" fillcolor="black" stroked="f" strokeweight=".05pt">
              <v:textbox>
                <w:txbxContent>
                  <w:p w:rsidR="00C37E5B" w:rsidRDefault="00C37E5B" w:rsidP="004768B5"/>
                </w:txbxContent>
              </v:textbox>
              <w10:wrap anchorx="margin"/>
            </v:rect>
          </w:pict>
        </mc:Fallback>
      </mc:AlternateContent>
    </w:r>
    <w:r>
      <w:rPr>
        <w:b/>
        <w:szCs w:val="22"/>
      </w:rPr>
      <w:tab/>
      <w:t>Federal Communications Commission</w:t>
    </w:r>
    <w:r>
      <w:rPr>
        <w:b/>
        <w:szCs w:val="22"/>
      </w:rPr>
      <w:tab/>
      <w:t>DA 13-1540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Default="00C37E5B" w:rsidP="004D4FA8">
    <w:pPr>
      <w:pStyle w:val="Header"/>
    </w:pPr>
    <w:r>
      <w:rPr>
        <w:noProof/>
        <w:snapToGrid/>
      </w:rPr>
      <w:drawing>
        <wp:anchor distT="0" distB="0" distL="114300" distR="114300" simplePos="0" relativeHeight="251669504" behindDoc="0" locked="0" layoutInCell="0" allowOverlap="1" wp14:anchorId="3BBF0AA3" wp14:editId="2B07D221">
          <wp:simplePos x="0" y="0"/>
          <wp:positionH relativeFrom="column">
            <wp:posOffset>30480</wp:posOffset>
          </wp:positionH>
          <wp:positionV relativeFrom="paragraph">
            <wp:posOffset>107950</wp:posOffset>
          </wp:positionV>
          <wp:extent cx="530225" cy="530225"/>
          <wp:effectExtent l="0" t="0" r="3175" b="3175"/>
          <wp:wrapTopAndBottom/>
          <wp:docPr id="28" name="Picture 2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t>PUBLIC NOTICE</w:t>
    </w:r>
  </w:p>
  <w:p w:rsidR="00C37E5B" w:rsidRPr="00456340" w:rsidRDefault="00C37E5B" w:rsidP="00F90F6C">
    <w:pPr>
      <w:rPr>
        <w:sz w:val="24"/>
        <w:szCs w:val="24"/>
      </w:rPr>
    </w:pPr>
    <w:r w:rsidRPr="00456340">
      <w:rPr>
        <w:noProof/>
        <w:snapToGrid/>
        <w:sz w:val="24"/>
        <w:szCs w:val="24"/>
      </w:rPr>
      <mc:AlternateContent>
        <mc:Choice Requires="wps">
          <w:drawing>
            <wp:anchor distT="0" distB="0" distL="114300" distR="114300" simplePos="0" relativeHeight="251661308" behindDoc="0" locked="0" layoutInCell="0" allowOverlap="1" wp14:anchorId="6614F754" wp14:editId="4D614C53">
              <wp:simplePos x="0" y="0"/>
              <wp:positionH relativeFrom="page">
                <wp:posOffset>914400</wp:posOffset>
              </wp:positionH>
              <wp:positionV relativeFrom="page">
                <wp:posOffset>1236306</wp:posOffset>
              </wp:positionV>
              <wp:extent cx="3200400" cy="545841"/>
              <wp:effectExtent l="0" t="0" r="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5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4D4FA8">
                          <w:pPr>
                            <w:rPr>
                              <w:rFonts w:ascii="Arial" w:hAnsi="Arial"/>
                              <w:b/>
                            </w:rPr>
                          </w:pPr>
                          <w:r>
                            <w:rPr>
                              <w:rFonts w:ascii="Arial" w:hAnsi="Arial"/>
                              <w:b/>
                            </w:rPr>
                            <w:t>Federal Communications Commission</w:t>
                          </w:r>
                        </w:p>
                        <w:p w:rsidR="00C37E5B" w:rsidRDefault="00C37E5B" w:rsidP="004D4F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37E5B" w:rsidRDefault="00C37E5B" w:rsidP="004D4FA8">
                          <w:pPr>
                            <w:rPr>
                              <w:rFonts w:ascii="Arial" w:hAnsi="Arial"/>
                              <w:sz w:val="24"/>
                            </w:rPr>
                          </w:pPr>
                          <w:r>
                            <w:rPr>
                              <w:rFonts w:ascii="Arial" w:hAnsi="Arial"/>
                              <w:b/>
                            </w:rPr>
                            <w:t>Washington, D.C. 20554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1in;margin-top:97.35pt;width:252pt;height:43pt;z-index:251661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" o:allowincell="f" stroked="f">
              <v:textbox inset="0,0,0,0">
                <w:txbxContent>
                  <w:p w:rsidR="00C37E5B" w:rsidRDefault="00C37E5B" w:rsidP="004D4FA8">
                    <w:pPr>
                      <w:rPr>
                        <w:rFonts w:ascii="Arial" w:hAnsi="Arial"/>
                        <w:b/>
                      </w:rPr>
                    </w:pPr>
                    <w:r>
                      <w:rPr>
                        <w:rFonts w:ascii="Arial" w:hAnsi="Arial"/>
                        <w:b/>
                      </w:rPr>
                      <w:t>Federal Communications Commission</w:t>
                    </w:r>
                  </w:p>
                  <w:p w:rsidR="00C37E5B" w:rsidRDefault="00C37E5B" w:rsidP="004D4F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37E5B" w:rsidRDefault="00C37E5B" w:rsidP="004D4FA8">
                    <w:pPr>
                      <w:rPr>
                        <w:rFonts w:ascii="Arial" w:hAnsi="Arial"/>
                        <w:sz w:val="24"/>
                      </w:rPr>
                    </w:pPr>
                    <w:r>
                      <w:rPr>
                        <w:rFonts w:ascii="Arial" w:hAnsi="Arial"/>
                        <w:b/>
                      </w:rPr>
                      <w:t>Washington, D.C. 20554</w:t>
                    </w:r>
                  </w:p>
                </w:txbxContent>
              </v:textbox>
              <w10:wrap anchorx="page" anchory="page"/>
            </v:shape>
          </w:pict>
        </mc:Fallback>
      </mc:AlternateContent>
    </w:r>
  </w:p>
  <w:p w:rsidR="00C37E5B" w:rsidRDefault="00C37E5B" w:rsidP="00F90F6C">
    <w:r w:rsidRPr="00456340">
      <w:rPr>
        <w:noProof/>
        <w:snapToGrid/>
        <w:sz w:val="24"/>
        <w:szCs w:val="24"/>
      </w:rPr>
      <mc:AlternateContent>
        <mc:Choice Requires="wps">
          <w:drawing>
            <wp:anchor distT="0" distB="0" distL="114300" distR="114300" simplePos="0" relativeHeight="251662333" behindDoc="0" locked="0" layoutInCell="1" allowOverlap="1" wp14:anchorId="28B9DAD4" wp14:editId="7D0CC636">
              <wp:simplePos x="0" y="0"/>
              <wp:positionH relativeFrom="page">
                <wp:posOffset>4572000</wp:posOffset>
              </wp:positionH>
              <wp:positionV relativeFrom="page">
                <wp:posOffset>1278294</wp:posOffset>
              </wp:positionV>
              <wp:extent cx="2286000" cy="452535"/>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4D4FA8">
                          <w:pPr>
                            <w:spacing w:before="40"/>
                            <w:jc w:val="right"/>
                            <w:rPr>
                              <w:rFonts w:ascii="Arial" w:hAnsi="Arial"/>
                              <w:b/>
                              <w:sz w:val="16"/>
                            </w:rPr>
                          </w:pPr>
                          <w:r>
                            <w:rPr>
                              <w:rFonts w:ascii="Arial" w:hAnsi="Arial"/>
                              <w:b/>
                              <w:sz w:val="16"/>
                            </w:rPr>
                            <w:t>News Media Information 202 / 418-0500</w:t>
                          </w:r>
                        </w:p>
                        <w:p w:rsidR="00C37E5B" w:rsidRDefault="00C37E5B" w:rsidP="004D4FA8">
                          <w:pPr>
                            <w:jc w:val="right"/>
                            <w:rPr>
                              <w:rFonts w:ascii="Arial" w:hAnsi="Arial"/>
                              <w:b/>
                              <w:sz w:val="16"/>
                            </w:rPr>
                          </w:pPr>
                          <w:r>
                            <w:rPr>
                              <w:rFonts w:ascii="Arial" w:hAnsi="Arial"/>
                              <w:b/>
                              <w:sz w:val="16"/>
                            </w:rPr>
                            <w:t xml:space="preserve">Internet: </w:t>
                          </w:r>
                          <w:bookmarkStart w:id="781" w:name="_Hlt233824"/>
                          <w:r>
                            <w:rPr>
                              <w:rFonts w:ascii="Arial" w:hAnsi="Arial"/>
                              <w:b/>
                              <w:sz w:val="16"/>
                            </w:rPr>
                            <w:t>h</w:t>
                          </w:r>
                          <w:bookmarkEnd w:id="781"/>
                          <w:r>
                            <w:rPr>
                              <w:rFonts w:ascii="Arial" w:hAnsi="Arial"/>
                              <w:b/>
                              <w:sz w:val="16"/>
                            </w:rPr>
                            <w:t>ttp://www.fcc.gov</w:t>
                          </w:r>
                        </w:p>
                        <w:p w:rsidR="00C37E5B" w:rsidRPr="00456340" w:rsidRDefault="00C37E5B" w:rsidP="00456340">
                          <w:pPr>
                            <w:jc w:val="right"/>
                            <w:rPr>
                              <w:rFonts w:ascii="Arial" w:hAnsi="Arial"/>
                              <w:b/>
                              <w:sz w:val="16"/>
                            </w:rPr>
                          </w:pPr>
                          <w:r>
                            <w:rPr>
                              <w:rFonts w:ascii="Arial" w:hAnsi="Arial"/>
                              <w:b/>
                              <w:sz w:val="16"/>
                            </w:rPr>
                            <w:t>TTY: 1-888-835-5322</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5in;margin-top:100.65pt;width:180pt;height:35.65pt;z-index:2516623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" stroked="f">
              <v:textbox inset=",0,0,0">
                <w:txbxContent>
                  <w:p w:rsidR="00C37E5B" w:rsidRDefault="00C37E5B" w:rsidP="004D4FA8">
                    <w:pPr>
                      <w:spacing w:before="40"/>
                      <w:jc w:val="right"/>
                      <w:rPr>
                        <w:rFonts w:ascii="Arial" w:hAnsi="Arial"/>
                        <w:b/>
                        <w:sz w:val="16"/>
                      </w:rPr>
                    </w:pPr>
                    <w:r>
                      <w:rPr>
                        <w:rFonts w:ascii="Arial" w:hAnsi="Arial"/>
                        <w:b/>
                        <w:sz w:val="16"/>
                      </w:rPr>
                      <w:t>News Media Information 202 / 418-0500</w:t>
                    </w:r>
                  </w:p>
                  <w:p w:rsidR="00C37E5B" w:rsidRDefault="00C37E5B" w:rsidP="004D4FA8">
                    <w:pPr>
                      <w:jc w:val="right"/>
                      <w:rPr>
                        <w:rFonts w:ascii="Arial" w:hAnsi="Arial"/>
                        <w:b/>
                        <w:sz w:val="16"/>
                      </w:rPr>
                    </w:pPr>
                    <w:r>
                      <w:rPr>
                        <w:rFonts w:ascii="Arial" w:hAnsi="Arial"/>
                        <w:b/>
                        <w:sz w:val="16"/>
                      </w:rPr>
                      <w:t xml:space="preserve">Internet: </w:t>
                    </w:r>
                    <w:bookmarkStart w:id="782" w:name="_Hlt233824"/>
                    <w:r>
                      <w:rPr>
                        <w:rFonts w:ascii="Arial" w:hAnsi="Arial"/>
                        <w:b/>
                        <w:sz w:val="16"/>
                      </w:rPr>
                      <w:t>h</w:t>
                    </w:r>
                    <w:bookmarkEnd w:id="782"/>
                    <w:r>
                      <w:rPr>
                        <w:rFonts w:ascii="Arial" w:hAnsi="Arial"/>
                        <w:b/>
                        <w:sz w:val="16"/>
                      </w:rPr>
                      <w:t>ttp://www.fcc.gov</w:t>
                    </w:r>
                  </w:p>
                  <w:p w:rsidR="00C37E5B" w:rsidRPr="00456340" w:rsidRDefault="00C37E5B" w:rsidP="00456340">
                    <w:pPr>
                      <w:jc w:val="right"/>
                      <w:rPr>
                        <w:rFonts w:ascii="Arial" w:hAnsi="Arial"/>
                        <w:b/>
                        <w:sz w:val="16"/>
                      </w:rPr>
                    </w:pPr>
                    <w:r>
                      <w:rPr>
                        <w:rFonts w:ascii="Arial" w:hAnsi="Arial"/>
                        <w:b/>
                        <w:sz w:val="16"/>
                      </w:rPr>
                      <w:t>TTY: 1-888-835-5322</w:t>
                    </w:r>
                  </w:p>
                </w:txbxContent>
              </v:textbox>
              <w10:wrap anchorx="page" anchory="page"/>
            </v:shape>
          </w:pict>
        </mc:Fallback>
      </mc:AlternateContent>
    </w:r>
  </w:p>
  <w:p w:rsidR="00C37E5B" w:rsidRDefault="00C37E5B" w:rsidP="00F90F6C"/>
  <w:p w:rsidR="00C37E5B" w:rsidRDefault="00C37E5B" w:rsidP="00F90F6C"/>
  <w:p w:rsidR="00C37E5B" w:rsidRPr="00EF555E" w:rsidRDefault="00C37E5B" w:rsidP="00DA4F93">
    <w:pPr>
      <w:pBdr>
        <w:bottom w:val="single" w:sz="8" w:space="1" w:color="auto"/>
      </w:pBd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Pr="003066E4" w:rsidRDefault="00C37E5B" w:rsidP="003066E4">
    <w:pPr>
      <w:tabs>
        <w:tab w:val="center" w:pos="4680"/>
        <w:tab w:val="right" w:pos="9360"/>
      </w:tabs>
      <w:rPr>
        <w:b/>
        <w:szCs w:val="22"/>
      </w:rPr>
    </w:pPr>
    <w:r>
      <w:rPr>
        <w:b/>
        <w:noProof/>
        <w:snapToGrid/>
        <w:szCs w:val="22"/>
      </w:rPr>
      <mc:AlternateContent>
        <mc:Choice Requires="wps">
          <w:drawing>
            <wp:anchor distT="0" distB="0" distL="114300" distR="114300" simplePos="0" relativeHeight="251675648" behindDoc="1" locked="0" layoutInCell="0" allowOverlap="1" wp14:anchorId="4954B1C5" wp14:editId="5134AC41">
              <wp:simplePos x="0" y="0"/>
              <wp:positionH relativeFrom="margin">
                <wp:posOffset>0</wp:posOffset>
              </wp:positionH>
              <wp:positionV relativeFrom="paragraph">
                <wp:posOffset>177800</wp:posOffset>
              </wp:positionV>
              <wp:extent cx="5943600" cy="1206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7E5B" w:rsidRDefault="00C37E5B" w:rsidP="00476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7" style="position:absolute;margin-left:0;margin-top:14pt;width:468pt;height:.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cR7wIAAEY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" o:allowincell="f" fillcolor="black" stroked="f" strokeweight=".05pt">
              <v:textbox>
                <w:txbxContent>
                  <w:p w:rsidR="00C37E5B" w:rsidRDefault="00C37E5B" w:rsidP="004768B5"/>
                </w:txbxContent>
              </v:textbox>
              <w10:wrap anchorx="margin"/>
            </v:rect>
          </w:pict>
        </mc:Fallback>
      </mc:AlternateContent>
    </w:r>
    <w:r>
      <w:rPr>
        <w:b/>
        <w:szCs w:val="22"/>
      </w:rPr>
      <w:tab/>
      <w:t>Federal Communications Commission</w:t>
    </w:r>
    <w:r>
      <w:rPr>
        <w:b/>
        <w:szCs w:val="22"/>
      </w:rPr>
      <w:tab/>
      <w:t>DA 13-1540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5B" w:rsidRDefault="00C37E5B" w:rsidP="004D4FA8">
    <w:pPr>
      <w:pStyle w:val="Header"/>
    </w:pPr>
    <w:r>
      <w:rPr>
        <w:noProof/>
        <w:snapToGrid/>
      </w:rPr>
      <w:drawing>
        <wp:anchor distT="0" distB="0" distL="114300" distR="114300" simplePos="0" relativeHeight="251673600" behindDoc="0" locked="0" layoutInCell="0" allowOverlap="1" wp14:anchorId="56ECF319" wp14:editId="5B36F20D">
          <wp:simplePos x="0" y="0"/>
          <wp:positionH relativeFrom="column">
            <wp:posOffset>30480</wp:posOffset>
          </wp:positionH>
          <wp:positionV relativeFrom="paragraph">
            <wp:posOffset>107950</wp:posOffset>
          </wp:positionV>
          <wp:extent cx="530225" cy="530225"/>
          <wp:effectExtent l="0" t="0" r="3175" b="3175"/>
          <wp:wrapTopAndBottom/>
          <wp:docPr id="31" name="Picture 3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t>PUBLIC NOTICE</w:t>
    </w:r>
  </w:p>
  <w:p w:rsidR="00C37E5B" w:rsidRPr="00456340" w:rsidRDefault="00C37E5B" w:rsidP="00F90F6C">
    <w:pPr>
      <w:rPr>
        <w:sz w:val="24"/>
        <w:szCs w:val="24"/>
      </w:rPr>
    </w:pPr>
    <w:r w:rsidRPr="00456340">
      <w:rPr>
        <w:noProof/>
        <w:snapToGrid/>
        <w:sz w:val="24"/>
        <w:szCs w:val="24"/>
      </w:rPr>
      <mc:AlternateContent>
        <mc:Choice Requires="wps">
          <w:drawing>
            <wp:anchor distT="0" distB="0" distL="114300" distR="114300" simplePos="0" relativeHeight="251671552" behindDoc="0" locked="0" layoutInCell="0" allowOverlap="1" wp14:anchorId="65F0D31B" wp14:editId="62DFB2B6">
              <wp:simplePos x="0" y="0"/>
              <wp:positionH relativeFrom="page">
                <wp:posOffset>914400</wp:posOffset>
              </wp:positionH>
              <wp:positionV relativeFrom="page">
                <wp:posOffset>1236306</wp:posOffset>
              </wp:positionV>
              <wp:extent cx="3200400" cy="545841"/>
              <wp:effectExtent l="0" t="0" r="0" b="698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5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4D4FA8">
                          <w:pPr>
                            <w:rPr>
                              <w:rFonts w:ascii="Arial" w:hAnsi="Arial"/>
                              <w:b/>
                            </w:rPr>
                          </w:pPr>
                          <w:r>
                            <w:rPr>
                              <w:rFonts w:ascii="Arial" w:hAnsi="Arial"/>
                              <w:b/>
                            </w:rPr>
                            <w:t>Federal Communications Commission</w:t>
                          </w:r>
                        </w:p>
                        <w:p w:rsidR="00C37E5B" w:rsidRDefault="00C37E5B" w:rsidP="004D4F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37E5B" w:rsidRDefault="00C37E5B" w:rsidP="004D4FA8">
                          <w:pPr>
                            <w:rPr>
                              <w:rFonts w:ascii="Arial" w:hAnsi="Arial"/>
                              <w:sz w:val="24"/>
                            </w:rPr>
                          </w:pPr>
                          <w:r>
                            <w:rPr>
                              <w:rFonts w:ascii="Arial" w:hAnsi="Arial"/>
                              <w:b/>
                            </w:rPr>
                            <w:t>Washington, D.C. 20554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in;margin-top:97.35pt;width:252pt;height:4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" o:allowincell="f" stroked="f">
              <v:textbox inset="0,0,0,0">
                <w:txbxContent>
                  <w:p w:rsidR="00C37E5B" w:rsidRDefault="00C37E5B" w:rsidP="004D4FA8">
                    <w:pPr>
                      <w:rPr>
                        <w:rFonts w:ascii="Arial" w:hAnsi="Arial"/>
                        <w:b/>
                      </w:rPr>
                    </w:pPr>
                    <w:r>
                      <w:rPr>
                        <w:rFonts w:ascii="Arial" w:hAnsi="Arial"/>
                        <w:b/>
                      </w:rPr>
                      <w:t>Federal Communications Commission</w:t>
                    </w:r>
                  </w:p>
                  <w:p w:rsidR="00C37E5B" w:rsidRDefault="00C37E5B" w:rsidP="004D4F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37E5B" w:rsidRDefault="00C37E5B" w:rsidP="004D4FA8">
                    <w:pPr>
                      <w:rPr>
                        <w:rFonts w:ascii="Arial" w:hAnsi="Arial"/>
                        <w:sz w:val="24"/>
                      </w:rPr>
                    </w:pPr>
                    <w:r>
                      <w:rPr>
                        <w:rFonts w:ascii="Arial" w:hAnsi="Arial"/>
                        <w:b/>
                      </w:rPr>
                      <w:t>Washington, D.C. 20554</w:t>
                    </w:r>
                  </w:p>
                </w:txbxContent>
              </v:textbox>
              <w10:wrap anchorx="page" anchory="page"/>
            </v:shape>
          </w:pict>
        </mc:Fallback>
      </mc:AlternateContent>
    </w:r>
  </w:p>
  <w:p w:rsidR="00C37E5B" w:rsidRDefault="00C37E5B" w:rsidP="00F90F6C">
    <w:r w:rsidRPr="00456340">
      <w:rPr>
        <w:noProof/>
        <w:snapToGrid/>
        <w:sz w:val="24"/>
        <w:szCs w:val="24"/>
      </w:rPr>
      <mc:AlternateContent>
        <mc:Choice Requires="wps">
          <w:drawing>
            <wp:anchor distT="0" distB="0" distL="114300" distR="114300" simplePos="0" relativeHeight="251672576" behindDoc="0" locked="0" layoutInCell="1" allowOverlap="1" wp14:anchorId="3AD7CC48" wp14:editId="03C4A9AC">
              <wp:simplePos x="0" y="0"/>
              <wp:positionH relativeFrom="page">
                <wp:posOffset>4572000</wp:posOffset>
              </wp:positionH>
              <wp:positionV relativeFrom="page">
                <wp:posOffset>1278294</wp:posOffset>
              </wp:positionV>
              <wp:extent cx="2286000" cy="452535"/>
              <wp:effectExtent l="0" t="0" r="0" b="508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E5B" w:rsidRDefault="00C37E5B" w:rsidP="004D4FA8">
                          <w:pPr>
                            <w:spacing w:before="40"/>
                            <w:jc w:val="right"/>
                            <w:rPr>
                              <w:rFonts w:ascii="Arial" w:hAnsi="Arial"/>
                              <w:b/>
                              <w:sz w:val="16"/>
                            </w:rPr>
                          </w:pPr>
                          <w:r>
                            <w:rPr>
                              <w:rFonts w:ascii="Arial" w:hAnsi="Arial"/>
                              <w:b/>
                              <w:sz w:val="16"/>
                            </w:rPr>
                            <w:t>News Media Information 202 / 418-0500</w:t>
                          </w:r>
                        </w:p>
                        <w:p w:rsidR="00C37E5B" w:rsidRDefault="00C37E5B" w:rsidP="004D4FA8">
                          <w:pPr>
                            <w:jc w:val="right"/>
                            <w:rPr>
                              <w:rFonts w:ascii="Arial" w:hAnsi="Arial"/>
                              <w:b/>
                              <w:sz w:val="16"/>
                            </w:rPr>
                          </w:pPr>
                          <w:r>
                            <w:rPr>
                              <w:rFonts w:ascii="Arial" w:hAnsi="Arial"/>
                              <w:b/>
                              <w:sz w:val="16"/>
                            </w:rPr>
                            <w:t>Internet: http://www.fcc.gov</w:t>
                          </w:r>
                        </w:p>
                        <w:p w:rsidR="00C37E5B" w:rsidRPr="00456340" w:rsidRDefault="00C37E5B" w:rsidP="00456340">
                          <w:pPr>
                            <w:jc w:val="right"/>
                            <w:rPr>
                              <w:rFonts w:ascii="Arial" w:hAnsi="Arial"/>
                              <w:b/>
                              <w:sz w:val="16"/>
                            </w:rPr>
                          </w:pPr>
                          <w:r>
                            <w:rPr>
                              <w:rFonts w:ascii="Arial" w:hAnsi="Arial"/>
                              <w:b/>
                              <w:sz w:val="16"/>
                            </w:rPr>
                            <w:t>TTY: 1-888-835-5322</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in;margin-top:100.65pt;width:180pt;height:35.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" stroked="f">
              <v:textbox inset=",0,0,0">
                <w:txbxContent>
                  <w:p w:rsidR="00C37E5B" w:rsidRDefault="00C37E5B" w:rsidP="004D4FA8">
                    <w:pPr>
                      <w:spacing w:before="40"/>
                      <w:jc w:val="right"/>
                      <w:rPr>
                        <w:rFonts w:ascii="Arial" w:hAnsi="Arial"/>
                        <w:b/>
                        <w:sz w:val="16"/>
                      </w:rPr>
                    </w:pPr>
                    <w:r>
                      <w:rPr>
                        <w:rFonts w:ascii="Arial" w:hAnsi="Arial"/>
                        <w:b/>
                        <w:sz w:val="16"/>
                      </w:rPr>
                      <w:t>News Media Information 202 / 418-0500</w:t>
                    </w:r>
                  </w:p>
                  <w:p w:rsidR="00C37E5B" w:rsidRDefault="00C37E5B" w:rsidP="004D4FA8">
                    <w:pPr>
                      <w:jc w:val="right"/>
                      <w:rPr>
                        <w:rFonts w:ascii="Arial" w:hAnsi="Arial"/>
                        <w:b/>
                        <w:sz w:val="16"/>
                      </w:rPr>
                    </w:pPr>
                    <w:r>
                      <w:rPr>
                        <w:rFonts w:ascii="Arial" w:hAnsi="Arial"/>
                        <w:b/>
                        <w:sz w:val="16"/>
                      </w:rPr>
                      <w:t>Internet: http://www.fcc.gov</w:t>
                    </w:r>
                  </w:p>
                  <w:p w:rsidR="00C37E5B" w:rsidRPr="00456340" w:rsidRDefault="00C37E5B" w:rsidP="00456340">
                    <w:pPr>
                      <w:jc w:val="right"/>
                      <w:rPr>
                        <w:rFonts w:ascii="Arial" w:hAnsi="Arial"/>
                        <w:b/>
                        <w:sz w:val="16"/>
                      </w:rPr>
                    </w:pPr>
                    <w:r>
                      <w:rPr>
                        <w:rFonts w:ascii="Arial" w:hAnsi="Arial"/>
                        <w:b/>
                        <w:sz w:val="16"/>
                      </w:rPr>
                      <w:t>TTY: 1-888-835-5322</w:t>
                    </w:r>
                  </w:p>
                </w:txbxContent>
              </v:textbox>
              <w10:wrap anchorx="page" anchory="page"/>
            </v:shape>
          </w:pict>
        </mc:Fallback>
      </mc:AlternateContent>
    </w:r>
  </w:p>
  <w:p w:rsidR="00C37E5B" w:rsidRDefault="00C37E5B" w:rsidP="00F90F6C"/>
  <w:p w:rsidR="00C37E5B" w:rsidRDefault="00C37E5B" w:rsidP="00F90F6C"/>
  <w:p w:rsidR="00C37E5B" w:rsidRPr="00EF555E" w:rsidRDefault="00C37E5B" w:rsidP="00DA4F93">
    <w:pPr>
      <w:pBdr>
        <w:bottom w:val="single" w:sz="8" w:space="1"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DE"/>
    <w:multiLevelType w:val="hybridMultilevel"/>
    <w:tmpl w:val="58201EAC"/>
    <w:lvl w:ilvl="0" w:tplc="D3A63430">
      <w:start w:val="1"/>
      <w:numFmt w:val="decimal"/>
      <w:lvlText w:val="%1."/>
      <w:lvlJc w:val="left"/>
      <w:pPr>
        <w:tabs>
          <w:tab w:val="num" w:pos="1080"/>
        </w:tabs>
        <w:ind w:left="1080" w:hanging="360"/>
      </w:pPr>
      <w:rPr>
        <w:rFonts w:hint="default"/>
      </w:rPr>
    </w:lvl>
    <w:lvl w:ilvl="1" w:tplc="F6D8697E">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6A43DB"/>
    <w:multiLevelType w:val="hybridMultilevel"/>
    <w:tmpl w:val="C64A7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A03DE"/>
    <w:multiLevelType w:val="hybridMultilevel"/>
    <w:tmpl w:val="3580B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70FEE"/>
    <w:multiLevelType w:val="hybridMultilevel"/>
    <w:tmpl w:val="A4F0F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D4186E"/>
    <w:multiLevelType w:val="hybridMultilevel"/>
    <w:tmpl w:val="3ABA5CD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3268F0"/>
    <w:multiLevelType w:val="multilevel"/>
    <w:tmpl w:val="3930589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D84686F"/>
    <w:multiLevelType w:val="hybridMultilevel"/>
    <w:tmpl w:val="5F58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7D45DD"/>
    <w:multiLevelType w:val="hybridMultilevel"/>
    <w:tmpl w:val="518026E0"/>
    <w:lvl w:ilvl="0" w:tplc="B3C8A8F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F57281C"/>
    <w:multiLevelType w:val="hybridMultilevel"/>
    <w:tmpl w:val="D520C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9945A4C"/>
    <w:multiLevelType w:val="hybridMultilevel"/>
    <w:tmpl w:val="A798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224DC"/>
    <w:multiLevelType w:val="hybridMultilevel"/>
    <w:tmpl w:val="7CDA3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6B380B56"/>
    <w:multiLevelType w:val="hybridMultilevel"/>
    <w:tmpl w:val="E2440188"/>
    <w:lvl w:ilvl="0" w:tplc="FFFFFFFF">
      <w:start w:val="1"/>
      <w:numFmt w:val="decimal"/>
      <w:lvlText w:val="%1."/>
      <w:lvlJc w:val="left"/>
      <w:pPr>
        <w:tabs>
          <w:tab w:val="num" w:pos="1440"/>
        </w:tabs>
        <w:ind w:left="1440" w:hanging="360"/>
      </w:pPr>
      <w:rPr>
        <w:sz w:val="22"/>
        <w:szCs w:val="22"/>
      </w:rPr>
    </w:lvl>
    <w:lvl w:ilvl="1" w:tplc="FFFFFFFF">
      <w:start w:val="2"/>
      <w:numFmt w:val="lowerLetter"/>
      <w:lvlText w:val="%2."/>
      <w:lvlJc w:val="left"/>
      <w:pPr>
        <w:tabs>
          <w:tab w:val="num" w:pos="2250"/>
        </w:tabs>
        <w:ind w:left="2250" w:hanging="360"/>
      </w:pPr>
      <w:rPr>
        <w:rFonts w:hint="default"/>
      </w:rPr>
    </w:lvl>
    <w:lvl w:ilvl="2" w:tplc="FFFFFFFF">
      <w:start w:val="2"/>
      <w:numFmt w:val="lowerLetter"/>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72D64E08"/>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17"/>
  </w:num>
  <w:num w:numId="3">
    <w:abstractNumId w:val="8"/>
  </w:num>
  <w:num w:numId="4">
    <w:abstractNumId w:val="14"/>
  </w:num>
  <w:num w:numId="5">
    <w:abstractNumId w:val="6"/>
  </w:num>
  <w:num w:numId="6">
    <w:abstractNumId w:val="1"/>
  </w:num>
  <w:num w:numId="7">
    <w:abstractNumId w:val="12"/>
  </w:num>
  <w:num w:numId="8">
    <w:abstractNumId w:val="8"/>
  </w:num>
  <w:num w:numId="9">
    <w:abstractNumId w:val="17"/>
  </w:num>
  <w:num w:numId="10">
    <w:abstractNumId w:val="17"/>
  </w:num>
  <w:num w:numId="11">
    <w:abstractNumId w:val="19"/>
  </w:num>
  <w:num w:numId="12">
    <w:abstractNumId w:val="18"/>
  </w:num>
  <w:num w:numId="13">
    <w:abstractNumId w:val="0"/>
  </w:num>
  <w:num w:numId="14">
    <w:abstractNumId w:val="2"/>
  </w:num>
  <w:num w:numId="15">
    <w:abstractNumId w:val="15"/>
  </w:num>
  <w:num w:numId="16">
    <w:abstractNumId w:val="3"/>
  </w:num>
  <w:num w:numId="17">
    <w:abstractNumId w:val="4"/>
  </w:num>
  <w:num w:numId="18">
    <w:abstractNumId w:val="8"/>
  </w:num>
  <w:num w:numId="19">
    <w:abstractNumId w:val="8"/>
  </w:num>
  <w:num w:numId="20">
    <w:abstractNumId w:val="17"/>
  </w:num>
  <w:num w:numId="21">
    <w:abstractNumId w:val="17"/>
  </w:num>
  <w:num w:numId="22">
    <w:abstractNumId w:val="8"/>
  </w:num>
  <w:num w:numId="23">
    <w:abstractNumId w:val="17"/>
  </w:num>
  <w:num w:numId="24">
    <w:abstractNumId w:val="8"/>
  </w:num>
  <w:num w:numId="25">
    <w:abstractNumId w:val="17"/>
  </w:num>
  <w:num w:numId="26">
    <w:abstractNumId w:val="17"/>
  </w:num>
  <w:num w:numId="27">
    <w:abstractNumId w:val="17"/>
  </w:num>
  <w:num w:numId="28">
    <w:abstractNumId w:val="17"/>
  </w:num>
  <w:num w:numId="29">
    <w:abstractNumId w:val="8"/>
  </w:num>
  <w:num w:numId="30">
    <w:abstractNumId w:val="16"/>
  </w:num>
  <w:num w:numId="31">
    <w:abstractNumId w:val="17"/>
    <w:lvlOverride w:ilvl="0">
      <w:startOverride w:val="1"/>
    </w:lvlOverride>
  </w:num>
  <w:num w:numId="32">
    <w:abstractNumId w:val="9"/>
  </w:num>
  <w:num w:numId="33">
    <w:abstractNumId w:val="7"/>
  </w:num>
  <w:num w:numId="34">
    <w:abstractNumId w:val="17"/>
    <w:lvlOverride w:ilvl="0">
      <w:startOverride w:val="1"/>
    </w:lvlOverride>
  </w:num>
  <w:num w:numId="35">
    <w:abstractNumId w:val="17"/>
  </w:num>
  <w:num w:numId="36">
    <w:abstractNumId w:val="17"/>
  </w:num>
  <w:num w:numId="37">
    <w:abstractNumId w:val="17"/>
  </w:num>
  <w:num w:numId="38">
    <w:abstractNumId w:val="17"/>
  </w:num>
  <w:num w:numId="39">
    <w:abstractNumId w:val="11"/>
  </w:num>
  <w:num w:numId="40">
    <w:abstractNumId w:val="17"/>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1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D5"/>
    <w:rsid w:val="00001117"/>
    <w:rsid w:val="0000439D"/>
    <w:rsid w:val="000043C2"/>
    <w:rsid w:val="0000541E"/>
    <w:rsid w:val="00011103"/>
    <w:rsid w:val="000112F2"/>
    <w:rsid w:val="00013BEE"/>
    <w:rsid w:val="00014B74"/>
    <w:rsid w:val="00014CD6"/>
    <w:rsid w:val="00014D5E"/>
    <w:rsid w:val="00016EEC"/>
    <w:rsid w:val="00017256"/>
    <w:rsid w:val="0002020A"/>
    <w:rsid w:val="0002041C"/>
    <w:rsid w:val="000216F1"/>
    <w:rsid w:val="00021ED6"/>
    <w:rsid w:val="000301C9"/>
    <w:rsid w:val="0003028E"/>
    <w:rsid w:val="00031616"/>
    <w:rsid w:val="00036DC1"/>
    <w:rsid w:val="00040332"/>
    <w:rsid w:val="00043BD6"/>
    <w:rsid w:val="000474A5"/>
    <w:rsid w:val="000651F0"/>
    <w:rsid w:val="00071ECD"/>
    <w:rsid w:val="000818C4"/>
    <w:rsid w:val="00082A65"/>
    <w:rsid w:val="000846DB"/>
    <w:rsid w:val="00087AF7"/>
    <w:rsid w:val="0009791C"/>
    <w:rsid w:val="000A167F"/>
    <w:rsid w:val="000A262C"/>
    <w:rsid w:val="000A2972"/>
    <w:rsid w:val="000A6539"/>
    <w:rsid w:val="000A6DC3"/>
    <w:rsid w:val="000C1F09"/>
    <w:rsid w:val="000C2062"/>
    <w:rsid w:val="000C54BC"/>
    <w:rsid w:val="000C75B8"/>
    <w:rsid w:val="000D759B"/>
    <w:rsid w:val="000F1DFD"/>
    <w:rsid w:val="000F2D2E"/>
    <w:rsid w:val="000F38BD"/>
    <w:rsid w:val="000F3B46"/>
    <w:rsid w:val="000F4559"/>
    <w:rsid w:val="000F4A91"/>
    <w:rsid w:val="000F7802"/>
    <w:rsid w:val="001052F0"/>
    <w:rsid w:val="00112881"/>
    <w:rsid w:val="00113921"/>
    <w:rsid w:val="00115DB9"/>
    <w:rsid w:val="00126927"/>
    <w:rsid w:val="0012779A"/>
    <w:rsid w:val="001314EB"/>
    <w:rsid w:val="001326A5"/>
    <w:rsid w:val="00133815"/>
    <w:rsid w:val="00133E78"/>
    <w:rsid w:val="001342B0"/>
    <w:rsid w:val="0014426A"/>
    <w:rsid w:val="001467B0"/>
    <w:rsid w:val="001515B6"/>
    <w:rsid w:val="00153BD4"/>
    <w:rsid w:val="00154921"/>
    <w:rsid w:val="001579BB"/>
    <w:rsid w:val="00167911"/>
    <w:rsid w:val="0017009E"/>
    <w:rsid w:val="00170843"/>
    <w:rsid w:val="001725F6"/>
    <w:rsid w:val="00174305"/>
    <w:rsid w:val="00174E2D"/>
    <w:rsid w:val="00176474"/>
    <w:rsid w:val="0019316E"/>
    <w:rsid w:val="00193A9B"/>
    <w:rsid w:val="0019727C"/>
    <w:rsid w:val="0019799B"/>
    <w:rsid w:val="001A5654"/>
    <w:rsid w:val="001A5D28"/>
    <w:rsid w:val="001B2385"/>
    <w:rsid w:val="001B2FC2"/>
    <w:rsid w:val="001B3614"/>
    <w:rsid w:val="001B7ED2"/>
    <w:rsid w:val="001C21FA"/>
    <w:rsid w:val="001C53CE"/>
    <w:rsid w:val="001C78E5"/>
    <w:rsid w:val="001D032D"/>
    <w:rsid w:val="001D1C06"/>
    <w:rsid w:val="001E1791"/>
    <w:rsid w:val="001E18DF"/>
    <w:rsid w:val="001E3E31"/>
    <w:rsid w:val="001E6F40"/>
    <w:rsid w:val="001F2FC9"/>
    <w:rsid w:val="001F431C"/>
    <w:rsid w:val="002019E6"/>
    <w:rsid w:val="00202D5B"/>
    <w:rsid w:val="00206A2A"/>
    <w:rsid w:val="00211405"/>
    <w:rsid w:val="00211FAE"/>
    <w:rsid w:val="00212003"/>
    <w:rsid w:val="00212CB4"/>
    <w:rsid w:val="00220DF0"/>
    <w:rsid w:val="002218C6"/>
    <w:rsid w:val="002229C1"/>
    <w:rsid w:val="002237D6"/>
    <w:rsid w:val="00226C2C"/>
    <w:rsid w:val="0023121E"/>
    <w:rsid w:val="00232938"/>
    <w:rsid w:val="00233167"/>
    <w:rsid w:val="00240E6E"/>
    <w:rsid w:val="00241DFF"/>
    <w:rsid w:val="002435D4"/>
    <w:rsid w:val="00251149"/>
    <w:rsid w:val="0025248F"/>
    <w:rsid w:val="0026380B"/>
    <w:rsid w:val="00263BCD"/>
    <w:rsid w:val="00263D2C"/>
    <w:rsid w:val="00264E04"/>
    <w:rsid w:val="00265656"/>
    <w:rsid w:val="00265D3B"/>
    <w:rsid w:val="002663D0"/>
    <w:rsid w:val="00270606"/>
    <w:rsid w:val="00274A07"/>
    <w:rsid w:val="00275F9C"/>
    <w:rsid w:val="00282728"/>
    <w:rsid w:val="00290087"/>
    <w:rsid w:val="00292CEF"/>
    <w:rsid w:val="00294B95"/>
    <w:rsid w:val="002968A3"/>
    <w:rsid w:val="002A0A1D"/>
    <w:rsid w:val="002A2CDA"/>
    <w:rsid w:val="002B0309"/>
    <w:rsid w:val="002B3B56"/>
    <w:rsid w:val="002B3DBB"/>
    <w:rsid w:val="002C2136"/>
    <w:rsid w:val="002C315F"/>
    <w:rsid w:val="002C3350"/>
    <w:rsid w:val="002C706B"/>
    <w:rsid w:val="002D22B9"/>
    <w:rsid w:val="002D42BC"/>
    <w:rsid w:val="002D617F"/>
    <w:rsid w:val="002D6527"/>
    <w:rsid w:val="002D6F36"/>
    <w:rsid w:val="002E011A"/>
    <w:rsid w:val="002E1309"/>
    <w:rsid w:val="002E1710"/>
    <w:rsid w:val="002E299C"/>
    <w:rsid w:val="002E7244"/>
    <w:rsid w:val="002E7F32"/>
    <w:rsid w:val="002F22CD"/>
    <w:rsid w:val="002F5AC4"/>
    <w:rsid w:val="002F6946"/>
    <w:rsid w:val="002F6FFB"/>
    <w:rsid w:val="002F754C"/>
    <w:rsid w:val="002F7938"/>
    <w:rsid w:val="0030055A"/>
    <w:rsid w:val="00300F57"/>
    <w:rsid w:val="003035A0"/>
    <w:rsid w:val="00305752"/>
    <w:rsid w:val="003066E4"/>
    <w:rsid w:val="003107CE"/>
    <w:rsid w:val="00315C68"/>
    <w:rsid w:val="0032023D"/>
    <w:rsid w:val="0032064D"/>
    <w:rsid w:val="003240D2"/>
    <w:rsid w:val="00325DFF"/>
    <w:rsid w:val="00330E63"/>
    <w:rsid w:val="003349A9"/>
    <w:rsid w:val="003379D8"/>
    <w:rsid w:val="00342BB3"/>
    <w:rsid w:val="003437EC"/>
    <w:rsid w:val="00345A9D"/>
    <w:rsid w:val="003501D2"/>
    <w:rsid w:val="00356AF1"/>
    <w:rsid w:val="00360B28"/>
    <w:rsid w:val="00360EC8"/>
    <w:rsid w:val="00367FC3"/>
    <w:rsid w:val="003702D9"/>
    <w:rsid w:val="0037295E"/>
    <w:rsid w:val="003732D4"/>
    <w:rsid w:val="003735CA"/>
    <w:rsid w:val="003757CD"/>
    <w:rsid w:val="00377CB7"/>
    <w:rsid w:val="00383BE6"/>
    <w:rsid w:val="00384183"/>
    <w:rsid w:val="00384845"/>
    <w:rsid w:val="00385C78"/>
    <w:rsid w:val="0038730C"/>
    <w:rsid w:val="00390052"/>
    <w:rsid w:val="0039313C"/>
    <w:rsid w:val="003941AE"/>
    <w:rsid w:val="00394BE1"/>
    <w:rsid w:val="00396106"/>
    <w:rsid w:val="00397492"/>
    <w:rsid w:val="003976F5"/>
    <w:rsid w:val="003A0EA9"/>
    <w:rsid w:val="003A1EDC"/>
    <w:rsid w:val="003A7C41"/>
    <w:rsid w:val="003B4C3C"/>
    <w:rsid w:val="003B60EC"/>
    <w:rsid w:val="003C128E"/>
    <w:rsid w:val="003C1DAF"/>
    <w:rsid w:val="003C6D66"/>
    <w:rsid w:val="003C71AD"/>
    <w:rsid w:val="003D27B4"/>
    <w:rsid w:val="003D28FB"/>
    <w:rsid w:val="003E3E36"/>
    <w:rsid w:val="003E4868"/>
    <w:rsid w:val="003E6EEA"/>
    <w:rsid w:val="003E793F"/>
    <w:rsid w:val="003F04BC"/>
    <w:rsid w:val="003F26B8"/>
    <w:rsid w:val="003F4123"/>
    <w:rsid w:val="003F7520"/>
    <w:rsid w:val="004004E2"/>
    <w:rsid w:val="00400DDE"/>
    <w:rsid w:val="004031E3"/>
    <w:rsid w:val="00404866"/>
    <w:rsid w:val="0041248C"/>
    <w:rsid w:val="004128A4"/>
    <w:rsid w:val="0041706A"/>
    <w:rsid w:val="00422CE3"/>
    <w:rsid w:val="004244DE"/>
    <w:rsid w:val="00427A66"/>
    <w:rsid w:val="004320C8"/>
    <w:rsid w:val="00435C9E"/>
    <w:rsid w:val="0043797C"/>
    <w:rsid w:val="004411AF"/>
    <w:rsid w:val="004415A3"/>
    <w:rsid w:val="00442697"/>
    <w:rsid w:val="004440AB"/>
    <w:rsid w:val="00444FEE"/>
    <w:rsid w:val="004467E7"/>
    <w:rsid w:val="004505E2"/>
    <w:rsid w:val="00450AB8"/>
    <w:rsid w:val="00451702"/>
    <w:rsid w:val="00452A68"/>
    <w:rsid w:val="00456340"/>
    <w:rsid w:val="004566D9"/>
    <w:rsid w:val="00463474"/>
    <w:rsid w:val="004768B5"/>
    <w:rsid w:val="00477ADF"/>
    <w:rsid w:val="00480612"/>
    <w:rsid w:val="0048131D"/>
    <w:rsid w:val="0048213E"/>
    <w:rsid w:val="00482B89"/>
    <w:rsid w:val="00482D9B"/>
    <w:rsid w:val="00483279"/>
    <w:rsid w:val="0048380E"/>
    <w:rsid w:val="00485F95"/>
    <w:rsid w:val="004866DB"/>
    <w:rsid w:val="004870B3"/>
    <w:rsid w:val="0049456A"/>
    <w:rsid w:val="00495F3F"/>
    <w:rsid w:val="004A06AA"/>
    <w:rsid w:val="004A1FC2"/>
    <w:rsid w:val="004A2F90"/>
    <w:rsid w:val="004A3974"/>
    <w:rsid w:val="004A6460"/>
    <w:rsid w:val="004B5C53"/>
    <w:rsid w:val="004B6D97"/>
    <w:rsid w:val="004B6FDC"/>
    <w:rsid w:val="004C164E"/>
    <w:rsid w:val="004C3C96"/>
    <w:rsid w:val="004C5E12"/>
    <w:rsid w:val="004C6116"/>
    <w:rsid w:val="004C7115"/>
    <w:rsid w:val="004D256B"/>
    <w:rsid w:val="004D4FA8"/>
    <w:rsid w:val="004E0150"/>
    <w:rsid w:val="004E158A"/>
    <w:rsid w:val="004E264D"/>
    <w:rsid w:val="004E4ACB"/>
    <w:rsid w:val="004E4D9E"/>
    <w:rsid w:val="004E501A"/>
    <w:rsid w:val="004E6EC0"/>
    <w:rsid w:val="004F0FBB"/>
    <w:rsid w:val="004F21B8"/>
    <w:rsid w:val="004F2C6C"/>
    <w:rsid w:val="004F2EE6"/>
    <w:rsid w:val="004F6238"/>
    <w:rsid w:val="004F6937"/>
    <w:rsid w:val="0050443B"/>
    <w:rsid w:val="00504C6F"/>
    <w:rsid w:val="00505067"/>
    <w:rsid w:val="005104F9"/>
    <w:rsid w:val="00510C3D"/>
    <w:rsid w:val="00514177"/>
    <w:rsid w:val="005143A3"/>
    <w:rsid w:val="00514A03"/>
    <w:rsid w:val="00515ACF"/>
    <w:rsid w:val="005168FD"/>
    <w:rsid w:val="0051757E"/>
    <w:rsid w:val="0052268F"/>
    <w:rsid w:val="0052433A"/>
    <w:rsid w:val="00524DFD"/>
    <w:rsid w:val="0052756E"/>
    <w:rsid w:val="00530B39"/>
    <w:rsid w:val="005315E8"/>
    <w:rsid w:val="00535DD4"/>
    <w:rsid w:val="0053688B"/>
    <w:rsid w:val="0053699A"/>
    <w:rsid w:val="0053706A"/>
    <w:rsid w:val="005378F5"/>
    <w:rsid w:val="00540114"/>
    <w:rsid w:val="005405F6"/>
    <w:rsid w:val="005449F9"/>
    <w:rsid w:val="00553BA4"/>
    <w:rsid w:val="0055750F"/>
    <w:rsid w:val="005642D0"/>
    <w:rsid w:val="0057017B"/>
    <w:rsid w:val="00573662"/>
    <w:rsid w:val="005769BF"/>
    <w:rsid w:val="00577161"/>
    <w:rsid w:val="00577E1A"/>
    <w:rsid w:val="00577ED5"/>
    <w:rsid w:val="005828D0"/>
    <w:rsid w:val="00582AAB"/>
    <w:rsid w:val="005856B7"/>
    <w:rsid w:val="00587427"/>
    <w:rsid w:val="005944E0"/>
    <w:rsid w:val="00597347"/>
    <w:rsid w:val="005A017C"/>
    <w:rsid w:val="005A44D5"/>
    <w:rsid w:val="005A6692"/>
    <w:rsid w:val="005A6883"/>
    <w:rsid w:val="005A7B05"/>
    <w:rsid w:val="005B0EF6"/>
    <w:rsid w:val="005B3FFA"/>
    <w:rsid w:val="005B4470"/>
    <w:rsid w:val="005B68C2"/>
    <w:rsid w:val="005C437F"/>
    <w:rsid w:val="005D044A"/>
    <w:rsid w:val="005E4FF0"/>
    <w:rsid w:val="005E6F70"/>
    <w:rsid w:val="005E7FFA"/>
    <w:rsid w:val="005F0BC4"/>
    <w:rsid w:val="005F5F18"/>
    <w:rsid w:val="005F621D"/>
    <w:rsid w:val="006000CE"/>
    <w:rsid w:val="00600BC1"/>
    <w:rsid w:val="006020AA"/>
    <w:rsid w:val="006162C6"/>
    <w:rsid w:val="00616591"/>
    <w:rsid w:val="006240B7"/>
    <w:rsid w:val="00627631"/>
    <w:rsid w:val="00631CDF"/>
    <w:rsid w:val="00637430"/>
    <w:rsid w:val="0064234E"/>
    <w:rsid w:val="0064364E"/>
    <w:rsid w:val="00645476"/>
    <w:rsid w:val="00645D66"/>
    <w:rsid w:val="00652470"/>
    <w:rsid w:val="00652B28"/>
    <w:rsid w:val="00654382"/>
    <w:rsid w:val="00655B81"/>
    <w:rsid w:val="00656C2D"/>
    <w:rsid w:val="00660D78"/>
    <w:rsid w:val="00661940"/>
    <w:rsid w:val="0066653F"/>
    <w:rsid w:val="00666DD8"/>
    <w:rsid w:val="00667267"/>
    <w:rsid w:val="00667880"/>
    <w:rsid w:val="00670E52"/>
    <w:rsid w:val="0067329C"/>
    <w:rsid w:val="00681271"/>
    <w:rsid w:val="0068370E"/>
    <w:rsid w:val="00695B4B"/>
    <w:rsid w:val="006A05CD"/>
    <w:rsid w:val="006A38C7"/>
    <w:rsid w:val="006A497C"/>
    <w:rsid w:val="006A600B"/>
    <w:rsid w:val="006A7D3A"/>
    <w:rsid w:val="006B0B55"/>
    <w:rsid w:val="006B2B94"/>
    <w:rsid w:val="006B2D28"/>
    <w:rsid w:val="006B3375"/>
    <w:rsid w:val="006B7233"/>
    <w:rsid w:val="006B73CE"/>
    <w:rsid w:val="006C0D99"/>
    <w:rsid w:val="006C14ED"/>
    <w:rsid w:val="006C2987"/>
    <w:rsid w:val="006C29A3"/>
    <w:rsid w:val="006C4163"/>
    <w:rsid w:val="006C43A6"/>
    <w:rsid w:val="006C5279"/>
    <w:rsid w:val="006D2C75"/>
    <w:rsid w:val="006D43BD"/>
    <w:rsid w:val="006D5C1D"/>
    <w:rsid w:val="006D6B21"/>
    <w:rsid w:val="006E0078"/>
    <w:rsid w:val="006E0404"/>
    <w:rsid w:val="006E1A3A"/>
    <w:rsid w:val="006F10A1"/>
    <w:rsid w:val="006F348D"/>
    <w:rsid w:val="006F3FD2"/>
    <w:rsid w:val="006F4212"/>
    <w:rsid w:val="006F524F"/>
    <w:rsid w:val="006F7620"/>
    <w:rsid w:val="007002DE"/>
    <w:rsid w:val="00701067"/>
    <w:rsid w:val="00702CEE"/>
    <w:rsid w:val="00710446"/>
    <w:rsid w:val="00710449"/>
    <w:rsid w:val="00714A8B"/>
    <w:rsid w:val="00717ED6"/>
    <w:rsid w:val="00717F1A"/>
    <w:rsid w:val="007208D2"/>
    <w:rsid w:val="007320DF"/>
    <w:rsid w:val="007327C4"/>
    <w:rsid w:val="007337E6"/>
    <w:rsid w:val="00735A55"/>
    <w:rsid w:val="00735C63"/>
    <w:rsid w:val="00742EB7"/>
    <w:rsid w:val="00742F8D"/>
    <w:rsid w:val="00745EDC"/>
    <w:rsid w:val="00755386"/>
    <w:rsid w:val="007561B5"/>
    <w:rsid w:val="00762430"/>
    <w:rsid w:val="00764475"/>
    <w:rsid w:val="007730D1"/>
    <w:rsid w:val="007771ED"/>
    <w:rsid w:val="00792648"/>
    <w:rsid w:val="007A0F52"/>
    <w:rsid w:val="007A55A3"/>
    <w:rsid w:val="007B0488"/>
    <w:rsid w:val="007B0F47"/>
    <w:rsid w:val="007B3428"/>
    <w:rsid w:val="007B4102"/>
    <w:rsid w:val="007B5767"/>
    <w:rsid w:val="007C0D00"/>
    <w:rsid w:val="007C135A"/>
    <w:rsid w:val="007C459D"/>
    <w:rsid w:val="007C78E0"/>
    <w:rsid w:val="007D03E3"/>
    <w:rsid w:val="007D14DC"/>
    <w:rsid w:val="007D2A92"/>
    <w:rsid w:val="007D2C22"/>
    <w:rsid w:val="007D61BF"/>
    <w:rsid w:val="007E0ACC"/>
    <w:rsid w:val="007E201F"/>
    <w:rsid w:val="007E64B7"/>
    <w:rsid w:val="007E6A8E"/>
    <w:rsid w:val="007E7342"/>
    <w:rsid w:val="007F299F"/>
    <w:rsid w:val="007F3791"/>
    <w:rsid w:val="007F4271"/>
    <w:rsid w:val="007F4316"/>
    <w:rsid w:val="007F58EF"/>
    <w:rsid w:val="007F612C"/>
    <w:rsid w:val="007F65CF"/>
    <w:rsid w:val="007F7772"/>
    <w:rsid w:val="0080184E"/>
    <w:rsid w:val="00810AE9"/>
    <w:rsid w:val="00813C08"/>
    <w:rsid w:val="00815256"/>
    <w:rsid w:val="008163A3"/>
    <w:rsid w:val="00826CAC"/>
    <w:rsid w:val="00833BF2"/>
    <w:rsid w:val="00834692"/>
    <w:rsid w:val="00836559"/>
    <w:rsid w:val="00837A13"/>
    <w:rsid w:val="00840846"/>
    <w:rsid w:val="0084407F"/>
    <w:rsid w:val="00845DCE"/>
    <w:rsid w:val="008508D5"/>
    <w:rsid w:val="0085192A"/>
    <w:rsid w:val="008522FE"/>
    <w:rsid w:val="00852B93"/>
    <w:rsid w:val="0085308E"/>
    <w:rsid w:val="00856280"/>
    <w:rsid w:val="00856482"/>
    <w:rsid w:val="0086756E"/>
    <w:rsid w:val="008678A7"/>
    <w:rsid w:val="0087181D"/>
    <w:rsid w:val="008754D7"/>
    <w:rsid w:val="008804C6"/>
    <w:rsid w:val="00880A3E"/>
    <w:rsid w:val="00880F1E"/>
    <w:rsid w:val="00880F51"/>
    <w:rsid w:val="0088134B"/>
    <w:rsid w:val="0088243E"/>
    <w:rsid w:val="00885BE5"/>
    <w:rsid w:val="008866BC"/>
    <w:rsid w:val="00886700"/>
    <w:rsid w:val="008905EF"/>
    <w:rsid w:val="008926C5"/>
    <w:rsid w:val="00893611"/>
    <w:rsid w:val="008942F8"/>
    <w:rsid w:val="008951DE"/>
    <w:rsid w:val="008963D5"/>
    <w:rsid w:val="008966FE"/>
    <w:rsid w:val="008A1551"/>
    <w:rsid w:val="008A4FAB"/>
    <w:rsid w:val="008B06AA"/>
    <w:rsid w:val="008B09CB"/>
    <w:rsid w:val="008B6E55"/>
    <w:rsid w:val="008C1844"/>
    <w:rsid w:val="008C2841"/>
    <w:rsid w:val="008C4EC3"/>
    <w:rsid w:val="008C5645"/>
    <w:rsid w:val="008C59D6"/>
    <w:rsid w:val="008D4389"/>
    <w:rsid w:val="008D48C9"/>
    <w:rsid w:val="008E1062"/>
    <w:rsid w:val="00904C8B"/>
    <w:rsid w:val="00905890"/>
    <w:rsid w:val="00906D57"/>
    <w:rsid w:val="00907911"/>
    <w:rsid w:val="00911842"/>
    <w:rsid w:val="00914B6A"/>
    <w:rsid w:val="0091551C"/>
    <w:rsid w:val="00915B6A"/>
    <w:rsid w:val="00917F27"/>
    <w:rsid w:val="00920FDB"/>
    <w:rsid w:val="009235CF"/>
    <w:rsid w:val="0092660E"/>
    <w:rsid w:val="00926837"/>
    <w:rsid w:val="0092690C"/>
    <w:rsid w:val="00930141"/>
    <w:rsid w:val="00930B27"/>
    <w:rsid w:val="00934A59"/>
    <w:rsid w:val="00936C44"/>
    <w:rsid w:val="00936CD3"/>
    <w:rsid w:val="009379F9"/>
    <w:rsid w:val="00937E2C"/>
    <w:rsid w:val="00941A6D"/>
    <w:rsid w:val="0095243F"/>
    <w:rsid w:val="00954E80"/>
    <w:rsid w:val="00961541"/>
    <w:rsid w:val="00962EB3"/>
    <w:rsid w:val="00963115"/>
    <w:rsid w:val="00963DBF"/>
    <w:rsid w:val="00964862"/>
    <w:rsid w:val="00966D73"/>
    <w:rsid w:val="00967755"/>
    <w:rsid w:val="00967E38"/>
    <w:rsid w:val="0097034D"/>
    <w:rsid w:val="009744BE"/>
    <w:rsid w:val="009756B3"/>
    <w:rsid w:val="00976DC1"/>
    <w:rsid w:val="00980498"/>
    <w:rsid w:val="00982A8E"/>
    <w:rsid w:val="0098346D"/>
    <w:rsid w:val="0098506B"/>
    <w:rsid w:val="00985375"/>
    <w:rsid w:val="0099034D"/>
    <w:rsid w:val="00994261"/>
    <w:rsid w:val="0099726F"/>
    <w:rsid w:val="009A3586"/>
    <w:rsid w:val="009A6068"/>
    <w:rsid w:val="009A7250"/>
    <w:rsid w:val="009B1119"/>
    <w:rsid w:val="009C292E"/>
    <w:rsid w:val="009C4EF8"/>
    <w:rsid w:val="009D068B"/>
    <w:rsid w:val="009D230E"/>
    <w:rsid w:val="009D2B1A"/>
    <w:rsid w:val="009E049B"/>
    <w:rsid w:val="009E0CB2"/>
    <w:rsid w:val="009E47D7"/>
    <w:rsid w:val="009E4B27"/>
    <w:rsid w:val="009E5D72"/>
    <w:rsid w:val="009E6673"/>
    <w:rsid w:val="009E7932"/>
    <w:rsid w:val="009F0F97"/>
    <w:rsid w:val="009F2B4B"/>
    <w:rsid w:val="009F2DB1"/>
    <w:rsid w:val="009F6E8C"/>
    <w:rsid w:val="009F7F16"/>
    <w:rsid w:val="00A01170"/>
    <w:rsid w:val="00A02860"/>
    <w:rsid w:val="00A0354B"/>
    <w:rsid w:val="00A074AF"/>
    <w:rsid w:val="00A1008F"/>
    <w:rsid w:val="00A111AC"/>
    <w:rsid w:val="00A12815"/>
    <w:rsid w:val="00A32FEE"/>
    <w:rsid w:val="00A33D9D"/>
    <w:rsid w:val="00A376D7"/>
    <w:rsid w:val="00A40BF7"/>
    <w:rsid w:val="00A42A76"/>
    <w:rsid w:val="00A4359B"/>
    <w:rsid w:val="00A4697A"/>
    <w:rsid w:val="00A47BE1"/>
    <w:rsid w:val="00A51510"/>
    <w:rsid w:val="00A520D9"/>
    <w:rsid w:val="00A53718"/>
    <w:rsid w:val="00A5459E"/>
    <w:rsid w:val="00A552E9"/>
    <w:rsid w:val="00A56267"/>
    <w:rsid w:val="00A6165F"/>
    <w:rsid w:val="00A641E8"/>
    <w:rsid w:val="00A658CD"/>
    <w:rsid w:val="00A71A55"/>
    <w:rsid w:val="00A73637"/>
    <w:rsid w:val="00A75CAD"/>
    <w:rsid w:val="00A80052"/>
    <w:rsid w:val="00A80B5D"/>
    <w:rsid w:val="00A869A6"/>
    <w:rsid w:val="00A94ACF"/>
    <w:rsid w:val="00AA3B44"/>
    <w:rsid w:val="00AA7412"/>
    <w:rsid w:val="00AB18CA"/>
    <w:rsid w:val="00AB79B6"/>
    <w:rsid w:val="00AC15E3"/>
    <w:rsid w:val="00AC3CFD"/>
    <w:rsid w:val="00AC68B5"/>
    <w:rsid w:val="00AD21C1"/>
    <w:rsid w:val="00AD28DC"/>
    <w:rsid w:val="00AD6785"/>
    <w:rsid w:val="00AE1125"/>
    <w:rsid w:val="00AE257F"/>
    <w:rsid w:val="00AE2EE4"/>
    <w:rsid w:val="00AE4001"/>
    <w:rsid w:val="00AF204A"/>
    <w:rsid w:val="00AF43E3"/>
    <w:rsid w:val="00B0048E"/>
    <w:rsid w:val="00B05F79"/>
    <w:rsid w:val="00B1273E"/>
    <w:rsid w:val="00B207A6"/>
    <w:rsid w:val="00B20CF7"/>
    <w:rsid w:val="00B22E00"/>
    <w:rsid w:val="00B27B1A"/>
    <w:rsid w:val="00B3060B"/>
    <w:rsid w:val="00B3189D"/>
    <w:rsid w:val="00B332AC"/>
    <w:rsid w:val="00B345DB"/>
    <w:rsid w:val="00B35EE4"/>
    <w:rsid w:val="00B44372"/>
    <w:rsid w:val="00B44914"/>
    <w:rsid w:val="00B47790"/>
    <w:rsid w:val="00B52202"/>
    <w:rsid w:val="00B53198"/>
    <w:rsid w:val="00B61512"/>
    <w:rsid w:val="00B61D2B"/>
    <w:rsid w:val="00B62979"/>
    <w:rsid w:val="00B64052"/>
    <w:rsid w:val="00B65483"/>
    <w:rsid w:val="00B71285"/>
    <w:rsid w:val="00B763B8"/>
    <w:rsid w:val="00B768F3"/>
    <w:rsid w:val="00B8185D"/>
    <w:rsid w:val="00B82704"/>
    <w:rsid w:val="00B85ECA"/>
    <w:rsid w:val="00B86889"/>
    <w:rsid w:val="00B930B4"/>
    <w:rsid w:val="00B93C0D"/>
    <w:rsid w:val="00B943F4"/>
    <w:rsid w:val="00B94630"/>
    <w:rsid w:val="00B97453"/>
    <w:rsid w:val="00BA3710"/>
    <w:rsid w:val="00BA39B5"/>
    <w:rsid w:val="00BA484A"/>
    <w:rsid w:val="00BA69F4"/>
    <w:rsid w:val="00BA7927"/>
    <w:rsid w:val="00BA7A0A"/>
    <w:rsid w:val="00BB223E"/>
    <w:rsid w:val="00BB49F4"/>
    <w:rsid w:val="00BB5F30"/>
    <w:rsid w:val="00BB7213"/>
    <w:rsid w:val="00BB773E"/>
    <w:rsid w:val="00BC684E"/>
    <w:rsid w:val="00BC6AC0"/>
    <w:rsid w:val="00BD1AE9"/>
    <w:rsid w:val="00BD565B"/>
    <w:rsid w:val="00BD65FB"/>
    <w:rsid w:val="00BD7FEF"/>
    <w:rsid w:val="00BE2271"/>
    <w:rsid w:val="00BE3070"/>
    <w:rsid w:val="00BE4BBB"/>
    <w:rsid w:val="00BE5E1A"/>
    <w:rsid w:val="00BE5E7E"/>
    <w:rsid w:val="00BF17ED"/>
    <w:rsid w:val="00BF26A9"/>
    <w:rsid w:val="00BF551A"/>
    <w:rsid w:val="00BF709C"/>
    <w:rsid w:val="00C02BD4"/>
    <w:rsid w:val="00C041E9"/>
    <w:rsid w:val="00C06CF1"/>
    <w:rsid w:val="00C20227"/>
    <w:rsid w:val="00C2529A"/>
    <w:rsid w:val="00C34018"/>
    <w:rsid w:val="00C37E5B"/>
    <w:rsid w:val="00C407CF"/>
    <w:rsid w:val="00C43DD6"/>
    <w:rsid w:val="00C44E88"/>
    <w:rsid w:val="00C53035"/>
    <w:rsid w:val="00C54E4E"/>
    <w:rsid w:val="00C60D45"/>
    <w:rsid w:val="00C61851"/>
    <w:rsid w:val="00C643C5"/>
    <w:rsid w:val="00C64D8A"/>
    <w:rsid w:val="00C67823"/>
    <w:rsid w:val="00C86F5B"/>
    <w:rsid w:val="00C8791A"/>
    <w:rsid w:val="00C97C5E"/>
    <w:rsid w:val="00CA036A"/>
    <w:rsid w:val="00CA3573"/>
    <w:rsid w:val="00CA4F19"/>
    <w:rsid w:val="00CA57E4"/>
    <w:rsid w:val="00CB0752"/>
    <w:rsid w:val="00CB0B1D"/>
    <w:rsid w:val="00CB1C83"/>
    <w:rsid w:val="00CB700E"/>
    <w:rsid w:val="00CC0585"/>
    <w:rsid w:val="00CC57FF"/>
    <w:rsid w:val="00CC66EF"/>
    <w:rsid w:val="00CC7286"/>
    <w:rsid w:val="00CD1143"/>
    <w:rsid w:val="00CD122B"/>
    <w:rsid w:val="00CE09BA"/>
    <w:rsid w:val="00CE398D"/>
    <w:rsid w:val="00CE3D92"/>
    <w:rsid w:val="00CE4B9E"/>
    <w:rsid w:val="00CF556F"/>
    <w:rsid w:val="00D02D42"/>
    <w:rsid w:val="00D03825"/>
    <w:rsid w:val="00D05793"/>
    <w:rsid w:val="00D059FB"/>
    <w:rsid w:val="00D12DFF"/>
    <w:rsid w:val="00D1509F"/>
    <w:rsid w:val="00D20844"/>
    <w:rsid w:val="00D2221C"/>
    <w:rsid w:val="00D25390"/>
    <w:rsid w:val="00D25A08"/>
    <w:rsid w:val="00D301EF"/>
    <w:rsid w:val="00D31CD5"/>
    <w:rsid w:val="00D34F7C"/>
    <w:rsid w:val="00D35981"/>
    <w:rsid w:val="00D37569"/>
    <w:rsid w:val="00D407B0"/>
    <w:rsid w:val="00D41414"/>
    <w:rsid w:val="00D41799"/>
    <w:rsid w:val="00D46296"/>
    <w:rsid w:val="00D46DE6"/>
    <w:rsid w:val="00D51409"/>
    <w:rsid w:val="00D528C2"/>
    <w:rsid w:val="00D53FF7"/>
    <w:rsid w:val="00D5464B"/>
    <w:rsid w:val="00D62439"/>
    <w:rsid w:val="00D668BC"/>
    <w:rsid w:val="00D70683"/>
    <w:rsid w:val="00D70780"/>
    <w:rsid w:val="00D71755"/>
    <w:rsid w:val="00D72EF7"/>
    <w:rsid w:val="00D77D11"/>
    <w:rsid w:val="00D77F3F"/>
    <w:rsid w:val="00D81A95"/>
    <w:rsid w:val="00D8241C"/>
    <w:rsid w:val="00D82EBF"/>
    <w:rsid w:val="00D923CF"/>
    <w:rsid w:val="00D93250"/>
    <w:rsid w:val="00DA3838"/>
    <w:rsid w:val="00DA4032"/>
    <w:rsid w:val="00DA4F93"/>
    <w:rsid w:val="00DA4FBD"/>
    <w:rsid w:val="00DA509C"/>
    <w:rsid w:val="00DB37B5"/>
    <w:rsid w:val="00DC00A0"/>
    <w:rsid w:val="00DC2907"/>
    <w:rsid w:val="00DD53FE"/>
    <w:rsid w:val="00DE2A27"/>
    <w:rsid w:val="00DE51D0"/>
    <w:rsid w:val="00DE599C"/>
    <w:rsid w:val="00DE7C98"/>
    <w:rsid w:val="00DF0DA3"/>
    <w:rsid w:val="00DF1FDF"/>
    <w:rsid w:val="00DF4EEC"/>
    <w:rsid w:val="00DF7FB5"/>
    <w:rsid w:val="00E019A9"/>
    <w:rsid w:val="00E01E08"/>
    <w:rsid w:val="00E03ADE"/>
    <w:rsid w:val="00E040CC"/>
    <w:rsid w:val="00E06713"/>
    <w:rsid w:val="00E06F37"/>
    <w:rsid w:val="00E10B44"/>
    <w:rsid w:val="00E11DE7"/>
    <w:rsid w:val="00E13DE2"/>
    <w:rsid w:val="00E15083"/>
    <w:rsid w:val="00E15F63"/>
    <w:rsid w:val="00E170DB"/>
    <w:rsid w:val="00E20482"/>
    <w:rsid w:val="00E22670"/>
    <w:rsid w:val="00E236E5"/>
    <w:rsid w:val="00E30928"/>
    <w:rsid w:val="00E317E3"/>
    <w:rsid w:val="00E32E80"/>
    <w:rsid w:val="00E35CBA"/>
    <w:rsid w:val="00E360D2"/>
    <w:rsid w:val="00E408EA"/>
    <w:rsid w:val="00E41CD2"/>
    <w:rsid w:val="00E423BC"/>
    <w:rsid w:val="00E44C83"/>
    <w:rsid w:val="00E538B4"/>
    <w:rsid w:val="00E5522E"/>
    <w:rsid w:val="00E60C16"/>
    <w:rsid w:val="00E62359"/>
    <w:rsid w:val="00E63EE7"/>
    <w:rsid w:val="00E8186E"/>
    <w:rsid w:val="00E81C55"/>
    <w:rsid w:val="00E82C51"/>
    <w:rsid w:val="00E87404"/>
    <w:rsid w:val="00E87DA5"/>
    <w:rsid w:val="00E905FF"/>
    <w:rsid w:val="00E909E1"/>
    <w:rsid w:val="00E9270B"/>
    <w:rsid w:val="00E9431E"/>
    <w:rsid w:val="00E979BD"/>
    <w:rsid w:val="00E97EF6"/>
    <w:rsid w:val="00EA0209"/>
    <w:rsid w:val="00EA03CB"/>
    <w:rsid w:val="00EA2BE6"/>
    <w:rsid w:val="00EA4C58"/>
    <w:rsid w:val="00EB013E"/>
    <w:rsid w:val="00EB0A53"/>
    <w:rsid w:val="00EB285F"/>
    <w:rsid w:val="00EB4E0D"/>
    <w:rsid w:val="00EB4EBE"/>
    <w:rsid w:val="00EB50E8"/>
    <w:rsid w:val="00EB673B"/>
    <w:rsid w:val="00EC15FA"/>
    <w:rsid w:val="00EC1C2E"/>
    <w:rsid w:val="00EC2BA9"/>
    <w:rsid w:val="00EC2D2D"/>
    <w:rsid w:val="00EC321E"/>
    <w:rsid w:val="00ED13AD"/>
    <w:rsid w:val="00ED525C"/>
    <w:rsid w:val="00EE3754"/>
    <w:rsid w:val="00EE3E97"/>
    <w:rsid w:val="00EE52F3"/>
    <w:rsid w:val="00EE556E"/>
    <w:rsid w:val="00EE5612"/>
    <w:rsid w:val="00EF01A8"/>
    <w:rsid w:val="00EF09CD"/>
    <w:rsid w:val="00EF555E"/>
    <w:rsid w:val="00F00642"/>
    <w:rsid w:val="00F03915"/>
    <w:rsid w:val="00F1080B"/>
    <w:rsid w:val="00F15916"/>
    <w:rsid w:val="00F17609"/>
    <w:rsid w:val="00F1773B"/>
    <w:rsid w:val="00F21713"/>
    <w:rsid w:val="00F21C96"/>
    <w:rsid w:val="00F24293"/>
    <w:rsid w:val="00F366C7"/>
    <w:rsid w:val="00F43B10"/>
    <w:rsid w:val="00F459DE"/>
    <w:rsid w:val="00F47660"/>
    <w:rsid w:val="00F502A4"/>
    <w:rsid w:val="00F5117C"/>
    <w:rsid w:val="00F52F1E"/>
    <w:rsid w:val="00F53DE0"/>
    <w:rsid w:val="00F541D5"/>
    <w:rsid w:val="00F576A7"/>
    <w:rsid w:val="00F614B6"/>
    <w:rsid w:val="00F615AF"/>
    <w:rsid w:val="00F624E1"/>
    <w:rsid w:val="00F65A20"/>
    <w:rsid w:val="00F66B16"/>
    <w:rsid w:val="00F7012C"/>
    <w:rsid w:val="00F702D9"/>
    <w:rsid w:val="00F72BA8"/>
    <w:rsid w:val="00F741D5"/>
    <w:rsid w:val="00F75CF6"/>
    <w:rsid w:val="00F80401"/>
    <w:rsid w:val="00F80919"/>
    <w:rsid w:val="00F80ADA"/>
    <w:rsid w:val="00F819BD"/>
    <w:rsid w:val="00F82AD3"/>
    <w:rsid w:val="00F87208"/>
    <w:rsid w:val="00F87C05"/>
    <w:rsid w:val="00F90F6C"/>
    <w:rsid w:val="00F9523A"/>
    <w:rsid w:val="00F961DE"/>
    <w:rsid w:val="00FA10AD"/>
    <w:rsid w:val="00FA4035"/>
    <w:rsid w:val="00FA7531"/>
    <w:rsid w:val="00FB0D28"/>
    <w:rsid w:val="00FB5D86"/>
    <w:rsid w:val="00FB6351"/>
    <w:rsid w:val="00FC161F"/>
    <w:rsid w:val="00FC2838"/>
    <w:rsid w:val="00FC428B"/>
    <w:rsid w:val="00FC4548"/>
    <w:rsid w:val="00FC6395"/>
    <w:rsid w:val="00FD1170"/>
    <w:rsid w:val="00FE09D3"/>
    <w:rsid w:val="00FE1C84"/>
    <w:rsid w:val="00FE3FCC"/>
    <w:rsid w:val="00FE43F7"/>
    <w:rsid w:val="00FE446E"/>
    <w:rsid w:val="00FF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7CF"/>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0"/>
    <w:qFormat/>
    <w:rsid w:val="00C407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0"/>
    <w:autoRedefine/>
    <w:qFormat/>
    <w:rsid w:val="00C407CF"/>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0"/>
    <w:link w:val="Heading3Char2"/>
    <w:qFormat/>
    <w:rsid w:val="00C407CF"/>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0"/>
    <w:qFormat/>
    <w:rsid w:val="00C407CF"/>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0"/>
    <w:qFormat/>
    <w:rsid w:val="00C407CF"/>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0"/>
    <w:qFormat/>
    <w:rsid w:val="00C407CF"/>
    <w:pPr>
      <w:numPr>
        <w:ilvl w:val="5"/>
        <w:numId w:val="3"/>
      </w:numPr>
      <w:tabs>
        <w:tab w:val="left" w:pos="4320"/>
      </w:tabs>
      <w:spacing w:after="120"/>
      <w:outlineLvl w:val="5"/>
    </w:pPr>
    <w:rPr>
      <w:b/>
    </w:rPr>
  </w:style>
  <w:style w:type="paragraph" w:styleId="Heading7">
    <w:name w:val="heading 7"/>
    <w:aliases w:val="Heading 7 Char"/>
    <w:basedOn w:val="Normal"/>
    <w:next w:val="ParaNum0"/>
    <w:qFormat/>
    <w:rsid w:val="00C407CF"/>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C407C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0"/>
    <w:qFormat/>
    <w:rsid w:val="00C407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407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407CF"/>
  </w:style>
  <w:style w:type="paragraph" w:customStyle="1" w:styleId="ParaNum0">
    <w:name w:val="ParaNum"/>
    <w:basedOn w:val="Normal"/>
    <w:link w:val="ParaNumChar"/>
    <w:rsid w:val="00C407CF"/>
    <w:pPr>
      <w:numPr>
        <w:numId w:val="2"/>
      </w:numPr>
      <w:tabs>
        <w:tab w:val="clear" w:pos="1080"/>
        <w:tab w:val="num" w:pos="1440"/>
      </w:tabs>
      <w:spacing w:after="120"/>
    </w:pPr>
  </w:style>
  <w:style w:type="paragraph" w:styleId="EndnoteText">
    <w:name w:val="endnote text"/>
    <w:basedOn w:val="Normal"/>
    <w:semiHidden/>
    <w:rsid w:val="00C407CF"/>
    <w:rPr>
      <w:sz w:val="20"/>
    </w:rPr>
  </w:style>
  <w:style w:type="character" w:styleId="EndnoteReference">
    <w:name w:val="endnote reference"/>
    <w:basedOn w:val="DefaultParagraphFont"/>
    <w:semiHidden/>
    <w:rsid w:val="00C407CF"/>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C407CF"/>
    <w:pPr>
      <w:spacing w:after="120"/>
    </w:pPr>
  </w:style>
  <w:style w:type="character" w:styleId="FootnoteReference">
    <w:name w:val="footnote reference"/>
    <w:aliases w:val="Appel note de bas de p,Style 12,(NECG) Footnote Reference,Style 124,o,fr,Style 3,Style 17,FR,Style 13,Footnote Reference/,Style 6"/>
    <w:basedOn w:val="DefaultParagraphFont"/>
    <w:rsid w:val="00C407CF"/>
    <w:rPr>
      <w:rFonts w:ascii="Times New Roman" w:hAnsi="Times New Roman"/>
      <w:dstrike w:val="0"/>
      <w:color w:val="auto"/>
      <w:sz w:val="22"/>
      <w:vertAlign w:val="superscript"/>
    </w:rPr>
  </w:style>
  <w:style w:type="paragraph" w:styleId="TOC1">
    <w:name w:val="toc 1"/>
    <w:basedOn w:val="Normal"/>
    <w:next w:val="Normal"/>
    <w:rsid w:val="00C407CF"/>
    <w:pPr>
      <w:tabs>
        <w:tab w:val="left" w:pos="360"/>
        <w:tab w:val="right" w:leader="dot" w:pos="9360"/>
      </w:tabs>
      <w:suppressAutoHyphens/>
      <w:ind w:left="360" w:right="720" w:hanging="360"/>
    </w:pPr>
    <w:rPr>
      <w:caps/>
      <w:noProof/>
    </w:rPr>
  </w:style>
  <w:style w:type="paragraph" w:styleId="TOC2">
    <w:name w:val="toc 2"/>
    <w:basedOn w:val="Normal"/>
    <w:next w:val="Normal"/>
    <w:rsid w:val="00C407CF"/>
    <w:pPr>
      <w:tabs>
        <w:tab w:val="left" w:pos="720"/>
        <w:tab w:val="right" w:leader="dot" w:pos="9360"/>
      </w:tabs>
      <w:suppressAutoHyphens/>
      <w:ind w:left="720" w:right="720" w:hanging="360"/>
    </w:pPr>
    <w:rPr>
      <w:noProof/>
    </w:rPr>
  </w:style>
  <w:style w:type="paragraph" w:styleId="TOC3">
    <w:name w:val="toc 3"/>
    <w:basedOn w:val="Normal"/>
    <w:next w:val="Normal"/>
    <w:rsid w:val="00C407C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407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07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07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07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07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07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07CF"/>
    <w:pPr>
      <w:tabs>
        <w:tab w:val="right" w:pos="9360"/>
      </w:tabs>
      <w:suppressAutoHyphens/>
    </w:pPr>
  </w:style>
  <w:style w:type="character" w:customStyle="1" w:styleId="EquationCaption">
    <w:name w:val="_Equation Caption"/>
    <w:rsid w:val="00C407CF"/>
  </w:style>
  <w:style w:type="paragraph" w:styleId="Header">
    <w:name w:val="header"/>
    <w:basedOn w:val="Normal"/>
    <w:autoRedefine/>
    <w:rsid w:val="00C407CF"/>
    <w:pPr>
      <w:tabs>
        <w:tab w:val="center" w:pos="4680"/>
        <w:tab w:val="right" w:pos="9360"/>
      </w:tabs>
      <w:ind w:firstLine="1080"/>
    </w:pPr>
    <w:rPr>
      <w:rFonts w:ascii="News Gothic MT" w:hAnsi="News Gothic MT"/>
      <w:sz w:val="96"/>
      <w:szCs w:val="96"/>
    </w:rPr>
  </w:style>
  <w:style w:type="paragraph" w:styleId="Footer">
    <w:name w:val="footer"/>
    <w:basedOn w:val="Normal"/>
    <w:link w:val="FooterChar"/>
    <w:rsid w:val="00C407CF"/>
    <w:pPr>
      <w:tabs>
        <w:tab w:val="center" w:pos="4320"/>
        <w:tab w:val="right" w:pos="8640"/>
      </w:tabs>
    </w:pPr>
  </w:style>
  <w:style w:type="character" w:styleId="PageNumber">
    <w:name w:val="page number"/>
    <w:basedOn w:val="DefaultParagraphFont"/>
    <w:rsid w:val="00C407CF"/>
  </w:style>
  <w:style w:type="paragraph" w:styleId="BlockText">
    <w:name w:val="Block Text"/>
    <w:basedOn w:val="Normal"/>
    <w:rsid w:val="00C407CF"/>
    <w:pPr>
      <w:spacing w:after="240"/>
      <w:ind w:left="1440" w:right="1440"/>
    </w:pPr>
  </w:style>
  <w:style w:type="paragraph" w:customStyle="1" w:styleId="Paratitle">
    <w:name w:val="Para title"/>
    <w:basedOn w:val="Normal"/>
    <w:rsid w:val="00C407CF"/>
    <w:pPr>
      <w:tabs>
        <w:tab w:val="center" w:pos="9270"/>
      </w:tabs>
      <w:spacing w:after="240"/>
    </w:pPr>
    <w:rPr>
      <w:spacing w:val="-2"/>
    </w:rPr>
  </w:style>
  <w:style w:type="paragraph" w:customStyle="1" w:styleId="Bullet">
    <w:name w:val="Bullet"/>
    <w:basedOn w:val="Normal"/>
    <w:rsid w:val="00C407CF"/>
    <w:pPr>
      <w:numPr>
        <w:numId w:val="1"/>
      </w:numPr>
      <w:tabs>
        <w:tab w:val="clear" w:pos="360"/>
        <w:tab w:val="left" w:pos="2160"/>
      </w:tabs>
      <w:spacing w:after="220"/>
      <w:ind w:left="2160" w:hanging="720"/>
    </w:pPr>
  </w:style>
  <w:style w:type="paragraph" w:customStyle="1" w:styleId="TableFormat">
    <w:name w:val="TableFormat"/>
    <w:basedOn w:val="Bullet"/>
    <w:rsid w:val="00C407CF"/>
    <w:pPr>
      <w:numPr>
        <w:numId w:val="0"/>
      </w:numPr>
      <w:tabs>
        <w:tab w:val="clear" w:pos="2160"/>
        <w:tab w:val="left" w:pos="5040"/>
      </w:tabs>
      <w:ind w:left="5040" w:hanging="3600"/>
    </w:pPr>
  </w:style>
  <w:style w:type="paragraph" w:customStyle="1" w:styleId="TOCTitle">
    <w:name w:val="TOC Title"/>
    <w:basedOn w:val="Normal"/>
    <w:rsid w:val="00C407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07CF"/>
    <w:pPr>
      <w:jc w:val="center"/>
    </w:pPr>
    <w:rPr>
      <w:rFonts w:ascii="Times New Roman Bold" w:hAnsi="Times New Roman Bold"/>
      <w:b/>
      <w:bCs/>
      <w:caps/>
      <w:szCs w:val="22"/>
    </w:rPr>
  </w:style>
  <w:style w:type="character" w:styleId="Hyperlink">
    <w:name w:val="Hyperlink"/>
    <w:basedOn w:val="DefaultParagraphFont"/>
    <w:rsid w:val="00C407CF"/>
    <w:rPr>
      <w:color w:val="0000FF"/>
      <w:u w:val="single"/>
    </w:rPr>
  </w:style>
  <w:style w:type="paragraph" w:customStyle="1" w:styleId="Paranum">
    <w:name w:val="Paranum"/>
    <w:basedOn w:val="Normal"/>
    <w:pPr>
      <w:numPr>
        <w:numId w:val="7"/>
      </w:numPr>
      <w:tabs>
        <w:tab w:val="clear" w:pos="1080"/>
      </w:tabs>
      <w:spacing w:after="220"/>
      <w:jc w:val="both"/>
    </w:pPr>
    <w:rPr>
      <w:snapToGrid/>
      <w:kern w:val="0"/>
    </w:rPr>
  </w:style>
  <w:style w:type="paragraph" w:styleId="BalloonText">
    <w:name w:val="Balloon Text"/>
    <w:basedOn w:val="Normal"/>
    <w:semiHidden/>
    <w:rPr>
      <w:rFonts w:ascii="Tahoma" w:hAnsi="Tahoma" w:cs="Tahoma"/>
      <w:sz w:val="16"/>
      <w:szCs w:val="16"/>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tyle>
  <w:style w:type="character" w:customStyle="1" w:styleId="FootnoteTextChar4CharChar">
    <w:name w:val="Footnote Text Char4 Char Char"/>
    <w:aliases w:val="Footnote Text Char1 Char2 Char Char,Footnote Text Char1 Char Char Char2 Char Char,Footnote Text Char Char Char2 Char Char,Footnote Text Char1 Char1 Char1 Char Char,ALTS FOOTNOTE Char2 Char Char"/>
    <w:rPr>
      <w:sz w:val="22"/>
      <w:lang w:val="en-US" w:eastAsia="en-US" w:bidi="ar-SA"/>
    </w:rPr>
  </w:style>
  <w:style w:type="character" w:customStyle="1" w:styleId="FootnoteTextChar1CharCharCharChar1Char">
    <w:name w:val="Footnote Text Char1 Char Char Char Char1 Char"/>
    <w:aliases w:val="Footnote Text Char Char Char Char1 Char,Footnote Text Char1 Char1 Char Char1 Char,ALTS FOOTNOTE Char Char1 Char,fn Char Char1 Char,fn Char Char2"/>
    <w:rPr>
      <w:snapToGrid w:val="0"/>
      <w:color w:val="000000"/>
      <w:kern w:val="28"/>
      <w:lang w:val="en-US" w:eastAsia="en-US" w:bidi="ar-SA"/>
    </w:rPr>
  </w:style>
  <w:style w:type="character" w:customStyle="1" w:styleId="ParaNumChar">
    <w:name w:val="ParaNum Char"/>
    <w:link w:val="ParaNum0"/>
    <w:rPr>
      <w:snapToGrid w:val="0"/>
      <w:kern w:val="28"/>
      <w:sz w:val="22"/>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FootnoteTextChar3Char1">
    <w:name w:val="Footnote Text Char3 Char1"/>
    <w:aliases w:val="Footnote Text Char Char3 Char,Footnote Text Char1 Char Char3 Char,Footnote Text Char Char Char Char3 Char,Footnote Text Char1 Char Char3 Char Char Char,Footnote Text Char Char Char Char3 Char Char Char1,Footnote Text Char Char4"/>
    <w:rsid w:val="00011103"/>
    <w:rPr>
      <w:lang w:val="en-US" w:eastAsia="en-US" w:bidi="ar-SA"/>
    </w:rPr>
  </w:style>
  <w:style w:type="paragraph" w:styleId="BodyText">
    <w:name w:val="Body Text"/>
    <w:basedOn w:val="Normal"/>
    <w:link w:val="BodyTextChar"/>
    <w:rsid w:val="00D51409"/>
    <w:pPr>
      <w:widowControl/>
      <w:spacing w:after="120"/>
    </w:pPr>
    <w:rPr>
      <w:snapToGrid/>
      <w:kern w:val="0"/>
      <w:sz w:val="24"/>
      <w:szCs w:val="24"/>
    </w:rPr>
  </w:style>
  <w:style w:type="character" w:customStyle="1" w:styleId="BodyTextChar">
    <w:name w:val="Body Text Char"/>
    <w:link w:val="BodyText"/>
    <w:rsid w:val="00D51409"/>
    <w:rPr>
      <w:sz w:val="24"/>
      <w:szCs w:val="24"/>
    </w:rPr>
  </w:style>
  <w:style w:type="paragraph" w:styleId="BodyText2">
    <w:name w:val="Body Text 2"/>
    <w:basedOn w:val="Normal"/>
    <w:link w:val="BodyText2Char"/>
    <w:rsid w:val="00D51409"/>
    <w:pPr>
      <w:spacing w:after="120" w:line="480" w:lineRule="auto"/>
    </w:pPr>
  </w:style>
  <w:style w:type="character" w:customStyle="1" w:styleId="BodyText2Char">
    <w:name w:val="Body Text 2 Char"/>
    <w:link w:val="BodyText2"/>
    <w:rsid w:val="00D51409"/>
    <w:rPr>
      <w:snapToGrid w:val="0"/>
      <w:kern w:val="28"/>
      <w:sz w:val="22"/>
    </w:rPr>
  </w:style>
  <w:style w:type="character" w:customStyle="1" w:styleId="FooterChar">
    <w:name w:val="Footer Char"/>
    <w:link w:val="Footer"/>
    <w:rsid w:val="00C44E88"/>
    <w:rPr>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360B28"/>
    <w:rPr>
      <w:b/>
      <w:snapToGrid w:val="0"/>
      <w:kern w:val="28"/>
      <w:sz w:val="22"/>
    </w:rPr>
  </w:style>
  <w:style w:type="table" w:styleId="TableGrid">
    <w:name w:val="Table Grid"/>
    <w:basedOn w:val="TableNormal"/>
    <w:uiPriority w:val="59"/>
    <w:rsid w:val="00AA7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377CB7"/>
  </w:style>
  <w:style w:type="paragraph" w:styleId="ListParagraph">
    <w:name w:val="List Paragraph"/>
    <w:basedOn w:val="Normal"/>
    <w:uiPriority w:val="34"/>
    <w:qFormat/>
    <w:rsid w:val="008E1062"/>
    <w:pPr>
      <w:ind w:left="720"/>
      <w:contextualSpacing/>
    </w:pPr>
  </w:style>
  <w:style w:type="paragraph" w:styleId="Revision">
    <w:name w:val="Revision"/>
    <w:hidden/>
    <w:uiPriority w:val="99"/>
    <w:semiHidden/>
    <w:rsid w:val="0068370E"/>
    <w:rPr>
      <w:snapToGrid w:val="0"/>
      <w:kern w:val="28"/>
      <w:sz w:val="22"/>
    </w:rPr>
  </w:style>
  <w:style w:type="paragraph" w:styleId="TOCHeading">
    <w:name w:val="TOC Heading"/>
    <w:basedOn w:val="Heading1"/>
    <w:next w:val="Normal"/>
    <w:uiPriority w:val="39"/>
    <w:semiHidden/>
    <w:unhideWhenUsed/>
    <w:qFormat/>
    <w:rsid w:val="000F38BD"/>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7CF"/>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0"/>
    <w:qFormat/>
    <w:rsid w:val="00C407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0"/>
    <w:autoRedefine/>
    <w:qFormat/>
    <w:rsid w:val="00C407CF"/>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0"/>
    <w:link w:val="Heading3Char2"/>
    <w:qFormat/>
    <w:rsid w:val="00C407CF"/>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0"/>
    <w:qFormat/>
    <w:rsid w:val="00C407CF"/>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0"/>
    <w:qFormat/>
    <w:rsid w:val="00C407CF"/>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0"/>
    <w:qFormat/>
    <w:rsid w:val="00C407CF"/>
    <w:pPr>
      <w:numPr>
        <w:ilvl w:val="5"/>
        <w:numId w:val="3"/>
      </w:numPr>
      <w:tabs>
        <w:tab w:val="left" w:pos="4320"/>
      </w:tabs>
      <w:spacing w:after="120"/>
      <w:outlineLvl w:val="5"/>
    </w:pPr>
    <w:rPr>
      <w:b/>
    </w:rPr>
  </w:style>
  <w:style w:type="paragraph" w:styleId="Heading7">
    <w:name w:val="heading 7"/>
    <w:aliases w:val="Heading 7 Char"/>
    <w:basedOn w:val="Normal"/>
    <w:next w:val="ParaNum0"/>
    <w:qFormat/>
    <w:rsid w:val="00C407CF"/>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C407C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0"/>
    <w:qFormat/>
    <w:rsid w:val="00C407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407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407CF"/>
  </w:style>
  <w:style w:type="paragraph" w:customStyle="1" w:styleId="ParaNum0">
    <w:name w:val="ParaNum"/>
    <w:basedOn w:val="Normal"/>
    <w:link w:val="ParaNumChar"/>
    <w:rsid w:val="00C407CF"/>
    <w:pPr>
      <w:numPr>
        <w:numId w:val="2"/>
      </w:numPr>
      <w:tabs>
        <w:tab w:val="clear" w:pos="1080"/>
        <w:tab w:val="num" w:pos="1440"/>
      </w:tabs>
      <w:spacing w:after="120"/>
    </w:pPr>
  </w:style>
  <w:style w:type="paragraph" w:styleId="EndnoteText">
    <w:name w:val="endnote text"/>
    <w:basedOn w:val="Normal"/>
    <w:semiHidden/>
    <w:rsid w:val="00C407CF"/>
    <w:rPr>
      <w:sz w:val="20"/>
    </w:rPr>
  </w:style>
  <w:style w:type="character" w:styleId="EndnoteReference">
    <w:name w:val="endnote reference"/>
    <w:basedOn w:val="DefaultParagraphFont"/>
    <w:semiHidden/>
    <w:rsid w:val="00C407CF"/>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C407CF"/>
    <w:pPr>
      <w:spacing w:after="120"/>
    </w:pPr>
  </w:style>
  <w:style w:type="character" w:styleId="FootnoteReference">
    <w:name w:val="footnote reference"/>
    <w:aliases w:val="Appel note de bas de p,Style 12,(NECG) Footnote Reference,Style 124,o,fr,Style 3,Style 17,FR,Style 13,Footnote Reference/,Style 6"/>
    <w:basedOn w:val="DefaultParagraphFont"/>
    <w:rsid w:val="00C407CF"/>
    <w:rPr>
      <w:rFonts w:ascii="Times New Roman" w:hAnsi="Times New Roman"/>
      <w:dstrike w:val="0"/>
      <w:color w:val="auto"/>
      <w:sz w:val="22"/>
      <w:vertAlign w:val="superscript"/>
    </w:rPr>
  </w:style>
  <w:style w:type="paragraph" w:styleId="TOC1">
    <w:name w:val="toc 1"/>
    <w:basedOn w:val="Normal"/>
    <w:next w:val="Normal"/>
    <w:rsid w:val="00C407CF"/>
    <w:pPr>
      <w:tabs>
        <w:tab w:val="left" w:pos="360"/>
        <w:tab w:val="right" w:leader="dot" w:pos="9360"/>
      </w:tabs>
      <w:suppressAutoHyphens/>
      <w:ind w:left="360" w:right="720" w:hanging="360"/>
    </w:pPr>
    <w:rPr>
      <w:caps/>
      <w:noProof/>
    </w:rPr>
  </w:style>
  <w:style w:type="paragraph" w:styleId="TOC2">
    <w:name w:val="toc 2"/>
    <w:basedOn w:val="Normal"/>
    <w:next w:val="Normal"/>
    <w:rsid w:val="00C407CF"/>
    <w:pPr>
      <w:tabs>
        <w:tab w:val="left" w:pos="720"/>
        <w:tab w:val="right" w:leader="dot" w:pos="9360"/>
      </w:tabs>
      <w:suppressAutoHyphens/>
      <w:ind w:left="720" w:right="720" w:hanging="360"/>
    </w:pPr>
    <w:rPr>
      <w:noProof/>
    </w:rPr>
  </w:style>
  <w:style w:type="paragraph" w:styleId="TOC3">
    <w:name w:val="toc 3"/>
    <w:basedOn w:val="Normal"/>
    <w:next w:val="Normal"/>
    <w:rsid w:val="00C407C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407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07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07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07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07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07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07CF"/>
    <w:pPr>
      <w:tabs>
        <w:tab w:val="right" w:pos="9360"/>
      </w:tabs>
      <w:suppressAutoHyphens/>
    </w:pPr>
  </w:style>
  <w:style w:type="character" w:customStyle="1" w:styleId="EquationCaption">
    <w:name w:val="_Equation Caption"/>
    <w:rsid w:val="00C407CF"/>
  </w:style>
  <w:style w:type="paragraph" w:styleId="Header">
    <w:name w:val="header"/>
    <w:basedOn w:val="Normal"/>
    <w:autoRedefine/>
    <w:rsid w:val="00C407CF"/>
    <w:pPr>
      <w:tabs>
        <w:tab w:val="center" w:pos="4680"/>
        <w:tab w:val="right" w:pos="9360"/>
      </w:tabs>
      <w:ind w:firstLine="1080"/>
    </w:pPr>
    <w:rPr>
      <w:rFonts w:ascii="News Gothic MT" w:hAnsi="News Gothic MT"/>
      <w:sz w:val="96"/>
      <w:szCs w:val="96"/>
    </w:rPr>
  </w:style>
  <w:style w:type="paragraph" w:styleId="Footer">
    <w:name w:val="footer"/>
    <w:basedOn w:val="Normal"/>
    <w:link w:val="FooterChar"/>
    <w:rsid w:val="00C407CF"/>
    <w:pPr>
      <w:tabs>
        <w:tab w:val="center" w:pos="4320"/>
        <w:tab w:val="right" w:pos="8640"/>
      </w:tabs>
    </w:pPr>
  </w:style>
  <w:style w:type="character" w:styleId="PageNumber">
    <w:name w:val="page number"/>
    <w:basedOn w:val="DefaultParagraphFont"/>
    <w:rsid w:val="00C407CF"/>
  </w:style>
  <w:style w:type="paragraph" w:styleId="BlockText">
    <w:name w:val="Block Text"/>
    <w:basedOn w:val="Normal"/>
    <w:rsid w:val="00C407CF"/>
    <w:pPr>
      <w:spacing w:after="240"/>
      <w:ind w:left="1440" w:right="1440"/>
    </w:pPr>
  </w:style>
  <w:style w:type="paragraph" w:customStyle="1" w:styleId="Paratitle">
    <w:name w:val="Para title"/>
    <w:basedOn w:val="Normal"/>
    <w:rsid w:val="00C407CF"/>
    <w:pPr>
      <w:tabs>
        <w:tab w:val="center" w:pos="9270"/>
      </w:tabs>
      <w:spacing w:after="240"/>
    </w:pPr>
    <w:rPr>
      <w:spacing w:val="-2"/>
    </w:rPr>
  </w:style>
  <w:style w:type="paragraph" w:customStyle="1" w:styleId="Bullet">
    <w:name w:val="Bullet"/>
    <w:basedOn w:val="Normal"/>
    <w:rsid w:val="00C407CF"/>
    <w:pPr>
      <w:numPr>
        <w:numId w:val="1"/>
      </w:numPr>
      <w:tabs>
        <w:tab w:val="clear" w:pos="360"/>
        <w:tab w:val="left" w:pos="2160"/>
      </w:tabs>
      <w:spacing w:after="220"/>
      <w:ind w:left="2160" w:hanging="720"/>
    </w:pPr>
  </w:style>
  <w:style w:type="paragraph" w:customStyle="1" w:styleId="TableFormat">
    <w:name w:val="TableFormat"/>
    <w:basedOn w:val="Bullet"/>
    <w:rsid w:val="00C407CF"/>
    <w:pPr>
      <w:numPr>
        <w:numId w:val="0"/>
      </w:numPr>
      <w:tabs>
        <w:tab w:val="clear" w:pos="2160"/>
        <w:tab w:val="left" w:pos="5040"/>
      </w:tabs>
      <w:ind w:left="5040" w:hanging="3600"/>
    </w:pPr>
  </w:style>
  <w:style w:type="paragraph" w:customStyle="1" w:styleId="TOCTitle">
    <w:name w:val="TOC Title"/>
    <w:basedOn w:val="Normal"/>
    <w:rsid w:val="00C407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07CF"/>
    <w:pPr>
      <w:jc w:val="center"/>
    </w:pPr>
    <w:rPr>
      <w:rFonts w:ascii="Times New Roman Bold" w:hAnsi="Times New Roman Bold"/>
      <w:b/>
      <w:bCs/>
      <w:caps/>
      <w:szCs w:val="22"/>
    </w:rPr>
  </w:style>
  <w:style w:type="character" w:styleId="Hyperlink">
    <w:name w:val="Hyperlink"/>
    <w:basedOn w:val="DefaultParagraphFont"/>
    <w:rsid w:val="00C407CF"/>
    <w:rPr>
      <w:color w:val="0000FF"/>
      <w:u w:val="single"/>
    </w:rPr>
  </w:style>
  <w:style w:type="paragraph" w:customStyle="1" w:styleId="Paranum">
    <w:name w:val="Paranum"/>
    <w:basedOn w:val="Normal"/>
    <w:pPr>
      <w:numPr>
        <w:numId w:val="7"/>
      </w:numPr>
      <w:tabs>
        <w:tab w:val="clear" w:pos="1080"/>
      </w:tabs>
      <w:spacing w:after="220"/>
      <w:jc w:val="both"/>
    </w:pPr>
    <w:rPr>
      <w:snapToGrid/>
      <w:kern w:val="0"/>
    </w:rPr>
  </w:style>
  <w:style w:type="paragraph" w:styleId="BalloonText">
    <w:name w:val="Balloon Text"/>
    <w:basedOn w:val="Normal"/>
    <w:semiHidden/>
    <w:rPr>
      <w:rFonts w:ascii="Tahoma" w:hAnsi="Tahoma" w:cs="Tahoma"/>
      <w:sz w:val="16"/>
      <w:szCs w:val="16"/>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tyle>
  <w:style w:type="character" w:customStyle="1" w:styleId="FootnoteTextChar4CharChar">
    <w:name w:val="Footnote Text Char4 Char Char"/>
    <w:aliases w:val="Footnote Text Char1 Char2 Char Char,Footnote Text Char1 Char Char Char2 Char Char,Footnote Text Char Char Char2 Char Char,Footnote Text Char1 Char1 Char1 Char Char,ALTS FOOTNOTE Char2 Char Char"/>
    <w:rPr>
      <w:sz w:val="22"/>
      <w:lang w:val="en-US" w:eastAsia="en-US" w:bidi="ar-SA"/>
    </w:rPr>
  </w:style>
  <w:style w:type="character" w:customStyle="1" w:styleId="FootnoteTextChar1CharCharCharChar1Char">
    <w:name w:val="Footnote Text Char1 Char Char Char Char1 Char"/>
    <w:aliases w:val="Footnote Text Char Char Char Char1 Char,Footnote Text Char1 Char1 Char Char1 Char,ALTS FOOTNOTE Char Char1 Char,fn Char Char1 Char,fn Char Char2"/>
    <w:rPr>
      <w:snapToGrid w:val="0"/>
      <w:color w:val="000000"/>
      <w:kern w:val="28"/>
      <w:lang w:val="en-US" w:eastAsia="en-US" w:bidi="ar-SA"/>
    </w:rPr>
  </w:style>
  <w:style w:type="character" w:customStyle="1" w:styleId="ParaNumChar">
    <w:name w:val="ParaNum Char"/>
    <w:link w:val="ParaNum0"/>
    <w:rPr>
      <w:snapToGrid w:val="0"/>
      <w:kern w:val="28"/>
      <w:sz w:val="22"/>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FootnoteTextChar3Char1">
    <w:name w:val="Footnote Text Char3 Char1"/>
    <w:aliases w:val="Footnote Text Char Char3 Char,Footnote Text Char1 Char Char3 Char,Footnote Text Char Char Char Char3 Char,Footnote Text Char1 Char Char3 Char Char Char,Footnote Text Char Char Char Char3 Char Char Char1,Footnote Text Char Char4"/>
    <w:rsid w:val="00011103"/>
    <w:rPr>
      <w:lang w:val="en-US" w:eastAsia="en-US" w:bidi="ar-SA"/>
    </w:rPr>
  </w:style>
  <w:style w:type="paragraph" w:styleId="BodyText">
    <w:name w:val="Body Text"/>
    <w:basedOn w:val="Normal"/>
    <w:link w:val="BodyTextChar"/>
    <w:rsid w:val="00D51409"/>
    <w:pPr>
      <w:widowControl/>
      <w:spacing w:after="120"/>
    </w:pPr>
    <w:rPr>
      <w:snapToGrid/>
      <w:kern w:val="0"/>
      <w:sz w:val="24"/>
      <w:szCs w:val="24"/>
    </w:rPr>
  </w:style>
  <w:style w:type="character" w:customStyle="1" w:styleId="BodyTextChar">
    <w:name w:val="Body Text Char"/>
    <w:link w:val="BodyText"/>
    <w:rsid w:val="00D51409"/>
    <w:rPr>
      <w:sz w:val="24"/>
      <w:szCs w:val="24"/>
    </w:rPr>
  </w:style>
  <w:style w:type="paragraph" w:styleId="BodyText2">
    <w:name w:val="Body Text 2"/>
    <w:basedOn w:val="Normal"/>
    <w:link w:val="BodyText2Char"/>
    <w:rsid w:val="00D51409"/>
    <w:pPr>
      <w:spacing w:after="120" w:line="480" w:lineRule="auto"/>
    </w:pPr>
  </w:style>
  <w:style w:type="character" w:customStyle="1" w:styleId="BodyText2Char">
    <w:name w:val="Body Text 2 Char"/>
    <w:link w:val="BodyText2"/>
    <w:rsid w:val="00D51409"/>
    <w:rPr>
      <w:snapToGrid w:val="0"/>
      <w:kern w:val="28"/>
      <w:sz w:val="22"/>
    </w:rPr>
  </w:style>
  <w:style w:type="character" w:customStyle="1" w:styleId="FooterChar">
    <w:name w:val="Footer Char"/>
    <w:link w:val="Footer"/>
    <w:rsid w:val="00C44E88"/>
    <w:rPr>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360B28"/>
    <w:rPr>
      <w:b/>
      <w:snapToGrid w:val="0"/>
      <w:kern w:val="28"/>
      <w:sz w:val="22"/>
    </w:rPr>
  </w:style>
  <w:style w:type="table" w:styleId="TableGrid">
    <w:name w:val="Table Grid"/>
    <w:basedOn w:val="TableNormal"/>
    <w:uiPriority w:val="59"/>
    <w:rsid w:val="00AA7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377CB7"/>
  </w:style>
  <w:style w:type="paragraph" w:styleId="ListParagraph">
    <w:name w:val="List Paragraph"/>
    <w:basedOn w:val="Normal"/>
    <w:uiPriority w:val="34"/>
    <w:qFormat/>
    <w:rsid w:val="008E1062"/>
    <w:pPr>
      <w:ind w:left="720"/>
      <w:contextualSpacing/>
    </w:pPr>
  </w:style>
  <w:style w:type="paragraph" w:styleId="Revision">
    <w:name w:val="Revision"/>
    <w:hidden/>
    <w:uiPriority w:val="99"/>
    <w:semiHidden/>
    <w:rsid w:val="0068370E"/>
    <w:rPr>
      <w:snapToGrid w:val="0"/>
      <w:kern w:val="28"/>
      <w:sz w:val="22"/>
    </w:rPr>
  </w:style>
  <w:style w:type="paragraph" w:styleId="TOCHeading">
    <w:name w:val="TOC Heading"/>
    <w:basedOn w:val="Heading1"/>
    <w:next w:val="Normal"/>
    <w:uiPriority w:val="39"/>
    <w:semiHidden/>
    <w:unhideWhenUsed/>
    <w:qFormat/>
    <w:rsid w:val="000F38BD"/>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6606">
      <w:bodyDiv w:val="1"/>
      <w:marLeft w:val="0"/>
      <w:marRight w:val="0"/>
      <w:marTop w:val="0"/>
      <w:marBottom w:val="0"/>
      <w:divBdr>
        <w:top w:val="none" w:sz="0" w:space="0" w:color="auto"/>
        <w:left w:val="none" w:sz="0" w:space="0" w:color="auto"/>
        <w:bottom w:val="none" w:sz="0" w:space="0" w:color="auto"/>
        <w:right w:val="none" w:sz="0" w:space="0" w:color="auto"/>
      </w:divBdr>
    </w:div>
    <w:div w:id="371459527">
      <w:bodyDiv w:val="1"/>
      <w:marLeft w:val="0"/>
      <w:marRight w:val="0"/>
      <w:marTop w:val="0"/>
      <w:marBottom w:val="0"/>
      <w:divBdr>
        <w:top w:val="none" w:sz="0" w:space="0" w:color="auto"/>
        <w:left w:val="none" w:sz="0" w:space="0" w:color="auto"/>
        <w:bottom w:val="none" w:sz="0" w:space="0" w:color="auto"/>
        <w:right w:val="none" w:sz="0" w:space="0" w:color="auto"/>
      </w:divBdr>
    </w:div>
    <w:div w:id="392313978">
      <w:bodyDiv w:val="1"/>
      <w:marLeft w:val="0"/>
      <w:marRight w:val="0"/>
      <w:marTop w:val="0"/>
      <w:marBottom w:val="0"/>
      <w:divBdr>
        <w:top w:val="none" w:sz="0" w:space="0" w:color="auto"/>
        <w:left w:val="none" w:sz="0" w:space="0" w:color="auto"/>
        <w:bottom w:val="none" w:sz="0" w:space="0" w:color="auto"/>
        <w:right w:val="none" w:sz="0" w:space="0" w:color="auto"/>
      </w:divBdr>
    </w:div>
    <w:div w:id="475925046">
      <w:bodyDiv w:val="1"/>
      <w:marLeft w:val="0"/>
      <w:marRight w:val="0"/>
      <w:marTop w:val="0"/>
      <w:marBottom w:val="0"/>
      <w:divBdr>
        <w:top w:val="none" w:sz="0" w:space="0" w:color="auto"/>
        <w:left w:val="none" w:sz="0" w:space="0" w:color="auto"/>
        <w:bottom w:val="none" w:sz="0" w:space="0" w:color="auto"/>
        <w:right w:val="none" w:sz="0" w:space="0" w:color="auto"/>
      </w:divBdr>
    </w:div>
    <w:div w:id="565379241">
      <w:bodyDiv w:val="1"/>
      <w:marLeft w:val="0"/>
      <w:marRight w:val="0"/>
      <w:marTop w:val="0"/>
      <w:marBottom w:val="0"/>
      <w:divBdr>
        <w:top w:val="none" w:sz="0" w:space="0" w:color="auto"/>
        <w:left w:val="none" w:sz="0" w:space="0" w:color="auto"/>
        <w:bottom w:val="none" w:sz="0" w:space="0" w:color="auto"/>
        <w:right w:val="none" w:sz="0" w:space="0" w:color="auto"/>
      </w:divBdr>
    </w:div>
    <w:div w:id="583488462">
      <w:bodyDiv w:val="1"/>
      <w:marLeft w:val="0"/>
      <w:marRight w:val="0"/>
      <w:marTop w:val="0"/>
      <w:marBottom w:val="0"/>
      <w:divBdr>
        <w:top w:val="none" w:sz="0" w:space="0" w:color="auto"/>
        <w:left w:val="none" w:sz="0" w:space="0" w:color="auto"/>
        <w:bottom w:val="none" w:sz="0" w:space="0" w:color="auto"/>
        <w:right w:val="none" w:sz="0" w:space="0" w:color="auto"/>
      </w:divBdr>
    </w:div>
    <w:div w:id="757796927">
      <w:bodyDiv w:val="1"/>
      <w:marLeft w:val="0"/>
      <w:marRight w:val="0"/>
      <w:marTop w:val="0"/>
      <w:marBottom w:val="0"/>
      <w:divBdr>
        <w:top w:val="none" w:sz="0" w:space="0" w:color="auto"/>
        <w:left w:val="none" w:sz="0" w:space="0" w:color="auto"/>
        <w:bottom w:val="none" w:sz="0" w:space="0" w:color="auto"/>
        <w:right w:val="none" w:sz="0" w:space="0" w:color="auto"/>
      </w:divBdr>
      <w:divsChild>
        <w:div w:id="1588803542">
          <w:marLeft w:val="0"/>
          <w:marRight w:val="0"/>
          <w:marTop w:val="0"/>
          <w:marBottom w:val="0"/>
          <w:divBdr>
            <w:top w:val="none" w:sz="0" w:space="0" w:color="auto"/>
            <w:left w:val="none" w:sz="0" w:space="0" w:color="auto"/>
            <w:bottom w:val="none" w:sz="0" w:space="0" w:color="auto"/>
            <w:right w:val="none" w:sz="0" w:space="0" w:color="auto"/>
          </w:divBdr>
          <w:divsChild>
            <w:div w:id="3277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441">
      <w:bodyDiv w:val="1"/>
      <w:marLeft w:val="0"/>
      <w:marRight w:val="0"/>
      <w:marTop w:val="0"/>
      <w:marBottom w:val="0"/>
      <w:divBdr>
        <w:top w:val="none" w:sz="0" w:space="0" w:color="auto"/>
        <w:left w:val="none" w:sz="0" w:space="0" w:color="auto"/>
        <w:bottom w:val="none" w:sz="0" w:space="0" w:color="auto"/>
        <w:right w:val="none" w:sz="0" w:space="0" w:color="auto"/>
      </w:divBdr>
    </w:div>
    <w:div w:id="1231189344">
      <w:bodyDiv w:val="1"/>
      <w:marLeft w:val="0"/>
      <w:marRight w:val="0"/>
      <w:marTop w:val="0"/>
      <w:marBottom w:val="0"/>
      <w:divBdr>
        <w:top w:val="none" w:sz="0" w:space="0" w:color="auto"/>
        <w:left w:val="none" w:sz="0" w:space="0" w:color="auto"/>
        <w:bottom w:val="none" w:sz="0" w:space="0" w:color="auto"/>
        <w:right w:val="none" w:sz="0" w:space="0" w:color="auto"/>
      </w:divBdr>
    </w:div>
    <w:div w:id="1407998844">
      <w:bodyDiv w:val="1"/>
      <w:marLeft w:val="0"/>
      <w:marRight w:val="0"/>
      <w:marTop w:val="0"/>
      <w:marBottom w:val="0"/>
      <w:divBdr>
        <w:top w:val="none" w:sz="0" w:space="0" w:color="auto"/>
        <w:left w:val="none" w:sz="0" w:space="0" w:color="auto"/>
        <w:bottom w:val="none" w:sz="0" w:space="0" w:color="auto"/>
        <w:right w:val="none" w:sz="0" w:space="0" w:color="auto"/>
      </w:divBdr>
    </w:div>
    <w:div w:id="1408068859">
      <w:bodyDiv w:val="1"/>
      <w:marLeft w:val="0"/>
      <w:marRight w:val="0"/>
      <w:marTop w:val="0"/>
      <w:marBottom w:val="0"/>
      <w:divBdr>
        <w:top w:val="none" w:sz="0" w:space="0" w:color="auto"/>
        <w:left w:val="none" w:sz="0" w:space="0" w:color="auto"/>
        <w:bottom w:val="none" w:sz="0" w:space="0" w:color="auto"/>
        <w:right w:val="none" w:sz="0" w:space="0" w:color="auto"/>
      </w:divBdr>
    </w:div>
    <w:div w:id="1788347700">
      <w:bodyDiv w:val="1"/>
      <w:marLeft w:val="0"/>
      <w:marRight w:val="0"/>
      <w:marTop w:val="0"/>
      <w:marBottom w:val="0"/>
      <w:divBdr>
        <w:top w:val="none" w:sz="0" w:space="0" w:color="auto"/>
        <w:left w:val="none" w:sz="0" w:space="0" w:color="auto"/>
        <w:bottom w:val="none" w:sz="0" w:space="0" w:color="auto"/>
        <w:right w:val="none" w:sz="0" w:space="0" w:color="auto"/>
      </w:divBdr>
    </w:div>
    <w:div w:id="1942301473">
      <w:bodyDiv w:val="1"/>
      <w:marLeft w:val="0"/>
      <w:marRight w:val="0"/>
      <w:marTop w:val="0"/>
      <w:marBottom w:val="0"/>
      <w:divBdr>
        <w:top w:val="none" w:sz="0" w:space="0" w:color="auto"/>
        <w:left w:val="none" w:sz="0" w:space="0" w:color="auto"/>
        <w:bottom w:val="none" w:sz="0" w:space="0" w:color="auto"/>
        <w:right w:val="none" w:sz="0" w:space="0" w:color="auto"/>
      </w:divBdr>
    </w:div>
    <w:div w:id="20489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cc504@fcc.gov" TargetMode="External"/><Relationship Id="rId18" Type="http://schemas.openxmlformats.org/officeDocument/2006/relationships/header" Target="head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cc.gov/cgb/ecf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uction96@fcc.go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wmf"/><Relationship Id="rId10" Type="http://schemas.openxmlformats.org/officeDocument/2006/relationships/hyperlink" Target="mailto:ecfs@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cgb/ecfs"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ei.ch/people/jacob-goeree/working-pap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12725</Words>
  <Characters>65747</Characters>
  <Application>Microsoft Office Word</Application>
  <DocSecurity>0</DocSecurity>
  <Lines>1032</Lines>
  <Paragraphs>302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78632</CharactersWithSpaces>
  <SharedDoc>false</SharedDoc>
  <HyperlinkBase> </HyperlinkBase>
  <HLinks>
    <vt:vector size="30" baseType="variant">
      <vt:variant>
        <vt:i4>3473482</vt:i4>
      </vt:variant>
      <vt:variant>
        <vt:i4>18</vt:i4>
      </vt:variant>
      <vt:variant>
        <vt:i4>0</vt:i4>
      </vt:variant>
      <vt:variant>
        <vt:i4>5</vt:i4>
      </vt:variant>
      <vt:variant>
        <vt:lpwstr>mailto:fcc504@fcc.gov</vt:lpwstr>
      </vt:variant>
      <vt:variant>
        <vt:lpwstr/>
      </vt:variant>
      <vt:variant>
        <vt:i4>3997814</vt:i4>
      </vt:variant>
      <vt:variant>
        <vt:i4>15</vt:i4>
      </vt:variant>
      <vt:variant>
        <vt:i4>0</vt:i4>
      </vt:variant>
      <vt:variant>
        <vt:i4>5</vt:i4>
      </vt:variant>
      <vt:variant>
        <vt:lpwstr>http://www.fcc.gov/cgb/ecfs</vt:lpwstr>
      </vt:variant>
      <vt:variant>
        <vt:lpwstr/>
      </vt:variant>
      <vt:variant>
        <vt:i4>4522111</vt:i4>
      </vt:variant>
      <vt:variant>
        <vt:i4>12</vt:i4>
      </vt:variant>
      <vt:variant>
        <vt:i4>0</vt:i4>
      </vt:variant>
      <vt:variant>
        <vt:i4>5</vt:i4>
      </vt:variant>
      <vt:variant>
        <vt:lpwstr>mailto:auction96@fcc.gov</vt:lpwstr>
      </vt:variant>
      <vt:variant>
        <vt:lpwstr/>
      </vt:variant>
      <vt:variant>
        <vt:i4>196664</vt:i4>
      </vt:variant>
      <vt:variant>
        <vt:i4>9</vt:i4>
      </vt:variant>
      <vt:variant>
        <vt:i4>0</vt:i4>
      </vt:variant>
      <vt:variant>
        <vt:i4>5</vt:i4>
      </vt:variant>
      <vt:variant>
        <vt:lpwstr>mailto:ecfs@fcc.gov</vt:lpwstr>
      </vt:variant>
      <vt:variant>
        <vt:lpwstr/>
      </vt:variant>
      <vt:variant>
        <vt:i4>3997814</vt:i4>
      </vt:variant>
      <vt:variant>
        <vt:i4>6</vt:i4>
      </vt:variant>
      <vt:variant>
        <vt:i4>0</vt:i4>
      </vt:variant>
      <vt:variant>
        <vt:i4>5</vt:i4>
      </vt:variant>
      <vt:variant>
        <vt:lpwstr>http://www.fcc.gov/cgb/ecfs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2013-07-15T20:42:00Z</dcterms:created>
  <dcterms:modified xsi:type="dcterms:W3CDTF">2013-07-15T20:42:00Z</dcterms:modified>
  <cp:category> </cp:category>
  <cp:contentStatus> </cp:contentStatus>
</cp:coreProperties>
</file>