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EF" w:rsidRDefault="001D66EF" w:rsidP="008229AA">
      <w:pPr>
        <w:ind w:right="-180"/>
        <w:jc w:val="center"/>
        <w:rPr>
          <w:b/>
          <w:sz w:val="22"/>
          <w:szCs w:val="22"/>
        </w:rPr>
      </w:pPr>
      <w:bookmarkStart w:id="0" w:name="_GoBack"/>
      <w:bookmarkEnd w:id="0"/>
    </w:p>
    <w:p w:rsidR="001D66EF" w:rsidRDefault="001D66EF" w:rsidP="001D66EF">
      <w:pPr>
        <w:pStyle w:val="Heading1"/>
        <w:rPr>
          <w:szCs w:val="22"/>
        </w:rPr>
      </w:pPr>
      <w:bookmarkStart w:id="1" w:name="OLE_LINK1"/>
      <w:bookmarkStart w:id="2" w:name="OLE_LINK2"/>
      <w:r>
        <w:rPr>
          <w:szCs w:val="22"/>
        </w:rPr>
        <w:t>Before the</w:t>
      </w:r>
    </w:p>
    <w:p w:rsidR="001D66EF" w:rsidRDefault="001D66EF" w:rsidP="001D66EF">
      <w:pPr>
        <w:pStyle w:val="Heading1"/>
        <w:rPr>
          <w:szCs w:val="22"/>
        </w:rPr>
      </w:pPr>
      <w:r>
        <w:rPr>
          <w:szCs w:val="22"/>
        </w:rPr>
        <w:t>Federal Communications Commission</w:t>
      </w:r>
    </w:p>
    <w:p w:rsidR="001D66EF" w:rsidRPr="00CD5E9F" w:rsidRDefault="001D66EF" w:rsidP="001D66EF">
      <w:pPr>
        <w:pStyle w:val="Heading1"/>
        <w:rPr>
          <w:szCs w:val="22"/>
        </w:rPr>
      </w:pPr>
      <w:r>
        <w:rPr>
          <w:szCs w:val="22"/>
        </w:rPr>
        <w:t>Washington, D.C. 20554</w:t>
      </w:r>
    </w:p>
    <w:p w:rsidR="001D66EF" w:rsidRPr="00483ECD" w:rsidRDefault="001D66EF" w:rsidP="001D66EF">
      <w:pPr>
        <w:jc w:val="right"/>
        <w:rPr>
          <w:b/>
        </w:rPr>
      </w:pPr>
    </w:p>
    <w:p w:rsidR="001D66EF" w:rsidRDefault="001D66EF" w:rsidP="001D66EF">
      <w:pPr>
        <w:tabs>
          <w:tab w:val="left" w:pos="-720"/>
          <w:tab w:val="left" w:pos="5972"/>
        </w:tabs>
        <w:suppressAutoHyphens/>
        <w:spacing w:line="227" w:lineRule="auto"/>
        <w:jc w:val="both"/>
        <w:rPr>
          <w:spacing w:val="-2"/>
          <w:sz w:val="22"/>
          <w:szCs w:val="22"/>
        </w:rPr>
      </w:pPr>
    </w:p>
    <w:tbl>
      <w:tblPr>
        <w:tblW w:w="9450" w:type="dxa"/>
        <w:tblInd w:w="108" w:type="dxa"/>
        <w:tblLayout w:type="fixed"/>
        <w:tblLook w:val="0000" w:firstRow="0" w:lastRow="0" w:firstColumn="0" w:lastColumn="0" w:noHBand="0" w:noVBand="0"/>
      </w:tblPr>
      <w:tblGrid>
        <w:gridCol w:w="4500"/>
        <w:gridCol w:w="270"/>
        <w:gridCol w:w="4680"/>
      </w:tblGrid>
      <w:tr w:rsidR="001D66EF" w:rsidTr="006F684C">
        <w:trPr>
          <w:trHeight w:val="1332"/>
        </w:trPr>
        <w:tc>
          <w:tcPr>
            <w:tcW w:w="4500" w:type="dxa"/>
          </w:tcPr>
          <w:p w:rsidR="001D66EF" w:rsidRDefault="001D66EF" w:rsidP="006F684C">
            <w:pPr>
              <w:rPr>
                <w:sz w:val="22"/>
                <w:szCs w:val="22"/>
              </w:rPr>
            </w:pPr>
            <w:r>
              <w:rPr>
                <w:spacing w:val="-2"/>
                <w:sz w:val="22"/>
                <w:szCs w:val="22"/>
              </w:rPr>
              <w:t>In the Matter of</w:t>
            </w:r>
            <w:r>
              <w:rPr>
                <w:sz w:val="22"/>
                <w:szCs w:val="22"/>
              </w:rPr>
              <w:t xml:space="preserve"> </w:t>
            </w:r>
          </w:p>
          <w:p w:rsidR="001D66EF" w:rsidRDefault="001D66EF" w:rsidP="006F684C">
            <w:pPr>
              <w:rPr>
                <w:sz w:val="22"/>
                <w:szCs w:val="22"/>
              </w:rPr>
            </w:pPr>
          </w:p>
          <w:p w:rsidR="001D66EF" w:rsidRDefault="001D66EF" w:rsidP="006F684C">
            <w:pPr>
              <w:rPr>
                <w:color w:val="151414"/>
                <w:sz w:val="22"/>
                <w:szCs w:val="22"/>
              </w:rPr>
            </w:pPr>
            <w:r>
              <w:rPr>
                <w:color w:val="151414"/>
                <w:sz w:val="22"/>
                <w:szCs w:val="22"/>
              </w:rPr>
              <w:t xml:space="preserve">AccessLine Communications Corporation </w:t>
            </w:r>
          </w:p>
          <w:p w:rsidR="001D66EF" w:rsidRDefault="001D66EF" w:rsidP="006F684C">
            <w:pPr>
              <w:rPr>
                <w:spacing w:val="-2"/>
                <w:sz w:val="22"/>
                <w:szCs w:val="22"/>
              </w:rPr>
            </w:pPr>
          </w:p>
        </w:tc>
        <w:tc>
          <w:tcPr>
            <w:tcW w:w="270" w:type="dxa"/>
          </w:tcPr>
          <w:p w:rsidR="001D66EF" w:rsidRDefault="001D66EF" w:rsidP="006F684C">
            <w:pPr>
              <w:tabs>
                <w:tab w:val="center" w:pos="4680"/>
              </w:tabs>
              <w:suppressAutoHyphens/>
              <w:spacing w:line="240" w:lineRule="atLeast"/>
              <w:jc w:val="both"/>
              <w:outlineLvl w:val="0"/>
              <w:rPr>
                <w:sz w:val="22"/>
                <w:szCs w:val="22"/>
              </w:rPr>
            </w:pPr>
            <w:r>
              <w:rPr>
                <w:sz w:val="22"/>
                <w:szCs w:val="22"/>
              </w:rPr>
              <w:t>)</w:t>
            </w:r>
          </w:p>
          <w:p w:rsidR="001D66EF" w:rsidRDefault="001D66EF" w:rsidP="006F684C">
            <w:pPr>
              <w:tabs>
                <w:tab w:val="center" w:pos="4680"/>
              </w:tabs>
              <w:suppressAutoHyphens/>
              <w:spacing w:line="240" w:lineRule="atLeast"/>
              <w:jc w:val="both"/>
              <w:outlineLvl w:val="0"/>
              <w:rPr>
                <w:sz w:val="22"/>
                <w:szCs w:val="22"/>
              </w:rPr>
            </w:pPr>
            <w:r>
              <w:rPr>
                <w:sz w:val="22"/>
                <w:szCs w:val="22"/>
              </w:rPr>
              <w:t>)</w:t>
            </w:r>
          </w:p>
          <w:p w:rsidR="001D66EF" w:rsidRDefault="001D66EF" w:rsidP="006F684C">
            <w:pPr>
              <w:tabs>
                <w:tab w:val="center" w:pos="4680"/>
              </w:tabs>
              <w:suppressAutoHyphens/>
              <w:spacing w:line="240" w:lineRule="atLeast"/>
              <w:jc w:val="both"/>
              <w:outlineLvl w:val="0"/>
              <w:rPr>
                <w:sz w:val="22"/>
                <w:szCs w:val="22"/>
              </w:rPr>
            </w:pPr>
            <w:r>
              <w:rPr>
                <w:sz w:val="22"/>
                <w:szCs w:val="22"/>
              </w:rPr>
              <w:t>)</w:t>
            </w:r>
          </w:p>
          <w:p w:rsidR="001D66EF" w:rsidRDefault="001D66EF" w:rsidP="006F684C">
            <w:pPr>
              <w:tabs>
                <w:tab w:val="center" w:pos="4680"/>
              </w:tabs>
              <w:suppressAutoHyphens/>
              <w:spacing w:line="240" w:lineRule="atLeast"/>
              <w:jc w:val="both"/>
              <w:outlineLvl w:val="0"/>
              <w:rPr>
                <w:sz w:val="22"/>
                <w:szCs w:val="22"/>
              </w:rPr>
            </w:pPr>
            <w:r>
              <w:rPr>
                <w:sz w:val="22"/>
                <w:szCs w:val="22"/>
              </w:rPr>
              <w:t>)</w:t>
            </w:r>
          </w:p>
          <w:p w:rsidR="001D66EF" w:rsidRDefault="001D66EF" w:rsidP="006F684C">
            <w:pPr>
              <w:tabs>
                <w:tab w:val="center" w:pos="4680"/>
              </w:tabs>
              <w:suppressAutoHyphens/>
              <w:spacing w:line="240" w:lineRule="atLeast"/>
              <w:jc w:val="both"/>
              <w:outlineLvl w:val="0"/>
              <w:rPr>
                <w:sz w:val="22"/>
                <w:szCs w:val="22"/>
              </w:rPr>
            </w:pPr>
            <w:r>
              <w:rPr>
                <w:sz w:val="22"/>
                <w:szCs w:val="22"/>
              </w:rPr>
              <w:t>)</w:t>
            </w:r>
          </w:p>
        </w:tc>
        <w:tc>
          <w:tcPr>
            <w:tcW w:w="4680" w:type="dxa"/>
          </w:tcPr>
          <w:p w:rsidR="001D66EF" w:rsidRDefault="001D66EF" w:rsidP="006F684C">
            <w:pPr>
              <w:tabs>
                <w:tab w:val="left" w:pos="252"/>
              </w:tabs>
              <w:ind w:firstLine="252"/>
              <w:rPr>
                <w:sz w:val="22"/>
                <w:szCs w:val="22"/>
              </w:rPr>
            </w:pPr>
            <w:r>
              <w:rPr>
                <w:color w:val="151414"/>
                <w:sz w:val="22"/>
                <w:szCs w:val="22"/>
              </w:rPr>
              <w:t>File No.:  EB-13-IH-0280</w:t>
            </w:r>
          </w:p>
          <w:p w:rsidR="001D66EF" w:rsidRDefault="001D66EF" w:rsidP="006F684C">
            <w:pPr>
              <w:tabs>
                <w:tab w:val="left" w:pos="252"/>
              </w:tabs>
              <w:ind w:firstLine="252"/>
              <w:jc w:val="right"/>
              <w:rPr>
                <w:color w:val="151414"/>
                <w:sz w:val="22"/>
                <w:szCs w:val="22"/>
              </w:rPr>
            </w:pPr>
          </w:p>
          <w:p w:rsidR="001D66EF" w:rsidRDefault="001D66EF" w:rsidP="006F684C">
            <w:pPr>
              <w:tabs>
                <w:tab w:val="left" w:pos="252"/>
              </w:tabs>
              <w:ind w:firstLine="252"/>
              <w:rPr>
                <w:color w:val="151414"/>
                <w:sz w:val="22"/>
                <w:szCs w:val="22"/>
              </w:rPr>
            </w:pPr>
            <w:r>
              <w:rPr>
                <w:color w:val="151414"/>
                <w:sz w:val="22"/>
                <w:szCs w:val="22"/>
              </w:rPr>
              <w:t xml:space="preserve">Acct. No.:  </w:t>
            </w:r>
            <w:r w:rsidR="00C04BC9">
              <w:rPr>
                <w:color w:val="151414"/>
                <w:sz w:val="22"/>
                <w:szCs w:val="22"/>
              </w:rPr>
              <w:t>201332080024</w:t>
            </w:r>
          </w:p>
          <w:p w:rsidR="001D66EF" w:rsidRDefault="001D66EF" w:rsidP="006F684C">
            <w:pPr>
              <w:tabs>
                <w:tab w:val="left" w:pos="252"/>
              </w:tabs>
              <w:ind w:firstLine="252"/>
              <w:rPr>
                <w:sz w:val="22"/>
                <w:szCs w:val="22"/>
              </w:rPr>
            </w:pPr>
          </w:p>
          <w:p w:rsidR="001D66EF" w:rsidRPr="006220CC" w:rsidRDefault="001D66EF" w:rsidP="006F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sz w:val="22"/>
                <w:szCs w:val="22"/>
              </w:rPr>
              <w:t xml:space="preserve">     FRN:  </w:t>
            </w:r>
            <w:r>
              <w:rPr>
                <w:color w:val="151414"/>
                <w:sz w:val="22"/>
                <w:szCs w:val="22"/>
              </w:rPr>
              <w:t xml:space="preserve"> 0016875742</w:t>
            </w:r>
          </w:p>
          <w:p w:rsidR="001D66EF" w:rsidRDefault="001D66EF" w:rsidP="006F684C">
            <w:pPr>
              <w:tabs>
                <w:tab w:val="left" w:pos="252"/>
              </w:tabs>
              <w:ind w:firstLine="252"/>
              <w:rPr>
                <w:spacing w:val="-2"/>
                <w:sz w:val="22"/>
                <w:szCs w:val="22"/>
              </w:rPr>
            </w:pPr>
          </w:p>
        </w:tc>
      </w:tr>
    </w:tbl>
    <w:p w:rsidR="001D66EF" w:rsidRDefault="001D66EF" w:rsidP="001D66EF">
      <w:pPr>
        <w:pStyle w:val="Heading1"/>
        <w:spacing w:before="240" w:line="228" w:lineRule="auto"/>
        <w:rPr>
          <w:szCs w:val="22"/>
        </w:rPr>
      </w:pPr>
      <w:r>
        <w:rPr>
          <w:szCs w:val="22"/>
        </w:rPr>
        <w:fldChar w:fldCharType="begin"/>
      </w:r>
      <w:r>
        <w:rPr>
          <w:szCs w:val="22"/>
        </w:rPr>
        <w:instrText xml:space="preserve"> AUTOTEXTLIST  \* MERGEFORMAT </w:instrText>
      </w:r>
      <w:r>
        <w:rPr>
          <w:szCs w:val="22"/>
        </w:rPr>
        <w:fldChar w:fldCharType="separate"/>
      </w:r>
      <w:r>
        <w:rPr>
          <w:szCs w:val="22"/>
        </w:rPr>
        <w:t>ORDER</w:t>
      </w:r>
      <w:r>
        <w:rPr>
          <w:szCs w:val="22"/>
        </w:rPr>
        <w:fldChar w:fldCharType="end"/>
      </w:r>
    </w:p>
    <w:p w:rsidR="001D66EF" w:rsidRDefault="001D66EF" w:rsidP="001D66EF">
      <w:pPr>
        <w:rPr>
          <w:sz w:val="22"/>
          <w:szCs w:val="22"/>
        </w:rPr>
      </w:pPr>
    </w:p>
    <w:bookmarkEnd w:id="1"/>
    <w:bookmarkEnd w:id="2"/>
    <w:p w:rsidR="001D66EF" w:rsidRDefault="001D66EF" w:rsidP="001D66EF">
      <w:pPr>
        <w:tabs>
          <w:tab w:val="left" w:pos="720"/>
          <w:tab w:val="left" w:pos="5400"/>
        </w:tabs>
        <w:suppressAutoHyphens/>
        <w:spacing w:line="227" w:lineRule="auto"/>
        <w:rPr>
          <w:spacing w:val="-2"/>
          <w:sz w:val="22"/>
          <w:szCs w:val="22"/>
        </w:rPr>
      </w:pPr>
      <w:r>
        <w:rPr>
          <w:b/>
          <w:spacing w:val="-2"/>
          <w:sz w:val="22"/>
          <w:szCs w:val="22"/>
        </w:rPr>
        <w:t xml:space="preserve">Adopted:  </w:t>
      </w:r>
      <w:r w:rsidR="004A6D00">
        <w:rPr>
          <w:b/>
          <w:spacing w:val="-2"/>
          <w:sz w:val="22"/>
          <w:szCs w:val="22"/>
        </w:rPr>
        <w:t>July 17</w:t>
      </w:r>
      <w:r>
        <w:rPr>
          <w:b/>
          <w:spacing w:val="-2"/>
          <w:sz w:val="22"/>
          <w:szCs w:val="22"/>
        </w:rPr>
        <w:t xml:space="preserve">, 2013 </w:t>
      </w:r>
      <w:r>
        <w:rPr>
          <w:b/>
          <w:spacing w:val="-2"/>
          <w:sz w:val="22"/>
          <w:szCs w:val="22"/>
        </w:rPr>
        <w:tab/>
        <w:t xml:space="preserve">                      </w:t>
      </w:r>
      <w:r w:rsidR="004A6D00">
        <w:rPr>
          <w:b/>
          <w:spacing w:val="-2"/>
          <w:sz w:val="22"/>
          <w:szCs w:val="22"/>
        </w:rPr>
        <w:t>Released:  July 18</w:t>
      </w:r>
      <w:r>
        <w:rPr>
          <w:b/>
          <w:spacing w:val="-2"/>
          <w:sz w:val="22"/>
          <w:szCs w:val="22"/>
        </w:rPr>
        <w:t xml:space="preserve">, 2013 </w:t>
      </w:r>
    </w:p>
    <w:p w:rsidR="001D66EF" w:rsidRDefault="001D66EF" w:rsidP="001D66EF">
      <w:pPr>
        <w:rPr>
          <w:sz w:val="22"/>
          <w:szCs w:val="22"/>
        </w:rPr>
      </w:pPr>
    </w:p>
    <w:p w:rsidR="001D66EF" w:rsidRDefault="001D66EF" w:rsidP="001D66EF">
      <w:pPr>
        <w:rPr>
          <w:sz w:val="22"/>
          <w:szCs w:val="22"/>
        </w:rPr>
      </w:pPr>
      <w:r>
        <w:rPr>
          <w:sz w:val="22"/>
          <w:szCs w:val="22"/>
        </w:rPr>
        <w:t>By the Acting Chief, Enforcement Bureau:</w:t>
      </w:r>
    </w:p>
    <w:p w:rsidR="001D66EF" w:rsidRDefault="001D66EF" w:rsidP="001D66EF">
      <w:pPr>
        <w:rPr>
          <w:sz w:val="22"/>
          <w:szCs w:val="22"/>
        </w:rPr>
      </w:pPr>
    </w:p>
    <w:p w:rsidR="001D66EF" w:rsidRDefault="001D66EF" w:rsidP="001D66EF">
      <w:pPr>
        <w:pStyle w:val="Paranum0"/>
        <w:jc w:val="left"/>
        <w:rPr>
          <w:b/>
          <w:szCs w:val="22"/>
        </w:rPr>
      </w:pPr>
      <w:r>
        <w:rPr>
          <w:szCs w:val="22"/>
        </w:rPr>
        <w:t xml:space="preserve">In this Order, we adopt a Consent Decree entered into between the Enforcement Bureau (Bureau) of the Federal Communications Commission and </w:t>
      </w:r>
      <w:r>
        <w:rPr>
          <w:color w:val="151414"/>
          <w:szCs w:val="22"/>
        </w:rPr>
        <w:t>AccessLine Communications Corporation (AccessLine)</w:t>
      </w:r>
      <w:r>
        <w:rPr>
          <w:szCs w:val="22"/>
        </w:rPr>
        <w:t xml:space="preserve">.  The Consent Decree resolves and terminates an investigation by the Bureau into whether </w:t>
      </w:r>
      <w:r>
        <w:rPr>
          <w:color w:val="151414"/>
          <w:szCs w:val="22"/>
        </w:rPr>
        <w:t>AccessLine</w:t>
      </w:r>
      <w:r w:rsidDel="006D4156">
        <w:rPr>
          <w:szCs w:val="22"/>
        </w:rPr>
        <w:t xml:space="preserve"> </w:t>
      </w:r>
      <w:r>
        <w:t xml:space="preserve">and its parent company, Telanetix, Inc. (Telanetix), </w:t>
      </w:r>
      <w:r>
        <w:rPr>
          <w:szCs w:val="22"/>
        </w:rPr>
        <w:t xml:space="preserve">violated </w:t>
      </w:r>
      <w:r>
        <w:rPr>
          <w:color w:val="000000"/>
          <w:szCs w:val="22"/>
        </w:rPr>
        <w:t>Section 214 of the Communications Act of 1934, as amended (Act)</w:t>
      </w:r>
      <w:r>
        <w:rPr>
          <w:rStyle w:val="FootnoteReference"/>
          <w:sz w:val="22"/>
          <w:szCs w:val="22"/>
        </w:rPr>
        <w:footnoteReference w:id="1"/>
      </w:r>
      <w:r>
        <w:rPr>
          <w:color w:val="000000"/>
          <w:szCs w:val="22"/>
        </w:rPr>
        <w:t xml:space="preserve"> and Sections 63.03, 63.04, 63.18, and 63.24 of the Commission’s rules</w:t>
      </w:r>
      <w:r>
        <w:rPr>
          <w:rStyle w:val="FootnoteReference"/>
          <w:sz w:val="22"/>
          <w:szCs w:val="22"/>
        </w:rPr>
        <w:footnoteReference w:id="2"/>
      </w:r>
      <w:r>
        <w:rPr>
          <w:color w:val="000000"/>
          <w:szCs w:val="22"/>
        </w:rPr>
        <w:t xml:space="preserve"> </w:t>
      </w:r>
      <w:r>
        <w:rPr>
          <w:szCs w:val="22"/>
        </w:rPr>
        <w:t xml:space="preserve">in connection with the transfer of control of domestic and international Section 214 authorizations held by </w:t>
      </w:r>
      <w:r>
        <w:rPr>
          <w:color w:val="151414"/>
          <w:szCs w:val="22"/>
        </w:rPr>
        <w:t xml:space="preserve">AccessLine. </w:t>
      </w:r>
      <w:r>
        <w:rPr>
          <w:szCs w:val="22"/>
        </w:rPr>
        <w:t xml:space="preserve"> </w:t>
      </w:r>
    </w:p>
    <w:p w:rsidR="001D66EF" w:rsidRDefault="001D66EF" w:rsidP="001D66EF">
      <w:pPr>
        <w:pStyle w:val="Paranum0"/>
        <w:tabs>
          <w:tab w:val="clear" w:pos="1080"/>
          <w:tab w:val="num" w:pos="1440"/>
        </w:tabs>
        <w:jc w:val="left"/>
        <w:rPr>
          <w:szCs w:val="22"/>
        </w:rPr>
      </w:pPr>
      <w:r>
        <w:rPr>
          <w:szCs w:val="22"/>
        </w:rPr>
        <w:t xml:space="preserve">A copy of the Consent Decree negotiated by the Bureau and </w:t>
      </w:r>
      <w:r>
        <w:rPr>
          <w:color w:val="151414"/>
          <w:szCs w:val="22"/>
        </w:rPr>
        <w:t xml:space="preserve">AccessLine, </w:t>
      </w:r>
      <w:r>
        <w:rPr>
          <w:szCs w:val="22"/>
        </w:rPr>
        <w:t>which incorporates a two-year compliance plan requirement, is attached hereto and incorporated herein by reference.</w:t>
      </w:r>
    </w:p>
    <w:p w:rsidR="001D66EF" w:rsidRDefault="001D66EF" w:rsidP="001D66EF">
      <w:pPr>
        <w:pStyle w:val="Paranum0"/>
        <w:tabs>
          <w:tab w:val="clear" w:pos="1080"/>
          <w:tab w:val="num" w:pos="1440"/>
        </w:tabs>
        <w:jc w:val="left"/>
        <w:rPr>
          <w:szCs w:val="22"/>
        </w:rPr>
      </w:pPr>
      <w:r>
        <w:rPr>
          <w:szCs w:val="22"/>
        </w:rPr>
        <w:t>After evaluating the facts before us and reviewing the terms of the Consent Decree, we find that the public interest would be served by adopting the Consent Decree and terminating the investigation.</w:t>
      </w:r>
    </w:p>
    <w:p w:rsidR="001D66EF" w:rsidRDefault="001D66EF" w:rsidP="001D66EF">
      <w:pPr>
        <w:pStyle w:val="Paranum0"/>
        <w:tabs>
          <w:tab w:val="clear" w:pos="1080"/>
          <w:tab w:val="num" w:pos="1440"/>
        </w:tabs>
        <w:jc w:val="left"/>
        <w:rPr>
          <w:szCs w:val="22"/>
        </w:rPr>
      </w:pPr>
      <w:r>
        <w:rPr>
          <w:szCs w:val="22"/>
        </w:rPr>
        <w:t xml:space="preserve">In the absence of material new evidence relating to this matter, we conclude that our investigation raises no substantial or material questions of fact as to whether </w:t>
      </w:r>
      <w:r>
        <w:rPr>
          <w:color w:val="151414"/>
          <w:szCs w:val="22"/>
        </w:rPr>
        <w:t>AccessLine</w:t>
      </w:r>
      <w:r>
        <w:rPr>
          <w:szCs w:val="22"/>
        </w:rPr>
        <w:t xml:space="preserve"> possesses the basic qualifications, including those related to character, to hold or obtain any Commission license or authority.</w:t>
      </w:r>
    </w:p>
    <w:p w:rsidR="001D66EF" w:rsidRPr="00287F5D" w:rsidRDefault="001D66EF" w:rsidP="001D66EF">
      <w:pPr>
        <w:pStyle w:val="Paranum0"/>
        <w:tabs>
          <w:tab w:val="clear" w:pos="1080"/>
          <w:tab w:val="num" w:pos="1440"/>
        </w:tabs>
        <w:jc w:val="left"/>
        <w:rPr>
          <w:szCs w:val="22"/>
        </w:rPr>
      </w:pPr>
      <w:r>
        <w:rPr>
          <w:szCs w:val="22"/>
        </w:rPr>
        <w:t xml:space="preserve">Accordingly, </w:t>
      </w:r>
      <w:r>
        <w:rPr>
          <w:b/>
          <w:szCs w:val="22"/>
        </w:rPr>
        <w:t>IT IS ORDERED</w:t>
      </w:r>
      <w:r>
        <w:rPr>
          <w:szCs w:val="22"/>
        </w:rPr>
        <w:t xml:space="preserve"> that, pursuant to Sections 4(i) of the Act</w:t>
      </w:r>
      <w:r>
        <w:rPr>
          <w:rStyle w:val="FootnoteReference"/>
          <w:sz w:val="22"/>
          <w:szCs w:val="22"/>
        </w:rPr>
        <w:footnoteReference w:id="3"/>
      </w:r>
      <w:r>
        <w:rPr>
          <w:szCs w:val="22"/>
        </w:rPr>
        <w:t xml:space="preserve"> and Sections 0.111 and 0.311 of the Commission’s rules,</w:t>
      </w:r>
      <w:r>
        <w:rPr>
          <w:rStyle w:val="FootnoteReference"/>
          <w:sz w:val="22"/>
          <w:szCs w:val="22"/>
        </w:rPr>
        <w:footnoteReference w:id="4"/>
      </w:r>
      <w:r>
        <w:rPr>
          <w:szCs w:val="22"/>
        </w:rPr>
        <w:t xml:space="preserve"> the Consent Decree attached to this Order </w:t>
      </w:r>
      <w:r>
        <w:rPr>
          <w:b/>
          <w:szCs w:val="22"/>
        </w:rPr>
        <w:t>IS ADOPTED</w:t>
      </w:r>
      <w:r>
        <w:rPr>
          <w:szCs w:val="22"/>
        </w:rPr>
        <w:t>.</w:t>
      </w:r>
    </w:p>
    <w:p w:rsidR="001D66EF" w:rsidRDefault="001D66EF" w:rsidP="001D66EF">
      <w:pPr>
        <w:pStyle w:val="Paranum0"/>
        <w:tabs>
          <w:tab w:val="clear" w:pos="1080"/>
          <w:tab w:val="num" w:pos="1440"/>
        </w:tabs>
        <w:jc w:val="left"/>
        <w:rPr>
          <w:szCs w:val="22"/>
        </w:rPr>
      </w:pPr>
      <w:r>
        <w:rPr>
          <w:b/>
          <w:szCs w:val="22"/>
        </w:rPr>
        <w:br w:type="page"/>
      </w:r>
      <w:r>
        <w:rPr>
          <w:b/>
          <w:szCs w:val="22"/>
        </w:rPr>
        <w:lastRenderedPageBreak/>
        <w:t xml:space="preserve">IT IS FURTHER ORDERED </w:t>
      </w:r>
      <w:r>
        <w:rPr>
          <w:szCs w:val="22"/>
        </w:rPr>
        <w:t>that the above-captioned investigation</w:t>
      </w:r>
      <w:r>
        <w:rPr>
          <w:b/>
          <w:szCs w:val="22"/>
        </w:rPr>
        <w:t xml:space="preserve"> IS TERMINATED</w:t>
      </w:r>
      <w:r>
        <w:rPr>
          <w:szCs w:val="22"/>
        </w:rPr>
        <w:t>.</w:t>
      </w:r>
    </w:p>
    <w:p w:rsidR="001D66EF" w:rsidRPr="006D4156" w:rsidRDefault="001D66EF" w:rsidP="001D66EF">
      <w:pPr>
        <w:pStyle w:val="Paranum0"/>
        <w:tabs>
          <w:tab w:val="clear" w:pos="1080"/>
          <w:tab w:val="num" w:pos="1440"/>
        </w:tabs>
        <w:jc w:val="left"/>
        <w:rPr>
          <w:szCs w:val="22"/>
        </w:rPr>
      </w:pPr>
      <w:r w:rsidRPr="006D4156">
        <w:rPr>
          <w:b/>
          <w:szCs w:val="22"/>
        </w:rPr>
        <w:t xml:space="preserve">IT IS FURTHER ORDERED </w:t>
      </w:r>
      <w:r w:rsidRPr="006D4156">
        <w:rPr>
          <w:szCs w:val="22"/>
        </w:rPr>
        <w:t>that a copy of this Order and Consent Decree shall be sent by first class mail and certified mail, return receipt requested, to</w:t>
      </w:r>
      <w:r>
        <w:rPr>
          <w:szCs w:val="22"/>
        </w:rPr>
        <w:t xml:space="preserve"> </w:t>
      </w:r>
      <w:r w:rsidRPr="00B602D9">
        <w:t>M</w:t>
      </w:r>
      <w:r>
        <w:t>r. Glenn S. Richards, Attorney for AccessLine Communications Corporation and Telanetix, Inc., Pillsbury Winthrop Shaw Pittman LLP, 2300 N Street, NW, Washington, DC 20037-1122.</w:t>
      </w:r>
    </w:p>
    <w:p w:rsidR="001D66EF" w:rsidRDefault="001D66EF" w:rsidP="001D66EF">
      <w:pPr>
        <w:pStyle w:val="Paranum0"/>
        <w:numPr>
          <w:ilvl w:val="0"/>
          <w:numId w:val="0"/>
        </w:numPr>
        <w:tabs>
          <w:tab w:val="clear" w:pos="1440"/>
        </w:tabs>
        <w:ind w:left="720"/>
        <w:jc w:val="left"/>
        <w:rPr>
          <w:szCs w:val="22"/>
        </w:rPr>
      </w:pPr>
    </w:p>
    <w:p w:rsidR="001D66EF" w:rsidRDefault="001D66EF" w:rsidP="001D66EF">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D66EF" w:rsidRDefault="001D66EF" w:rsidP="001D66EF">
      <w:pPr>
        <w:tabs>
          <w:tab w:val="left" w:pos="0"/>
        </w:tabs>
        <w:suppressAutoHyphens/>
        <w:spacing w:line="240" w:lineRule="atLeast"/>
        <w:jc w:val="both"/>
        <w:rPr>
          <w:spacing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pacing w:val="-2"/>
          <w:sz w:val="22"/>
          <w:szCs w:val="22"/>
        </w:rPr>
        <w:t>FEDERAL COMMUNICATIONS COMMISSION</w:t>
      </w:r>
    </w:p>
    <w:p w:rsidR="001D66EF" w:rsidRDefault="001D66EF" w:rsidP="001D66EF">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1D66EF" w:rsidRDefault="001D66EF" w:rsidP="001D66EF">
      <w:pPr>
        <w:tabs>
          <w:tab w:val="left" w:pos="0"/>
        </w:tabs>
        <w:suppressAutoHyphens/>
        <w:spacing w:line="240" w:lineRule="atLeast"/>
        <w:jc w:val="both"/>
        <w:rPr>
          <w:spacing w:val="-2"/>
          <w:sz w:val="22"/>
          <w:szCs w:val="22"/>
        </w:rPr>
      </w:pPr>
    </w:p>
    <w:p w:rsidR="001D66EF" w:rsidRDefault="001D66EF" w:rsidP="001D66EF">
      <w:pPr>
        <w:tabs>
          <w:tab w:val="left" w:pos="0"/>
        </w:tabs>
        <w:suppressAutoHyphens/>
        <w:spacing w:line="240" w:lineRule="atLeast"/>
        <w:jc w:val="both"/>
        <w:rPr>
          <w:spacing w:val="-2"/>
          <w:sz w:val="22"/>
          <w:szCs w:val="22"/>
        </w:rPr>
      </w:pPr>
    </w:p>
    <w:p w:rsidR="001D66EF" w:rsidRDefault="001D66EF" w:rsidP="001D66EF">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1D66EF" w:rsidRDefault="001D66EF" w:rsidP="001D66EF">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Robert H. Ratcliffe</w:t>
      </w:r>
    </w:p>
    <w:p w:rsidR="001D66EF" w:rsidRDefault="001D66EF" w:rsidP="001D66EF">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Acting Chief</w:t>
      </w:r>
    </w:p>
    <w:p w:rsidR="001D66EF" w:rsidRDefault="001D66EF" w:rsidP="001D66EF">
      <w:pPr>
        <w:tabs>
          <w:tab w:val="left" w:pos="0"/>
        </w:tabs>
        <w:suppressAutoHyphens/>
        <w:spacing w:line="240" w:lineRule="atLeast"/>
        <w:ind w:right="3240"/>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Enforcement Bureau</w:t>
      </w:r>
    </w:p>
    <w:p w:rsidR="001D66EF" w:rsidRDefault="001D66EF" w:rsidP="001D66EF"/>
    <w:p w:rsidR="001D66EF" w:rsidRDefault="001D66EF" w:rsidP="008229AA">
      <w:pPr>
        <w:ind w:right="-180"/>
        <w:jc w:val="center"/>
        <w:rPr>
          <w:b/>
          <w:sz w:val="22"/>
          <w:szCs w:val="22"/>
        </w:rPr>
      </w:pPr>
    </w:p>
    <w:p w:rsidR="001D66EF" w:rsidRDefault="001D66EF" w:rsidP="008229AA">
      <w:pPr>
        <w:ind w:right="-180"/>
        <w:jc w:val="center"/>
        <w:rPr>
          <w:b/>
          <w:sz w:val="22"/>
          <w:szCs w:val="22"/>
        </w:rPr>
      </w:pPr>
    </w:p>
    <w:p w:rsidR="001D66EF" w:rsidRDefault="001D66EF" w:rsidP="008229AA">
      <w:pPr>
        <w:ind w:right="-180"/>
        <w:jc w:val="center"/>
        <w:rPr>
          <w:b/>
          <w:sz w:val="22"/>
          <w:szCs w:val="22"/>
        </w:rPr>
        <w:sectPr w:rsidR="001D66EF" w:rsidSect="001D66E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start="1"/>
          <w:cols w:space="720"/>
          <w:titlePg/>
        </w:sectPr>
      </w:pPr>
    </w:p>
    <w:p w:rsidR="001D66EF" w:rsidRDefault="001D66EF" w:rsidP="008229AA">
      <w:pPr>
        <w:ind w:right="-180"/>
        <w:jc w:val="center"/>
        <w:rPr>
          <w:b/>
          <w:sz w:val="22"/>
          <w:szCs w:val="22"/>
        </w:rPr>
      </w:pPr>
    </w:p>
    <w:p w:rsidR="001D66EF" w:rsidRDefault="001D66EF" w:rsidP="008229AA">
      <w:pPr>
        <w:ind w:right="-180"/>
        <w:jc w:val="center"/>
        <w:rPr>
          <w:b/>
          <w:sz w:val="22"/>
          <w:szCs w:val="22"/>
        </w:rPr>
      </w:pPr>
    </w:p>
    <w:p w:rsidR="001D66EF" w:rsidRDefault="001D66EF" w:rsidP="008229AA">
      <w:pPr>
        <w:ind w:right="-180"/>
        <w:jc w:val="center"/>
        <w:rPr>
          <w:b/>
          <w:sz w:val="22"/>
          <w:szCs w:val="22"/>
        </w:rPr>
      </w:pPr>
      <w:r>
        <w:rPr>
          <w:b/>
          <w:sz w:val="22"/>
          <w:szCs w:val="22"/>
        </w:rPr>
        <w:t>Before the</w:t>
      </w:r>
    </w:p>
    <w:p w:rsidR="00176171" w:rsidRDefault="00176171" w:rsidP="008229AA">
      <w:pPr>
        <w:ind w:right="-180"/>
        <w:jc w:val="center"/>
        <w:rPr>
          <w:b/>
          <w:sz w:val="22"/>
          <w:szCs w:val="22"/>
        </w:rPr>
      </w:pPr>
      <w:r>
        <w:rPr>
          <w:b/>
          <w:sz w:val="22"/>
          <w:szCs w:val="22"/>
        </w:rPr>
        <w:t>Federal Communications Commission</w:t>
      </w:r>
    </w:p>
    <w:p w:rsidR="00176171" w:rsidRDefault="00176171" w:rsidP="008229AA">
      <w:pPr>
        <w:ind w:right="-180"/>
        <w:jc w:val="center"/>
        <w:rPr>
          <w:b/>
          <w:sz w:val="22"/>
          <w:szCs w:val="22"/>
        </w:rPr>
      </w:pPr>
      <w:r>
        <w:rPr>
          <w:b/>
          <w:sz w:val="22"/>
          <w:szCs w:val="22"/>
        </w:rPr>
        <w:t>Washington, D.C. 20554</w:t>
      </w:r>
    </w:p>
    <w:p w:rsidR="00176171" w:rsidRDefault="00176171" w:rsidP="008229AA">
      <w:pPr>
        <w:tabs>
          <w:tab w:val="left" w:pos="-720"/>
        </w:tabs>
        <w:suppressAutoHyphens/>
        <w:spacing w:line="227" w:lineRule="auto"/>
        <w:ind w:right="-180"/>
        <w:jc w:val="both"/>
        <w:rPr>
          <w:spacing w:val="-2"/>
          <w:sz w:val="22"/>
          <w:szCs w:val="22"/>
        </w:rPr>
      </w:pPr>
    </w:p>
    <w:tbl>
      <w:tblPr>
        <w:tblW w:w="9450" w:type="dxa"/>
        <w:tblInd w:w="108" w:type="dxa"/>
        <w:tblLayout w:type="fixed"/>
        <w:tblLook w:val="0000" w:firstRow="0" w:lastRow="0" w:firstColumn="0" w:lastColumn="0" w:noHBand="0" w:noVBand="0"/>
      </w:tblPr>
      <w:tblGrid>
        <w:gridCol w:w="4500"/>
        <w:gridCol w:w="270"/>
        <w:gridCol w:w="4680"/>
      </w:tblGrid>
      <w:tr w:rsidR="00176171">
        <w:trPr>
          <w:trHeight w:val="1296"/>
        </w:trPr>
        <w:tc>
          <w:tcPr>
            <w:tcW w:w="4500" w:type="dxa"/>
          </w:tcPr>
          <w:p w:rsidR="00176171" w:rsidRDefault="00176171" w:rsidP="008229AA">
            <w:pPr>
              <w:ind w:right="-180"/>
              <w:rPr>
                <w:sz w:val="22"/>
                <w:szCs w:val="22"/>
              </w:rPr>
            </w:pPr>
            <w:r>
              <w:rPr>
                <w:spacing w:val="-2"/>
                <w:sz w:val="22"/>
                <w:szCs w:val="22"/>
              </w:rPr>
              <w:t>In the Matter of</w:t>
            </w:r>
            <w:r>
              <w:rPr>
                <w:sz w:val="22"/>
                <w:szCs w:val="22"/>
              </w:rPr>
              <w:t xml:space="preserve"> </w:t>
            </w:r>
          </w:p>
          <w:p w:rsidR="00176171" w:rsidRDefault="00176171" w:rsidP="008229AA">
            <w:pPr>
              <w:ind w:right="-180"/>
              <w:rPr>
                <w:sz w:val="22"/>
                <w:szCs w:val="22"/>
              </w:rPr>
            </w:pPr>
          </w:p>
          <w:p w:rsidR="00176171" w:rsidRDefault="00867A5B" w:rsidP="008229AA">
            <w:pPr>
              <w:ind w:right="-180"/>
              <w:rPr>
                <w:color w:val="151414"/>
                <w:sz w:val="22"/>
                <w:szCs w:val="22"/>
              </w:rPr>
            </w:pPr>
            <w:r>
              <w:rPr>
                <w:color w:val="151414"/>
                <w:sz w:val="22"/>
                <w:szCs w:val="22"/>
              </w:rPr>
              <w:t>AccessLine Communications Corporation</w:t>
            </w:r>
          </w:p>
          <w:p w:rsidR="00176171" w:rsidRDefault="00176171" w:rsidP="008229AA">
            <w:pPr>
              <w:ind w:right="-180"/>
              <w:rPr>
                <w:spacing w:val="-2"/>
                <w:sz w:val="22"/>
                <w:szCs w:val="22"/>
              </w:rPr>
            </w:pPr>
          </w:p>
        </w:tc>
        <w:tc>
          <w:tcPr>
            <w:tcW w:w="270" w:type="dxa"/>
          </w:tcPr>
          <w:p w:rsidR="00176171" w:rsidRDefault="00176171" w:rsidP="008229AA">
            <w:pPr>
              <w:tabs>
                <w:tab w:val="center" w:pos="4680"/>
              </w:tabs>
              <w:suppressAutoHyphens/>
              <w:spacing w:line="240" w:lineRule="atLeast"/>
              <w:ind w:right="-180"/>
              <w:jc w:val="both"/>
              <w:outlineLvl w:val="0"/>
              <w:rPr>
                <w:sz w:val="22"/>
                <w:szCs w:val="22"/>
              </w:rPr>
            </w:pPr>
            <w:r>
              <w:rPr>
                <w:sz w:val="22"/>
                <w:szCs w:val="22"/>
              </w:rPr>
              <w:t>)</w:t>
            </w:r>
          </w:p>
          <w:p w:rsidR="00176171" w:rsidRDefault="00176171" w:rsidP="008229AA">
            <w:pPr>
              <w:tabs>
                <w:tab w:val="center" w:pos="4680"/>
              </w:tabs>
              <w:suppressAutoHyphens/>
              <w:spacing w:line="240" w:lineRule="atLeast"/>
              <w:ind w:right="-180"/>
              <w:jc w:val="both"/>
              <w:outlineLvl w:val="0"/>
              <w:rPr>
                <w:sz w:val="22"/>
                <w:szCs w:val="22"/>
              </w:rPr>
            </w:pPr>
            <w:r>
              <w:rPr>
                <w:sz w:val="22"/>
                <w:szCs w:val="22"/>
              </w:rPr>
              <w:t>)</w:t>
            </w:r>
          </w:p>
          <w:p w:rsidR="00176171" w:rsidRDefault="00176171" w:rsidP="008229AA">
            <w:pPr>
              <w:tabs>
                <w:tab w:val="center" w:pos="4680"/>
              </w:tabs>
              <w:suppressAutoHyphens/>
              <w:spacing w:line="240" w:lineRule="atLeast"/>
              <w:ind w:right="-180"/>
              <w:jc w:val="both"/>
              <w:outlineLvl w:val="0"/>
              <w:rPr>
                <w:sz w:val="22"/>
                <w:szCs w:val="22"/>
              </w:rPr>
            </w:pPr>
            <w:r>
              <w:rPr>
                <w:sz w:val="22"/>
                <w:szCs w:val="22"/>
              </w:rPr>
              <w:t>)</w:t>
            </w:r>
          </w:p>
          <w:p w:rsidR="00176171" w:rsidRDefault="00176171" w:rsidP="008229AA">
            <w:pPr>
              <w:tabs>
                <w:tab w:val="center" w:pos="4680"/>
              </w:tabs>
              <w:suppressAutoHyphens/>
              <w:spacing w:line="240" w:lineRule="atLeast"/>
              <w:ind w:right="-180"/>
              <w:jc w:val="both"/>
              <w:outlineLvl w:val="0"/>
              <w:rPr>
                <w:sz w:val="22"/>
                <w:szCs w:val="22"/>
              </w:rPr>
            </w:pPr>
            <w:r>
              <w:rPr>
                <w:sz w:val="22"/>
                <w:szCs w:val="22"/>
              </w:rPr>
              <w:t>)</w:t>
            </w:r>
          </w:p>
          <w:p w:rsidR="00176171" w:rsidRDefault="00176171" w:rsidP="008229AA">
            <w:pPr>
              <w:tabs>
                <w:tab w:val="center" w:pos="4680"/>
              </w:tabs>
              <w:suppressAutoHyphens/>
              <w:spacing w:line="240" w:lineRule="atLeast"/>
              <w:ind w:right="-180"/>
              <w:jc w:val="both"/>
              <w:outlineLvl w:val="0"/>
              <w:rPr>
                <w:sz w:val="22"/>
                <w:szCs w:val="22"/>
              </w:rPr>
            </w:pPr>
            <w:r>
              <w:rPr>
                <w:sz w:val="22"/>
                <w:szCs w:val="22"/>
              </w:rPr>
              <w:t>)</w:t>
            </w:r>
          </w:p>
        </w:tc>
        <w:tc>
          <w:tcPr>
            <w:tcW w:w="4680" w:type="dxa"/>
          </w:tcPr>
          <w:p w:rsidR="00176171" w:rsidRDefault="00176171" w:rsidP="008229AA">
            <w:pPr>
              <w:tabs>
                <w:tab w:val="left" w:pos="252"/>
              </w:tabs>
              <w:ind w:right="-180" w:firstLine="252"/>
              <w:rPr>
                <w:sz w:val="22"/>
                <w:szCs w:val="22"/>
              </w:rPr>
            </w:pPr>
            <w:r>
              <w:rPr>
                <w:sz w:val="22"/>
                <w:szCs w:val="22"/>
              </w:rPr>
              <w:t xml:space="preserve">File No.:  </w:t>
            </w:r>
            <w:r>
              <w:rPr>
                <w:color w:val="151414"/>
                <w:sz w:val="22"/>
                <w:szCs w:val="22"/>
              </w:rPr>
              <w:t>EB-</w:t>
            </w:r>
            <w:r w:rsidR="00A73E42">
              <w:rPr>
                <w:color w:val="151414"/>
                <w:sz w:val="22"/>
                <w:szCs w:val="22"/>
              </w:rPr>
              <w:t>13</w:t>
            </w:r>
            <w:r>
              <w:rPr>
                <w:color w:val="151414"/>
                <w:sz w:val="22"/>
                <w:szCs w:val="22"/>
              </w:rPr>
              <w:t>-IH-</w:t>
            </w:r>
            <w:r w:rsidR="00A73E42">
              <w:rPr>
                <w:color w:val="151414"/>
                <w:sz w:val="22"/>
                <w:szCs w:val="22"/>
              </w:rPr>
              <w:t>0280</w:t>
            </w:r>
          </w:p>
          <w:p w:rsidR="00176171" w:rsidRDefault="00176171" w:rsidP="008229AA">
            <w:pPr>
              <w:tabs>
                <w:tab w:val="left" w:pos="252"/>
              </w:tabs>
              <w:ind w:right="-180"/>
              <w:rPr>
                <w:sz w:val="22"/>
                <w:szCs w:val="22"/>
              </w:rPr>
            </w:pPr>
          </w:p>
          <w:p w:rsidR="00176171" w:rsidRDefault="00176171" w:rsidP="008229AA">
            <w:pPr>
              <w:tabs>
                <w:tab w:val="left" w:pos="252"/>
              </w:tabs>
              <w:ind w:right="-180" w:firstLine="252"/>
              <w:rPr>
                <w:sz w:val="22"/>
                <w:szCs w:val="22"/>
              </w:rPr>
            </w:pPr>
            <w:r>
              <w:rPr>
                <w:sz w:val="22"/>
                <w:szCs w:val="22"/>
              </w:rPr>
              <w:t xml:space="preserve">Acct. No.:  </w:t>
            </w:r>
            <w:r w:rsidR="00502C91" w:rsidRPr="00502C91">
              <w:t>201332080024</w:t>
            </w:r>
          </w:p>
          <w:p w:rsidR="00176171" w:rsidRDefault="00176171" w:rsidP="008229AA">
            <w:pPr>
              <w:tabs>
                <w:tab w:val="left" w:pos="252"/>
              </w:tabs>
              <w:ind w:right="-180" w:firstLine="252"/>
              <w:rPr>
                <w:sz w:val="22"/>
                <w:szCs w:val="22"/>
              </w:rPr>
            </w:pPr>
          </w:p>
          <w:p w:rsidR="00176171" w:rsidRDefault="00176171" w:rsidP="008229AA">
            <w:pPr>
              <w:tabs>
                <w:tab w:val="left" w:pos="252"/>
              </w:tabs>
              <w:ind w:right="-180" w:firstLine="252"/>
              <w:rPr>
                <w:spacing w:val="-2"/>
                <w:sz w:val="22"/>
                <w:szCs w:val="22"/>
              </w:rPr>
            </w:pPr>
            <w:r>
              <w:rPr>
                <w:sz w:val="22"/>
                <w:szCs w:val="22"/>
              </w:rPr>
              <w:t xml:space="preserve">FRN:  </w:t>
            </w:r>
            <w:r w:rsidR="00A73E42">
              <w:rPr>
                <w:color w:val="151414"/>
                <w:sz w:val="22"/>
                <w:szCs w:val="22"/>
              </w:rPr>
              <w:t xml:space="preserve"> 0016875742</w:t>
            </w:r>
          </w:p>
        </w:tc>
      </w:tr>
    </w:tbl>
    <w:p w:rsidR="00176171" w:rsidRDefault="00176171" w:rsidP="008229AA">
      <w:pPr>
        <w:keepNext/>
        <w:spacing w:before="240"/>
        <w:ind w:right="-180"/>
        <w:jc w:val="center"/>
        <w:rPr>
          <w:b/>
          <w:sz w:val="22"/>
          <w:szCs w:val="22"/>
        </w:rPr>
      </w:pPr>
      <w:r>
        <w:rPr>
          <w:b/>
          <w:sz w:val="22"/>
          <w:szCs w:val="22"/>
        </w:rPr>
        <w:t>CONSENT DECREE</w:t>
      </w:r>
    </w:p>
    <w:p w:rsidR="00176171" w:rsidRDefault="00176171" w:rsidP="008229AA">
      <w:pPr>
        <w:pStyle w:val="par1"/>
        <w:numPr>
          <w:ilvl w:val="0"/>
          <w:numId w:val="0"/>
        </w:numPr>
        <w:ind w:right="-180"/>
        <w:rPr>
          <w:b/>
          <w:szCs w:val="22"/>
        </w:rPr>
      </w:pPr>
    </w:p>
    <w:p w:rsidR="00176171" w:rsidRPr="00680316" w:rsidRDefault="004678A3" w:rsidP="008229AA">
      <w:pPr>
        <w:pStyle w:val="par1"/>
        <w:ind w:right="-180"/>
        <w:rPr>
          <w:b/>
          <w:szCs w:val="22"/>
        </w:rPr>
      </w:pPr>
      <w:r>
        <w:rPr>
          <w:szCs w:val="22"/>
        </w:rPr>
        <w:t xml:space="preserve">The Enforcement Bureau of the Federal Communications Commission and AccessLine Communications Corporation, by their authorized representatives, hereby enter into this Consent Decree for the purpose of terminating the Enforcement Bureau’s investigation into whether AccessLine Communications Corporation violated </w:t>
      </w:r>
      <w:r>
        <w:rPr>
          <w:color w:val="000000"/>
          <w:szCs w:val="22"/>
        </w:rPr>
        <w:t>Section 214 of the Communications Act of 1934, as amended</w:t>
      </w:r>
      <w:r w:rsidR="003A4053">
        <w:rPr>
          <w:color w:val="000000"/>
          <w:szCs w:val="22"/>
        </w:rPr>
        <w:t>,</w:t>
      </w:r>
      <w:r>
        <w:rPr>
          <w:rStyle w:val="FootnoteReference"/>
          <w:sz w:val="22"/>
          <w:szCs w:val="22"/>
        </w:rPr>
        <w:footnoteReference w:id="5"/>
      </w:r>
      <w:r>
        <w:rPr>
          <w:color w:val="000000"/>
          <w:szCs w:val="22"/>
        </w:rPr>
        <w:t xml:space="preserve"> and Sections 63.03, 63.04, 63.18, and 63.24 of the Commission’s rules</w:t>
      </w:r>
      <w:r>
        <w:rPr>
          <w:rStyle w:val="FootnoteReference"/>
          <w:sz w:val="22"/>
          <w:szCs w:val="22"/>
        </w:rPr>
        <w:footnoteReference w:id="6"/>
      </w:r>
      <w:r>
        <w:rPr>
          <w:color w:val="000000"/>
          <w:szCs w:val="22"/>
        </w:rPr>
        <w:t xml:space="preserve"> </w:t>
      </w:r>
      <w:r>
        <w:rPr>
          <w:szCs w:val="22"/>
        </w:rPr>
        <w:t xml:space="preserve">in connection with </w:t>
      </w:r>
      <w:r w:rsidR="006E2391">
        <w:rPr>
          <w:szCs w:val="22"/>
        </w:rPr>
        <w:t xml:space="preserve">the transfer of control of domestic and international Section 214 authorizations held by </w:t>
      </w:r>
      <w:r w:rsidR="006E2391">
        <w:rPr>
          <w:color w:val="151414"/>
          <w:szCs w:val="22"/>
        </w:rPr>
        <w:t xml:space="preserve">AccessLine </w:t>
      </w:r>
      <w:r w:rsidR="00636F1E">
        <w:rPr>
          <w:color w:val="151414"/>
          <w:szCs w:val="22"/>
        </w:rPr>
        <w:t>Communications</w:t>
      </w:r>
      <w:r w:rsidR="006E2391">
        <w:rPr>
          <w:color w:val="151414"/>
          <w:szCs w:val="22"/>
        </w:rPr>
        <w:t xml:space="preserve"> Corporation.</w:t>
      </w:r>
      <w:r w:rsidRPr="0033773D">
        <w:rPr>
          <w:szCs w:val="22"/>
        </w:rPr>
        <w:t xml:space="preserve"> </w:t>
      </w:r>
    </w:p>
    <w:p w:rsidR="00176171" w:rsidRDefault="00176171" w:rsidP="008229AA">
      <w:pPr>
        <w:pStyle w:val="par1"/>
        <w:numPr>
          <w:ilvl w:val="0"/>
          <w:numId w:val="0"/>
        </w:numPr>
        <w:ind w:right="-180"/>
        <w:rPr>
          <w:szCs w:val="22"/>
        </w:rPr>
      </w:pPr>
    </w:p>
    <w:p w:rsidR="00176171" w:rsidRDefault="00176171" w:rsidP="008229AA">
      <w:pPr>
        <w:tabs>
          <w:tab w:val="left" w:pos="720"/>
          <w:tab w:val="num" w:pos="1440"/>
        </w:tabs>
        <w:ind w:right="-180"/>
        <w:rPr>
          <w:b/>
          <w:sz w:val="22"/>
          <w:szCs w:val="22"/>
        </w:rPr>
      </w:pPr>
      <w:r>
        <w:rPr>
          <w:b/>
          <w:sz w:val="22"/>
          <w:szCs w:val="22"/>
        </w:rPr>
        <w:t>I.</w:t>
      </w:r>
      <w:r>
        <w:rPr>
          <w:b/>
          <w:sz w:val="22"/>
          <w:szCs w:val="22"/>
        </w:rPr>
        <w:tab/>
        <w:t>DEFINITIONS</w:t>
      </w:r>
    </w:p>
    <w:p w:rsidR="00176171" w:rsidRDefault="00176171" w:rsidP="008229AA">
      <w:pPr>
        <w:tabs>
          <w:tab w:val="num" w:pos="1440"/>
        </w:tabs>
        <w:ind w:right="-180"/>
        <w:rPr>
          <w:b/>
          <w:sz w:val="22"/>
          <w:szCs w:val="22"/>
        </w:rPr>
      </w:pPr>
    </w:p>
    <w:p w:rsidR="00176171" w:rsidRDefault="00176171" w:rsidP="008229AA">
      <w:pPr>
        <w:pStyle w:val="par1"/>
        <w:spacing w:after="240"/>
        <w:ind w:right="-180"/>
        <w:rPr>
          <w:szCs w:val="22"/>
        </w:rPr>
      </w:pPr>
      <w:r>
        <w:rPr>
          <w:szCs w:val="22"/>
        </w:rPr>
        <w:t>For the purposes of this Consent Decree, the following definitions shall apply:</w:t>
      </w:r>
    </w:p>
    <w:p w:rsidR="00A6638B" w:rsidRDefault="00A6638B" w:rsidP="008229AA">
      <w:pPr>
        <w:numPr>
          <w:ilvl w:val="0"/>
          <w:numId w:val="3"/>
        </w:numPr>
        <w:tabs>
          <w:tab w:val="clear" w:pos="1872"/>
          <w:tab w:val="left" w:pos="1890"/>
          <w:tab w:val="left" w:pos="2160"/>
        </w:tabs>
        <w:ind w:left="1890" w:right="-180" w:hanging="450"/>
        <w:rPr>
          <w:sz w:val="22"/>
          <w:szCs w:val="22"/>
        </w:rPr>
      </w:pPr>
      <w:r w:rsidRPr="00F22BD2">
        <w:rPr>
          <w:sz w:val="22"/>
          <w:szCs w:val="22"/>
        </w:rPr>
        <w:t>“</w:t>
      </w:r>
      <w:r w:rsidRPr="003A6F17">
        <w:rPr>
          <w:sz w:val="22"/>
          <w:szCs w:val="22"/>
        </w:rPr>
        <w:t>AccessLine”</w:t>
      </w:r>
      <w:r w:rsidDel="00693E4A">
        <w:rPr>
          <w:sz w:val="22"/>
          <w:szCs w:val="22"/>
        </w:rPr>
        <w:t xml:space="preserve"> </w:t>
      </w:r>
      <w:r>
        <w:rPr>
          <w:sz w:val="22"/>
          <w:szCs w:val="22"/>
        </w:rPr>
        <w:t xml:space="preserve">or the “Company” means </w:t>
      </w:r>
      <w:r w:rsidRPr="003A6F17">
        <w:rPr>
          <w:sz w:val="22"/>
          <w:szCs w:val="22"/>
        </w:rPr>
        <w:t>AccessLine Communications Corporation</w:t>
      </w:r>
      <w:r>
        <w:rPr>
          <w:szCs w:val="22"/>
        </w:rPr>
        <w:t xml:space="preserve"> </w:t>
      </w:r>
      <w:r>
        <w:rPr>
          <w:bCs/>
          <w:sz w:val="22"/>
          <w:szCs w:val="22"/>
        </w:rPr>
        <w:t>and its predecessors-in-interest and successors-in-interest</w:t>
      </w:r>
      <w:r>
        <w:rPr>
          <w:sz w:val="22"/>
          <w:szCs w:val="22"/>
        </w:rPr>
        <w:t>.</w:t>
      </w:r>
    </w:p>
    <w:p w:rsidR="00A6638B" w:rsidRDefault="00A6638B" w:rsidP="008229AA">
      <w:pPr>
        <w:tabs>
          <w:tab w:val="left" w:pos="2160"/>
        </w:tabs>
        <w:ind w:right="-180"/>
        <w:rPr>
          <w:sz w:val="22"/>
          <w:szCs w:val="22"/>
        </w:rPr>
      </w:pPr>
    </w:p>
    <w:p w:rsidR="00176171" w:rsidRDefault="00176171" w:rsidP="008229AA">
      <w:pPr>
        <w:numPr>
          <w:ilvl w:val="0"/>
          <w:numId w:val="3"/>
        </w:numPr>
        <w:tabs>
          <w:tab w:val="left" w:pos="2160"/>
        </w:tabs>
        <w:ind w:left="2160" w:right="-180" w:hanging="720"/>
        <w:rPr>
          <w:sz w:val="22"/>
          <w:szCs w:val="22"/>
        </w:rPr>
      </w:pPr>
      <w:r>
        <w:rPr>
          <w:sz w:val="22"/>
          <w:szCs w:val="22"/>
        </w:rPr>
        <w:t>“Act”</w:t>
      </w:r>
      <w:r>
        <w:rPr>
          <w:rStyle w:val="ParanumChar0"/>
          <w:szCs w:val="22"/>
        </w:rPr>
        <w:t xml:space="preserve"> </w:t>
      </w:r>
      <w:r>
        <w:rPr>
          <w:sz w:val="22"/>
          <w:szCs w:val="22"/>
        </w:rPr>
        <w:t>means the Communications Act of 1934, as amended, 47 U.S.C. § 151</w:t>
      </w:r>
      <w:r>
        <w:rPr>
          <w:i/>
          <w:sz w:val="22"/>
          <w:szCs w:val="22"/>
        </w:rPr>
        <w:t xml:space="preserve"> </w:t>
      </w:r>
      <w:r>
        <w:rPr>
          <w:sz w:val="22"/>
          <w:szCs w:val="22"/>
        </w:rPr>
        <w:t>et seq.</w:t>
      </w:r>
    </w:p>
    <w:p w:rsidR="00176171" w:rsidRDefault="00176171" w:rsidP="008229AA">
      <w:pPr>
        <w:tabs>
          <w:tab w:val="left" w:pos="2160"/>
        </w:tabs>
        <w:ind w:left="1440" w:right="-180"/>
        <w:rPr>
          <w:sz w:val="22"/>
          <w:szCs w:val="22"/>
        </w:rPr>
      </w:pPr>
    </w:p>
    <w:p w:rsidR="00176171" w:rsidRDefault="00176171" w:rsidP="008229AA">
      <w:pPr>
        <w:numPr>
          <w:ilvl w:val="0"/>
          <w:numId w:val="3"/>
        </w:numPr>
        <w:tabs>
          <w:tab w:val="clear" w:pos="1872"/>
          <w:tab w:val="left" w:pos="1890"/>
        </w:tabs>
        <w:ind w:left="1890" w:right="-180" w:hanging="450"/>
        <w:rPr>
          <w:sz w:val="22"/>
          <w:szCs w:val="22"/>
        </w:rPr>
      </w:pPr>
      <w:r>
        <w:rPr>
          <w:sz w:val="22"/>
          <w:szCs w:val="22"/>
        </w:rPr>
        <w:t>“Adopting Order” means an Order of the Bureau adopting the terms of this Consent Decree without change, addition, deletion, or modification.</w:t>
      </w:r>
    </w:p>
    <w:p w:rsidR="00176171" w:rsidRDefault="00176171" w:rsidP="008229AA">
      <w:pPr>
        <w:tabs>
          <w:tab w:val="left" w:pos="1890"/>
        </w:tabs>
        <w:ind w:left="1890" w:right="-180" w:hanging="450"/>
        <w:rPr>
          <w:sz w:val="22"/>
          <w:szCs w:val="22"/>
        </w:rPr>
      </w:pPr>
    </w:p>
    <w:p w:rsidR="00176171" w:rsidRDefault="00176171" w:rsidP="008229AA">
      <w:pPr>
        <w:numPr>
          <w:ilvl w:val="0"/>
          <w:numId w:val="3"/>
        </w:numPr>
        <w:tabs>
          <w:tab w:val="clear" w:pos="1872"/>
          <w:tab w:val="left" w:pos="1890"/>
        </w:tabs>
        <w:ind w:left="1890" w:right="-180" w:hanging="450"/>
        <w:rPr>
          <w:sz w:val="22"/>
          <w:szCs w:val="22"/>
        </w:rPr>
      </w:pPr>
      <w:r>
        <w:rPr>
          <w:sz w:val="22"/>
          <w:szCs w:val="22"/>
        </w:rPr>
        <w:t>“Bureau” means the Enforcement Bureau of the Federal Communications Commission.</w:t>
      </w:r>
    </w:p>
    <w:p w:rsidR="00176171" w:rsidRDefault="00176171" w:rsidP="008229AA">
      <w:pPr>
        <w:tabs>
          <w:tab w:val="left" w:pos="1890"/>
        </w:tabs>
        <w:ind w:left="1890" w:right="-180" w:hanging="450"/>
        <w:rPr>
          <w:sz w:val="22"/>
          <w:szCs w:val="22"/>
        </w:rPr>
      </w:pPr>
    </w:p>
    <w:p w:rsidR="00176171" w:rsidRDefault="00176171" w:rsidP="008229AA">
      <w:pPr>
        <w:numPr>
          <w:ilvl w:val="0"/>
          <w:numId w:val="3"/>
        </w:numPr>
        <w:tabs>
          <w:tab w:val="clear" w:pos="1872"/>
          <w:tab w:val="left" w:pos="1890"/>
        </w:tabs>
        <w:ind w:left="1890" w:right="-180" w:hanging="450"/>
        <w:rPr>
          <w:sz w:val="22"/>
          <w:szCs w:val="22"/>
        </w:rPr>
      </w:pPr>
      <w:r>
        <w:rPr>
          <w:sz w:val="22"/>
          <w:szCs w:val="22"/>
        </w:rPr>
        <w:t xml:space="preserve">“Commission” and “FCC” mean the Federal Communications Commission and all of its bureaus and offices.  </w:t>
      </w:r>
    </w:p>
    <w:p w:rsidR="00176171" w:rsidRDefault="00176171" w:rsidP="008229AA">
      <w:pPr>
        <w:tabs>
          <w:tab w:val="left" w:pos="1890"/>
        </w:tabs>
        <w:ind w:left="1890" w:right="-180" w:hanging="450"/>
        <w:rPr>
          <w:sz w:val="22"/>
          <w:szCs w:val="22"/>
        </w:rPr>
      </w:pPr>
    </w:p>
    <w:p w:rsidR="00176171" w:rsidRDefault="00176171" w:rsidP="008229AA">
      <w:pPr>
        <w:numPr>
          <w:ilvl w:val="0"/>
          <w:numId w:val="3"/>
        </w:numPr>
        <w:tabs>
          <w:tab w:val="clear" w:pos="1872"/>
          <w:tab w:val="left" w:pos="1890"/>
        </w:tabs>
        <w:ind w:left="1890" w:right="-180" w:hanging="450"/>
        <w:rPr>
          <w:sz w:val="22"/>
          <w:szCs w:val="22"/>
        </w:rPr>
      </w:pPr>
      <w:r>
        <w:rPr>
          <w:sz w:val="22"/>
          <w:szCs w:val="22"/>
        </w:rPr>
        <w:t xml:space="preserve">“Communications Laws” means collectively, the Act, the Rules, and the published and promulgated orders and decisions of the Commission to which </w:t>
      </w:r>
      <w:r w:rsidR="00693E4A" w:rsidRPr="003A6F17">
        <w:rPr>
          <w:sz w:val="22"/>
          <w:szCs w:val="22"/>
        </w:rPr>
        <w:t>AccessLine</w:t>
      </w:r>
      <w:r w:rsidR="00693E4A">
        <w:rPr>
          <w:szCs w:val="22"/>
        </w:rPr>
        <w:t xml:space="preserve"> </w:t>
      </w:r>
      <w:r>
        <w:rPr>
          <w:sz w:val="22"/>
          <w:szCs w:val="22"/>
        </w:rPr>
        <w:t>is subject by virtue of its business activities.</w:t>
      </w:r>
    </w:p>
    <w:p w:rsidR="00176171" w:rsidRDefault="00176171" w:rsidP="008229AA">
      <w:pPr>
        <w:ind w:right="-180"/>
        <w:rPr>
          <w:sz w:val="22"/>
          <w:szCs w:val="22"/>
        </w:rPr>
      </w:pPr>
    </w:p>
    <w:p w:rsidR="00176171" w:rsidRDefault="00176171" w:rsidP="008229AA">
      <w:pPr>
        <w:numPr>
          <w:ilvl w:val="0"/>
          <w:numId w:val="3"/>
        </w:numPr>
        <w:tabs>
          <w:tab w:val="clear" w:pos="1872"/>
          <w:tab w:val="left" w:pos="1890"/>
        </w:tabs>
        <w:ind w:left="1890" w:right="-180" w:hanging="450"/>
        <w:rPr>
          <w:sz w:val="22"/>
          <w:szCs w:val="22"/>
        </w:rPr>
      </w:pPr>
      <w:r>
        <w:rPr>
          <w:sz w:val="22"/>
          <w:szCs w:val="22"/>
        </w:rPr>
        <w:t>“Compliance Plan” means the plan described in this Consent Decree at paragraph</w:t>
      </w:r>
      <w:r w:rsidR="00A6638B">
        <w:rPr>
          <w:sz w:val="22"/>
          <w:szCs w:val="22"/>
        </w:rPr>
        <w:t xml:space="preserve"> </w:t>
      </w:r>
      <w:r w:rsidR="00A6638B">
        <w:rPr>
          <w:sz w:val="22"/>
          <w:szCs w:val="22"/>
        </w:rPr>
        <w:fldChar w:fldCharType="begin"/>
      </w:r>
      <w:r w:rsidR="00A6638B">
        <w:rPr>
          <w:sz w:val="22"/>
          <w:szCs w:val="22"/>
        </w:rPr>
        <w:instrText xml:space="preserve"> REF _Ref358627064 \r \h </w:instrText>
      </w:r>
      <w:r w:rsidR="00A6638B">
        <w:rPr>
          <w:sz w:val="22"/>
          <w:szCs w:val="22"/>
        </w:rPr>
      </w:r>
      <w:r w:rsidR="00A6638B">
        <w:rPr>
          <w:sz w:val="22"/>
          <w:szCs w:val="22"/>
        </w:rPr>
        <w:fldChar w:fldCharType="separate"/>
      </w:r>
      <w:r w:rsidR="00E33FA5">
        <w:rPr>
          <w:sz w:val="22"/>
          <w:szCs w:val="22"/>
        </w:rPr>
        <w:t>13</w:t>
      </w:r>
      <w:r w:rsidR="00A6638B">
        <w:rPr>
          <w:sz w:val="22"/>
          <w:szCs w:val="22"/>
        </w:rPr>
        <w:fldChar w:fldCharType="end"/>
      </w:r>
      <w:r w:rsidR="002E0BBA" w:rsidRPr="00AD4E77">
        <w:rPr>
          <w:sz w:val="22"/>
          <w:szCs w:val="22"/>
        </w:rPr>
        <w:t>.</w:t>
      </w:r>
    </w:p>
    <w:p w:rsidR="00176171" w:rsidRDefault="00176171" w:rsidP="008229AA">
      <w:pPr>
        <w:ind w:right="-180"/>
        <w:rPr>
          <w:sz w:val="22"/>
          <w:szCs w:val="22"/>
        </w:rPr>
      </w:pPr>
    </w:p>
    <w:p w:rsidR="00176171" w:rsidRDefault="00176171" w:rsidP="008229AA">
      <w:pPr>
        <w:numPr>
          <w:ilvl w:val="0"/>
          <w:numId w:val="3"/>
        </w:numPr>
        <w:tabs>
          <w:tab w:val="clear" w:pos="1872"/>
          <w:tab w:val="left" w:pos="1890"/>
        </w:tabs>
        <w:ind w:left="1890" w:right="-180" w:hanging="450"/>
        <w:rPr>
          <w:sz w:val="22"/>
          <w:szCs w:val="22"/>
        </w:rPr>
      </w:pPr>
      <w:r>
        <w:rPr>
          <w:sz w:val="22"/>
          <w:szCs w:val="22"/>
        </w:rPr>
        <w:t xml:space="preserve">“Covered Employees” means all employees and agents of </w:t>
      </w:r>
      <w:r w:rsidR="00693E4A" w:rsidRPr="003A6F17">
        <w:rPr>
          <w:sz w:val="22"/>
          <w:szCs w:val="22"/>
        </w:rPr>
        <w:t>AccessLine</w:t>
      </w:r>
      <w:r w:rsidR="00693E4A">
        <w:rPr>
          <w:szCs w:val="22"/>
        </w:rPr>
        <w:t xml:space="preserve"> </w:t>
      </w:r>
      <w:r>
        <w:rPr>
          <w:sz w:val="22"/>
          <w:szCs w:val="22"/>
        </w:rPr>
        <w:t xml:space="preserve">who perform, or supervise, oversee, or manage the performance of duties that relate to </w:t>
      </w:r>
      <w:r w:rsidR="0045173D" w:rsidRPr="003A6F17">
        <w:rPr>
          <w:sz w:val="22"/>
          <w:szCs w:val="22"/>
        </w:rPr>
        <w:t>AccessLine</w:t>
      </w:r>
      <w:r w:rsidR="00A6638B">
        <w:rPr>
          <w:szCs w:val="22"/>
        </w:rPr>
        <w:t>’s</w:t>
      </w:r>
      <w:r w:rsidR="0045173D">
        <w:rPr>
          <w:szCs w:val="22"/>
        </w:rPr>
        <w:t xml:space="preserve"> </w:t>
      </w:r>
      <w:r>
        <w:rPr>
          <w:sz w:val="22"/>
          <w:szCs w:val="22"/>
        </w:rPr>
        <w:t xml:space="preserve">responsibilities under </w:t>
      </w:r>
      <w:r w:rsidR="00A6638B">
        <w:rPr>
          <w:sz w:val="22"/>
          <w:szCs w:val="22"/>
        </w:rPr>
        <w:t xml:space="preserve">the </w:t>
      </w:r>
      <w:r>
        <w:rPr>
          <w:sz w:val="22"/>
          <w:szCs w:val="22"/>
        </w:rPr>
        <w:t>Section 214 Rules.</w:t>
      </w:r>
    </w:p>
    <w:p w:rsidR="00176171" w:rsidRDefault="00176171" w:rsidP="008229AA">
      <w:pPr>
        <w:tabs>
          <w:tab w:val="left" w:pos="2160"/>
        </w:tabs>
        <w:ind w:right="-180"/>
        <w:rPr>
          <w:sz w:val="22"/>
          <w:szCs w:val="22"/>
        </w:rPr>
      </w:pPr>
    </w:p>
    <w:p w:rsidR="00176171" w:rsidRDefault="00176171" w:rsidP="008229AA">
      <w:pPr>
        <w:numPr>
          <w:ilvl w:val="0"/>
          <w:numId w:val="3"/>
        </w:numPr>
        <w:tabs>
          <w:tab w:val="clear" w:pos="1872"/>
          <w:tab w:val="left" w:pos="1890"/>
        </w:tabs>
        <w:ind w:left="1890" w:right="-180" w:hanging="450"/>
        <w:rPr>
          <w:sz w:val="22"/>
          <w:szCs w:val="22"/>
        </w:rPr>
      </w:pPr>
      <w:r>
        <w:rPr>
          <w:sz w:val="22"/>
          <w:szCs w:val="22"/>
        </w:rPr>
        <w:t>“Effective Date” means the date on which the Commission releases the Adopting Order.</w:t>
      </w:r>
    </w:p>
    <w:p w:rsidR="00176171" w:rsidRDefault="00176171" w:rsidP="008229AA">
      <w:pPr>
        <w:tabs>
          <w:tab w:val="left" w:pos="2160"/>
        </w:tabs>
        <w:ind w:right="-180"/>
        <w:rPr>
          <w:color w:val="000000"/>
          <w:sz w:val="22"/>
          <w:szCs w:val="22"/>
        </w:rPr>
      </w:pPr>
    </w:p>
    <w:p w:rsidR="00176171" w:rsidRDefault="00176171" w:rsidP="008229AA">
      <w:pPr>
        <w:numPr>
          <w:ilvl w:val="0"/>
          <w:numId w:val="3"/>
        </w:numPr>
        <w:tabs>
          <w:tab w:val="clear" w:pos="1872"/>
          <w:tab w:val="left" w:pos="1890"/>
        </w:tabs>
        <w:ind w:left="1890" w:right="-180" w:hanging="450"/>
        <w:rPr>
          <w:sz w:val="22"/>
          <w:szCs w:val="22"/>
        </w:rPr>
      </w:pPr>
      <w:r>
        <w:rPr>
          <w:color w:val="000000"/>
          <w:sz w:val="22"/>
          <w:szCs w:val="22"/>
        </w:rPr>
        <w:t xml:space="preserve">“Investigation” means the investigation commenced by the Bureau </w:t>
      </w:r>
      <w:r w:rsidR="0059779D">
        <w:rPr>
          <w:color w:val="000000"/>
          <w:sz w:val="22"/>
          <w:szCs w:val="22"/>
        </w:rPr>
        <w:t xml:space="preserve">in File No. </w:t>
      </w:r>
      <w:r w:rsidR="0059779D">
        <w:rPr>
          <w:color w:val="151414"/>
          <w:sz w:val="22"/>
          <w:szCs w:val="22"/>
        </w:rPr>
        <w:t>EB</w:t>
      </w:r>
      <w:r w:rsidR="0059779D">
        <w:rPr>
          <w:color w:val="151414"/>
          <w:sz w:val="22"/>
          <w:szCs w:val="22"/>
        </w:rPr>
        <w:noBreakHyphen/>
        <w:t>13</w:t>
      </w:r>
      <w:r w:rsidR="0059779D">
        <w:rPr>
          <w:color w:val="151414"/>
          <w:sz w:val="22"/>
          <w:szCs w:val="22"/>
        </w:rPr>
        <w:noBreakHyphen/>
        <w:t>IH</w:t>
      </w:r>
      <w:r w:rsidR="0059779D">
        <w:rPr>
          <w:color w:val="151414"/>
          <w:sz w:val="22"/>
          <w:szCs w:val="22"/>
        </w:rPr>
        <w:noBreakHyphen/>
        <w:t xml:space="preserve">0280 </w:t>
      </w:r>
      <w:r>
        <w:rPr>
          <w:color w:val="000000"/>
          <w:sz w:val="22"/>
          <w:szCs w:val="22"/>
        </w:rPr>
        <w:t xml:space="preserve">regarding </w:t>
      </w:r>
      <w:r w:rsidR="0059779D">
        <w:rPr>
          <w:color w:val="000000"/>
          <w:sz w:val="22"/>
          <w:szCs w:val="22"/>
        </w:rPr>
        <w:t xml:space="preserve">AccessLine’s </w:t>
      </w:r>
      <w:r>
        <w:rPr>
          <w:color w:val="000000"/>
          <w:sz w:val="22"/>
          <w:szCs w:val="22"/>
        </w:rPr>
        <w:t xml:space="preserve">compliance with </w:t>
      </w:r>
      <w:r w:rsidR="0059779D">
        <w:rPr>
          <w:color w:val="000000"/>
          <w:sz w:val="22"/>
          <w:szCs w:val="22"/>
        </w:rPr>
        <w:t xml:space="preserve">the </w:t>
      </w:r>
      <w:r>
        <w:rPr>
          <w:sz w:val="22"/>
          <w:szCs w:val="22"/>
        </w:rPr>
        <w:t xml:space="preserve">Section 214 </w:t>
      </w:r>
      <w:r w:rsidR="0059779D">
        <w:rPr>
          <w:sz w:val="22"/>
          <w:szCs w:val="22"/>
        </w:rPr>
        <w:t>Rules.</w:t>
      </w:r>
    </w:p>
    <w:p w:rsidR="00176171" w:rsidRDefault="00176171" w:rsidP="008229AA">
      <w:pPr>
        <w:tabs>
          <w:tab w:val="left" w:pos="2160"/>
        </w:tabs>
        <w:ind w:right="-180"/>
        <w:rPr>
          <w:sz w:val="22"/>
          <w:szCs w:val="22"/>
        </w:rPr>
      </w:pPr>
    </w:p>
    <w:p w:rsidR="00176171" w:rsidRDefault="00176171" w:rsidP="008229AA">
      <w:pPr>
        <w:numPr>
          <w:ilvl w:val="0"/>
          <w:numId w:val="3"/>
        </w:numPr>
        <w:tabs>
          <w:tab w:val="left" w:pos="1440"/>
        </w:tabs>
        <w:ind w:right="-180"/>
        <w:rPr>
          <w:sz w:val="22"/>
          <w:szCs w:val="22"/>
        </w:rPr>
      </w:pPr>
      <w:r>
        <w:rPr>
          <w:sz w:val="22"/>
          <w:szCs w:val="22"/>
        </w:rPr>
        <w:t xml:space="preserve">“Operating Procedures” means the standard, internal operating procedures and compliance policies established by </w:t>
      </w:r>
      <w:r w:rsidR="00693E4A" w:rsidRPr="003A6F17">
        <w:rPr>
          <w:sz w:val="22"/>
          <w:szCs w:val="22"/>
        </w:rPr>
        <w:t>AccessLine</w:t>
      </w:r>
      <w:r w:rsidR="00693E4A" w:rsidDel="00693E4A">
        <w:rPr>
          <w:sz w:val="22"/>
          <w:szCs w:val="22"/>
        </w:rPr>
        <w:t xml:space="preserve"> </w:t>
      </w:r>
      <w:r>
        <w:rPr>
          <w:sz w:val="22"/>
          <w:szCs w:val="22"/>
        </w:rPr>
        <w:t>to implement the Compliance Plan.</w:t>
      </w:r>
    </w:p>
    <w:p w:rsidR="00176171" w:rsidRDefault="00176171" w:rsidP="008229AA">
      <w:pPr>
        <w:tabs>
          <w:tab w:val="left" w:pos="2160"/>
        </w:tabs>
        <w:ind w:right="-180"/>
        <w:rPr>
          <w:sz w:val="22"/>
          <w:szCs w:val="22"/>
        </w:rPr>
      </w:pPr>
    </w:p>
    <w:p w:rsidR="00176171" w:rsidRDefault="00176171" w:rsidP="008229AA">
      <w:pPr>
        <w:numPr>
          <w:ilvl w:val="0"/>
          <w:numId w:val="3"/>
        </w:numPr>
        <w:tabs>
          <w:tab w:val="left" w:pos="2160"/>
        </w:tabs>
        <w:ind w:left="2160" w:right="-180" w:hanging="720"/>
        <w:rPr>
          <w:sz w:val="22"/>
          <w:szCs w:val="22"/>
        </w:rPr>
      </w:pPr>
      <w:r>
        <w:rPr>
          <w:sz w:val="22"/>
          <w:szCs w:val="22"/>
        </w:rPr>
        <w:t xml:space="preserve">“Parties” means </w:t>
      </w:r>
      <w:r w:rsidR="00693E4A" w:rsidRPr="003A6F17">
        <w:rPr>
          <w:sz w:val="22"/>
          <w:szCs w:val="22"/>
        </w:rPr>
        <w:t>AccessLine</w:t>
      </w:r>
      <w:r w:rsidR="00B16C7D">
        <w:rPr>
          <w:szCs w:val="22"/>
        </w:rPr>
        <w:t xml:space="preserve"> </w:t>
      </w:r>
      <w:r>
        <w:rPr>
          <w:sz w:val="22"/>
          <w:szCs w:val="22"/>
        </w:rPr>
        <w:t>and the Bureau, each of which is a “Party.”</w:t>
      </w:r>
    </w:p>
    <w:p w:rsidR="00176171" w:rsidRDefault="00176171" w:rsidP="008229AA">
      <w:pPr>
        <w:tabs>
          <w:tab w:val="left" w:pos="2160"/>
        </w:tabs>
        <w:ind w:right="-180"/>
        <w:rPr>
          <w:sz w:val="22"/>
          <w:szCs w:val="22"/>
        </w:rPr>
      </w:pPr>
    </w:p>
    <w:p w:rsidR="00176171" w:rsidRDefault="00176171" w:rsidP="008229AA">
      <w:pPr>
        <w:numPr>
          <w:ilvl w:val="0"/>
          <w:numId w:val="3"/>
        </w:numPr>
        <w:tabs>
          <w:tab w:val="clear" w:pos="1872"/>
          <w:tab w:val="left" w:pos="1890"/>
          <w:tab w:val="left" w:pos="2160"/>
        </w:tabs>
        <w:ind w:left="1890" w:right="-180" w:hanging="450"/>
        <w:rPr>
          <w:sz w:val="22"/>
          <w:szCs w:val="22"/>
        </w:rPr>
      </w:pPr>
      <w:r>
        <w:rPr>
          <w:sz w:val="22"/>
          <w:szCs w:val="22"/>
        </w:rPr>
        <w:t>“Rules” means the Commission’s regulations found in Title 47 of the Code of Federal Regulations.</w:t>
      </w:r>
    </w:p>
    <w:p w:rsidR="00176171" w:rsidRDefault="00176171" w:rsidP="008229AA">
      <w:pPr>
        <w:tabs>
          <w:tab w:val="left" w:pos="2160"/>
        </w:tabs>
        <w:ind w:right="-180"/>
        <w:rPr>
          <w:sz w:val="22"/>
          <w:szCs w:val="22"/>
        </w:rPr>
      </w:pPr>
    </w:p>
    <w:p w:rsidR="00176171" w:rsidRDefault="00176171" w:rsidP="008229AA">
      <w:pPr>
        <w:numPr>
          <w:ilvl w:val="0"/>
          <w:numId w:val="3"/>
        </w:numPr>
        <w:tabs>
          <w:tab w:val="clear" w:pos="1872"/>
          <w:tab w:val="left" w:pos="1890"/>
          <w:tab w:val="left" w:pos="2160"/>
        </w:tabs>
        <w:ind w:left="1890" w:right="-180" w:hanging="450"/>
        <w:rPr>
          <w:sz w:val="22"/>
          <w:szCs w:val="22"/>
        </w:rPr>
      </w:pPr>
      <w:r>
        <w:rPr>
          <w:sz w:val="22"/>
          <w:szCs w:val="22"/>
        </w:rPr>
        <w:t>“Section 214 Rules” means Section 214 of the Act and other Communications Laws governing the construction, acquisition, or operation of lines of communication, including any Rules implementing Section 214 and any related Commission orders.</w:t>
      </w:r>
    </w:p>
    <w:p w:rsidR="00176171" w:rsidRDefault="00176171" w:rsidP="008229AA">
      <w:pPr>
        <w:tabs>
          <w:tab w:val="left" w:pos="2160"/>
        </w:tabs>
        <w:ind w:right="-180"/>
        <w:rPr>
          <w:sz w:val="22"/>
          <w:szCs w:val="22"/>
        </w:rPr>
      </w:pPr>
    </w:p>
    <w:p w:rsidR="00176171" w:rsidRDefault="00176171" w:rsidP="008229AA">
      <w:pPr>
        <w:keepNext/>
        <w:tabs>
          <w:tab w:val="left" w:pos="720"/>
        </w:tabs>
        <w:ind w:right="-180"/>
        <w:rPr>
          <w:b/>
          <w:sz w:val="22"/>
          <w:szCs w:val="22"/>
        </w:rPr>
      </w:pPr>
      <w:r>
        <w:rPr>
          <w:b/>
          <w:sz w:val="22"/>
          <w:szCs w:val="22"/>
        </w:rPr>
        <w:t>II.</w:t>
      </w:r>
      <w:r>
        <w:rPr>
          <w:b/>
          <w:sz w:val="22"/>
          <w:szCs w:val="22"/>
        </w:rPr>
        <w:tab/>
        <w:t>BACKGROUND</w:t>
      </w:r>
    </w:p>
    <w:p w:rsidR="00176171" w:rsidRDefault="00176171" w:rsidP="008229AA">
      <w:pPr>
        <w:keepNext/>
        <w:tabs>
          <w:tab w:val="left" w:pos="720"/>
        </w:tabs>
        <w:ind w:right="-180"/>
        <w:rPr>
          <w:b/>
          <w:sz w:val="22"/>
          <w:szCs w:val="22"/>
        </w:rPr>
      </w:pPr>
    </w:p>
    <w:p w:rsidR="00176171" w:rsidRDefault="00176171" w:rsidP="008229AA">
      <w:pPr>
        <w:pStyle w:val="par1"/>
        <w:ind w:right="-180"/>
        <w:rPr>
          <w:szCs w:val="22"/>
        </w:rPr>
      </w:pPr>
      <w:bookmarkStart w:id="3" w:name="_Ref132103165"/>
      <w:r>
        <w:rPr>
          <w:szCs w:val="22"/>
        </w:rPr>
        <w:t>Section 214 of the Act requires telecommunications carriers to obtain a certificate of public convenience and necessity from the Commission before constructing, acquiring, operating, or engaging in transmission over lines of communications, and before discontinuing, reducing, or impairing service to a community.</w:t>
      </w:r>
      <w:r>
        <w:rPr>
          <w:rStyle w:val="FootnoteReference"/>
          <w:sz w:val="22"/>
          <w:szCs w:val="22"/>
        </w:rPr>
        <w:footnoteReference w:id="7"/>
      </w:r>
      <w:r>
        <w:rPr>
          <w:szCs w:val="22"/>
        </w:rPr>
        <w:t xml:space="preserve">  In accordance with Sections 63.03 and 63.24 of the Rules, any “substantial” transfer of control of a carrier’s lines or of Section 214 authority requires application to and prior approval from the Commission.</w:t>
      </w:r>
      <w:r>
        <w:rPr>
          <w:rStyle w:val="FootnoteReference"/>
          <w:sz w:val="22"/>
          <w:szCs w:val="22"/>
        </w:rPr>
        <w:footnoteReference w:id="8"/>
      </w:r>
      <w:r>
        <w:rPr>
          <w:szCs w:val="22"/>
        </w:rPr>
        <w:t xml:space="preserve">  Sections 63.04 and 63.18 of the Rules set forth the information that must be included in the domestic and international transfer of control applications.</w:t>
      </w:r>
      <w:r>
        <w:rPr>
          <w:rStyle w:val="FootnoteReference"/>
          <w:sz w:val="22"/>
          <w:szCs w:val="22"/>
        </w:rPr>
        <w:footnoteReference w:id="9"/>
      </w:r>
      <w:r>
        <w:rPr>
          <w:szCs w:val="22"/>
        </w:rPr>
        <w:t xml:space="preserve">  </w:t>
      </w:r>
    </w:p>
    <w:p w:rsidR="00176171" w:rsidRDefault="00176171" w:rsidP="008229AA">
      <w:pPr>
        <w:pStyle w:val="par1"/>
        <w:numPr>
          <w:ilvl w:val="0"/>
          <w:numId w:val="0"/>
        </w:numPr>
        <w:ind w:right="-180"/>
        <w:rPr>
          <w:szCs w:val="22"/>
        </w:rPr>
      </w:pPr>
    </w:p>
    <w:bookmarkEnd w:id="3"/>
    <w:p w:rsidR="004D0739" w:rsidRPr="00B44117" w:rsidRDefault="00B44117" w:rsidP="008229AA">
      <w:pPr>
        <w:pStyle w:val="par1"/>
        <w:ind w:right="-180"/>
        <w:rPr>
          <w:szCs w:val="22"/>
        </w:rPr>
      </w:pPr>
      <w:r>
        <w:rPr>
          <w:szCs w:val="22"/>
        </w:rPr>
        <w:t>A</w:t>
      </w:r>
      <w:r w:rsidR="00B539A8" w:rsidRPr="00B44117">
        <w:rPr>
          <w:szCs w:val="22"/>
        </w:rPr>
        <w:t>ccessLine holds</w:t>
      </w:r>
      <w:r w:rsidR="009B2B4B" w:rsidRPr="00B44117">
        <w:rPr>
          <w:szCs w:val="22"/>
        </w:rPr>
        <w:t xml:space="preserve"> blanket </w:t>
      </w:r>
      <w:r w:rsidR="00B539A8" w:rsidRPr="00B44117">
        <w:rPr>
          <w:szCs w:val="22"/>
        </w:rPr>
        <w:t xml:space="preserve">domestic </w:t>
      </w:r>
      <w:r w:rsidR="009B2B4B" w:rsidRPr="00B44117">
        <w:rPr>
          <w:szCs w:val="22"/>
        </w:rPr>
        <w:t xml:space="preserve">Section 214 authority </w:t>
      </w:r>
      <w:r w:rsidR="00B539A8" w:rsidRPr="00B44117">
        <w:rPr>
          <w:szCs w:val="22"/>
        </w:rPr>
        <w:t xml:space="preserve">and </w:t>
      </w:r>
      <w:r w:rsidR="009B2B4B" w:rsidRPr="00B44117">
        <w:rPr>
          <w:szCs w:val="22"/>
        </w:rPr>
        <w:t xml:space="preserve">was granted </w:t>
      </w:r>
      <w:r w:rsidR="00B539A8" w:rsidRPr="00B44117">
        <w:rPr>
          <w:szCs w:val="22"/>
        </w:rPr>
        <w:t>international Section 214 authori</w:t>
      </w:r>
      <w:r w:rsidR="009B2B4B" w:rsidRPr="00B44117">
        <w:rPr>
          <w:szCs w:val="22"/>
        </w:rPr>
        <w:t>ty on</w:t>
      </w:r>
      <w:r w:rsidR="00164ADC" w:rsidRPr="00B44117">
        <w:rPr>
          <w:szCs w:val="22"/>
        </w:rPr>
        <w:t xml:space="preserve"> </w:t>
      </w:r>
      <w:r w:rsidR="0045702C">
        <w:rPr>
          <w:szCs w:val="22"/>
        </w:rPr>
        <w:t>December 9, 1998</w:t>
      </w:r>
      <w:r w:rsidR="00330ACE" w:rsidRPr="00B44117">
        <w:rPr>
          <w:szCs w:val="22"/>
        </w:rPr>
        <w:t>.</w:t>
      </w:r>
      <w:r w:rsidR="00E65988">
        <w:rPr>
          <w:rStyle w:val="FootnoteReference"/>
          <w:szCs w:val="22"/>
        </w:rPr>
        <w:footnoteReference w:id="10"/>
      </w:r>
      <w:r w:rsidR="00330ACE" w:rsidRPr="00B44117">
        <w:rPr>
          <w:szCs w:val="22"/>
        </w:rPr>
        <w:t xml:space="preserve">  The Company provides facilities-based </w:t>
      </w:r>
      <w:r w:rsidR="00473434">
        <w:rPr>
          <w:szCs w:val="22"/>
        </w:rPr>
        <w:t xml:space="preserve">and </w:t>
      </w:r>
      <w:r w:rsidR="00473434" w:rsidRPr="00B44117">
        <w:rPr>
          <w:szCs w:val="22"/>
        </w:rPr>
        <w:t xml:space="preserve">resold </w:t>
      </w:r>
      <w:r w:rsidR="00330ACE" w:rsidRPr="00B44117">
        <w:rPr>
          <w:szCs w:val="22"/>
        </w:rPr>
        <w:t>long distance ser</w:t>
      </w:r>
      <w:r w:rsidR="00473434">
        <w:rPr>
          <w:szCs w:val="22"/>
        </w:rPr>
        <w:t>vic</w:t>
      </w:r>
      <w:r w:rsidR="008434C8">
        <w:rPr>
          <w:szCs w:val="22"/>
        </w:rPr>
        <w:t>es</w:t>
      </w:r>
      <w:r w:rsidR="00330ACE" w:rsidRPr="00B44117">
        <w:rPr>
          <w:szCs w:val="22"/>
        </w:rPr>
        <w:t xml:space="preserve"> </w:t>
      </w:r>
      <w:r w:rsidR="00B91347">
        <w:rPr>
          <w:szCs w:val="22"/>
        </w:rPr>
        <w:t>throughout the United States</w:t>
      </w:r>
      <w:r w:rsidR="00330ACE" w:rsidRPr="00B44117">
        <w:rPr>
          <w:szCs w:val="22"/>
        </w:rPr>
        <w:t>.</w:t>
      </w:r>
      <w:r w:rsidR="00330ACE">
        <w:rPr>
          <w:rStyle w:val="FootnoteReference"/>
          <w:sz w:val="22"/>
          <w:szCs w:val="22"/>
        </w:rPr>
        <w:footnoteReference w:id="11"/>
      </w:r>
      <w:r w:rsidR="00330ACE" w:rsidRPr="00B44117">
        <w:rPr>
          <w:szCs w:val="22"/>
        </w:rPr>
        <w:t xml:space="preserve"> </w:t>
      </w:r>
      <w:r w:rsidR="004B4F1E" w:rsidRPr="00B44117">
        <w:rPr>
          <w:szCs w:val="22"/>
        </w:rPr>
        <w:t xml:space="preserve"> AccessLine</w:t>
      </w:r>
      <w:r w:rsidR="00330ACE" w:rsidRPr="00B44117">
        <w:rPr>
          <w:szCs w:val="22"/>
        </w:rPr>
        <w:t xml:space="preserve"> </w:t>
      </w:r>
      <w:r w:rsidR="00164ADC" w:rsidRPr="00B44117">
        <w:rPr>
          <w:szCs w:val="22"/>
        </w:rPr>
        <w:t>is directly controlled by AccessLine Holdings, Inc. (AccessLine Holdings)</w:t>
      </w:r>
      <w:r w:rsidR="00396F79" w:rsidRPr="00B44117">
        <w:rPr>
          <w:szCs w:val="22"/>
        </w:rPr>
        <w:t xml:space="preserve"> and indirectly controlled by Telanetix, Inc. (Telanetix)</w:t>
      </w:r>
      <w:r w:rsidR="00164ADC" w:rsidRPr="00B44117">
        <w:rPr>
          <w:szCs w:val="22"/>
        </w:rPr>
        <w:t>.</w:t>
      </w:r>
      <w:r w:rsidR="0020172B">
        <w:rPr>
          <w:rStyle w:val="FootnoteReference"/>
          <w:szCs w:val="22"/>
        </w:rPr>
        <w:footnoteReference w:id="12"/>
      </w:r>
      <w:r w:rsidR="00164ADC" w:rsidRPr="00B44117">
        <w:rPr>
          <w:szCs w:val="22"/>
        </w:rPr>
        <w:t xml:space="preserve"> </w:t>
      </w:r>
      <w:r w:rsidR="004B4F1E" w:rsidRPr="00B44117">
        <w:rPr>
          <w:szCs w:val="22"/>
        </w:rPr>
        <w:t xml:space="preserve"> </w:t>
      </w:r>
      <w:r w:rsidR="00B539A8" w:rsidRPr="00B44117">
        <w:rPr>
          <w:szCs w:val="22"/>
        </w:rPr>
        <w:t>Telanetix</w:t>
      </w:r>
      <w:r w:rsidR="00164ADC" w:rsidRPr="00B44117">
        <w:rPr>
          <w:szCs w:val="22"/>
        </w:rPr>
        <w:t xml:space="preserve"> is publicly traded on the OTC Bulletin Board.</w:t>
      </w:r>
      <w:r w:rsidR="0020172B">
        <w:rPr>
          <w:rStyle w:val="FootnoteReference"/>
          <w:szCs w:val="22"/>
        </w:rPr>
        <w:footnoteReference w:id="13"/>
      </w:r>
    </w:p>
    <w:p w:rsidR="00B44117" w:rsidRDefault="00B44117" w:rsidP="008229AA">
      <w:pPr>
        <w:pStyle w:val="par1"/>
        <w:numPr>
          <w:ilvl w:val="0"/>
          <w:numId w:val="0"/>
        </w:numPr>
        <w:ind w:left="720" w:right="-180"/>
        <w:rPr>
          <w:szCs w:val="22"/>
        </w:rPr>
      </w:pPr>
    </w:p>
    <w:p w:rsidR="00176171" w:rsidRPr="00A47F68" w:rsidRDefault="00B539A8" w:rsidP="008229AA">
      <w:pPr>
        <w:pStyle w:val="par1"/>
        <w:ind w:right="-180"/>
        <w:rPr>
          <w:szCs w:val="22"/>
        </w:rPr>
      </w:pPr>
      <w:r w:rsidRPr="00A47F68">
        <w:rPr>
          <w:szCs w:val="22"/>
        </w:rPr>
        <w:t xml:space="preserve">On June 30, 2010, Telanetix </w:t>
      </w:r>
      <w:r w:rsidR="00B96DB3" w:rsidRPr="00A47F68">
        <w:rPr>
          <w:szCs w:val="22"/>
        </w:rPr>
        <w:t>and HCP</w:t>
      </w:r>
      <w:r w:rsidR="00B96DB3" w:rsidRPr="00A47F68">
        <w:rPr>
          <w:szCs w:val="22"/>
        </w:rPr>
        <w:noBreakHyphen/>
        <w:t xml:space="preserve">TELA, LLC (HCPT) </w:t>
      </w:r>
      <w:r w:rsidRPr="00A47F68">
        <w:rPr>
          <w:szCs w:val="22"/>
        </w:rPr>
        <w:t xml:space="preserve">entered </w:t>
      </w:r>
      <w:r w:rsidR="00DC235D" w:rsidRPr="00A47F68">
        <w:rPr>
          <w:szCs w:val="22"/>
        </w:rPr>
        <w:t xml:space="preserve">into </w:t>
      </w:r>
      <w:r w:rsidRPr="00A47F68">
        <w:rPr>
          <w:szCs w:val="22"/>
        </w:rPr>
        <w:t xml:space="preserve">a security purchase agreement </w:t>
      </w:r>
      <w:r w:rsidR="002B50ED" w:rsidRPr="00A47F68">
        <w:rPr>
          <w:szCs w:val="22"/>
        </w:rPr>
        <w:t>by which Telanetix agreed to issue</w:t>
      </w:r>
      <w:r w:rsidR="00DE4325" w:rsidRPr="00A47F68">
        <w:rPr>
          <w:szCs w:val="22"/>
        </w:rPr>
        <w:t xml:space="preserve"> </w:t>
      </w:r>
      <w:r w:rsidR="002B50ED" w:rsidRPr="00A47F68">
        <w:rPr>
          <w:szCs w:val="22"/>
        </w:rPr>
        <w:t xml:space="preserve">secured notes and common stock </w:t>
      </w:r>
      <w:r w:rsidR="00DE4325" w:rsidRPr="00A47F68">
        <w:rPr>
          <w:szCs w:val="22"/>
        </w:rPr>
        <w:t xml:space="preserve">sufficient to give </w:t>
      </w:r>
      <w:r w:rsidR="00FA5F7D" w:rsidRPr="00A47F68">
        <w:rPr>
          <w:szCs w:val="22"/>
        </w:rPr>
        <w:t>HCPT</w:t>
      </w:r>
      <w:r w:rsidR="00DE4325" w:rsidRPr="00A47F68">
        <w:rPr>
          <w:szCs w:val="22"/>
        </w:rPr>
        <w:t xml:space="preserve"> a</w:t>
      </w:r>
      <w:r w:rsidR="00B96DB3" w:rsidRPr="00A47F68">
        <w:rPr>
          <w:szCs w:val="22"/>
        </w:rPr>
        <w:t xml:space="preserve"> </w:t>
      </w:r>
      <w:r w:rsidR="002B50ED" w:rsidRPr="00A47F68">
        <w:rPr>
          <w:szCs w:val="22"/>
        </w:rPr>
        <w:t xml:space="preserve">55 percent </w:t>
      </w:r>
      <w:r w:rsidR="00DE4325" w:rsidRPr="00A47F68">
        <w:rPr>
          <w:szCs w:val="22"/>
        </w:rPr>
        <w:t>ownership interest in Telanetix.</w:t>
      </w:r>
      <w:r w:rsidR="0020172B">
        <w:rPr>
          <w:rStyle w:val="FootnoteReference"/>
          <w:szCs w:val="22"/>
        </w:rPr>
        <w:footnoteReference w:id="14"/>
      </w:r>
      <w:r w:rsidR="00403731" w:rsidRPr="00A47F68">
        <w:rPr>
          <w:szCs w:val="22"/>
        </w:rPr>
        <w:t xml:space="preserve">  </w:t>
      </w:r>
      <w:r w:rsidR="00164ADC" w:rsidRPr="00A47F68">
        <w:rPr>
          <w:szCs w:val="22"/>
        </w:rPr>
        <w:t>O</w:t>
      </w:r>
      <w:r w:rsidRPr="00A47F68">
        <w:rPr>
          <w:szCs w:val="22"/>
        </w:rPr>
        <w:t>n July 2, 2010</w:t>
      </w:r>
      <w:r w:rsidR="00164ADC" w:rsidRPr="00A47F68">
        <w:rPr>
          <w:szCs w:val="22"/>
        </w:rPr>
        <w:t>,</w:t>
      </w:r>
      <w:r w:rsidR="00D55925">
        <w:rPr>
          <w:szCs w:val="22"/>
        </w:rPr>
        <w:t xml:space="preserve"> </w:t>
      </w:r>
      <w:r w:rsidR="002972B9" w:rsidRPr="00A47F68">
        <w:rPr>
          <w:szCs w:val="22"/>
        </w:rPr>
        <w:t xml:space="preserve">Telanetix </w:t>
      </w:r>
      <w:r w:rsidR="00D55925">
        <w:rPr>
          <w:szCs w:val="22"/>
        </w:rPr>
        <w:t xml:space="preserve">issued the notes to </w:t>
      </w:r>
      <w:r w:rsidR="00B97B80">
        <w:rPr>
          <w:szCs w:val="22"/>
        </w:rPr>
        <w:t>HCPT</w:t>
      </w:r>
      <w:r w:rsidR="00D55925">
        <w:rPr>
          <w:szCs w:val="22"/>
        </w:rPr>
        <w:t xml:space="preserve">; on that date and on September 2, 2010, Telanetix issued the common stock to </w:t>
      </w:r>
      <w:r w:rsidR="00B97B80">
        <w:rPr>
          <w:szCs w:val="22"/>
        </w:rPr>
        <w:t>HCPT</w:t>
      </w:r>
      <w:r w:rsidR="00D55925">
        <w:rPr>
          <w:szCs w:val="22"/>
        </w:rPr>
        <w:t>.</w:t>
      </w:r>
      <w:r w:rsidR="00D55925">
        <w:rPr>
          <w:rStyle w:val="FootnoteReference"/>
          <w:szCs w:val="22"/>
        </w:rPr>
        <w:footnoteReference w:id="15"/>
      </w:r>
      <w:r w:rsidR="00D55925">
        <w:rPr>
          <w:szCs w:val="22"/>
        </w:rPr>
        <w:t xml:space="preserve">  </w:t>
      </w:r>
      <w:r w:rsidR="00A33DB2">
        <w:rPr>
          <w:szCs w:val="22"/>
        </w:rPr>
        <w:t xml:space="preserve">As a </w:t>
      </w:r>
      <w:r w:rsidR="004B4F1E" w:rsidRPr="00A47F68">
        <w:rPr>
          <w:szCs w:val="22"/>
        </w:rPr>
        <w:t xml:space="preserve">result </w:t>
      </w:r>
      <w:r w:rsidR="00A33DB2">
        <w:rPr>
          <w:szCs w:val="22"/>
        </w:rPr>
        <w:t xml:space="preserve">of these transactions, </w:t>
      </w:r>
      <w:r w:rsidR="004B4F1E" w:rsidRPr="00A47F68">
        <w:rPr>
          <w:szCs w:val="22"/>
        </w:rPr>
        <w:t>HCPT acquired direct control of Telanetix and indirect control over AccessLine Holdings and AccessLine.</w:t>
      </w:r>
      <w:r w:rsidR="003B32B0">
        <w:rPr>
          <w:rStyle w:val="FootnoteReference"/>
          <w:szCs w:val="22"/>
        </w:rPr>
        <w:footnoteReference w:id="16"/>
      </w:r>
      <w:r w:rsidR="004B4F1E" w:rsidRPr="00A47F68">
        <w:rPr>
          <w:szCs w:val="22"/>
        </w:rPr>
        <w:t xml:space="preserve">  Consequently, there was a substantial transfer of control of </w:t>
      </w:r>
      <w:r w:rsidR="00357504" w:rsidRPr="00A47F68">
        <w:rPr>
          <w:szCs w:val="22"/>
        </w:rPr>
        <w:t xml:space="preserve">the </w:t>
      </w:r>
      <w:r w:rsidR="004B4F1E" w:rsidRPr="00A47F68">
        <w:rPr>
          <w:szCs w:val="22"/>
        </w:rPr>
        <w:t>domestic and international Section 214 authority</w:t>
      </w:r>
      <w:r w:rsidR="00357504" w:rsidRPr="00A47F68">
        <w:rPr>
          <w:szCs w:val="22"/>
        </w:rPr>
        <w:t xml:space="preserve"> held by AccessLine</w:t>
      </w:r>
      <w:r w:rsidR="004B4F1E" w:rsidRPr="00A47F68">
        <w:rPr>
          <w:szCs w:val="22"/>
        </w:rPr>
        <w:t xml:space="preserve"> from Telanetix to HCPT. </w:t>
      </w:r>
    </w:p>
    <w:p w:rsidR="002576DA" w:rsidRDefault="002576DA" w:rsidP="008229AA">
      <w:pPr>
        <w:pStyle w:val="par1"/>
        <w:numPr>
          <w:ilvl w:val="0"/>
          <w:numId w:val="0"/>
        </w:numPr>
        <w:ind w:right="-180"/>
        <w:rPr>
          <w:szCs w:val="22"/>
        </w:rPr>
      </w:pPr>
    </w:p>
    <w:p w:rsidR="003C3CD2" w:rsidRDefault="003C3CD2" w:rsidP="008229AA">
      <w:pPr>
        <w:pStyle w:val="par1"/>
        <w:ind w:right="-180"/>
        <w:rPr>
          <w:szCs w:val="22"/>
        </w:rPr>
      </w:pPr>
      <w:r>
        <w:rPr>
          <w:szCs w:val="22"/>
        </w:rPr>
        <w:t>Beginning in January 2013, AccessLine</w:t>
      </w:r>
      <w:r w:rsidR="003D4321">
        <w:rPr>
          <w:szCs w:val="22"/>
        </w:rPr>
        <w:t xml:space="preserve"> </w:t>
      </w:r>
      <w:r w:rsidR="00C418A3">
        <w:rPr>
          <w:szCs w:val="22"/>
        </w:rPr>
        <w:t xml:space="preserve">and Telanetix </w:t>
      </w:r>
      <w:r>
        <w:rPr>
          <w:szCs w:val="22"/>
        </w:rPr>
        <w:t>filed a series of applications to rectify its prior failure to obtain Commission consent to the substantial transfers of control described above.</w:t>
      </w:r>
    </w:p>
    <w:p w:rsidR="002C299C" w:rsidRDefault="002C299C" w:rsidP="008229AA">
      <w:pPr>
        <w:pStyle w:val="par1"/>
        <w:numPr>
          <w:ilvl w:val="0"/>
          <w:numId w:val="0"/>
        </w:numPr>
        <w:ind w:right="-180"/>
        <w:rPr>
          <w:szCs w:val="22"/>
        </w:rPr>
      </w:pPr>
    </w:p>
    <w:p w:rsidR="002C3424" w:rsidRDefault="00964FB3" w:rsidP="00A440AD">
      <w:pPr>
        <w:pStyle w:val="par1"/>
        <w:numPr>
          <w:ilvl w:val="0"/>
          <w:numId w:val="12"/>
        </w:numPr>
        <w:ind w:right="-180"/>
        <w:rPr>
          <w:szCs w:val="22"/>
        </w:rPr>
      </w:pPr>
      <w:r w:rsidRPr="00C418A3">
        <w:rPr>
          <w:szCs w:val="22"/>
        </w:rPr>
        <w:t xml:space="preserve">On January 28, 2013, </w:t>
      </w:r>
      <w:r w:rsidRPr="00211A61">
        <w:rPr>
          <w:szCs w:val="22"/>
        </w:rPr>
        <w:t xml:space="preserve">AccessLine </w:t>
      </w:r>
      <w:r w:rsidR="00C418A3" w:rsidRPr="008C73C6">
        <w:rPr>
          <w:szCs w:val="22"/>
        </w:rPr>
        <w:t xml:space="preserve">and Telanetix </w:t>
      </w:r>
      <w:r w:rsidRPr="00827CC1">
        <w:rPr>
          <w:szCs w:val="22"/>
        </w:rPr>
        <w:t xml:space="preserve">filed a request for Special Temporary Authority (STA) </w:t>
      </w:r>
      <w:r w:rsidR="003C3CD2" w:rsidRPr="00827CC1">
        <w:rPr>
          <w:szCs w:val="22"/>
        </w:rPr>
        <w:t>with the Commission’s International Bureau (IB)</w:t>
      </w:r>
      <w:r w:rsidR="002C3424" w:rsidRPr="006055D2">
        <w:rPr>
          <w:szCs w:val="22"/>
        </w:rPr>
        <w:t xml:space="preserve"> </w:t>
      </w:r>
      <w:r w:rsidR="00B265D6" w:rsidRPr="006055D2">
        <w:rPr>
          <w:szCs w:val="22"/>
        </w:rPr>
        <w:t xml:space="preserve">to continue </w:t>
      </w:r>
      <w:r w:rsidRPr="006055D2">
        <w:rPr>
          <w:szCs w:val="22"/>
        </w:rPr>
        <w:t xml:space="preserve">international </w:t>
      </w:r>
      <w:r w:rsidR="007B4E6A" w:rsidRPr="006055D2">
        <w:rPr>
          <w:szCs w:val="22"/>
        </w:rPr>
        <w:t xml:space="preserve">telecommunications </w:t>
      </w:r>
      <w:r w:rsidRPr="006055D2">
        <w:rPr>
          <w:szCs w:val="22"/>
        </w:rPr>
        <w:t>service p</w:t>
      </w:r>
      <w:r w:rsidR="00B265D6" w:rsidRPr="006055D2">
        <w:rPr>
          <w:szCs w:val="22"/>
        </w:rPr>
        <w:t>e</w:t>
      </w:r>
      <w:r w:rsidRPr="006055D2">
        <w:rPr>
          <w:szCs w:val="22"/>
        </w:rPr>
        <w:t>nding</w:t>
      </w:r>
      <w:r w:rsidR="00B265D6" w:rsidRPr="006055D2">
        <w:rPr>
          <w:szCs w:val="22"/>
        </w:rPr>
        <w:t xml:space="preserve"> </w:t>
      </w:r>
      <w:r w:rsidR="003C3CD2" w:rsidRPr="006055D2">
        <w:rPr>
          <w:szCs w:val="22"/>
        </w:rPr>
        <w:t xml:space="preserve">IB </w:t>
      </w:r>
      <w:r w:rsidR="00B265D6" w:rsidRPr="006055D2">
        <w:rPr>
          <w:szCs w:val="22"/>
        </w:rPr>
        <w:t>action on</w:t>
      </w:r>
      <w:r w:rsidR="00C03F58" w:rsidRPr="006055D2">
        <w:rPr>
          <w:szCs w:val="22"/>
        </w:rPr>
        <w:t xml:space="preserve"> an</w:t>
      </w:r>
      <w:r w:rsidR="00B265D6" w:rsidRPr="006055D2">
        <w:rPr>
          <w:szCs w:val="22"/>
        </w:rPr>
        <w:t xml:space="preserve"> </w:t>
      </w:r>
      <w:r w:rsidR="005B331B" w:rsidRPr="006055D2">
        <w:rPr>
          <w:szCs w:val="22"/>
        </w:rPr>
        <w:t xml:space="preserve">application </w:t>
      </w:r>
      <w:r w:rsidR="00B265D6" w:rsidRPr="006055D2">
        <w:rPr>
          <w:szCs w:val="22"/>
        </w:rPr>
        <w:t>for the transfer of control of its</w:t>
      </w:r>
      <w:r w:rsidR="005B331B" w:rsidRPr="006055D2">
        <w:rPr>
          <w:szCs w:val="22"/>
        </w:rPr>
        <w:t xml:space="preserve"> international</w:t>
      </w:r>
      <w:r w:rsidR="00B265D6" w:rsidRPr="006055D2">
        <w:rPr>
          <w:szCs w:val="22"/>
        </w:rPr>
        <w:t xml:space="preserve"> Section 214 authority to HCPT</w:t>
      </w:r>
      <w:r w:rsidR="005B331B" w:rsidRPr="006055D2">
        <w:rPr>
          <w:szCs w:val="22"/>
        </w:rPr>
        <w:t xml:space="preserve">, which </w:t>
      </w:r>
      <w:r w:rsidR="00C03F58" w:rsidRPr="006055D2">
        <w:rPr>
          <w:szCs w:val="22"/>
        </w:rPr>
        <w:t xml:space="preserve">was </w:t>
      </w:r>
      <w:r w:rsidR="00B97B80">
        <w:rPr>
          <w:szCs w:val="22"/>
        </w:rPr>
        <w:t xml:space="preserve">also </w:t>
      </w:r>
      <w:r w:rsidR="00C03F58" w:rsidRPr="006055D2">
        <w:rPr>
          <w:szCs w:val="22"/>
        </w:rPr>
        <w:t xml:space="preserve">filed </w:t>
      </w:r>
      <w:r w:rsidR="005B331B" w:rsidRPr="006055D2">
        <w:rPr>
          <w:szCs w:val="22"/>
        </w:rPr>
        <w:t xml:space="preserve">on </w:t>
      </w:r>
      <w:r w:rsidR="00B97B80" w:rsidRPr="00C418A3">
        <w:rPr>
          <w:szCs w:val="22"/>
        </w:rPr>
        <w:t>January 28, 2013</w:t>
      </w:r>
      <w:r w:rsidR="00B265D6" w:rsidRPr="006055D2">
        <w:rPr>
          <w:szCs w:val="22"/>
        </w:rPr>
        <w:t>.</w:t>
      </w:r>
      <w:r w:rsidR="008A264F">
        <w:rPr>
          <w:rStyle w:val="FootnoteReference"/>
          <w:szCs w:val="22"/>
        </w:rPr>
        <w:footnoteReference w:id="17"/>
      </w:r>
      <w:r w:rsidR="005B331B" w:rsidRPr="00C418A3">
        <w:rPr>
          <w:szCs w:val="22"/>
        </w:rPr>
        <w:t xml:space="preserve">  </w:t>
      </w:r>
      <w:r w:rsidR="003C3CD2">
        <w:rPr>
          <w:szCs w:val="22"/>
        </w:rPr>
        <w:t>On</w:t>
      </w:r>
      <w:r w:rsidR="005B331B">
        <w:rPr>
          <w:szCs w:val="22"/>
        </w:rPr>
        <w:t xml:space="preserve"> Februar</w:t>
      </w:r>
      <w:r w:rsidR="00BA493D">
        <w:rPr>
          <w:szCs w:val="22"/>
        </w:rPr>
        <w:t>y</w:t>
      </w:r>
      <w:r w:rsidR="005B331B">
        <w:rPr>
          <w:szCs w:val="22"/>
        </w:rPr>
        <w:t xml:space="preserve"> 11, 2013</w:t>
      </w:r>
      <w:r w:rsidR="003C3CD2">
        <w:rPr>
          <w:szCs w:val="22"/>
        </w:rPr>
        <w:t>, IB granted the STA</w:t>
      </w:r>
      <w:r w:rsidR="005B331B">
        <w:rPr>
          <w:szCs w:val="22"/>
        </w:rPr>
        <w:t>.</w:t>
      </w:r>
      <w:r w:rsidR="004D4A14">
        <w:rPr>
          <w:rStyle w:val="FootnoteReference"/>
          <w:szCs w:val="22"/>
        </w:rPr>
        <w:footnoteReference w:id="18"/>
      </w:r>
      <w:r w:rsidR="005B331B">
        <w:rPr>
          <w:szCs w:val="22"/>
        </w:rPr>
        <w:t xml:space="preserve"> </w:t>
      </w:r>
      <w:r w:rsidR="00D962A9">
        <w:rPr>
          <w:szCs w:val="22"/>
        </w:rPr>
        <w:t xml:space="preserve"> On March 15, 2013, IB granted </w:t>
      </w:r>
      <w:r w:rsidR="003C3CD2">
        <w:rPr>
          <w:szCs w:val="22"/>
        </w:rPr>
        <w:t>the application</w:t>
      </w:r>
      <w:r w:rsidR="002C3424">
        <w:rPr>
          <w:szCs w:val="22"/>
        </w:rPr>
        <w:t xml:space="preserve"> “without prejudice to the Commission’s action in any other related pending process</w:t>
      </w:r>
      <w:r w:rsidR="003C3CD2">
        <w:rPr>
          <w:szCs w:val="22"/>
        </w:rPr>
        <w:t>.</w:t>
      </w:r>
      <w:r w:rsidR="00A52C32">
        <w:rPr>
          <w:szCs w:val="22"/>
        </w:rPr>
        <w:t>”</w:t>
      </w:r>
      <w:r w:rsidR="003C3CD2">
        <w:rPr>
          <w:rStyle w:val="FootnoteReference"/>
          <w:szCs w:val="22"/>
        </w:rPr>
        <w:footnoteReference w:id="19"/>
      </w:r>
      <w:r w:rsidR="00D962A9">
        <w:rPr>
          <w:szCs w:val="22"/>
        </w:rPr>
        <w:t xml:space="preserve"> </w:t>
      </w:r>
    </w:p>
    <w:p w:rsidR="00964FB3" w:rsidRDefault="00964FB3" w:rsidP="008229AA">
      <w:pPr>
        <w:pStyle w:val="par1"/>
        <w:numPr>
          <w:ilvl w:val="0"/>
          <w:numId w:val="0"/>
        </w:numPr>
        <w:ind w:left="720" w:right="-180"/>
        <w:rPr>
          <w:szCs w:val="22"/>
        </w:rPr>
      </w:pPr>
    </w:p>
    <w:p w:rsidR="00A33DB2" w:rsidRPr="002C3424" w:rsidRDefault="005E4B50" w:rsidP="008229AA">
      <w:pPr>
        <w:pStyle w:val="par1"/>
        <w:numPr>
          <w:ilvl w:val="0"/>
          <w:numId w:val="11"/>
        </w:numPr>
        <w:ind w:right="-180"/>
        <w:rPr>
          <w:szCs w:val="22"/>
        </w:rPr>
      </w:pPr>
      <w:r w:rsidRPr="002C3424">
        <w:rPr>
          <w:szCs w:val="22"/>
        </w:rPr>
        <w:t xml:space="preserve">On February </w:t>
      </w:r>
      <w:r w:rsidR="007B4BFC" w:rsidRPr="002C3424">
        <w:rPr>
          <w:szCs w:val="22"/>
        </w:rPr>
        <w:t xml:space="preserve">11, 2013, AccessLine </w:t>
      </w:r>
      <w:r w:rsidR="00C418A3">
        <w:rPr>
          <w:szCs w:val="22"/>
        </w:rPr>
        <w:t xml:space="preserve">and Telanetix </w:t>
      </w:r>
      <w:r w:rsidR="007B4BFC" w:rsidRPr="002C3424">
        <w:rPr>
          <w:szCs w:val="22"/>
        </w:rPr>
        <w:t>filed with the Commission’s Wireline Competition Bure</w:t>
      </w:r>
      <w:r w:rsidR="00B76A8B" w:rsidRPr="002C3424">
        <w:rPr>
          <w:szCs w:val="22"/>
        </w:rPr>
        <w:t>au</w:t>
      </w:r>
      <w:r w:rsidR="00C03F58" w:rsidRPr="002C3424">
        <w:rPr>
          <w:szCs w:val="22"/>
        </w:rPr>
        <w:t xml:space="preserve"> (WCB)</w:t>
      </w:r>
      <w:r w:rsidR="00A56147">
        <w:rPr>
          <w:szCs w:val="22"/>
        </w:rPr>
        <w:t xml:space="preserve"> </w:t>
      </w:r>
      <w:r w:rsidR="002C3424" w:rsidRPr="002C3424">
        <w:rPr>
          <w:szCs w:val="22"/>
        </w:rPr>
        <w:t xml:space="preserve">an application </w:t>
      </w:r>
      <w:r w:rsidR="007B4BFC" w:rsidRPr="002C3424">
        <w:rPr>
          <w:szCs w:val="22"/>
        </w:rPr>
        <w:t xml:space="preserve">for </w:t>
      </w:r>
      <w:r w:rsidR="002C3424">
        <w:rPr>
          <w:szCs w:val="22"/>
        </w:rPr>
        <w:t xml:space="preserve">an STA </w:t>
      </w:r>
      <w:r w:rsidR="00A56147" w:rsidRPr="002C3424">
        <w:rPr>
          <w:szCs w:val="22"/>
        </w:rPr>
        <w:t>to continue providing domestic Section 214 telecommunications service pending action by</w:t>
      </w:r>
      <w:r w:rsidR="00A56147">
        <w:rPr>
          <w:szCs w:val="22"/>
        </w:rPr>
        <w:t xml:space="preserve"> WCB on an</w:t>
      </w:r>
      <w:r w:rsidR="00A56147" w:rsidRPr="002C3424">
        <w:rPr>
          <w:szCs w:val="22"/>
        </w:rPr>
        <w:t xml:space="preserve"> application to transfer control of AccessLine’s domestic Section 214 authority from Telanetix to HCPT</w:t>
      </w:r>
      <w:r w:rsidR="00A56147">
        <w:rPr>
          <w:szCs w:val="22"/>
        </w:rPr>
        <w:t>, which was also filed on</w:t>
      </w:r>
      <w:r w:rsidR="00B97B80" w:rsidRPr="00B97B80">
        <w:rPr>
          <w:szCs w:val="22"/>
        </w:rPr>
        <w:t xml:space="preserve"> </w:t>
      </w:r>
      <w:r w:rsidR="00B97B80" w:rsidRPr="002C3424">
        <w:rPr>
          <w:szCs w:val="22"/>
        </w:rPr>
        <w:t>February 11, 2013</w:t>
      </w:r>
      <w:r w:rsidR="00A56147" w:rsidRPr="002C3424">
        <w:rPr>
          <w:szCs w:val="22"/>
        </w:rPr>
        <w:t>.</w:t>
      </w:r>
      <w:r w:rsidR="00A56147">
        <w:rPr>
          <w:rStyle w:val="FootnoteReference"/>
          <w:szCs w:val="22"/>
        </w:rPr>
        <w:footnoteReference w:id="20"/>
      </w:r>
      <w:r w:rsidR="00A56147" w:rsidRPr="002C3424">
        <w:rPr>
          <w:szCs w:val="22"/>
        </w:rPr>
        <w:t xml:space="preserve"> </w:t>
      </w:r>
      <w:r w:rsidR="00A56147">
        <w:rPr>
          <w:szCs w:val="22"/>
        </w:rPr>
        <w:t xml:space="preserve"> WCB granted the STA on the same date.</w:t>
      </w:r>
      <w:r w:rsidR="00367621">
        <w:rPr>
          <w:rStyle w:val="FootnoteReference"/>
          <w:szCs w:val="22"/>
        </w:rPr>
        <w:footnoteReference w:id="21"/>
      </w:r>
      <w:r w:rsidR="00E44300" w:rsidRPr="002C3424">
        <w:rPr>
          <w:szCs w:val="22"/>
        </w:rPr>
        <w:t xml:space="preserve">  On March 29, 2013, </w:t>
      </w:r>
      <w:r w:rsidR="005F6953" w:rsidRPr="002C3424">
        <w:rPr>
          <w:szCs w:val="22"/>
        </w:rPr>
        <w:t>WCB granted the domestic Section 214 transfer of control application.</w:t>
      </w:r>
      <w:r w:rsidR="00AB2304">
        <w:rPr>
          <w:rStyle w:val="FootnoteReference"/>
          <w:szCs w:val="22"/>
        </w:rPr>
        <w:footnoteReference w:id="22"/>
      </w:r>
      <w:r w:rsidR="00D10DC3" w:rsidRPr="002C3424">
        <w:rPr>
          <w:szCs w:val="22"/>
        </w:rPr>
        <w:t xml:space="preserve">  </w:t>
      </w:r>
    </w:p>
    <w:p w:rsidR="00A33DB2" w:rsidRDefault="00A33DB2" w:rsidP="008229AA">
      <w:pPr>
        <w:pStyle w:val="ListParagraph"/>
        <w:ind w:right="-180"/>
        <w:rPr>
          <w:szCs w:val="22"/>
        </w:rPr>
      </w:pPr>
    </w:p>
    <w:p w:rsidR="00176171" w:rsidRPr="00D10DC3" w:rsidRDefault="004678A3" w:rsidP="008229AA">
      <w:pPr>
        <w:pStyle w:val="par1"/>
        <w:ind w:right="-180"/>
        <w:rPr>
          <w:szCs w:val="22"/>
        </w:rPr>
      </w:pPr>
      <w:r w:rsidRPr="00D10DC3">
        <w:rPr>
          <w:szCs w:val="22"/>
        </w:rPr>
        <w:t>On April</w:t>
      </w:r>
      <w:r w:rsidR="00E704F5" w:rsidRPr="00D10DC3">
        <w:rPr>
          <w:szCs w:val="22"/>
        </w:rPr>
        <w:t xml:space="preserve"> 8, 2013</w:t>
      </w:r>
      <w:r w:rsidR="00176171" w:rsidRPr="00D10DC3">
        <w:rPr>
          <w:szCs w:val="22"/>
        </w:rPr>
        <w:t xml:space="preserve">, the Bureau sent a Letter of Inquiry (LOI) to </w:t>
      </w:r>
      <w:r w:rsidR="00D65C47" w:rsidRPr="00D10DC3">
        <w:rPr>
          <w:szCs w:val="22"/>
        </w:rPr>
        <w:t>AccessLine</w:t>
      </w:r>
      <w:r w:rsidR="00E704F5" w:rsidRPr="00D10DC3">
        <w:rPr>
          <w:szCs w:val="22"/>
        </w:rPr>
        <w:t xml:space="preserve"> </w:t>
      </w:r>
      <w:r w:rsidR="00176171" w:rsidRPr="00D10DC3">
        <w:rPr>
          <w:szCs w:val="22"/>
        </w:rPr>
        <w:t xml:space="preserve">regarding its </w:t>
      </w:r>
      <w:r w:rsidR="00E704F5" w:rsidRPr="00D10DC3">
        <w:rPr>
          <w:szCs w:val="22"/>
        </w:rPr>
        <w:t xml:space="preserve">transfer of control </w:t>
      </w:r>
      <w:r w:rsidR="00176171" w:rsidRPr="00D10DC3">
        <w:rPr>
          <w:szCs w:val="22"/>
        </w:rPr>
        <w:t xml:space="preserve">transaction with </w:t>
      </w:r>
      <w:r w:rsidR="00E704F5" w:rsidRPr="00D10DC3">
        <w:rPr>
          <w:szCs w:val="22"/>
        </w:rPr>
        <w:t>HCPT</w:t>
      </w:r>
      <w:r w:rsidR="00D30D91">
        <w:rPr>
          <w:szCs w:val="22"/>
        </w:rPr>
        <w:t>.</w:t>
      </w:r>
      <w:r w:rsidR="00E704F5">
        <w:rPr>
          <w:rStyle w:val="FootnoteReference"/>
          <w:szCs w:val="22"/>
        </w:rPr>
        <w:footnoteReference w:id="23"/>
      </w:r>
      <w:r w:rsidR="00176171" w:rsidRPr="00D10DC3">
        <w:rPr>
          <w:szCs w:val="22"/>
        </w:rPr>
        <w:t xml:space="preserve">  </w:t>
      </w:r>
      <w:r w:rsidR="00E90E3D" w:rsidRPr="00D10DC3">
        <w:rPr>
          <w:szCs w:val="22"/>
        </w:rPr>
        <w:t>On April 29, 2013, AccessLine filed its response.</w:t>
      </w:r>
      <w:r w:rsidR="00E90E3D">
        <w:rPr>
          <w:rStyle w:val="FootnoteReference"/>
          <w:szCs w:val="22"/>
        </w:rPr>
        <w:footnoteReference w:id="24"/>
      </w:r>
    </w:p>
    <w:p w:rsidR="00D65C47" w:rsidRPr="00AE58C1" w:rsidRDefault="00D65C47" w:rsidP="008229AA">
      <w:pPr>
        <w:pStyle w:val="par1"/>
        <w:numPr>
          <w:ilvl w:val="0"/>
          <w:numId w:val="0"/>
        </w:numPr>
        <w:ind w:right="-180"/>
        <w:rPr>
          <w:szCs w:val="22"/>
        </w:rPr>
      </w:pPr>
    </w:p>
    <w:p w:rsidR="00176171" w:rsidRDefault="00176171" w:rsidP="008229AA">
      <w:pPr>
        <w:keepNext/>
        <w:numPr>
          <w:ilvl w:val="0"/>
          <w:numId w:val="6"/>
        </w:numPr>
        <w:tabs>
          <w:tab w:val="left" w:pos="0"/>
        </w:tabs>
        <w:ind w:right="-180"/>
        <w:rPr>
          <w:b/>
          <w:sz w:val="22"/>
          <w:szCs w:val="22"/>
        </w:rPr>
      </w:pPr>
      <w:r>
        <w:rPr>
          <w:b/>
          <w:sz w:val="22"/>
          <w:szCs w:val="22"/>
        </w:rPr>
        <w:t>TERMS OF AGREEMENT</w:t>
      </w:r>
    </w:p>
    <w:p w:rsidR="00176171" w:rsidRDefault="00176171" w:rsidP="008229AA">
      <w:pPr>
        <w:keepNext/>
        <w:tabs>
          <w:tab w:val="left" w:pos="0"/>
        </w:tabs>
        <w:ind w:left="360" w:right="-180"/>
        <w:rPr>
          <w:b/>
          <w:sz w:val="22"/>
          <w:szCs w:val="22"/>
        </w:rPr>
      </w:pPr>
    </w:p>
    <w:p w:rsidR="00176171" w:rsidRPr="00D53CD8" w:rsidRDefault="00176171" w:rsidP="008229AA">
      <w:pPr>
        <w:pStyle w:val="par1"/>
        <w:ind w:right="-180"/>
        <w:rPr>
          <w:b/>
          <w:szCs w:val="22"/>
          <w:u w:val="single"/>
        </w:rPr>
      </w:pPr>
      <w:r w:rsidRPr="00F22BD2">
        <w:rPr>
          <w:b/>
          <w:szCs w:val="22"/>
          <w:u w:val="single"/>
        </w:rPr>
        <w:t>Adopting Order</w:t>
      </w:r>
      <w:r w:rsidRPr="00F22BD2">
        <w:rPr>
          <w:b/>
          <w:szCs w:val="22"/>
        </w:rPr>
        <w:t xml:space="preserve">. </w:t>
      </w:r>
      <w:r w:rsidRPr="00F22BD2">
        <w:rPr>
          <w:szCs w:val="22"/>
        </w:rPr>
        <w:t xml:space="preserve"> The Parties agree that the provisions of this Consent Decree shall be subject to final approval by the Bureau by incorporation of such provisions by reference in the Adopting Order.</w:t>
      </w:r>
      <w:r w:rsidRPr="00D53CD8">
        <w:rPr>
          <w:b/>
          <w:szCs w:val="22"/>
          <w:u w:val="single"/>
        </w:rPr>
        <w:t xml:space="preserve"> </w:t>
      </w:r>
    </w:p>
    <w:p w:rsidR="00176171" w:rsidRPr="00D53CD8" w:rsidRDefault="00176171" w:rsidP="008229AA">
      <w:pPr>
        <w:pStyle w:val="par1"/>
        <w:numPr>
          <w:ilvl w:val="0"/>
          <w:numId w:val="0"/>
        </w:numPr>
        <w:tabs>
          <w:tab w:val="num" w:pos="1440"/>
        </w:tabs>
        <w:ind w:right="-180" w:firstLine="720"/>
        <w:rPr>
          <w:b/>
          <w:szCs w:val="22"/>
          <w:u w:val="single"/>
        </w:rPr>
      </w:pPr>
    </w:p>
    <w:p w:rsidR="00176171" w:rsidRPr="00F22BD2" w:rsidRDefault="00176171" w:rsidP="008229AA">
      <w:pPr>
        <w:pStyle w:val="par1"/>
        <w:ind w:right="-180"/>
        <w:rPr>
          <w:szCs w:val="22"/>
        </w:rPr>
      </w:pPr>
      <w:r w:rsidRPr="00F22BD2">
        <w:rPr>
          <w:b/>
          <w:szCs w:val="22"/>
          <w:u w:val="single"/>
        </w:rPr>
        <w:t>Jurisdiction</w:t>
      </w:r>
      <w:r w:rsidRPr="00F22BD2">
        <w:rPr>
          <w:b/>
          <w:szCs w:val="22"/>
        </w:rPr>
        <w:t>.</w:t>
      </w:r>
      <w:r w:rsidRPr="00F22BD2">
        <w:rPr>
          <w:szCs w:val="22"/>
        </w:rPr>
        <w:t xml:space="preserve">  </w:t>
      </w:r>
      <w:r w:rsidR="00AE306C" w:rsidRPr="00F22BD2">
        <w:rPr>
          <w:szCs w:val="22"/>
        </w:rPr>
        <w:t xml:space="preserve">AccessLine </w:t>
      </w:r>
      <w:r w:rsidRPr="00F22BD2">
        <w:rPr>
          <w:szCs w:val="22"/>
        </w:rPr>
        <w:t>agrees that the Bureau has jurisdiction over it and the matters contained in this Consent Decree and that the Bureau has the authority to enter into and adopt this Consent Decree.</w:t>
      </w:r>
    </w:p>
    <w:p w:rsidR="00176171" w:rsidRPr="00F22BD2" w:rsidRDefault="00176171" w:rsidP="008229AA">
      <w:pPr>
        <w:pStyle w:val="par1"/>
        <w:numPr>
          <w:ilvl w:val="0"/>
          <w:numId w:val="0"/>
        </w:numPr>
        <w:tabs>
          <w:tab w:val="num" w:pos="1440"/>
        </w:tabs>
        <w:ind w:right="-180" w:firstLine="720"/>
        <w:rPr>
          <w:szCs w:val="22"/>
        </w:rPr>
      </w:pPr>
    </w:p>
    <w:p w:rsidR="00176171" w:rsidRPr="00F22BD2" w:rsidRDefault="00176171" w:rsidP="008229AA">
      <w:pPr>
        <w:pStyle w:val="par1"/>
        <w:ind w:right="-180"/>
        <w:rPr>
          <w:szCs w:val="22"/>
        </w:rPr>
      </w:pPr>
      <w:r w:rsidRPr="00F22BD2">
        <w:rPr>
          <w:b/>
          <w:szCs w:val="22"/>
          <w:u w:val="single"/>
        </w:rPr>
        <w:t>Effective Date; Violations</w:t>
      </w:r>
      <w:r w:rsidRPr="00F22BD2">
        <w:rPr>
          <w:b/>
          <w:szCs w:val="22"/>
        </w:rPr>
        <w:t>.</w:t>
      </w:r>
      <w:r w:rsidRPr="00F22BD2">
        <w:rPr>
          <w:szCs w:val="22"/>
        </w:rPr>
        <w:t xml:space="preserve">  The Parties agree that this Consent Decree shall become effective on the Effective Date</w:t>
      </w:r>
      <w:r w:rsidR="002120DB" w:rsidRPr="00F22BD2">
        <w:rPr>
          <w:szCs w:val="22"/>
        </w:rPr>
        <w:t xml:space="preserve"> as defined herein</w:t>
      </w:r>
      <w:r w:rsidRPr="00F22BD2">
        <w:rPr>
          <w:szCs w:val="22"/>
        </w:rPr>
        <w:t xml:space="preserve">.  </w:t>
      </w:r>
      <w:r w:rsidR="002120DB" w:rsidRPr="00F22BD2">
        <w:rPr>
          <w:szCs w:val="22"/>
        </w:rPr>
        <w:t>As of the Effective Date,</w:t>
      </w:r>
      <w:r w:rsidRPr="00F22BD2">
        <w:rPr>
          <w:szCs w:val="22"/>
        </w:rPr>
        <w:t xml:space="preserve"> the Adopting Order and this Consent Decree shall have the same force and effect as any other Order of the Commission.  Any violation of the Adopting Order or of the terms of this Consent Decree shall constitute a separate violation of a </w:t>
      </w:r>
      <w:r w:rsidRPr="00F22BD2">
        <w:rPr>
          <w:rStyle w:val="bold1"/>
          <w:b w:val="0"/>
          <w:szCs w:val="22"/>
        </w:rPr>
        <w:t>Commission O</w:t>
      </w:r>
      <w:r w:rsidRPr="00F22BD2">
        <w:rPr>
          <w:szCs w:val="22"/>
        </w:rPr>
        <w:t>rder, entitling the Bureau</w:t>
      </w:r>
      <w:r w:rsidRPr="00F22BD2">
        <w:rPr>
          <w:b/>
          <w:bCs/>
          <w:szCs w:val="22"/>
        </w:rPr>
        <w:t xml:space="preserve"> </w:t>
      </w:r>
      <w:r w:rsidRPr="00F22BD2">
        <w:rPr>
          <w:szCs w:val="22"/>
        </w:rPr>
        <w:t xml:space="preserve">to exercise any rights and remedies attendant to the enforcement of a Commission Order.  </w:t>
      </w:r>
    </w:p>
    <w:p w:rsidR="00176171" w:rsidRPr="00F22BD2" w:rsidRDefault="00176171" w:rsidP="008229AA">
      <w:pPr>
        <w:pStyle w:val="par1"/>
        <w:numPr>
          <w:ilvl w:val="0"/>
          <w:numId w:val="0"/>
        </w:numPr>
        <w:tabs>
          <w:tab w:val="num" w:pos="1800"/>
        </w:tabs>
        <w:ind w:right="-180" w:firstLine="720"/>
        <w:rPr>
          <w:szCs w:val="22"/>
        </w:rPr>
      </w:pPr>
    </w:p>
    <w:p w:rsidR="00176171" w:rsidRPr="00F22BD2" w:rsidRDefault="00176171" w:rsidP="008229AA">
      <w:pPr>
        <w:pStyle w:val="par1"/>
        <w:ind w:right="-180"/>
        <w:rPr>
          <w:szCs w:val="22"/>
        </w:rPr>
      </w:pPr>
      <w:r w:rsidRPr="00F22BD2">
        <w:rPr>
          <w:b/>
          <w:szCs w:val="22"/>
          <w:u w:val="single"/>
        </w:rPr>
        <w:t>Termination of Investigation</w:t>
      </w:r>
      <w:r w:rsidRPr="00F22BD2">
        <w:rPr>
          <w:b/>
          <w:szCs w:val="22"/>
        </w:rPr>
        <w:t xml:space="preserve">.  </w:t>
      </w:r>
      <w:r w:rsidRPr="00F22BD2">
        <w:rPr>
          <w:szCs w:val="22"/>
        </w:rPr>
        <w:t>In express reliance on the covenants and representations in this Consent Decree and to avoid further expenditure of public resources, the Bureau</w:t>
      </w:r>
      <w:r w:rsidRPr="00F22BD2">
        <w:rPr>
          <w:rStyle w:val="bold1"/>
          <w:szCs w:val="22"/>
        </w:rPr>
        <w:t xml:space="preserve"> </w:t>
      </w:r>
      <w:r w:rsidRPr="00F22BD2">
        <w:rPr>
          <w:szCs w:val="22"/>
        </w:rPr>
        <w:t xml:space="preserve">agrees to terminate </w:t>
      </w:r>
      <w:r w:rsidR="002120DB" w:rsidRPr="00F22BD2">
        <w:rPr>
          <w:szCs w:val="22"/>
        </w:rPr>
        <w:t xml:space="preserve">the </w:t>
      </w:r>
      <w:r w:rsidRPr="00F22BD2">
        <w:rPr>
          <w:szCs w:val="22"/>
        </w:rPr>
        <w:t xml:space="preserve">Investigation.  In consideration for the termination of said Investigation, </w:t>
      </w:r>
      <w:r w:rsidR="00AE306C" w:rsidRPr="00F22BD2">
        <w:rPr>
          <w:szCs w:val="22"/>
        </w:rPr>
        <w:t xml:space="preserve">AccessLine </w:t>
      </w:r>
      <w:r w:rsidRPr="00F22BD2">
        <w:rPr>
          <w:szCs w:val="22"/>
        </w:rPr>
        <w:t xml:space="preserve">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AE306C" w:rsidRPr="00F22BD2">
        <w:rPr>
          <w:szCs w:val="22"/>
        </w:rPr>
        <w:t>AccessLine</w:t>
      </w:r>
      <w:r w:rsidR="00AE306C" w:rsidRPr="00F22BD2" w:rsidDel="00AE306C">
        <w:rPr>
          <w:szCs w:val="22"/>
        </w:rPr>
        <w:t xml:space="preserve"> </w:t>
      </w:r>
      <w:r w:rsidRPr="00F22BD2">
        <w:rPr>
          <w:szCs w:val="22"/>
        </w:rPr>
        <w:t xml:space="preserve">concerning the matter </w:t>
      </w:r>
      <w:r w:rsidR="00D65C47" w:rsidRPr="00F22BD2">
        <w:rPr>
          <w:szCs w:val="22"/>
        </w:rPr>
        <w:t>that was</w:t>
      </w:r>
      <w:r w:rsidRPr="00F22BD2">
        <w:rPr>
          <w:szCs w:val="22"/>
        </w:rPr>
        <w:t xml:space="preserve"> the subject of the Investigation.  </w:t>
      </w:r>
      <w:r w:rsidR="004678A3" w:rsidRPr="00F22BD2">
        <w:rPr>
          <w:szCs w:val="22"/>
        </w:rPr>
        <w:t>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AccessLine</w:t>
      </w:r>
      <w:r w:rsidR="004678A3" w:rsidRPr="00F22BD2" w:rsidDel="00AE306C">
        <w:rPr>
          <w:szCs w:val="22"/>
        </w:rPr>
        <w:t xml:space="preserve"> </w:t>
      </w:r>
      <w:r w:rsidR="004678A3" w:rsidRPr="00F22BD2">
        <w:rPr>
          <w:szCs w:val="22"/>
        </w:rPr>
        <w:t>with respect to AccessLine’s basic qualifications, including its character qualifications, to be a Commission licensee or hold Commission authori</w:t>
      </w:r>
      <w:r w:rsidR="002120DB" w:rsidRPr="00F22BD2">
        <w:rPr>
          <w:szCs w:val="22"/>
        </w:rPr>
        <w:t>zations</w:t>
      </w:r>
      <w:r w:rsidR="004678A3" w:rsidRPr="00F22BD2">
        <w:rPr>
          <w:szCs w:val="22"/>
        </w:rPr>
        <w:t xml:space="preserve">.  </w:t>
      </w:r>
    </w:p>
    <w:p w:rsidR="00176171" w:rsidRPr="00F22BD2" w:rsidRDefault="00176171" w:rsidP="008229AA">
      <w:pPr>
        <w:pStyle w:val="ParaNum"/>
        <w:widowControl/>
        <w:numPr>
          <w:ilvl w:val="0"/>
          <w:numId w:val="0"/>
        </w:numPr>
        <w:spacing w:after="0"/>
        <w:ind w:right="-180"/>
        <w:rPr>
          <w:szCs w:val="22"/>
        </w:rPr>
      </w:pPr>
    </w:p>
    <w:p w:rsidR="00176171" w:rsidRPr="00F22BD2" w:rsidRDefault="00176171" w:rsidP="008229AA">
      <w:pPr>
        <w:pStyle w:val="par1"/>
        <w:ind w:right="-180"/>
        <w:rPr>
          <w:szCs w:val="22"/>
        </w:rPr>
      </w:pPr>
      <w:r w:rsidRPr="00F22BD2">
        <w:rPr>
          <w:b/>
          <w:szCs w:val="22"/>
          <w:u w:val="single"/>
        </w:rPr>
        <w:t>Compliance Officer</w:t>
      </w:r>
      <w:r w:rsidRPr="00F22BD2">
        <w:rPr>
          <w:b/>
          <w:szCs w:val="22"/>
        </w:rPr>
        <w:t xml:space="preserve">.  </w:t>
      </w:r>
      <w:r w:rsidRPr="00F22BD2">
        <w:rPr>
          <w:szCs w:val="22"/>
        </w:rPr>
        <w:t>Within thirty (30) calendar days after the Effective Date</w:t>
      </w:r>
      <w:r w:rsidR="00B97B80">
        <w:rPr>
          <w:szCs w:val="22"/>
        </w:rPr>
        <w:t>,</w:t>
      </w:r>
      <w:r w:rsidR="00AE306C" w:rsidRPr="00F22BD2">
        <w:rPr>
          <w:szCs w:val="22"/>
        </w:rPr>
        <w:t xml:space="preserve"> AccessLine</w:t>
      </w:r>
      <w:r w:rsidRPr="00F22BD2">
        <w:rPr>
          <w:szCs w:val="22"/>
        </w:rPr>
        <w:t xml:space="preserve"> shall designate a senior corporate manager with the requisite corporate and organizational authority to serve as a Compliance Officer and to discharge the duties set forth below.  The person designated as the Compliance Officer</w:t>
      </w:r>
      <w:r w:rsidRPr="00F22BD2">
        <w:rPr>
          <w:b/>
          <w:szCs w:val="22"/>
        </w:rPr>
        <w:t xml:space="preserve"> </w:t>
      </w:r>
      <w:r w:rsidRPr="00F22BD2">
        <w:rPr>
          <w:szCs w:val="22"/>
        </w:rPr>
        <w:t>shall be responsible</w:t>
      </w:r>
      <w:r w:rsidRPr="00F22BD2">
        <w:rPr>
          <w:b/>
          <w:szCs w:val="22"/>
        </w:rPr>
        <w:t xml:space="preserve"> </w:t>
      </w:r>
      <w:r w:rsidRPr="00F22BD2">
        <w:rPr>
          <w:szCs w:val="22"/>
        </w:rPr>
        <w:t xml:space="preserve">for developing, implementing, and administering the Compliance Plan and ensuring that </w:t>
      </w:r>
      <w:r w:rsidR="00AE306C" w:rsidRPr="00F22BD2">
        <w:rPr>
          <w:szCs w:val="22"/>
        </w:rPr>
        <w:t>AccessLine</w:t>
      </w:r>
      <w:r w:rsidR="00AE306C" w:rsidRPr="00F22BD2" w:rsidDel="00AE306C">
        <w:rPr>
          <w:szCs w:val="22"/>
        </w:rPr>
        <w:t xml:space="preserve"> </w:t>
      </w:r>
      <w:r w:rsidRPr="00F22BD2">
        <w:rPr>
          <w:szCs w:val="22"/>
        </w:rPr>
        <w:t xml:space="preserve">complies with the terms and conditions of the Compliance Plan and this Consent Decree.  In addition to the general knowledge of the Communications Laws necessary to discharge his/her duties under this Consent Decree, the Compliance Officer shall have specific knowledge of the Section 214 </w:t>
      </w:r>
      <w:r w:rsidR="00EC51A6" w:rsidRPr="00F22BD2">
        <w:rPr>
          <w:szCs w:val="22"/>
        </w:rPr>
        <w:t xml:space="preserve">Rules </w:t>
      </w:r>
      <w:r w:rsidRPr="00F22BD2">
        <w:rPr>
          <w:szCs w:val="22"/>
        </w:rPr>
        <w:t>prior to assuming his/her duties.</w:t>
      </w:r>
    </w:p>
    <w:p w:rsidR="00176171" w:rsidRPr="00F22BD2" w:rsidRDefault="00176171" w:rsidP="008229AA">
      <w:pPr>
        <w:tabs>
          <w:tab w:val="left" w:pos="1800"/>
        </w:tabs>
        <w:ind w:right="-180"/>
        <w:rPr>
          <w:sz w:val="22"/>
          <w:szCs w:val="22"/>
        </w:rPr>
      </w:pPr>
    </w:p>
    <w:p w:rsidR="00176171" w:rsidRPr="00F22BD2" w:rsidRDefault="00176171" w:rsidP="008229AA">
      <w:pPr>
        <w:pStyle w:val="par1"/>
        <w:ind w:right="-180"/>
        <w:rPr>
          <w:szCs w:val="22"/>
        </w:rPr>
      </w:pPr>
      <w:bookmarkStart w:id="4" w:name="_Ref358627064"/>
      <w:r w:rsidRPr="00F22BD2">
        <w:rPr>
          <w:b/>
          <w:szCs w:val="22"/>
          <w:u w:val="single"/>
        </w:rPr>
        <w:t>Compliance Plan</w:t>
      </w:r>
      <w:r w:rsidRPr="00F22BD2">
        <w:rPr>
          <w:b/>
          <w:szCs w:val="22"/>
        </w:rPr>
        <w:t>.</w:t>
      </w:r>
      <w:r w:rsidRPr="00F22BD2">
        <w:rPr>
          <w:szCs w:val="22"/>
        </w:rPr>
        <w:t xml:space="preserve">  For purposes of settling the matters set forth herein, </w:t>
      </w:r>
      <w:r w:rsidR="00AE306C" w:rsidRPr="00F22BD2">
        <w:rPr>
          <w:szCs w:val="22"/>
        </w:rPr>
        <w:t>AccessLine</w:t>
      </w:r>
      <w:r w:rsidR="00AE306C" w:rsidRPr="00F22BD2" w:rsidDel="00AE306C">
        <w:rPr>
          <w:szCs w:val="22"/>
        </w:rPr>
        <w:t xml:space="preserve"> </w:t>
      </w:r>
      <w:r w:rsidRPr="00F22BD2">
        <w:rPr>
          <w:szCs w:val="22"/>
        </w:rPr>
        <w:t xml:space="preserve">agrees that it shall within sixty (60) calendar days after the Effective Date, develop and implement a Compliance Plan designed to ensure future compliance with the Communications Laws, including the Section 214 Rules, and with the terms and conditions of this Consent Decree.  </w:t>
      </w:r>
      <w:r w:rsidR="00B97B80">
        <w:rPr>
          <w:szCs w:val="22"/>
        </w:rPr>
        <w:t>With respect to the Section 214 Rules, t</w:t>
      </w:r>
      <w:r w:rsidRPr="00F22BD2">
        <w:rPr>
          <w:szCs w:val="22"/>
        </w:rPr>
        <w:t>he Compliance Plan shall</w:t>
      </w:r>
      <w:r w:rsidR="00AF7595" w:rsidRPr="00F22BD2">
        <w:rPr>
          <w:szCs w:val="22"/>
        </w:rPr>
        <w:t xml:space="preserve"> implement the following procedures</w:t>
      </w:r>
      <w:r w:rsidRPr="00F22BD2">
        <w:rPr>
          <w:szCs w:val="22"/>
        </w:rPr>
        <w:t>:</w:t>
      </w:r>
      <w:bookmarkEnd w:id="4"/>
    </w:p>
    <w:p w:rsidR="00176171" w:rsidRPr="00F22BD2" w:rsidRDefault="00176171" w:rsidP="008229AA">
      <w:pPr>
        <w:pStyle w:val="par1"/>
        <w:numPr>
          <w:ilvl w:val="0"/>
          <w:numId w:val="0"/>
        </w:numPr>
        <w:ind w:right="-180"/>
        <w:rPr>
          <w:szCs w:val="22"/>
        </w:rPr>
      </w:pPr>
    </w:p>
    <w:p w:rsidR="00176171" w:rsidRPr="00D53CD8" w:rsidRDefault="00176171" w:rsidP="008229AA">
      <w:pPr>
        <w:numPr>
          <w:ilvl w:val="1"/>
          <w:numId w:val="6"/>
        </w:numPr>
        <w:tabs>
          <w:tab w:val="left" w:pos="1800"/>
        </w:tabs>
        <w:ind w:right="-180"/>
        <w:rPr>
          <w:sz w:val="22"/>
          <w:szCs w:val="22"/>
        </w:rPr>
      </w:pPr>
      <w:r w:rsidRPr="00F22BD2">
        <w:rPr>
          <w:b/>
          <w:sz w:val="22"/>
          <w:szCs w:val="22"/>
          <w:u w:val="single"/>
        </w:rPr>
        <w:t>Operating Procedures</w:t>
      </w:r>
      <w:r w:rsidRPr="00F22BD2">
        <w:rPr>
          <w:b/>
          <w:sz w:val="22"/>
          <w:szCs w:val="22"/>
        </w:rPr>
        <w:t>.</w:t>
      </w:r>
      <w:r w:rsidRPr="00F22BD2">
        <w:rPr>
          <w:sz w:val="22"/>
          <w:szCs w:val="22"/>
        </w:rPr>
        <w:t xml:space="preserve">  Within sixty (60) calendar days after the Effective Date, </w:t>
      </w:r>
      <w:r w:rsidR="00AE306C" w:rsidRPr="003A6F17">
        <w:rPr>
          <w:sz w:val="22"/>
          <w:szCs w:val="22"/>
        </w:rPr>
        <w:t>AccessLine</w:t>
      </w:r>
      <w:r w:rsidR="00AE306C" w:rsidRPr="00F22BD2">
        <w:rPr>
          <w:sz w:val="22"/>
          <w:szCs w:val="22"/>
        </w:rPr>
        <w:t xml:space="preserve"> </w:t>
      </w:r>
      <w:r w:rsidRPr="00F22BD2">
        <w:rPr>
          <w:sz w:val="22"/>
          <w:szCs w:val="22"/>
        </w:rPr>
        <w:t xml:space="preserve">shall establish Operating Procedures that all Covered Employees shall follow to help ensure </w:t>
      </w:r>
      <w:r w:rsidR="00AE306C" w:rsidRPr="003A6F17">
        <w:rPr>
          <w:sz w:val="22"/>
          <w:szCs w:val="22"/>
        </w:rPr>
        <w:t>AccessLine’s</w:t>
      </w:r>
      <w:r w:rsidR="00AE306C" w:rsidRPr="00F22BD2">
        <w:rPr>
          <w:sz w:val="22"/>
          <w:szCs w:val="22"/>
        </w:rPr>
        <w:t xml:space="preserve"> </w:t>
      </w:r>
      <w:r w:rsidRPr="00F22BD2">
        <w:rPr>
          <w:sz w:val="22"/>
          <w:szCs w:val="22"/>
        </w:rPr>
        <w:t xml:space="preserve">compliance with the Section 214 Rules.  </w:t>
      </w:r>
      <w:r w:rsidR="00AE306C" w:rsidRPr="003A6F17">
        <w:rPr>
          <w:sz w:val="22"/>
          <w:szCs w:val="22"/>
        </w:rPr>
        <w:t>AccessLine’s</w:t>
      </w:r>
      <w:r w:rsidR="00AE306C" w:rsidRPr="00F22BD2">
        <w:rPr>
          <w:sz w:val="22"/>
          <w:szCs w:val="22"/>
        </w:rPr>
        <w:t xml:space="preserve"> </w:t>
      </w:r>
      <w:r w:rsidRPr="00D53CD8">
        <w:rPr>
          <w:sz w:val="22"/>
          <w:szCs w:val="22"/>
        </w:rPr>
        <w:t xml:space="preserve">Operating Procedures shall include internal procedures and policies specifically designed to ensure that </w:t>
      </w:r>
      <w:r w:rsidR="00AE306C" w:rsidRPr="003A6F17">
        <w:rPr>
          <w:sz w:val="22"/>
          <w:szCs w:val="22"/>
        </w:rPr>
        <w:t>AccessLine</w:t>
      </w:r>
      <w:r w:rsidR="00AE306C" w:rsidRPr="00F22BD2" w:rsidDel="00AE306C">
        <w:rPr>
          <w:sz w:val="22"/>
          <w:szCs w:val="22"/>
        </w:rPr>
        <w:t xml:space="preserve"> </w:t>
      </w:r>
      <w:r w:rsidRPr="00F22BD2">
        <w:rPr>
          <w:sz w:val="22"/>
          <w:szCs w:val="22"/>
        </w:rPr>
        <w:t xml:space="preserve">complies with the Section 214 Rules.  </w:t>
      </w:r>
      <w:r w:rsidR="00AE306C" w:rsidRPr="003A6F17">
        <w:rPr>
          <w:sz w:val="22"/>
          <w:szCs w:val="22"/>
        </w:rPr>
        <w:t>AccessLine</w:t>
      </w:r>
      <w:r w:rsidR="00AE306C" w:rsidRPr="00F22BD2">
        <w:rPr>
          <w:sz w:val="22"/>
          <w:szCs w:val="22"/>
        </w:rPr>
        <w:t xml:space="preserve"> </w:t>
      </w:r>
      <w:r w:rsidRPr="00F22BD2">
        <w:rPr>
          <w:sz w:val="22"/>
          <w:szCs w:val="22"/>
        </w:rPr>
        <w:t xml:space="preserve">shall also develop a Compliance Checklist that describes the steps that a </w:t>
      </w:r>
      <w:r w:rsidRPr="00D53CD8">
        <w:rPr>
          <w:sz w:val="22"/>
          <w:szCs w:val="22"/>
        </w:rPr>
        <w:t>Covered Employee must follow to ensure compliance with the Section 214 Rules.</w:t>
      </w:r>
    </w:p>
    <w:p w:rsidR="00176171" w:rsidRPr="00D53CD8" w:rsidRDefault="00176171" w:rsidP="008229AA">
      <w:pPr>
        <w:tabs>
          <w:tab w:val="left" w:pos="1800"/>
        </w:tabs>
        <w:ind w:right="-180"/>
        <w:rPr>
          <w:sz w:val="22"/>
          <w:szCs w:val="22"/>
        </w:rPr>
      </w:pPr>
    </w:p>
    <w:p w:rsidR="00176171" w:rsidRPr="00F22BD2" w:rsidRDefault="00176171" w:rsidP="008229AA">
      <w:pPr>
        <w:numPr>
          <w:ilvl w:val="1"/>
          <w:numId w:val="6"/>
        </w:numPr>
        <w:tabs>
          <w:tab w:val="left" w:pos="1800"/>
        </w:tabs>
        <w:ind w:right="-180"/>
        <w:rPr>
          <w:sz w:val="22"/>
          <w:szCs w:val="22"/>
        </w:rPr>
      </w:pPr>
      <w:r w:rsidRPr="00F22BD2">
        <w:rPr>
          <w:b/>
          <w:sz w:val="22"/>
          <w:szCs w:val="22"/>
          <w:u w:val="single"/>
        </w:rPr>
        <w:t>Compliance Manual</w:t>
      </w:r>
      <w:r w:rsidRPr="00F22BD2">
        <w:rPr>
          <w:b/>
          <w:sz w:val="22"/>
          <w:szCs w:val="22"/>
        </w:rPr>
        <w:t xml:space="preserve">.  </w:t>
      </w:r>
      <w:r w:rsidRPr="00F22BD2">
        <w:rPr>
          <w:sz w:val="22"/>
          <w:szCs w:val="22"/>
        </w:rPr>
        <w:t xml:space="preserve">Within sixty (60) calendar days after the Effective Date, the Compliance Officer shall develop and distribute a Compliance Manual to all Covered Employees.  </w:t>
      </w:r>
      <w:r w:rsidR="004678A3" w:rsidRPr="00F22BD2">
        <w:rPr>
          <w:sz w:val="22"/>
          <w:szCs w:val="22"/>
        </w:rPr>
        <w:t>The Compliance Manual shall explain the Section 214 Rules</w:t>
      </w:r>
      <w:r w:rsidR="00B97B80">
        <w:rPr>
          <w:sz w:val="22"/>
          <w:szCs w:val="22"/>
        </w:rPr>
        <w:t xml:space="preserve"> and </w:t>
      </w:r>
      <w:r w:rsidRPr="00F22BD2">
        <w:rPr>
          <w:sz w:val="22"/>
          <w:szCs w:val="22"/>
        </w:rPr>
        <w:t xml:space="preserve">set forth the Operating Procedures that Covered Employees shall follow to help ensure </w:t>
      </w:r>
      <w:r w:rsidR="00B6072B" w:rsidRPr="003A6F17">
        <w:rPr>
          <w:sz w:val="22"/>
          <w:szCs w:val="22"/>
        </w:rPr>
        <w:t>AccessLine</w:t>
      </w:r>
      <w:r w:rsidR="00B6072B" w:rsidRPr="00F22BD2">
        <w:rPr>
          <w:sz w:val="22"/>
          <w:szCs w:val="22"/>
        </w:rPr>
        <w:t xml:space="preserve">’s </w:t>
      </w:r>
      <w:r w:rsidRPr="00F22BD2">
        <w:rPr>
          <w:sz w:val="22"/>
          <w:szCs w:val="22"/>
        </w:rPr>
        <w:t xml:space="preserve">compliance with the Section 214 Rules.  </w:t>
      </w:r>
      <w:r w:rsidR="00B6072B" w:rsidRPr="003A6F17">
        <w:rPr>
          <w:sz w:val="22"/>
          <w:szCs w:val="22"/>
        </w:rPr>
        <w:t>AccessLine</w:t>
      </w:r>
      <w:r w:rsidR="00B6072B" w:rsidRPr="00F22BD2">
        <w:rPr>
          <w:sz w:val="22"/>
          <w:szCs w:val="22"/>
        </w:rPr>
        <w:t xml:space="preserve"> </w:t>
      </w:r>
      <w:r w:rsidRPr="00F22BD2">
        <w:rPr>
          <w:sz w:val="22"/>
          <w:szCs w:val="22"/>
        </w:rPr>
        <w:t xml:space="preserve">shall periodically review and revise the Compliance Manual as necessary to ensure that the information set forth therein remains current and accurate.  </w:t>
      </w:r>
      <w:r w:rsidR="00B6072B" w:rsidRPr="003A6F17">
        <w:rPr>
          <w:sz w:val="22"/>
          <w:szCs w:val="22"/>
        </w:rPr>
        <w:t>AccessLine</w:t>
      </w:r>
      <w:r w:rsidR="00B6072B" w:rsidRPr="00F22BD2" w:rsidDel="00B6072B">
        <w:rPr>
          <w:sz w:val="22"/>
          <w:szCs w:val="22"/>
        </w:rPr>
        <w:t xml:space="preserve"> </w:t>
      </w:r>
      <w:r w:rsidRPr="00F22BD2">
        <w:rPr>
          <w:sz w:val="22"/>
          <w:szCs w:val="22"/>
        </w:rPr>
        <w:t>shall distribute any revisions to the Complian</w:t>
      </w:r>
      <w:r w:rsidRPr="00D53CD8">
        <w:rPr>
          <w:sz w:val="22"/>
          <w:szCs w:val="22"/>
        </w:rPr>
        <w:t xml:space="preserve">ce Manual promptly to Covered Employees.  </w:t>
      </w:r>
    </w:p>
    <w:p w:rsidR="00176171" w:rsidRPr="00D53CD8" w:rsidRDefault="00176171" w:rsidP="008229AA">
      <w:pPr>
        <w:tabs>
          <w:tab w:val="left" w:pos="1800"/>
        </w:tabs>
        <w:ind w:left="1080" w:right="-180"/>
        <w:rPr>
          <w:sz w:val="22"/>
          <w:szCs w:val="22"/>
        </w:rPr>
      </w:pPr>
    </w:p>
    <w:p w:rsidR="00176171" w:rsidRPr="00D53CD8" w:rsidRDefault="00176171" w:rsidP="008229AA">
      <w:pPr>
        <w:numPr>
          <w:ilvl w:val="1"/>
          <w:numId w:val="6"/>
        </w:numPr>
        <w:tabs>
          <w:tab w:val="left" w:pos="1800"/>
        </w:tabs>
        <w:ind w:right="-180"/>
        <w:rPr>
          <w:sz w:val="22"/>
          <w:szCs w:val="22"/>
        </w:rPr>
      </w:pPr>
      <w:r w:rsidRPr="00D53CD8">
        <w:rPr>
          <w:b/>
          <w:sz w:val="22"/>
          <w:szCs w:val="22"/>
          <w:u w:val="single"/>
        </w:rPr>
        <w:t>Compliance Training Program</w:t>
      </w:r>
      <w:r w:rsidRPr="00D53CD8">
        <w:rPr>
          <w:b/>
          <w:sz w:val="22"/>
          <w:szCs w:val="22"/>
        </w:rPr>
        <w:t xml:space="preserve">.  </w:t>
      </w:r>
      <w:r w:rsidR="00B6072B" w:rsidRPr="003A6F17">
        <w:rPr>
          <w:sz w:val="22"/>
          <w:szCs w:val="22"/>
        </w:rPr>
        <w:t>AccessLine</w:t>
      </w:r>
      <w:r w:rsidR="00B6072B" w:rsidRPr="00F22BD2" w:rsidDel="00B6072B">
        <w:rPr>
          <w:sz w:val="22"/>
          <w:szCs w:val="22"/>
        </w:rPr>
        <w:t xml:space="preserve"> </w:t>
      </w:r>
      <w:r w:rsidRPr="00F22BD2">
        <w:rPr>
          <w:sz w:val="22"/>
          <w:szCs w:val="22"/>
        </w:rPr>
        <w:t>shall</w:t>
      </w:r>
      <w:r w:rsidRPr="00F22BD2">
        <w:rPr>
          <w:b/>
          <w:sz w:val="22"/>
          <w:szCs w:val="22"/>
        </w:rPr>
        <w:t xml:space="preserve"> </w:t>
      </w:r>
      <w:r w:rsidRPr="00D53CD8">
        <w:rPr>
          <w:sz w:val="22"/>
          <w:szCs w:val="22"/>
        </w:rPr>
        <w:t>establish and implement a Compliance Training Program on compliance with the Section 214 Rules</w:t>
      </w:r>
      <w:r w:rsidRPr="00F22BD2">
        <w:rPr>
          <w:sz w:val="22"/>
          <w:szCs w:val="22"/>
        </w:rPr>
        <w:t xml:space="preserve"> and the Operating Procedures.  As part of the Compliance Training Program, Covered Employees shall be advised of </w:t>
      </w:r>
      <w:r w:rsidR="00B6072B" w:rsidRPr="003A6F17">
        <w:rPr>
          <w:sz w:val="22"/>
          <w:szCs w:val="22"/>
        </w:rPr>
        <w:t>AccessLine</w:t>
      </w:r>
      <w:r w:rsidR="00B6072B" w:rsidRPr="00F22BD2">
        <w:rPr>
          <w:sz w:val="22"/>
          <w:szCs w:val="22"/>
        </w:rPr>
        <w:t xml:space="preserve">’s </w:t>
      </w:r>
      <w:r w:rsidRPr="00F22BD2">
        <w:rPr>
          <w:sz w:val="22"/>
          <w:szCs w:val="22"/>
        </w:rPr>
        <w:t>obligation to report any noncompliance</w:t>
      </w:r>
      <w:r w:rsidRPr="00D53CD8">
        <w:rPr>
          <w:sz w:val="22"/>
          <w:szCs w:val="22"/>
        </w:rPr>
        <w:t xml:space="preserve"> with the Section 214 Rules under paragraph </w:t>
      </w:r>
      <w:r w:rsidR="00D65C47" w:rsidRPr="00D53CD8">
        <w:rPr>
          <w:sz w:val="22"/>
          <w:szCs w:val="22"/>
        </w:rPr>
        <w:t>1</w:t>
      </w:r>
      <w:r w:rsidR="00081DE8">
        <w:rPr>
          <w:sz w:val="22"/>
          <w:szCs w:val="22"/>
        </w:rPr>
        <w:t>4</w:t>
      </w:r>
      <w:r w:rsidR="00D65C47" w:rsidRPr="00D53CD8">
        <w:rPr>
          <w:sz w:val="22"/>
          <w:szCs w:val="22"/>
        </w:rPr>
        <w:t xml:space="preserve"> of</w:t>
      </w:r>
      <w:r w:rsidRPr="00D53CD8">
        <w:rPr>
          <w:sz w:val="22"/>
          <w:szCs w:val="22"/>
        </w:rPr>
        <w:t xml:space="preserve"> this Consent Decree and shall be instructed on how to disclose noncompliance to the Compliance Officer.  All Covered Employees shall be trained pursuant to the Compliance Training Program within </w:t>
      </w:r>
      <w:r w:rsidR="00B97B80">
        <w:rPr>
          <w:sz w:val="22"/>
          <w:szCs w:val="22"/>
        </w:rPr>
        <w:t>sixty</w:t>
      </w:r>
      <w:r w:rsidR="00B97B80" w:rsidRPr="00F22BD2">
        <w:rPr>
          <w:sz w:val="22"/>
          <w:szCs w:val="22"/>
        </w:rPr>
        <w:t xml:space="preserve"> </w:t>
      </w:r>
      <w:r w:rsidR="00AF7595" w:rsidRPr="00F22BD2">
        <w:rPr>
          <w:sz w:val="22"/>
          <w:szCs w:val="22"/>
        </w:rPr>
        <w:t>(</w:t>
      </w:r>
      <w:r w:rsidR="00B97B80">
        <w:rPr>
          <w:sz w:val="22"/>
          <w:szCs w:val="22"/>
        </w:rPr>
        <w:t>6</w:t>
      </w:r>
      <w:r w:rsidR="00AF7595" w:rsidRPr="00F22BD2">
        <w:rPr>
          <w:sz w:val="22"/>
          <w:szCs w:val="22"/>
        </w:rPr>
        <w:t>0)</w:t>
      </w:r>
      <w:r w:rsidRPr="00F22BD2">
        <w:rPr>
          <w:sz w:val="22"/>
          <w:szCs w:val="22"/>
        </w:rPr>
        <w:t xml:space="preserve"> calendar days after the Effective Date</w:t>
      </w:r>
      <w:r w:rsidR="00AF7595" w:rsidRPr="00F22BD2">
        <w:rPr>
          <w:sz w:val="22"/>
          <w:szCs w:val="22"/>
        </w:rPr>
        <w:t>.</w:t>
      </w:r>
      <w:r w:rsidR="00B97B80">
        <w:rPr>
          <w:sz w:val="22"/>
          <w:szCs w:val="22"/>
        </w:rPr>
        <w:t xml:space="preserve"> </w:t>
      </w:r>
      <w:r w:rsidRPr="00F22BD2">
        <w:rPr>
          <w:sz w:val="22"/>
          <w:szCs w:val="22"/>
        </w:rPr>
        <w:t xml:space="preserve"> </w:t>
      </w:r>
      <w:r w:rsidR="00AF7595" w:rsidRPr="00F22BD2">
        <w:rPr>
          <w:sz w:val="22"/>
          <w:szCs w:val="22"/>
        </w:rPr>
        <w:t xml:space="preserve">Any </w:t>
      </w:r>
      <w:r w:rsidRPr="00F22BD2">
        <w:rPr>
          <w:sz w:val="22"/>
          <w:szCs w:val="22"/>
        </w:rPr>
        <w:t xml:space="preserve">person who becomes a Covered Employee at any time after the </w:t>
      </w:r>
      <w:r w:rsidR="00AF7595" w:rsidRPr="00F22BD2">
        <w:rPr>
          <w:sz w:val="22"/>
          <w:szCs w:val="22"/>
        </w:rPr>
        <w:t>Initial Training Program</w:t>
      </w:r>
      <w:r w:rsidRPr="00F22BD2">
        <w:rPr>
          <w:sz w:val="22"/>
          <w:szCs w:val="22"/>
        </w:rPr>
        <w:t xml:space="preserve"> shall be trained within thirty (30) calendar days after the date such person becomes a Covered Employee.  </w:t>
      </w:r>
      <w:r w:rsidR="00B6072B" w:rsidRPr="003A6F17">
        <w:rPr>
          <w:sz w:val="22"/>
          <w:szCs w:val="22"/>
        </w:rPr>
        <w:t>AccessLine</w:t>
      </w:r>
      <w:r w:rsidR="00B6072B" w:rsidRPr="00F22BD2" w:rsidDel="00B6072B">
        <w:rPr>
          <w:sz w:val="22"/>
          <w:szCs w:val="22"/>
        </w:rPr>
        <w:t xml:space="preserve"> </w:t>
      </w:r>
      <w:r w:rsidRPr="00F22BD2">
        <w:rPr>
          <w:sz w:val="22"/>
          <w:szCs w:val="22"/>
        </w:rPr>
        <w:t>shall repeat the compliance training on an annual basis, and shall periodically review and revise the Compliance Training Program as necessary to ensure that it remains current and complete and to enhance its effectiveness.</w:t>
      </w:r>
    </w:p>
    <w:p w:rsidR="00176171" w:rsidRPr="00D53CD8" w:rsidRDefault="00176171" w:rsidP="008229AA">
      <w:pPr>
        <w:pStyle w:val="par1"/>
        <w:numPr>
          <w:ilvl w:val="0"/>
          <w:numId w:val="0"/>
        </w:numPr>
        <w:tabs>
          <w:tab w:val="num" w:pos="1440"/>
        </w:tabs>
        <w:ind w:right="-180"/>
        <w:rPr>
          <w:szCs w:val="22"/>
        </w:rPr>
      </w:pPr>
    </w:p>
    <w:p w:rsidR="00176171" w:rsidRPr="00274DC1" w:rsidRDefault="00176171" w:rsidP="008229AA">
      <w:pPr>
        <w:pStyle w:val="par1"/>
        <w:ind w:right="-180"/>
        <w:rPr>
          <w:szCs w:val="22"/>
        </w:rPr>
      </w:pPr>
      <w:r w:rsidRPr="00D53CD8">
        <w:rPr>
          <w:rStyle w:val="underline"/>
          <w:b/>
          <w:bCs/>
          <w:szCs w:val="22"/>
          <w:u w:val="single"/>
        </w:rPr>
        <w:t>Reporting</w:t>
      </w:r>
      <w:r w:rsidRPr="00D53CD8">
        <w:rPr>
          <w:b/>
          <w:szCs w:val="22"/>
          <w:u w:val="single"/>
        </w:rPr>
        <w:t xml:space="preserve"> Noncompliance.</w:t>
      </w:r>
      <w:r w:rsidRPr="00F22BD2">
        <w:rPr>
          <w:szCs w:val="22"/>
        </w:rPr>
        <w:t xml:space="preserve">  </w:t>
      </w:r>
      <w:r w:rsidR="00B6072B" w:rsidRPr="00F22BD2">
        <w:rPr>
          <w:szCs w:val="22"/>
        </w:rPr>
        <w:t xml:space="preserve">AccessLine </w:t>
      </w:r>
      <w:r w:rsidRPr="00F22BD2">
        <w:rPr>
          <w:szCs w:val="22"/>
        </w:rPr>
        <w:t>shall report any noncompliance with the Section 214 Rules</w:t>
      </w:r>
      <w:r w:rsidR="00024555" w:rsidRPr="00F22BD2">
        <w:rPr>
          <w:szCs w:val="22"/>
        </w:rPr>
        <w:t xml:space="preserve"> </w:t>
      </w:r>
      <w:r w:rsidRPr="00F22BD2">
        <w:rPr>
          <w:szCs w:val="22"/>
        </w:rPr>
        <w:t xml:space="preserve">and the terms and conditions of this Consent Decree within fifteen (15) calendar days after discovery of such noncompliance.  Such reports shall include a detailed explanation of (i) each instance of noncompliance; (ii) the steps that </w:t>
      </w:r>
      <w:r w:rsidR="00B6072B" w:rsidRPr="00F22BD2">
        <w:rPr>
          <w:szCs w:val="22"/>
        </w:rPr>
        <w:t xml:space="preserve">AccessLine </w:t>
      </w:r>
      <w:r w:rsidRPr="00F22BD2">
        <w:rPr>
          <w:szCs w:val="22"/>
        </w:rPr>
        <w:t xml:space="preserve">has taken or will take to remedy such noncompliance; (iii) the schedule on which such remedial actions will be taken; and (iv) the steps that </w:t>
      </w:r>
      <w:r w:rsidR="00B6072B" w:rsidRPr="00F22BD2">
        <w:rPr>
          <w:szCs w:val="22"/>
        </w:rPr>
        <w:t xml:space="preserve">AccessLine </w:t>
      </w:r>
      <w:r w:rsidRPr="00F22BD2">
        <w:rPr>
          <w:szCs w:val="22"/>
        </w:rPr>
        <w:t xml:space="preserve">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Theresa Z. Cavanaugh at Terry.Cavanaugh@fcc.gov, </w:t>
      </w:r>
      <w:r w:rsidRPr="00F22BD2">
        <w:rPr>
          <w:rFonts w:eastAsia="MS Mincho"/>
          <w:szCs w:val="22"/>
        </w:rPr>
        <w:t>William A. Kehoe at William.Kehoe</w:t>
      </w:r>
      <w:r w:rsidRPr="00F22BD2">
        <w:rPr>
          <w:rFonts w:eastAsia="MS Mincho"/>
          <w:kern w:val="28"/>
          <w:szCs w:val="22"/>
        </w:rPr>
        <w:t>@fcc.gov,</w:t>
      </w:r>
      <w:r w:rsidRPr="00F22BD2">
        <w:rPr>
          <w:szCs w:val="22"/>
        </w:rPr>
        <w:t xml:space="preserve"> and Robert B. Krinsky at Robert.Krinsky@fcc.gov.  The reporting obligations set forth in this paragraph </w:t>
      </w:r>
      <w:r w:rsidRPr="00274DC1">
        <w:rPr>
          <w:szCs w:val="22"/>
        </w:rPr>
        <w:t xml:space="preserve">shall expire </w:t>
      </w:r>
      <w:r w:rsidR="00E62AF2" w:rsidRPr="00274DC1">
        <w:rPr>
          <w:szCs w:val="22"/>
        </w:rPr>
        <w:t>twenty-four (24)</w:t>
      </w:r>
      <w:r w:rsidR="00AF7595" w:rsidRPr="00274DC1">
        <w:rPr>
          <w:szCs w:val="22"/>
        </w:rPr>
        <w:t xml:space="preserve"> </w:t>
      </w:r>
      <w:r w:rsidRPr="00274DC1">
        <w:rPr>
          <w:szCs w:val="22"/>
        </w:rPr>
        <w:t xml:space="preserve">months after the Effective Date. </w:t>
      </w:r>
    </w:p>
    <w:p w:rsidR="00176171" w:rsidRPr="00274DC1" w:rsidRDefault="00176171" w:rsidP="008229AA">
      <w:pPr>
        <w:pStyle w:val="par1"/>
        <w:numPr>
          <w:ilvl w:val="0"/>
          <w:numId w:val="0"/>
        </w:numPr>
        <w:ind w:right="-180"/>
        <w:rPr>
          <w:szCs w:val="22"/>
        </w:rPr>
      </w:pPr>
    </w:p>
    <w:p w:rsidR="00176171" w:rsidRPr="00274DC1" w:rsidRDefault="00176171" w:rsidP="008229AA">
      <w:pPr>
        <w:pStyle w:val="par1"/>
        <w:ind w:right="-180"/>
        <w:rPr>
          <w:szCs w:val="22"/>
        </w:rPr>
      </w:pPr>
      <w:r w:rsidRPr="00274DC1">
        <w:rPr>
          <w:b/>
          <w:szCs w:val="22"/>
          <w:u w:val="single"/>
        </w:rPr>
        <w:t>Compliance Reports</w:t>
      </w:r>
      <w:r w:rsidRPr="00274DC1">
        <w:rPr>
          <w:b/>
          <w:szCs w:val="22"/>
        </w:rPr>
        <w:t>.</w:t>
      </w:r>
      <w:r w:rsidRPr="00274DC1">
        <w:rPr>
          <w:szCs w:val="22"/>
        </w:rPr>
        <w:t xml:space="preserve">  </w:t>
      </w:r>
      <w:r w:rsidR="004678A3" w:rsidRPr="00274DC1">
        <w:rPr>
          <w:szCs w:val="22"/>
        </w:rPr>
        <w:t xml:space="preserve">AccessLine </w:t>
      </w:r>
      <w:r w:rsidRPr="00274DC1">
        <w:rPr>
          <w:szCs w:val="22"/>
        </w:rPr>
        <w:t>shall file Compliance Reports with the Commission ninety (90) calendar days after the Effective Date, twelve (12) months after the Effective Date,</w:t>
      </w:r>
      <w:r w:rsidR="00E62AF2" w:rsidRPr="00274DC1">
        <w:rPr>
          <w:szCs w:val="22"/>
        </w:rPr>
        <w:t xml:space="preserve"> and</w:t>
      </w:r>
      <w:r w:rsidRPr="00274DC1">
        <w:rPr>
          <w:szCs w:val="22"/>
        </w:rPr>
        <w:t xml:space="preserve"> twenty-four (24) months after the Effective Date.  </w:t>
      </w:r>
    </w:p>
    <w:p w:rsidR="00176171" w:rsidRPr="00274DC1" w:rsidRDefault="00176171" w:rsidP="008229AA">
      <w:pPr>
        <w:pStyle w:val="par1"/>
        <w:numPr>
          <w:ilvl w:val="0"/>
          <w:numId w:val="0"/>
        </w:numPr>
        <w:ind w:right="-180"/>
        <w:rPr>
          <w:szCs w:val="22"/>
        </w:rPr>
      </w:pPr>
    </w:p>
    <w:p w:rsidR="00176171" w:rsidRPr="00274DC1" w:rsidRDefault="00176171" w:rsidP="008229AA">
      <w:pPr>
        <w:numPr>
          <w:ilvl w:val="0"/>
          <w:numId w:val="7"/>
        </w:numPr>
        <w:tabs>
          <w:tab w:val="left" w:pos="1800"/>
        </w:tabs>
        <w:ind w:right="-180"/>
        <w:rPr>
          <w:sz w:val="22"/>
          <w:szCs w:val="22"/>
        </w:rPr>
      </w:pPr>
      <w:r w:rsidRPr="00274DC1">
        <w:rPr>
          <w:sz w:val="22"/>
          <w:szCs w:val="22"/>
        </w:rPr>
        <w:t xml:space="preserve">Each Compliance Report shall include a detailed description of </w:t>
      </w:r>
      <w:r w:rsidR="00B6072B" w:rsidRPr="00274DC1">
        <w:rPr>
          <w:sz w:val="22"/>
          <w:szCs w:val="22"/>
        </w:rPr>
        <w:t xml:space="preserve">AccessLine’s </w:t>
      </w:r>
      <w:r w:rsidRPr="00274DC1">
        <w:rPr>
          <w:sz w:val="22"/>
          <w:szCs w:val="22"/>
        </w:rPr>
        <w:t>efforts during the relevant period to comply with the terms and conditions of this Consent Decree</w:t>
      </w:r>
      <w:r w:rsidR="008B4588" w:rsidRPr="00274DC1">
        <w:rPr>
          <w:sz w:val="22"/>
          <w:szCs w:val="22"/>
        </w:rPr>
        <w:t xml:space="preserve"> and</w:t>
      </w:r>
      <w:r w:rsidRPr="00274DC1">
        <w:rPr>
          <w:sz w:val="22"/>
          <w:szCs w:val="22"/>
        </w:rPr>
        <w:t xml:space="preserve"> the Section 214 Rules.  In addition, each Compliance Report shall include a certification by the Compliance Officer, as an agent of and on behalf of</w:t>
      </w:r>
      <w:r w:rsidR="00B6072B" w:rsidRPr="00274DC1">
        <w:rPr>
          <w:sz w:val="22"/>
          <w:szCs w:val="22"/>
        </w:rPr>
        <w:t xml:space="preserve"> AccessLine</w:t>
      </w:r>
      <w:r w:rsidRPr="00274DC1">
        <w:rPr>
          <w:sz w:val="22"/>
          <w:szCs w:val="22"/>
        </w:rPr>
        <w:t xml:space="preserve">, stating that the Compliance Officer has personal knowledge that </w:t>
      </w:r>
      <w:r w:rsidR="00B6072B" w:rsidRPr="00274DC1">
        <w:rPr>
          <w:sz w:val="22"/>
          <w:szCs w:val="22"/>
        </w:rPr>
        <w:t xml:space="preserve">AccessLine </w:t>
      </w:r>
      <w:r w:rsidRPr="00274DC1">
        <w:rPr>
          <w:sz w:val="22"/>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E62AF2" w:rsidRPr="00274DC1">
        <w:rPr>
          <w:sz w:val="22"/>
          <w:szCs w:val="22"/>
        </w:rPr>
        <w:t>14</w:t>
      </w:r>
      <w:r w:rsidR="001A3AD5" w:rsidRPr="00274DC1">
        <w:rPr>
          <w:sz w:val="22"/>
          <w:szCs w:val="22"/>
        </w:rPr>
        <w:t xml:space="preserve"> </w:t>
      </w:r>
      <w:r w:rsidRPr="00274DC1">
        <w:rPr>
          <w:sz w:val="22"/>
          <w:szCs w:val="22"/>
        </w:rPr>
        <w:t>of this Consent Decree.</w:t>
      </w:r>
    </w:p>
    <w:p w:rsidR="00176171" w:rsidRPr="00274DC1" w:rsidRDefault="00176171" w:rsidP="008229AA">
      <w:pPr>
        <w:pStyle w:val="par1"/>
        <w:numPr>
          <w:ilvl w:val="0"/>
          <w:numId w:val="0"/>
        </w:numPr>
        <w:ind w:left="1440" w:right="-180"/>
        <w:rPr>
          <w:szCs w:val="22"/>
        </w:rPr>
      </w:pPr>
    </w:p>
    <w:p w:rsidR="00176171" w:rsidRPr="00274DC1" w:rsidRDefault="00176171" w:rsidP="008229AA">
      <w:pPr>
        <w:numPr>
          <w:ilvl w:val="0"/>
          <w:numId w:val="7"/>
        </w:numPr>
        <w:tabs>
          <w:tab w:val="left" w:pos="1800"/>
        </w:tabs>
        <w:ind w:right="-180"/>
        <w:rPr>
          <w:sz w:val="22"/>
          <w:szCs w:val="22"/>
        </w:rPr>
      </w:pPr>
      <w:r w:rsidRPr="00274DC1">
        <w:rPr>
          <w:sz w:val="22"/>
          <w:szCs w:val="22"/>
        </w:rPr>
        <w:t>The Compliance Officer’s certification shall be accompanied by a statement explaining the basis for such certification and shall comply with Section 1.16 of the Rules</w:t>
      </w:r>
      <w:r w:rsidRPr="00274DC1">
        <w:rPr>
          <w:rStyle w:val="FootnoteReference"/>
          <w:sz w:val="22"/>
          <w:szCs w:val="22"/>
        </w:rPr>
        <w:footnoteReference w:id="25"/>
      </w:r>
      <w:r w:rsidRPr="00274DC1">
        <w:rPr>
          <w:sz w:val="22"/>
          <w:szCs w:val="22"/>
        </w:rPr>
        <w:t xml:space="preserve"> and be subscribed to as true under penalty of perjury in substantially the form set forth in Section 1.16. </w:t>
      </w:r>
    </w:p>
    <w:p w:rsidR="00176171" w:rsidRPr="00274DC1" w:rsidRDefault="00176171" w:rsidP="008229AA">
      <w:pPr>
        <w:pStyle w:val="par1"/>
        <w:numPr>
          <w:ilvl w:val="0"/>
          <w:numId w:val="0"/>
        </w:numPr>
        <w:ind w:right="-180"/>
        <w:rPr>
          <w:szCs w:val="22"/>
        </w:rPr>
      </w:pPr>
    </w:p>
    <w:p w:rsidR="00176171" w:rsidRPr="00274DC1" w:rsidRDefault="004678A3" w:rsidP="008229AA">
      <w:pPr>
        <w:numPr>
          <w:ilvl w:val="0"/>
          <w:numId w:val="7"/>
        </w:numPr>
        <w:tabs>
          <w:tab w:val="left" w:pos="1800"/>
        </w:tabs>
        <w:ind w:right="-180"/>
        <w:rPr>
          <w:sz w:val="22"/>
          <w:szCs w:val="22"/>
        </w:rPr>
      </w:pPr>
      <w:r w:rsidRPr="00274DC1">
        <w:rPr>
          <w:sz w:val="22"/>
          <w:szCs w:val="22"/>
        </w:rPr>
        <w:t>If the Compliance Officer cannot provide the requisite certification, the Compliance Officer, as an agent of and on behalf of AccessLine, shall provide the Commission with a detailed explanation of the reason(s) why and describe fully (i) each instance of noncompliance; (ii) the steps that AccessLine</w:t>
      </w:r>
      <w:r w:rsidRPr="00274DC1" w:rsidDel="00B6072B">
        <w:rPr>
          <w:sz w:val="22"/>
          <w:szCs w:val="22"/>
        </w:rPr>
        <w:t xml:space="preserve"> </w:t>
      </w:r>
      <w:r w:rsidRPr="00274DC1">
        <w:rPr>
          <w:sz w:val="22"/>
          <w:szCs w:val="22"/>
        </w:rPr>
        <w:t>has taken or will take to remedy such noncompliance, including the schedule on which proposed remedial actions will be taken; and (iii) the steps that AccessLine</w:t>
      </w:r>
      <w:r w:rsidRPr="00274DC1" w:rsidDel="00B6072B">
        <w:rPr>
          <w:sz w:val="22"/>
          <w:szCs w:val="22"/>
        </w:rPr>
        <w:t xml:space="preserve"> </w:t>
      </w:r>
      <w:r w:rsidRPr="00274DC1">
        <w:rPr>
          <w:sz w:val="22"/>
          <w:szCs w:val="22"/>
        </w:rPr>
        <w:t>has taken or will take to prevent the recurrence of any such noncompliance, including the schedule on which such preventive action will be taken.</w:t>
      </w:r>
    </w:p>
    <w:p w:rsidR="00176171" w:rsidRPr="00274DC1" w:rsidRDefault="00176171" w:rsidP="008229AA">
      <w:pPr>
        <w:tabs>
          <w:tab w:val="left" w:pos="1440"/>
          <w:tab w:val="left" w:pos="1800"/>
        </w:tabs>
        <w:ind w:right="-180"/>
        <w:rPr>
          <w:sz w:val="22"/>
          <w:szCs w:val="22"/>
        </w:rPr>
      </w:pPr>
    </w:p>
    <w:p w:rsidR="00176171" w:rsidRPr="00274DC1" w:rsidRDefault="00176171" w:rsidP="008229AA">
      <w:pPr>
        <w:numPr>
          <w:ilvl w:val="0"/>
          <w:numId w:val="7"/>
        </w:numPr>
        <w:tabs>
          <w:tab w:val="left" w:pos="1800"/>
        </w:tabs>
        <w:ind w:right="-180"/>
        <w:rPr>
          <w:sz w:val="22"/>
          <w:szCs w:val="22"/>
        </w:rPr>
      </w:pPr>
      <w:r w:rsidRPr="00274DC1">
        <w:rPr>
          <w:sz w:val="22"/>
          <w:szCs w:val="22"/>
        </w:rPr>
        <w:t>All Compliance Reports shall be submitted to the Chief, Investigations &amp; Hearings Division, Enforcement Bureau, Federal Communications Commission, Room 4</w:t>
      </w:r>
      <w:r w:rsidRPr="00274DC1">
        <w:rPr>
          <w:sz w:val="22"/>
          <w:szCs w:val="22"/>
        </w:rPr>
        <w:noBreakHyphen/>
        <w:t>C330, 445 12th Street, SW, Washington, DC 20554, with a copy submitted electronically to Theresa Z. Cavanaugh at Terry.</w:t>
      </w:r>
      <w:hyperlink r:id="rId14" w:history="1">
        <w:r w:rsidRPr="00274DC1">
          <w:rPr>
            <w:rStyle w:val="Hyperlink"/>
            <w:color w:val="auto"/>
            <w:sz w:val="22"/>
            <w:szCs w:val="22"/>
            <w:u w:val="none"/>
          </w:rPr>
          <w:t>Cavanaugh@fcc.gov</w:t>
        </w:r>
      </w:hyperlink>
      <w:r w:rsidRPr="00274DC1">
        <w:rPr>
          <w:sz w:val="22"/>
          <w:szCs w:val="22"/>
        </w:rPr>
        <w:t xml:space="preserve">, </w:t>
      </w:r>
      <w:r w:rsidRPr="00274DC1">
        <w:rPr>
          <w:rFonts w:eastAsia="MS Mincho"/>
          <w:sz w:val="22"/>
          <w:szCs w:val="22"/>
        </w:rPr>
        <w:t>William A. Kehoe at William.Kehoe</w:t>
      </w:r>
      <w:r w:rsidRPr="00274DC1">
        <w:rPr>
          <w:rFonts w:eastAsia="MS Mincho"/>
          <w:kern w:val="28"/>
          <w:sz w:val="22"/>
          <w:szCs w:val="22"/>
        </w:rPr>
        <w:t>@fcc.gov, and</w:t>
      </w:r>
      <w:r w:rsidRPr="00274DC1">
        <w:rPr>
          <w:sz w:val="22"/>
          <w:szCs w:val="22"/>
        </w:rPr>
        <w:t xml:space="preserve"> Robert B. Krinsky at </w:t>
      </w:r>
      <w:hyperlink r:id="rId15" w:history="1">
        <w:r w:rsidRPr="00274DC1">
          <w:rPr>
            <w:rStyle w:val="Hyperlink"/>
            <w:color w:val="auto"/>
            <w:sz w:val="22"/>
            <w:szCs w:val="22"/>
            <w:u w:val="none"/>
          </w:rPr>
          <w:t>Robert.Krinsky@fcc.gov</w:t>
        </w:r>
      </w:hyperlink>
      <w:r w:rsidRPr="00274DC1">
        <w:rPr>
          <w:sz w:val="22"/>
          <w:szCs w:val="22"/>
        </w:rPr>
        <w:t>.</w:t>
      </w:r>
    </w:p>
    <w:p w:rsidR="00176171" w:rsidRPr="00274DC1" w:rsidRDefault="00176171" w:rsidP="008229AA">
      <w:pPr>
        <w:tabs>
          <w:tab w:val="left" w:pos="1440"/>
          <w:tab w:val="left" w:pos="1800"/>
        </w:tabs>
        <w:ind w:left="1080" w:right="-180"/>
        <w:rPr>
          <w:sz w:val="22"/>
          <w:szCs w:val="22"/>
        </w:rPr>
      </w:pPr>
    </w:p>
    <w:p w:rsidR="008B4588" w:rsidRPr="00274DC1" w:rsidRDefault="008B4588" w:rsidP="008229AA">
      <w:pPr>
        <w:pStyle w:val="par1"/>
        <w:tabs>
          <w:tab w:val="clear" w:pos="1440"/>
        </w:tabs>
        <w:ind w:right="-180"/>
        <w:rPr>
          <w:szCs w:val="22"/>
        </w:rPr>
      </w:pPr>
      <w:r w:rsidRPr="00274DC1">
        <w:rPr>
          <w:b/>
          <w:szCs w:val="22"/>
          <w:u w:val="single"/>
        </w:rPr>
        <w:t>Termination Date.</w:t>
      </w:r>
      <w:r w:rsidRPr="00274DC1">
        <w:rPr>
          <w:szCs w:val="22"/>
        </w:rPr>
        <w:t xml:space="preserve">  Unless stated otherwise, the requirements set forth in </w:t>
      </w:r>
      <w:r w:rsidR="002934E0" w:rsidRPr="00274DC1">
        <w:rPr>
          <w:szCs w:val="22"/>
        </w:rPr>
        <w:t>paragraphs 12</w:t>
      </w:r>
      <w:r w:rsidR="007E7C3F" w:rsidRPr="00274DC1">
        <w:rPr>
          <w:szCs w:val="22"/>
        </w:rPr>
        <w:t xml:space="preserve"> </w:t>
      </w:r>
      <w:r w:rsidRPr="00274DC1">
        <w:rPr>
          <w:szCs w:val="22"/>
        </w:rPr>
        <w:t xml:space="preserve">through </w:t>
      </w:r>
      <w:r w:rsidR="002934E0" w:rsidRPr="00274DC1">
        <w:rPr>
          <w:szCs w:val="22"/>
        </w:rPr>
        <w:t>15 of</w:t>
      </w:r>
      <w:r w:rsidRPr="00274DC1">
        <w:rPr>
          <w:szCs w:val="22"/>
        </w:rPr>
        <w:t xml:space="preserve"> this Consent Decree shall expire </w:t>
      </w:r>
      <w:r w:rsidR="00E62AF2" w:rsidRPr="00274DC1">
        <w:rPr>
          <w:szCs w:val="22"/>
        </w:rPr>
        <w:t xml:space="preserve">twenty-four (24) months </w:t>
      </w:r>
      <w:r w:rsidRPr="00274DC1">
        <w:rPr>
          <w:szCs w:val="22"/>
        </w:rPr>
        <w:t>after the Effective Date.</w:t>
      </w:r>
    </w:p>
    <w:p w:rsidR="00176171" w:rsidRPr="003D4321" w:rsidRDefault="00176171" w:rsidP="008229AA">
      <w:pPr>
        <w:pStyle w:val="par1"/>
        <w:spacing w:before="240"/>
        <w:ind w:right="-180"/>
        <w:rPr>
          <w:rFonts w:eastAsia="MS Mincho"/>
          <w:szCs w:val="22"/>
        </w:rPr>
      </w:pPr>
      <w:r w:rsidRPr="00F22BD2">
        <w:rPr>
          <w:b/>
          <w:szCs w:val="22"/>
          <w:u w:val="single"/>
        </w:rPr>
        <w:t>Voluntary Contribution</w:t>
      </w:r>
      <w:r w:rsidRPr="00F22BD2">
        <w:rPr>
          <w:b/>
          <w:szCs w:val="22"/>
        </w:rPr>
        <w:t xml:space="preserve">. </w:t>
      </w:r>
      <w:r w:rsidRPr="00F22BD2">
        <w:rPr>
          <w:szCs w:val="22"/>
        </w:rPr>
        <w:t xml:space="preserve"> </w:t>
      </w:r>
      <w:r w:rsidR="00B6072B" w:rsidRPr="00F22BD2">
        <w:rPr>
          <w:szCs w:val="22"/>
        </w:rPr>
        <w:t xml:space="preserve">AccessLine </w:t>
      </w:r>
      <w:r w:rsidRPr="003D4321">
        <w:rPr>
          <w:rFonts w:eastAsia="MS Mincho"/>
          <w:szCs w:val="22"/>
        </w:rPr>
        <w:t xml:space="preserve">agrees that it will make a voluntary contribution to the United States Treasury in the amount of </w:t>
      </w:r>
      <w:r w:rsidR="00B6072B" w:rsidRPr="003D4321">
        <w:rPr>
          <w:rFonts w:eastAsia="MS Mincho"/>
          <w:szCs w:val="22"/>
        </w:rPr>
        <w:t xml:space="preserve">sixteen </w:t>
      </w:r>
      <w:r w:rsidRPr="002C299C">
        <w:rPr>
          <w:rFonts w:eastAsia="MS Mincho"/>
          <w:szCs w:val="22"/>
        </w:rPr>
        <w:t xml:space="preserve">thousand dollars </w:t>
      </w:r>
      <w:r w:rsidR="00B6072B" w:rsidRPr="002C299C">
        <w:rPr>
          <w:rFonts w:eastAsia="MS Mincho"/>
          <w:szCs w:val="22"/>
        </w:rPr>
        <w:t>($16,000</w:t>
      </w:r>
      <w:r w:rsidRPr="00A52C32">
        <w:rPr>
          <w:rFonts w:eastAsia="MS Mincho"/>
          <w:szCs w:val="22"/>
        </w:rPr>
        <w:t>)</w:t>
      </w:r>
      <w:r w:rsidR="009703AC">
        <w:rPr>
          <w:rFonts w:eastAsia="MS Mincho"/>
          <w:szCs w:val="22"/>
        </w:rPr>
        <w:t xml:space="preserve"> </w:t>
      </w:r>
      <w:r w:rsidR="009703AC" w:rsidRPr="00F22BD2">
        <w:rPr>
          <w:szCs w:val="22"/>
        </w:rPr>
        <w:t>within thirty (30) calendar days after the Effective Date</w:t>
      </w:r>
      <w:r w:rsidRPr="00A52C32">
        <w:rPr>
          <w:rFonts w:eastAsia="MS Mincho"/>
          <w:szCs w:val="22"/>
        </w:rPr>
        <w:t xml:space="preserve"> </w:t>
      </w:r>
      <w:r w:rsidRPr="00F22BD2">
        <w:rPr>
          <w:szCs w:val="22"/>
        </w:rPr>
        <w:t xml:space="preserve">(Voluntary Contribution). </w:t>
      </w:r>
      <w:r w:rsidR="006566FD">
        <w:rPr>
          <w:szCs w:val="22"/>
        </w:rPr>
        <w:t xml:space="preserve"> </w:t>
      </w:r>
      <w:r w:rsidR="004E02B5" w:rsidRPr="00F22BD2">
        <w:rPr>
          <w:szCs w:val="22"/>
        </w:rPr>
        <w:t xml:space="preserve">AccessLine </w:t>
      </w:r>
      <w:r w:rsidRPr="003D4321">
        <w:rPr>
          <w:rFonts w:eastAsia="MS Mincho"/>
          <w:szCs w:val="22"/>
        </w:rPr>
        <w:t xml:space="preserve">shall also send electronic notification of payment to </w:t>
      </w:r>
      <w:r w:rsidRPr="00F22BD2">
        <w:rPr>
          <w:szCs w:val="22"/>
        </w:rPr>
        <w:t xml:space="preserve">Theresa Z. Cavanaugh at Terry.Cavanaugh@fcc.gov, William A. Kehoe at </w:t>
      </w:r>
      <w:hyperlink r:id="rId16" w:history="1">
        <w:r w:rsidRPr="00F22BD2">
          <w:rPr>
            <w:rStyle w:val="Hyperlink"/>
            <w:color w:val="auto"/>
            <w:szCs w:val="22"/>
            <w:u w:val="none"/>
          </w:rPr>
          <w:t>William.Kehoe@fcc.gov</w:t>
        </w:r>
      </w:hyperlink>
      <w:r w:rsidRPr="00F22BD2">
        <w:rPr>
          <w:szCs w:val="22"/>
        </w:rPr>
        <w:t>, and Robert B. Krinsky at Robert.Krinsky@fcc.gov on the date</w:t>
      </w:r>
      <w:r w:rsidR="0017513A" w:rsidRPr="00F22BD2">
        <w:rPr>
          <w:szCs w:val="22"/>
        </w:rPr>
        <w:t xml:space="preserve"> </w:t>
      </w:r>
      <w:r w:rsidR="009703AC">
        <w:rPr>
          <w:szCs w:val="22"/>
        </w:rPr>
        <w:t xml:space="preserve">said </w:t>
      </w:r>
      <w:r w:rsidR="0017513A" w:rsidRPr="00F22BD2">
        <w:rPr>
          <w:szCs w:val="22"/>
        </w:rPr>
        <w:t>payment is</w:t>
      </w:r>
      <w:r w:rsidRPr="00F22BD2">
        <w:rPr>
          <w:szCs w:val="22"/>
        </w:rPr>
        <w:t xml:space="preserve"> made.</w:t>
      </w:r>
      <w:r w:rsidRPr="003D4321">
        <w:rPr>
          <w:rFonts w:eastAsia="MS Mincho"/>
          <w:szCs w:val="22"/>
        </w:rPr>
        <w:t xml:space="preserve">  </w:t>
      </w:r>
      <w:r w:rsidR="009703AC">
        <w:rPr>
          <w:rFonts w:eastAsia="MS Mincho"/>
          <w:szCs w:val="22"/>
        </w:rPr>
        <w:t>The p</w:t>
      </w:r>
      <w:r w:rsidRPr="003D4321">
        <w:rPr>
          <w:rFonts w:eastAsia="MS Mincho"/>
          <w:szCs w:val="22"/>
        </w:rPr>
        <w:t xml:space="preserve">ayment must be made by check or similar instrument, wire transfer, or credit card, and must include the </w:t>
      </w:r>
      <w:r w:rsidR="008B4588" w:rsidRPr="003D4321">
        <w:rPr>
          <w:rFonts w:eastAsia="MS Mincho"/>
          <w:szCs w:val="22"/>
        </w:rPr>
        <w:t>NAL/Account N</w:t>
      </w:r>
      <w:r w:rsidRPr="002C299C">
        <w:rPr>
          <w:rFonts w:eastAsia="MS Mincho"/>
          <w:szCs w:val="22"/>
        </w:rPr>
        <w:t>umber and FRN referenced above.  Regardless of the form of payment, a completed FCC Form 159 (Remittance Advice) must be submitted.</w:t>
      </w:r>
      <w:r w:rsidRPr="003A6F17">
        <w:rPr>
          <w:rStyle w:val="FootnoteReference"/>
          <w:rFonts w:eastAsia="MS Mincho"/>
          <w:sz w:val="22"/>
          <w:szCs w:val="22"/>
        </w:rPr>
        <w:footnoteReference w:id="26"/>
      </w:r>
      <w:r w:rsidRPr="002C299C">
        <w:rPr>
          <w:rFonts w:eastAsia="MS Mincho"/>
          <w:szCs w:val="22"/>
        </w:rPr>
        <w:t xml:space="preserve">  When completing the FCC Form 159, enter the Account Number in block number 23A (call sign/other ID) and enter the letters “FORF” in block number 24A (payment type code).  </w:t>
      </w:r>
      <w:r w:rsidRPr="00F22BD2">
        <w:rPr>
          <w:color w:val="000000"/>
          <w:szCs w:val="22"/>
        </w:rPr>
        <w:t xml:space="preserve">Below are additional instructions </w:t>
      </w:r>
      <w:r w:rsidR="009703AC">
        <w:rPr>
          <w:color w:val="000000"/>
          <w:szCs w:val="22"/>
        </w:rPr>
        <w:t xml:space="preserve">regarding </w:t>
      </w:r>
      <w:r w:rsidRPr="00F22BD2">
        <w:rPr>
          <w:color w:val="000000"/>
          <w:szCs w:val="22"/>
        </w:rPr>
        <w:t>the form of payment:</w:t>
      </w:r>
    </w:p>
    <w:p w:rsidR="00176171" w:rsidRPr="00F22BD2" w:rsidRDefault="00176171" w:rsidP="008229AA">
      <w:pPr>
        <w:pStyle w:val="ParaNum"/>
        <w:numPr>
          <w:ilvl w:val="0"/>
          <w:numId w:val="9"/>
        </w:numPr>
        <w:spacing w:before="120"/>
        <w:ind w:right="-180"/>
        <w:rPr>
          <w:rFonts w:eastAsia="MS Mincho"/>
          <w:szCs w:val="22"/>
        </w:rPr>
      </w:pPr>
      <w:bookmarkStart w:id="5" w:name="_DV_M87"/>
      <w:bookmarkStart w:id="6" w:name="_DV_M89"/>
      <w:bookmarkEnd w:id="5"/>
      <w:bookmarkEnd w:id="6"/>
      <w:r w:rsidRPr="00F22BD2">
        <w:rPr>
          <w:rFonts w:eastAsia="MS Mincho"/>
          <w:szCs w:val="22"/>
        </w:rPr>
        <w:t xml:space="preserve">Payment by </w:t>
      </w:r>
      <w:r w:rsidRPr="00F22BD2">
        <w:rPr>
          <w:szCs w:val="22"/>
        </w:rPr>
        <w:t>check</w:t>
      </w:r>
      <w:r w:rsidRPr="00F22BD2">
        <w:rPr>
          <w:rFonts w:eastAsia="MS Mincho"/>
          <w:szCs w:val="22"/>
        </w:rPr>
        <w:t xml:space="preserve"> or money order must be made payable to the order of the Federal Communications Commission.  Such payments (along with the completed Form 159) must be mailed to Federal Communications Commission, P.O. Box 979088, St. Louis, MO 63197</w:t>
      </w:r>
      <w:r w:rsidR="00024555" w:rsidRPr="00F22BD2">
        <w:rPr>
          <w:rFonts w:eastAsia="MS Mincho"/>
          <w:szCs w:val="22"/>
          <w:lang w:val="en-US"/>
        </w:rPr>
        <w:noBreakHyphen/>
      </w:r>
      <w:r w:rsidRPr="00F22BD2">
        <w:rPr>
          <w:rFonts w:eastAsia="MS Mincho"/>
          <w:szCs w:val="22"/>
        </w:rPr>
        <w:t>9000, or sent via overnight mail to U.S. Bank – Government Lockbox #979088, SL</w:t>
      </w:r>
      <w:r w:rsidR="00024555" w:rsidRPr="00F22BD2">
        <w:rPr>
          <w:rFonts w:eastAsia="MS Mincho"/>
          <w:szCs w:val="22"/>
          <w:lang w:val="en-US"/>
        </w:rPr>
        <w:noBreakHyphen/>
      </w:r>
      <w:r w:rsidRPr="00F22BD2">
        <w:rPr>
          <w:rFonts w:eastAsia="MS Mincho"/>
          <w:szCs w:val="22"/>
        </w:rPr>
        <w:t>MO-C2-GL, 1005 Convention Plaza, St. Louis, MO 63101.</w:t>
      </w:r>
    </w:p>
    <w:p w:rsidR="00176171" w:rsidRPr="00F22BD2" w:rsidRDefault="00176171" w:rsidP="008229AA">
      <w:pPr>
        <w:pStyle w:val="ParaNum"/>
        <w:numPr>
          <w:ilvl w:val="0"/>
          <w:numId w:val="9"/>
        </w:numPr>
        <w:spacing w:before="120"/>
        <w:ind w:right="-180"/>
        <w:rPr>
          <w:rFonts w:eastAsia="MS Mincho"/>
          <w:szCs w:val="22"/>
        </w:rPr>
      </w:pPr>
      <w:r w:rsidRPr="00F22BD2">
        <w:rPr>
          <w:rFonts w:eastAsia="MS Mincho"/>
          <w:szCs w:val="22"/>
        </w:rPr>
        <w:t xml:space="preserve">Payment by wire transfer must </w:t>
      </w:r>
      <w:r w:rsidRPr="00F22BD2">
        <w:rPr>
          <w:szCs w:val="22"/>
        </w:rPr>
        <w:t>be</w:t>
      </w:r>
      <w:r w:rsidRPr="00F22BD2">
        <w:rPr>
          <w:rFonts w:eastAsia="MS Mincho"/>
          <w:szCs w:val="22"/>
        </w:rPr>
        <w:t xml:space="preserv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176171" w:rsidRPr="00F22BD2" w:rsidRDefault="00176171" w:rsidP="008229AA">
      <w:pPr>
        <w:pStyle w:val="ParaNum"/>
        <w:numPr>
          <w:ilvl w:val="0"/>
          <w:numId w:val="9"/>
        </w:numPr>
        <w:spacing w:before="120"/>
        <w:ind w:right="-180"/>
        <w:rPr>
          <w:rFonts w:eastAsia="MS Mincho"/>
          <w:szCs w:val="22"/>
        </w:rPr>
      </w:pPr>
      <w:r w:rsidRPr="00F22BD2">
        <w:rPr>
          <w:rFonts w:eastAsia="MS Mincho"/>
          <w:szCs w:val="22"/>
        </w:rPr>
        <w:t xml:space="preserve">Payment by credit card must be made by providing the required credit card information on FCC Form 159 and signing and dating the Form 159 to authorize the credit card payment.  The completed </w:t>
      </w:r>
      <w:r w:rsidRPr="00F22BD2">
        <w:rPr>
          <w:szCs w:val="22"/>
        </w:rPr>
        <w:t>Form</w:t>
      </w:r>
      <w:r w:rsidRPr="00F22BD2">
        <w:rPr>
          <w:rFonts w:eastAsia="MS Mincho"/>
          <w:szCs w:val="22"/>
        </w:rPr>
        <w:t xml:space="preserve"> 159 must then be mailed to Federal Communications Commission, P.O. Box 979088, St. Louis, MO 63197-9000, or sent via overnight mail to U.S. Bank – Government Lockbox #979088, SL-MO-C2-GL, 1005 Convention Plaza, St. Louis, MO 63101.  </w:t>
      </w:r>
    </w:p>
    <w:p w:rsidR="00176171" w:rsidRPr="00F22BD2" w:rsidRDefault="00F31DB6" w:rsidP="008229AA">
      <w:pPr>
        <w:pStyle w:val="ParaNum"/>
        <w:numPr>
          <w:ilvl w:val="0"/>
          <w:numId w:val="0"/>
        </w:numPr>
        <w:ind w:right="-180"/>
        <w:rPr>
          <w:rFonts w:eastAsia="MS Mincho"/>
          <w:color w:val="000000"/>
          <w:szCs w:val="22"/>
          <w:lang w:eastAsia="ja-JP"/>
        </w:rPr>
      </w:pPr>
      <w:r w:rsidRPr="00F22BD2">
        <w:rPr>
          <w:rFonts w:eastAsia="MS Mincho"/>
          <w:szCs w:val="22"/>
          <w:lang w:val="en-US"/>
        </w:rPr>
        <w:t xml:space="preserve">Questions </w:t>
      </w:r>
      <w:r w:rsidR="00176171" w:rsidRPr="00F22BD2">
        <w:rPr>
          <w:rFonts w:eastAsia="MS Mincho"/>
          <w:szCs w:val="22"/>
        </w:rPr>
        <w:t xml:space="preserve">regarding payment </w:t>
      </w:r>
      <w:r w:rsidRPr="00F22BD2">
        <w:rPr>
          <w:rFonts w:eastAsia="MS Mincho"/>
          <w:szCs w:val="22"/>
        </w:rPr>
        <w:t>procedures should</w:t>
      </w:r>
      <w:r w:rsidRPr="00F22BD2">
        <w:rPr>
          <w:rFonts w:eastAsia="MS Mincho"/>
          <w:szCs w:val="22"/>
          <w:lang w:val="en-US"/>
        </w:rPr>
        <w:t xml:space="preserve"> be addressed to </w:t>
      </w:r>
      <w:r w:rsidR="00176171" w:rsidRPr="00F22BD2">
        <w:rPr>
          <w:rFonts w:eastAsia="MS Mincho"/>
          <w:szCs w:val="22"/>
        </w:rPr>
        <w:t>the Financial Operations Group Help Desk by phone, 1-877-480-3201, or by e</w:t>
      </w:r>
      <w:r w:rsidRPr="00F22BD2">
        <w:rPr>
          <w:rFonts w:eastAsia="MS Mincho"/>
          <w:szCs w:val="22"/>
        </w:rPr>
        <w:t>−</w:t>
      </w:r>
      <w:r w:rsidR="00176171" w:rsidRPr="00F22BD2">
        <w:rPr>
          <w:rFonts w:eastAsia="MS Mincho"/>
          <w:szCs w:val="22"/>
        </w:rPr>
        <w:t>mail, ARINQUIRIES@fcc.gov. </w:t>
      </w:r>
    </w:p>
    <w:p w:rsidR="009703AC" w:rsidRPr="00F22BD2" w:rsidRDefault="009703AC" w:rsidP="009703AC">
      <w:pPr>
        <w:pStyle w:val="par1"/>
        <w:tabs>
          <w:tab w:val="clear" w:pos="1440"/>
        </w:tabs>
        <w:ind w:right="-180"/>
        <w:rPr>
          <w:szCs w:val="22"/>
        </w:rPr>
      </w:pPr>
      <w:r w:rsidRPr="00F22BD2">
        <w:rPr>
          <w:b/>
          <w:szCs w:val="22"/>
          <w:u w:val="single"/>
        </w:rPr>
        <w:t>Section 208 Complaints; Subsequent Investigations</w:t>
      </w:r>
      <w:r w:rsidRPr="00F22BD2">
        <w:rPr>
          <w:b/>
          <w:szCs w:val="22"/>
        </w:rPr>
        <w:t xml:space="preserve">.  </w:t>
      </w:r>
      <w:r w:rsidRPr="00F22BD2">
        <w:rPr>
          <w:szCs w:val="22"/>
        </w:rPr>
        <w:t>Nothing in this Consent Decree shall prevent the Commission or its delegated authority from adjudicating complaints filed pursuant to Section 208 of the Act</w:t>
      </w:r>
      <w:r w:rsidRPr="00F22BD2">
        <w:rPr>
          <w:rStyle w:val="FootnoteReference"/>
          <w:sz w:val="22"/>
          <w:szCs w:val="22"/>
        </w:rPr>
        <w:footnoteReference w:id="27"/>
      </w:r>
      <w:r w:rsidRPr="00F22BD2">
        <w:rPr>
          <w:szCs w:val="22"/>
        </w:rPr>
        <w:t xml:space="preserve"> against AccessLine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AccessLine with the Communications Laws.</w:t>
      </w:r>
    </w:p>
    <w:p w:rsidR="00176171" w:rsidRPr="00F22BD2" w:rsidRDefault="00176171" w:rsidP="008229AA">
      <w:pPr>
        <w:pStyle w:val="par1"/>
        <w:spacing w:before="240"/>
        <w:ind w:right="-180"/>
        <w:rPr>
          <w:szCs w:val="22"/>
        </w:rPr>
      </w:pPr>
      <w:r w:rsidRPr="00F22BD2">
        <w:rPr>
          <w:b/>
          <w:szCs w:val="22"/>
          <w:u w:val="single"/>
        </w:rPr>
        <w:t>Waivers</w:t>
      </w:r>
      <w:r w:rsidRPr="00F22BD2">
        <w:rPr>
          <w:b/>
          <w:szCs w:val="22"/>
        </w:rPr>
        <w:t xml:space="preserve">. </w:t>
      </w:r>
      <w:r w:rsidRPr="00F22BD2">
        <w:rPr>
          <w:szCs w:val="22"/>
        </w:rPr>
        <w:t xml:space="preserve"> </w:t>
      </w:r>
      <w:r w:rsidR="0017513A" w:rsidRPr="00F22BD2">
        <w:rPr>
          <w:szCs w:val="22"/>
        </w:rPr>
        <w:t xml:space="preserve">AccessLine </w:t>
      </w:r>
      <w:r w:rsidRPr="00F22BD2">
        <w:rPr>
          <w:szCs w:val="22"/>
        </w:rPr>
        <w:t xml:space="preserve">waives any and all rights it may have to seek administrative or judicial reconsideration, review, appeal, or stay, or to otherwise challenge or contest the validity of this Consent Decree and the Adopting Order, provided the Bureau issues the Adopting Order as defined in this Consent Decree.  </w:t>
      </w:r>
      <w:r w:rsidR="0017513A" w:rsidRPr="00F22BD2">
        <w:rPr>
          <w:szCs w:val="22"/>
        </w:rPr>
        <w:t xml:space="preserve"> AccessLine</w:t>
      </w:r>
      <w:r w:rsidRPr="00F22BD2">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w:t>
      </w:r>
      <w:r w:rsidR="00D65C47" w:rsidRPr="00F22BD2">
        <w:rPr>
          <w:szCs w:val="22"/>
        </w:rPr>
        <w:t>neither AccessLine</w:t>
      </w:r>
      <w:r w:rsidRPr="00F22BD2">
        <w:rPr>
          <w:szCs w:val="22"/>
        </w:rPr>
        <w:t xml:space="preserve"> nor the Commission shall contest the validity of the Consent Decree or the Adopting Order, and </w:t>
      </w:r>
      <w:r w:rsidR="0017513A" w:rsidRPr="00F22BD2">
        <w:rPr>
          <w:szCs w:val="22"/>
        </w:rPr>
        <w:t xml:space="preserve">AccessLine </w:t>
      </w:r>
      <w:r w:rsidRPr="00F22BD2">
        <w:rPr>
          <w:szCs w:val="22"/>
        </w:rPr>
        <w:t xml:space="preserve">shall waive any statutory right to a trial </w:t>
      </w:r>
      <w:r w:rsidRPr="00F22BD2">
        <w:rPr>
          <w:i/>
          <w:szCs w:val="22"/>
        </w:rPr>
        <w:t>de novo</w:t>
      </w:r>
      <w:r w:rsidRPr="00F22BD2">
        <w:rPr>
          <w:szCs w:val="22"/>
        </w:rPr>
        <w:t xml:space="preserve">.  </w:t>
      </w:r>
      <w:r w:rsidR="0017513A" w:rsidRPr="00F22BD2">
        <w:rPr>
          <w:szCs w:val="22"/>
        </w:rPr>
        <w:t xml:space="preserve">AccessLine </w:t>
      </w:r>
      <w:r w:rsidRPr="00F22BD2">
        <w:rPr>
          <w:szCs w:val="22"/>
        </w:rPr>
        <w:t>hereby agrees to waive any claims it may otherwise have under the Equal Access to Justice Act,</w:t>
      </w:r>
      <w:r w:rsidRPr="00F22BD2">
        <w:rPr>
          <w:rStyle w:val="FootnoteReference"/>
          <w:sz w:val="22"/>
          <w:szCs w:val="22"/>
        </w:rPr>
        <w:footnoteReference w:id="28"/>
      </w:r>
      <w:r w:rsidRPr="00F22BD2">
        <w:rPr>
          <w:szCs w:val="22"/>
        </w:rPr>
        <w:t xml:space="preserve"> relating to the matters addressed in this Consent Decree.</w:t>
      </w:r>
    </w:p>
    <w:p w:rsidR="00176171" w:rsidRPr="00F22BD2" w:rsidRDefault="00176171" w:rsidP="008229AA">
      <w:pPr>
        <w:pStyle w:val="par1"/>
        <w:numPr>
          <w:ilvl w:val="0"/>
          <w:numId w:val="0"/>
        </w:numPr>
        <w:tabs>
          <w:tab w:val="num" w:pos="1440"/>
        </w:tabs>
        <w:ind w:right="-180" w:firstLine="720"/>
        <w:rPr>
          <w:szCs w:val="22"/>
        </w:rPr>
      </w:pPr>
    </w:p>
    <w:p w:rsidR="00176171" w:rsidRPr="00F22BD2" w:rsidRDefault="00176171" w:rsidP="008229AA">
      <w:pPr>
        <w:pStyle w:val="par1"/>
        <w:ind w:right="-180"/>
        <w:rPr>
          <w:szCs w:val="22"/>
        </w:rPr>
      </w:pPr>
      <w:r w:rsidRPr="00F22BD2">
        <w:rPr>
          <w:b/>
          <w:szCs w:val="22"/>
          <w:u w:val="single"/>
        </w:rPr>
        <w:t>Invalidity</w:t>
      </w:r>
      <w:r w:rsidRPr="00F22BD2">
        <w:rPr>
          <w:b/>
          <w:szCs w:val="22"/>
        </w:rPr>
        <w:t xml:space="preserve">. </w:t>
      </w:r>
      <w:r w:rsidRPr="00F22BD2">
        <w:rPr>
          <w:szCs w:val="22"/>
        </w:rPr>
        <w:t xml:space="preserve"> In the event that this Consent Decree in its entirety is rendered invalid by any court of competent jurisdiction, it shall become null and void and may not be used in any manner in any legal proceeding.</w:t>
      </w:r>
    </w:p>
    <w:p w:rsidR="00176171" w:rsidRPr="00F22BD2" w:rsidRDefault="00176171" w:rsidP="008229AA">
      <w:pPr>
        <w:pStyle w:val="par1"/>
        <w:numPr>
          <w:ilvl w:val="0"/>
          <w:numId w:val="0"/>
        </w:numPr>
        <w:tabs>
          <w:tab w:val="num" w:pos="1440"/>
        </w:tabs>
        <w:ind w:right="-180" w:firstLine="720"/>
        <w:rPr>
          <w:szCs w:val="22"/>
        </w:rPr>
      </w:pPr>
    </w:p>
    <w:p w:rsidR="00176171" w:rsidRPr="00F22BD2" w:rsidRDefault="00176171" w:rsidP="008229AA">
      <w:pPr>
        <w:pStyle w:val="par1"/>
        <w:ind w:right="-180"/>
        <w:rPr>
          <w:szCs w:val="22"/>
        </w:rPr>
      </w:pPr>
      <w:r w:rsidRPr="00F22BD2">
        <w:rPr>
          <w:b/>
          <w:szCs w:val="22"/>
          <w:u w:val="single"/>
        </w:rPr>
        <w:t>Subsequent Rule or Order</w:t>
      </w:r>
      <w:r w:rsidRPr="00F22BD2">
        <w:rPr>
          <w:b/>
          <w:szCs w:val="22"/>
        </w:rPr>
        <w:t>.</w:t>
      </w:r>
      <w:r w:rsidRPr="00F22BD2">
        <w:rPr>
          <w:szCs w:val="22"/>
        </w:rPr>
        <w:t xml:space="preserve">  The Parties agree that if any provision of the Consent Decree conflicts with any subsequent rule or order adopted by the Commission (except an order specifically intended to revise the terms of this Consent Decree to which </w:t>
      </w:r>
      <w:r w:rsidR="0017513A" w:rsidRPr="00F22BD2">
        <w:rPr>
          <w:szCs w:val="22"/>
        </w:rPr>
        <w:t xml:space="preserve">AccessLine </w:t>
      </w:r>
      <w:r w:rsidRPr="00F22BD2">
        <w:rPr>
          <w:szCs w:val="22"/>
        </w:rPr>
        <w:t>does not expressly consent) that provision will be superseded by such Commission rule or order.</w:t>
      </w:r>
    </w:p>
    <w:p w:rsidR="00176171" w:rsidRPr="00F22BD2" w:rsidRDefault="00176171" w:rsidP="008229AA">
      <w:pPr>
        <w:pStyle w:val="par1"/>
        <w:numPr>
          <w:ilvl w:val="0"/>
          <w:numId w:val="0"/>
        </w:numPr>
        <w:tabs>
          <w:tab w:val="num" w:pos="1440"/>
        </w:tabs>
        <w:ind w:right="-180" w:firstLine="720"/>
        <w:rPr>
          <w:szCs w:val="22"/>
        </w:rPr>
      </w:pPr>
    </w:p>
    <w:p w:rsidR="00176171" w:rsidRPr="00F22BD2" w:rsidRDefault="00176171" w:rsidP="008229AA">
      <w:pPr>
        <w:pStyle w:val="par1"/>
        <w:ind w:right="-180"/>
        <w:rPr>
          <w:szCs w:val="22"/>
        </w:rPr>
      </w:pPr>
      <w:r w:rsidRPr="00F22BD2">
        <w:rPr>
          <w:b/>
          <w:szCs w:val="22"/>
          <w:u w:val="single"/>
        </w:rPr>
        <w:t>Successors and Assigns</w:t>
      </w:r>
      <w:r w:rsidRPr="00F22BD2">
        <w:rPr>
          <w:b/>
          <w:szCs w:val="22"/>
        </w:rPr>
        <w:t>.</w:t>
      </w:r>
      <w:r w:rsidRPr="00F22BD2">
        <w:rPr>
          <w:szCs w:val="22"/>
        </w:rPr>
        <w:t xml:space="preserve">  </w:t>
      </w:r>
      <w:r w:rsidR="0017513A" w:rsidRPr="00F22BD2">
        <w:rPr>
          <w:szCs w:val="22"/>
        </w:rPr>
        <w:t xml:space="preserve">AccessLine </w:t>
      </w:r>
      <w:r w:rsidRPr="00F22BD2">
        <w:rPr>
          <w:szCs w:val="22"/>
        </w:rPr>
        <w:t>agrees that the provisions of this Consent Decree shall be binding on its successors, assigns, and transferees.</w:t>
      </w:r>
      <w:r w:rsidRPr="00F22BD2">
        <w:rPr>
          <w:szCs w:val="22"/>
          <w:u w:val="single"/>
        </w:rPr>
        <w:t xml:space="preserve">  </w:t>
      </w:r>
    </w:p>
    <w:p w:rsidR="00176171" w:rsidRPr="00F22BD2" w:rsidRDefault="00176171" w:rsidP="008229AA">
      <w:pPr>
        <w:pStyle w:val="par1"/>
        <w:numPr>
          <w:ilvl w:val="0"/>
          <w:numId w:val="0"/>
        </w:numPr>
        <w:tabs>
          <w:tab w:val="num" w:pos="1440"/>
        </w:tabs>
        <w:ind w:right="-180" w:firstLine="720"/>
        <w:rPr>
          <w:szCs w:val="22"/>
        </w:rPr>
      </w:pPr>
    </w:p>
    <w:p w:rsidR="00176171" w:rsidRPr="00F22BD2" w:rsidRDefault="00176171" w:rsidP="008229AA">
      <w:pPr>
        <w:pStyle w:val="par1"/>
        <w:ind w:right="-180"/>
        <w:rPr>
          <w:color w:val="000000"/>
          <w:szCs w:val="22"/>
        </w:rPr>
      </w:pPr>
      <w:r w:rsidRPr="00F22BD2">
        <w:rPr>
          <w:b/>
          <w:szCs w:val="22"/>
          <w:u w:val="single"/>
        </w:rPr>
        <w:t>Final Settlement</w:t>
      </w:r>
      <w:r w:rsidRPr="00F22BD2">
        <w:rPr>
          <w:b/>
          <w:szCs w:val="22"/>
        </w:rPr>
        <w:t>.</w:t>
      </w:r>
      <w:r w:rsidRPr="00F22BD2">
        <w:rPr>
          <w:szCs w:val="22"/>
        </w:rPr>
        <w:t xml:space="preserve">  The Parties agree and acknowledge that this Consent Decree shall constitute a final settlement between the </w:t>
      </w:r>
      <w:r w:rsidR="00F31DB6" w:rsidRPr="00F22BD2">
        <w:rPr>
          <w:szCs w:val="22"/>
        </w:rPr>
        <w:t xml:space="preserve">Parties with respect to the Investigation. </w:t>
      </w:r>
      <w:r w:rsidRPr="00F22BD2">
        <w:rPr>
          <w:szCs w:val="22"/>
        </w:rPr>
        <w:t xml:space="preserve"> The Parties further agree that this Consent Decree does not constitute either an adjudication on the merits or a factual or legal finding or determination regarding any compliance or noncompliance with the Communications Laws</w:t>
      </w:r>
      <w:r w:rsidRPr="00F22BD2">
        <w:rPr>
          <w:color w:val="000000"/>
          <w:szCs w:val="22"/>
        </w:rPr>
        <w:t>.</w:t>
      </w:r>
    </w:p>
    <w:p w:rsidR="00176171" w:rsidRPr="00F22BD2" w:rsidRDefault="00176171" w:rsidP="008229AA">
      <w:pPr>
        <w:pStyle w:val="par1"/>
        <w:numPr>
          <w:ilvl w:val="0"/>
          <w:numId w:val="0"/>
        </w:numPr>
        <w:ind w:right="-180"/>
        <w:rPr>
          <w:b/>
          <w:szCs w:val="22"/>
          <w:u w:val="single"/>
        </w:rPr>
      </w:pPr>
    </w:p>
    <w:p w:rsidR="00176171" w:rsidRPr="00F22BD2" w:rsidRDefault="00176171" w:rsidP="008229AA">
      <w:pPr>
        <w:pStyle w:val="par1"/>
        <w:ind w:right="-180"/>
        <w:rPr>
          <w:szCs w:val="22"/>
        </w:rPr>
      </w:pPr>
      <w:r w:rsidRPr="00F22BD2">
        <w:rPr>
          <w:b/>
          <w:szCs w:val="22"/>
          <w:u w:val="single"/>
        </w:rPr>
        <w:t>Modifications</w:t>
      </w:r>
      <w:r w:rsidRPr="00F22BD2">
        <w:rPr>
          <w:b/>
          <w:szCs w:val="22"/>
        </w:rPr>
        <w:t>.</w:t>
      </w:r>
      <w:r w:rsidRPr="00F22BD2">
        <w:rPr>
          <w:szCs w:val="22"/>
        </w:rPr>
        <w:t xml:space="preserve">  This Consent Decree cannot be modified without the advance written consent of both Parties.</w:t>
      </w:r>
    </w:p>
    <w:p w:rsidR="00176171" w:rsidRPr="00F22BD2" w:rsidRDefault="00176171" w:rsidP="008229AA">
      <w:pPr>
        <w:pStyle w:val="par1"/>
        <w:numPr>
          <w:ilvl w:val="0"/>
          <w:numId w:val="0"/>
        </w:numPr>
        <w:ind w:right="-180" w:firstLine="720"/>
        <w:rPr>
          <w:szCs w:val="22"/>
        </w:rPr>
      </w:pPr>
    </w:p>
    <w:p w:rsidR="00176171" w:rsidRPr="00F22BD2" w:rsidRDefault="00176171" w:rsidP="008229AA">
      <w:pPr>
        <w:pStyle w:val="par1"/>
        <w:ind w:right="-180"/>
        <w:rPr>
          <w:szCs w:val="22"/>
        </w:rPr>
      </w:pPr>
      <w:r w:rsidRPr="00F22BD2">
        <w:rPr>
          <w:b/>
          <w:szCs w:val="22"/>
          <w:u w:val="single"/>
        </w:rPr>
        <w:t>Paragraph Headings</w:t>
      </w:r>
      <w:r w:rsidRPr="00F22BD2">
        <w:rPr>
          <w:b/>
          <w:szCs w:val="22"/>
        </w:rPr>
        <w:t>.</w:t>
      </w:r>
      <w:r w:rsidRPr="00F22BD2">
        <w:rPr>
          <w:szCs w:val="22"/>
        </w:rPr>
        <w:t xml:space="preserve">  The headings of the </w:t>
      </w:r>
      <w:r w:rsidR="009703AC">
        <w:rPr>
          <w:szCs w:val="22"/>
        </w:rPr>
        <w:t>P</w:t>
      </w:r>
      <w:r w:rsidRPr="00F22BD2">
        <w:rPr>
          <w:szCs w:val="22"/>
        </w:rPr>
        <w:t>aragraphs in this Consent Decree are inserted for convenience only and are not intended to affect the meaning or interpretation of this Consent Decree.</w:t>
      </w:r>
    </w:p>
    <w:p w:rsidR="00176171" w:rsidRPr="00F22BD2" w:rsidRDefault="00176171" w:rsidP="008229AA">
      <w:pPr>
        <w:pStyle w:val="par1"/>
        <w:numPr>
          <w:ilvl w:val="0"/>
          <w:numId w:val="0"/>
        </w:numPr>
        <w:ind w:right="-180" w:firstLine="720"/>
        <w:rPr>
          <w:color w:val="000000"/>
          <w:szCs w:val="22"/>
        </w:rPr>
      </w:pPr>
    </w:p>
    <w:p w:rsidR="00176171" w:rsidRDefault="00176171" w:rsidP="008229AA">
      <w:pPr>
        <w:pStyle w:val="par1"/>
        <w:ind w:right="-180"/>
        <w:rPr>
          <w:szCs w:val="22"/>
        </w:rPr>
      </w:pPr>
      <w:r w:rsidRPr="00F22BD2">
        <w:rPr>
          <w:b/>
          <w:szCs w:val="22"/>
          <w:u w:val="single"/>
        </w:rPr>
        <w:t>Authorized Representative</w:t>
      </w:r>
      <w:r w:rsidRPr="00F22BD2">
        <w:rPr>
          <w:b/>
          <w:szCs w:val="22"/>
        </w:rPr>
        <w:t>.</w:t>
      </w:r>
      <w:r w:rsidRPr="00F22BD2">
        <w:rPr>
          <w:szCs w:val="22"/>
        </w:rPr>
        <w:t xml:space="preserve">  </w:t>
      </w:r>
      <w:r w:rsidR="009703AC">
        <w:rPr>
          <w:szCs w:val="22"/>
        </w:rPr>
        <w:t>The individual signing this Consent Decree on behalf of AccessLine represents and warrants that he</w:t>
      </w:r>
      <w:r w:rsidR="00F80B90">
        <w:rPr>
          <w:szCs w:val="22"/>
        </w:rPr>
        <w:t xml:space="preserve"> is authorized to execute this Consent Decree and to bind AccessLine to the obligations set forth herein</w:t>
      </w:r>
      <w:r w:rsidRPr="00F22BD2">
        <w:rPr>
          <w:szCs w:val="22"/>
        </w:rPr>
        <w:t>.</w:t>
      </w:r>
      <w:r w:rsidR="00F31DB6" w:rsidRPr="00F22BD2">
        <w:rPr>
          <w:szCs w:val="22"/>
        </w:rPr>
        <w:t xml:space="preserve">  The FCC signatory represents that he is signing this Consent Decree in his official capacity and that he is authorized to execute this Consent Decree.</w:t>
      </w:r>
    </w:p>
    <w:p w:rsidR="00616340" w:rsidRDefault="00616340" w:rsidP="00616340">
      <w:pPr>
        <w:pStyle w:val="par1"/>
        <w:numPr>
          <w:ilvl w:val="0"/>
          <w:numId w:val="0"/>
        </w:numPr>
        <w:ind w:right="-180"/>
        <w:rPr>
          <w:szCs w:val="22"/>
        </w:rPr>
      </w:pPr>
    </w:p>
    <w:p w:rsidR="00616340" w:rsidRPr="00F22BD2" w:rsidRDefault="00616340" w:rsidP="008229AA">
      <w:pPr>
        <w:pStyle w:val="par1"/>
        <w:numPr>
          <w:ilvl w:val="0"/>
          <w:numId w:val="0"/>
        </w:numPr>
        <w:ind w:right="-180"/>
        <w:rPr>
          <w:szCs w:val="22"/>
        </w:rPr>
      </w:pPr>
    </w:p>
    <w:p w:rsidR="00176171" w:rsidRPr="00F22BD2" w:rsidRDefault="00176171" w:rsidP="008229AA">
      <w:pPr>
        <w:pStyle w:val="par1"/>
        <w:ind w:right="-180"/>
        <w:rPr>
          <w:szCs w:val="22"/>
        </w:rPr>
      </w:pPr>
      <w:r w:rsidRPr="00F22BD2">
        <w:rPr>
          <w:b/>
          <w:szCs w:val="22"/>
          <w:u w:val="single"/>
        </w:rPr>
        <w:t>Counterparts</w:t>
      </w:r>
      <w:r w:rsidRPr="00F22BD2">
        <w:rPr>
          <w:b/>
          <w:szCs w:val="22"/>
        </w:rPr>
        <w:t>.</w:t>
      </w:r>
      <w:r w:rsidRPr="00F22BD2">
        <w:rPr>
          <w:szCs w:val="22"/>
        </w:rPr>
        <w:t xml:space="preserve">  This Consent Decree may be signed in counterpart (including by facsimile).  Each counterpart, when executed and delivered, shall be an original, and all of the counterparts together shall constitute one and the same fully executed instrument.</w:t>
      </w:r>
    </w:p>
    <w:p w:rsidR="00176171" w:rsidRPr="00F22BD2" w:rsidRDefault="00176171">
      <w:pPr>
        <w:pStyle w:val="par1"/>
        <w:numPr>
          <w:ilvl w:val="0"/>
          <w:numId w:val="0"/>
        </w:numPr>
        <w:rPr>
          <w:szCs w:val="22"/>
        </w:rPr>
      </w:pPr>
    </w:p>
    <w:tbl>
      <w:tblPr>
        <w:tblW w:w="0" w:type="auto"/>
        <w:tblLook w:val="0000" w:firstRow="0" w:lastRow="0" w:firstColumn="0" w:lastColumn="0" w:noHBand="0" w:noVBand="0"/>
      </w:tblPr>
      <w:tblGrid>
        <w:gridCol w:w="4788"/>
        <w:gridCol w:w="4788"/>
      </w:tblGrid>
      <w:tr w:rsidR="00176171" w:rsidRPr="00F22BD2">
        <w:tc>
          <w:tcPr>
            <w:tcW w:w="4788" w:type="dxa"/>
          </w:tcPr>
          <w:p w:rsidR="00176171" w:rsidRPr="00F22BD2" w:rsidRDefault="00176171">
            <w:pPr>
              <w:keepNext/>
              <w:rPr>
                <w:sz w:val="22"/>
                <w:szCs w:val="22"/>
              </w:rPr>
            </w:pPr>
          </w:p>
          <w:p w:rsidR="00176171" w:rsidRPr="00F22BD2" w:rsidRDefault="00176171">
            <w:pPr>
              <w:keepNext/>
              <w:rPr>
                <w:sz w:val="22"/>
                <w:szCs w:val="22"/>
              </w:rPr>
            </w:pPr>
          </w:p>
          <w:p w:rsidR="00D10DC3" w:rsidRPr="00F22BD2" w:rsidRDefault="00D10DC3">
            <w:pPr>
              <w:keepNext/>
              <w:rPr>
                <w:sz w:val="22"/>
                <w:szCs w:val="22"/>
              </w:rPr>
            </w:pPr>
          </w:p>
          <w:p w:rsidR="00176171" w:rsidRPr="00F22BD2" w:rsidRDefault="00176171">
            <w:pPr>
              <w:keepNext/>
              <w:rPr>
                <w:sz w:val="22"/>
                <w:szCs w:val="22"/>
              </w:rPr>
            </w:pPr>
            <w:r w:rsidRPr="00F22BD2">
              <w:rPr>
                <w:sz w:val="22"/>
                <w:szCs w:val="22"/>
              </w:rPr>
              <w:t>________________________________</w:t>
            </w:r>
          </w:p>
          <w:p w:rsidR="00D65C47" w:rsidRPr="00F22BD2" w:rsidRDefault="0017513A">
            <w:pPr>
              <w:keepNext/>
              <w:rPr>
                <w:sz w:val="22"/>
                <w:szCs w:val="22"/>
              </w:rPr>
            </w:pPr>
            <w:r w:rsidRPr="00F22BD2">
              <w:rPr>
                <w:sz w:val="22"/>
                <w:szCs w:val="22"/>
              </w:rPr>
              <w:t>Robert H. Ratcliffe</w:t>
            </w:r>
          </w:p>
          <w:p w:rsidR="00176171" w:rsidRPr="00F22BD2" w:rsidRDefault="0017513A">
            <w:pPr>
              <w:keepNext/>
              <w:rPr>
                <w:sz w:val="22"/>
                <w:szCs w:val="22"/>
              </w:rPr>
            </w:pPr>
            <w:r w:rsidRPr="00F22BD2">
              <w:rPr>
                <w:sz w:val="22"/>
                <w:szCs w:val="22"/>
              </w:rPr>
              <w:t xml:space="preserve">Acting </w:t>
            </w:r>
            <w:r w:rsidR="00176171" w:rsidRPr="00F22BD2">
              <w:rPr>
                <w:sz w:val="22"/>
                <w:szCs w:val="22"/>
              </w:rPr>
              <w:t>Chief</w:t>
            </w:r>
          </w:p>
          <w:p w:rsidR="00176171" w:rsidRPr="00F22BD2" w:rsidRDefault="00176171">
            <w:pPr>
              <w:keepNext/>
              <w:rPr>
                <w:sz w:val="22"/>
                <w:szCs w:val="22"/>
              </w:rPr>
            </w:pPr>
            <w:r w:rsidRPr="00F22BD2">
              <w:rPr>
                <w:sz w:val="22"/>
                <w:szCs w:val="22"/>
              </w:rPr>
              <w:t xml:space="preserve">Enforcement Bureau </w:t>
            </w:r>
          </w:p>
          <w:p w:rsidR="00176171" w:rsidRPr="00F22BD2" w:rsidRDefault="00176171">
            <w:pPr>
              <w:keepNext/>
              <w:rPr>
                <w:sz w:val="22"/>
                <w:szCs w:val="22"/>
              </w:rPr>
            </w:pPr>
          </w:p>
          <w:p w:rsidR="00176171" w:rsidRPr="00F22BD2" w:rsidRDefault="00176171">
            <w:pPr>
              <w:keepNext/>
              <w:rPr>
                <w:sz w:val="22"/>
                <w:szCs w:val="22"/>
              </w:rPr>
            </w:pPr>
            <w:r w:rsidRPr="00F22BD2">
              <w:rPr>
                <w:sz w:val="22"/>
                <w:szCs w:val="22"/>
              </w:rPr>
              <w:t>________________________________</w:t>
            </w:r>
          </w:p>
          <w:p w:rsidR="00176171" w:rsidRPr="00F22BD2" w:rsidRDefault="00176171">
            <w:pPr>
              <w:keepNext/>
              <w:rPr>
                <w:sz w:val="22"/>
                <w:szCs w:val="22"/>
              </w:rPr>
            </w:pPr>
            <w:r w:rsidRPr="00F22BD2">
              <w:rPr>
                <w:sz w:val="22"/>
                <w:szCs w:val="22"/>
              </w:rPr>
              <w:t>Date</w:t>
            </w:r>
          </w:p>
          <w:p w:rsidR="00176171" w:rsidRPr="00F22BD2" w:rsidRDefault="00176171">
            <w:pPr>
              <w:keepNext/>
              <w:rPr>
                <w:b/>
                <w:sz w:val="22"/>
                <w:szCs w:val="22"/>
              </w:rPr>
            </w:pPr>
          </w:p>
          <w:p w:rsidR="00176171" w:rsidRPr="00F22BD2" w:rsidRDefault="00176171">
            <w:pPr>
              <w:keepNext/>
              <w:rPr>
                <w:b/>
                <w:sz w:val="22"/>
                <w:szCs w:val="22"/>
              </w:rPr>
            </w:pPr>
          </w:p>
          <w:p w:rsidR="00176171" w:rsidRPr="00F22BD2" w:rsidRDefault="00176171">
            <w:pPr>
              <w:keepNext/>
              <w:rPr>
                <w:b/>
                <w:sz w:val="22"/>
                <w:szCs w:val="22"/>
              </w:rPr>
            </w:pPr>
          </w:p>
          <w:p w:rsidR="00176171" w:rsidRPr="00F22BD2" w:rsidRDefault="00176171">
            <w:pPr>
              <w:keepNext/>
              <w:rPr>
                <w:sz w:val="22"/>
                <w:szCs w:val="22"/>
              </w:rPr>
            </w:pPr>
            <w:r w:rsidRPr="00F22BD2">
              <w:rPr>
                <w:b/>
                <w:sz w:val="22"/>
                <w:szCs w:val="22"/>
              </w:rPr>
              <w:t>________________________________</w:t>
            </w:r>
          </w:p>
          <w:p w:rsidR="00176171" w:rsidRPr="00F22BD2" w:rsidRDefault="0017513A">
            <w:pPr>
              <w:pStyle w:val="BodyText1"/>
              <w:rPr>
                <w:rFonts w:ascii="Times New Roman" w:hAnsi="Times New Roman"/>
                <w:sz w:val="22"/>
                <w:szCs w:val="22"/>
                <w:u w:val="none"/>
              </w:rPr>
            </w:pPr>
            <w:r w:rsidRPr="00F22BD2">
              <w:rPr>
                <w:rFonts w:ascii="Times New Roman" w:hAnsi="Times New Roman"/>
                <w:sz w:val="22"/>
                <w:szCs w:val="22"/>
                <w:u w:val="none"/>
              </w:rPr>
              <w:t>Douglas Johnson</w:t>
            </w:r>
          </w:p>
          <w:p w:rsidR="00176171" w:rsidRPr="00F22BD2" w:rsidRDefault="0017513A">
            <w:pPr>
              <w:pStyle w:val="BodyText1"/>
              <w:rPr>
                <w:rFonts w:ascii="Times New Roman" w:hAnsi="Times New Roman"/>
                <w:sz w:val="22"/>
                <w:szCs w:val="22"/>
                <w:u w:val="none"/>
              </w:rPr>
            </w:pPr>
            <w:r w:rsidRPr="00F22BD2">
              <w:rPr>
                <w:rFonts w:ascii="Times New Roman" w:hAnsi="Times New Roman"/>
                <w:sz w:val="22"/>
                <w:szCs w:val="22"/>
                <w:u w:val="none"/>
              </w:rPr>
              <w:t>Chief Executive Officer</w:t>
            </w:r>
          </w:p>
          <w:p w:rsidR="00176171" w:rsidRPr="00F22BD2" w:rsidRDefault="0017513A">
            <w:pPr>
              <w:pStyle w:val="BodyText1"/>
              <w:rPr>
                <w:rFonts w:ascii="Times New Roman" w:hAnsi="Times New Roman"/>
                <w:sz w:val="22"/>
                <w:szCs w:val="22"/>
                <w:u w:val="none"/>
              </w:rPr>
            </w:pPr>
            <w:r w:rsidRPr="00F22BD2">
              <w:rPr>
                <w:rFonts w:ascii="Times New Roman" w:hAnsi="Times New Roman"/>
                <w:sz w:val="22"/>
                <w:szCs w:val="22"/>
                <w:u w:val="none"/>
              </w:rPr>
              <w:t>AccessLine Communications Corporation</w:t>
            </w:r>
          </w:p>
          <w:p w:rsidR="00176171" w:rsidRPr="00F22BD2" w:rsidRDefault="00176171">
            <w:pPr>
              <w:keepNext/>
              <w:rPr>
                <w:sz w:val="22"/>
                <w:szCs w:val="22"/>
              </w:rPr>
            </w:pPr>
          </w:p>
          <w:p w:rsidR="00176171" w:rsidRPr="00F22BD2" w:rsidRDefault="00176171">
            <w:pPr>
              <w:keepNext/>
              <w:rPr>
                <w:sz w:val="22"/>
                <w:szCs w:val="22"/>
              </w:rPr>
            </w:pPr>
            <w:r w:rsidRPr="00F22BD2">
              <w:rPr>
                <w:sz w:val="22"/>
                <w:szCs w:val="22"/>
              </w:rPr>
              <w:t>________________________________</w:t>
            </w:r>
          </w:p>
          <w:p w:rsidR="00176171" w:rsidRPr="00F22BD2" w:rsidRDefault="00176171">
            <w:pPr>
              <w:keepNext/>
              <w:rPr>
                <w:sz w:val="22"/>
                <w:szCs w:val="22"/>
              </w:rPr>
            </w:pPr>
            <w:r w:rsidRPr="00F22BD2">
              <w:rPr>
                <w:sz w:val="22"/>
                <w:szCs w:val="22"/>
              </w:rPr>
              <w:t>Date</w:t>
            </w:r>
          </w:p>
        </w:tc>
        <w:tc>
          <w:tcPr>
            <w:tcW w:w="4788" w:type="dxa"/>
          </w:tcPr>
          <w:p w:rsidR="00176171" w:rsidRPr="00F22BD2" w:rsidRDefault="00176171">
            <w:pPr>
              <w:keepNext/>
              <w:rPr>
                <w:sz w:val="22"/>
                <w:szCs w:val="22"/>
              </w:rPr>
            </w:pPr>
          </w:p>
          <w:p w:rsidR="00176171" w:rsidRPr="00F22BD2" w:rsidRDefault="00176171">
            <w:pPr>
              <w:keepNext/>
              <w:rPr>
                <w:b/>
                <w:sz w:val="22"/>
                <w:szCs w:val="22"/>
              </w:rPr>
            </w:pPr>
          </w:p>
        </w:tc>
      </w:tr>
    </w:tbl>
    <w:p w:rsidR="00176171" w:rsidRPr="003A6F17" w:rsidRDefault="00176171">
      <w:pPr>
        <w:rPr>
          <w:sz w:val="22"/>
          <w:szCs w:val="22"/>
        </w:rPr>
      </w:pPr>
    </w:p>
    <w:sectPr w:rsidR="00176171" w:rsidRPr="003A6F17">
      <w:footnotePr>
        <w:numRestart w:val="eachSect"/>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37" w:rsidRDefault="005B2037">
      <w:r>
        <w:separator/>
      </w:r>
    </w:p>
  </w:endnote>
  <w:endnote w:type="continuationSeparator" w:id="0">
    <w:p w:rsidR="005B2037" w:rsidRDefault="005B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CD" w:rsidRDefault="00536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E" w:rsidRDefault="006A621E">
    <w:pPr>
      <w:pStyle w:val="Footer"/>
    </w:pPr>
  </w:p>
  <w:p w:rsidR="006A621E" w:rsidRDefault="006A621E">
    <w:pPr>
      <w:pStyle w:val="Footer"/>
      <w:jc w:val="center"/>
    </w:pPr>
    <w:r>
      <w:rPr>
        <w:rStyle w:val="PageNumber"/>
      </w:rPr>
      <w:fldChar w:fldCharType="begin"/>
    </w:r>
    <w:r>
      <w:rPr>
        <w:rStyle w:val="PageNumber"/>
      </w:rPr>
      <w:instrText xml:space="preserve"> PAGE </w:instrText>
    </w:r>
    <w:r>
      <w:rPr>
        <w:rStyle w:val="PageNumber"/>
      </w:rPr>
      <w:fldChar w:fldCharType="separate"/>
    </w:r>
    <w:r w:rsidR="00E90222">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CD" w:rsidRDefault="00536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37" w:rsidRDefault="005B2037">
      <w:r>
        <w:separator/>
      </w:r>
    </w:p>
  </w:footnote>
  <w:footnote w:type="continuationSeparator" w:id="0">
    <w:p w:rsidR="005B2037" w:rsidRDefault="005B2037">
      <w:r>
        <w:continuationSeparator/>
      </w:r>
    </w:p>
  </w:footnote>
  <w:footnote w:id="1">
    <w:p w:rsidR="001D66EF" w:rsidRDefault="001D66EF" w:rsidP="001D66EF">
      <w:pPr>
        <w:pStyle w:val="FootnoteText"/>
        <w:ind w:firstLine="0"/>
        <w:rPr>
          <w:sz w:val="20"/>
          <w:szCs w:val="20"/>
        </w:rPr>
      </w:pPr>
      <w:r>
        <w:rPr>
          <w:rStyle w:val="FootnoteReference"/>
          <w:szCs w:val="20"/>
        </w:rPr>
        <w:footnoteRef/>
      </w:r>
      <w:r>
        <w:rPr>
          <w:sz w:val="20"/>
          <w:szCs w:val="20"/>
        </w:rPr>
        <w:t xml:space="preserve"> 47 U.S.C. § 214.</w:t>
      </w:r>
    </w:p>
  </w:footnote>
  <w:footnote w:id="2">
    <w:p w:rsidR="001D66EF" w:rsidRDefault="001D66EF" w:rsidP="001D66EF">
      <w:pPr>
        <w:pStyle w:val="FootnoteText"/>
        <w:tabs>
          <w:tab w:val="left" w:pos="810"/>
        </w:tabs>
        <w:ind w:firstLine="0"/>
      </w:pPr>
      <w:r>
        <w:rPr>
          <w:rStyle w:val="FootnoteReference"/>
          <w:szCs w:val="20"/>
        </w:rPr>
        <w:footnoteRef/>
      </w:r>
      <w:r>
        <w:rPr>
          <w:sz w:val="20"/>
          <w:szCs w:val="20"/>
        </w:rPr>
        <w:t xml:space="preserve"> </w:t>
      </w:r>
      <w:r>
        <w:rPr>
          <w:color w:val="000000"/>
          <w:sz w:val="20"/>
          <w:szCs w:val="20"/>
        </w:rPr>
        <w:t>47 C.F.R. §§ 63.03, 63.04, 63.18, 63.24</w:t>
      </w:r>
      <w:r>
        <w:rPr>
          <w:sz w:val="20"/>
          <w:szCs w:val="20"/>
        </w:rPr>
        <w:t>.</w:t>
      </w:r>
    </w:p>
  </w:footnote>
  <w:footnote w:id="3">
    <w:p w:rsidR="001D66EF" w:rsidRDefault="001D66EF" w:rsidP="001D66EF">
      <w:pPr>
        <w:pStyle w:val="FootnoteText"/>
        <w:tabs>
          <w:tab w:val="left" w:pos="810"/>
        </w:tabs>
        <w:ind w:firstLine="0"/>
      </w:pPr>
      <w:r>
        <w:rPr>
          <w:rStyle w:val="FootnoteReference"/>
          <w:szCs w:val="20"/>
        </w:rPr>
        <w:footnoteRef/>
      </w:r>
      <w:r>
        <w:rPr>
          <w:sz w:val="20"/>
          <w:szCs w:val="20"/>
        </w:rPr>
        <w:t xml:space="preserve"> 47 U.S.C. § 154(i).</w:t>
      </w:r>
    </w:p>
  </w:footnote>
  <w:footnote w:id="4">
    <w:p w:rsidR="001D66EF" w:rsidRDefault="001D66EF" w:rsidP="001D66EF">
      <w:pPr>
        <w:pStyle w:val="FootnoteText"/>
        <w:tabs>
          <w:tab w:val="left" w:pos="810"/>
        </w:tabs>
        <w:ind w:firstLine="0"/>
      </w:pPr>
      <w:r>
        <w:rPr>
          <w:rStyle w:val="FootnoteReference"/>
          <w:szCs w:val="20"/>
        </w:rPr>
        <w:footnoteRef/>
      </w:r>
      <w:r>
        <w:rPr>
          <w:sz w:val="20"/>
          <w:szCs w:val="20"/>
        </w:rPr>
        <w:t xml:space="preserve"> 47 C.F.R. §§ 0.111, 0.311.</w:t>
      </w:r>
    </w:p>
  </w:footnote>
  <w:footnote w:id="5">
    <w:p w:rsidR="006A621E" w:rsidRDefault="006A621E">
      <w:pPr>
        <w:pStyle w:val="FootnoteText"/>
        <w:ind w:firstLine="0"/>
        <w:rPr>
          <w:sz w:val="20"/>
          <w:szCs w:val="20"/>
        </w:rPr>
      </w:pPr>
      <w:r>
        <w:rPr>
          <w:rStyle w:val="FootnoteReference"/>
          <w:szCs w:val="20"/>
        </w:rPr>
        <w:footnoteRef/>
      </w:r>
      <w:r>
        <w:rPr>
          <w:sz w:val="20"/>
          <w:szCs w:val="20"/>
        </w:rPr>
        <w:t xml:space="preserve"> 47 U.S.C. § 214.</w:t>
      </w:r>
    </w:p>
  </w:footnote>
  <w:footnote w:id="6">
    <w:p w:rsidR="006A621E" w:rsidRDefault="006A621E">
      <w:pPr>
        <w:pStyle w:val="FootnoteText"/>
        <w:tabs>
          <w:tab w:val="left" w:pos="810"/>
        </w:tabs>
        <w:ind w:firstLine="0"/>
      </w:pPr>
      <w:r>
        <w:rPr>
          <w:rStyle w:val="FootnoteReference"/>
          <w:szCs w:val="20"/>
        </w:rPr>
        <w:footnoteRef/>
      </w:r>
      <w:r>
        <w:rPr>
          <w:sz w:val="20"/>
          <w:szCs w:val="20"/>
        </w:rPr>
        <w:t xml:space="preserve"> </w:t>
      </w:r>
      <w:r>
        <w:rPr>
          <w:color w:val="000000"/>
          <w:sz w:val="20"/>
          <w:szCs w:val="20"/>
        </w:rPr>
        <w:t>47 C.F.R. §§ 63.03, 63.04, 63.18, 63.24</w:t>
      </w:r>
      <w:r>
        <w:rPr>
          <w:sz w:val="20"/>
          <w:szCs w:val="20"/>
        </w:rPr>
        <w:t>.</w:t>
      </w:r>
    </w:p>
  </w:footnote>
  <w:footnote w:id="7">
    <w:p w:rsidR="006A621E" w:rsidRDefault="006A621E">
      <w:pPr>
        <w:pStyle w:val="FootnoteText"/>
        <w:spacing w:after="120"/>
        <w:ind w:firstLine="0"/>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47 U.S.C. § 214(a).  The Commission granted all carriers blanket authority under Section 214 to provide domestic interstate services and to construct or operate any domestic transmission line.  </w:t>
      </w:r>
      <w:r>
        <w:rPr>
          <w:i/>
          <w:sz w:val="20"/>
          <w:szCs w:val="20"/>
        </w:rPr>
        <w:t>Implementation of Section 402(b)(2)(A) of the Telecomm. Act of 1996</w:t>
      </w:r>
      <w:r>
        <w:rPr>
          <w:sz w:val="20"/>
          <w:szCs w:val="20"/>
        </w:rPr>
        <w:t>, Report and Order in CC Docket No. 97</w:t>
      </w:r>
      <w:r>
        <w:rPr>
          <w:sz w:val="20"/>
          <w:szCs w:val="20"/>
        </w:rPr>
        <w:noBreakHyphen/>
        <w:t>11, Second Memorandum Opinion and Order in AAD File No. 98-43, 14 FCC Rcd 11364, 11365–66, para. 2 (1999) (</w:t>
      </w:r>
      <w:r>
        <w:rPr>
          <w:i/>
          <w:sz w:val="20"/>
          <w:szCs w:val="20"/>
        </w:rPr>
        <w:t>Section 402 Implementation Order</w:t>
      </w:r>
      <w:r>
        <w:rPr>
          <w:sz w:val="20"/>
          <w:szCs w:val="20"/>
        </w:rPr>
        <w:t xml:space="preserve">); 47 C.F.R. </w:t>
      </w:r>
      <w:r>
        <w:rPr>
          <w:rStyle w:val="FootnoteTextChar1"/>
          <w:sz w:val="20"/>
          <w:szCs w:val="20"/>
        </w:rPr>
        <w:t>§ 63.01</w:t>
      </w:r>
      <w:r>
        <w:rPr>
          <w:sz w:val="20"/>
          <w:szCs w:val="20"/>
        </w:rPr>
        <w:t xml:space="preserve">.  This authority does not extend to the provision of international services.  </w:t>
      </w:r>
      <w:r>
        <w:rPr>
          <w:i/>
          <w:sz w:val="20"/>
          <w:szCs w:val="20"/>
        </w:rPr>
        <w:t xml:space="preserve">See 1998 Biennial Review – Review of International Common Carrier Regulations, </w:t>
      </w:r>
      <w:r w:rsidRPr="0035166D">
        <w:rPr>
          <w:sz w:val="20"/>
          <w:szCs w:val="20"/>
        </w:rPr>
        <w:t>Report and Order, 14 FCC Rcd 4909, 4912-13, para. 9</w:t>
      </w:r>
      <w:r>
        <w:rPr>
          <w:sz w:val="20"/>
          <w:szCs w:val="20"/>
        </w:rPr>
        <w:t xml:space="preserve"> (1999)</w:t>
      </w:r>
      <w:r w:rsidRPr="0035166D">
        <w:rPr>
          <w:sz w:val="20"/>
          <w:szCs w:val="20"/>
        </w:rPr>
        <w:t xml:space="preserve">. </w:t>
      </w:r>
    </w:p>
  </w:footnote>
  <w:footnote w:id="8">
    <w:p w:rsidR="006A621E" w:rsidRDefault="006A621E">
      <w:pPr>
        <w:pStyle w:val="FootnoteText"/>
        <w:ind w:firstLine="0"/>
        <w:rPr>
          <w:sz w:val="20"/>
          <w:szCs w:val="20"/>
        </w:rPr>
      </w:pPr>
      <w:r>
        <w:rPr>
          <w:rStyle w:val="FootnoteReference"/>
          <w:szCs w:val="20"/>
        </w:rPr>
        <w:footnoteRef/>
      </w:r>
      <w:r>
        <w:rPr>
          <w:sz w:val="20"/>
          <w:szCs w:val="20"/>
        </w:rPr>
        <w:t xml:space="preserve"> 47 C.F.R. §§ 63.03; 63.24.  A transfer of control of domestic lines or of a domestic Section 214 authority is considered “substantial” if it results in a change in ultimate ownership or control of those lines or that authority.   </w:t>
      </w:r>
      <w:r>
        <w:rPr>
          <w:i/>
          <w:sz w:val="20"/>
          <w:szCs w:val="20"/>
        </w:rPr>
        <w:t xml:space="preserve">See </w:t>
      </w:r>
      <w:r>
        <w:rPr>
          <w:sz w:val="20"/>
          <w:szCs w:val="20"/>
        </w:rPr>
        <w:t>47 C.F.R. § 63.03(d).  A transfer of control of international lines or of an international Section 214 authority is considered “substantial” if it results in a change in the actual controlling party of those lines or that authority.         47 C.F.R. § 63.24(a).</w:t>
      </w:r>
    </w:p>
  </w:footnote>
  <w:footnote w:id="9">
    <w:p w:rsidR="006A621E" w:rsidRDefault="006A621E">
      <w:pPr>
        <w:pStyle w:val="FootnoteText"/>
        <w:ind w:firstLine="0"/>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47 C.F.R. §§ 63.04, 63.18.</w:t>
      </w:r>
    </w:p>
  </w:footnote>
  <w:footnote w:id="10">
    <w:p w:rsidR="006A621E" w:rsidRPr="00E65988" w:rsidRDefault="006A621E" w:rsidP="003C43CD">
      <w:pPr>
        <w:pStyle w:val="FootnoteText"/>
        <w:ind w:firstLine="0"/>
        <w:rPr>
          <w:sz w:val="20"/>
          <w:szCs w:val="20"/>
        </w:rPr>
      </w:pPr>
      <w:r w:rsidRPr="00E65988">
        <w:rPr>
          <w:rStyle w:val="FootnoteReference"/>
          <w:szCs w:val="20"/>
        </w:rPr>
        <w:footnoteRef/>
      </w:r>
      <w:r w:rsidRPr="00E65988">
        <w:rPr>
          <w:sz w:val="20"/>
          <w:szCs w:val="20"/>
        </w:rPr>
        <w:t xml:space="preserve"> </w:t>
      </w:r>
      <w:r w:rsidRPr="00E65988">
        <w:rPr>
          <w:i/>
          <w:sz w:val="20"/>
          <w:szCs w:val="20"/>
        </w:rPr>
        <w:t>See Overseas Common Carrier Section 214 Applications and Section 310(b)(4) Actions Taken</w:t>
      </w:r>
      <w:r>
        <w:rPr>
          <w:sz w:val="20"/>
          <w:szCs w:val="20"/>
        </w:rPr>
        <w:t>, Public Notice, 14 FCC Rcd 1888, 1889 (Int’l Bur. 1998) (granting AccessLine Section 214 authority for international facilities-based and resale services).</w:t>
      </w:r>
    </w:p>
  </w:footnote>
  <w:footnote w:id="11">
    <w:p w:rsidR="006A621E" w:rsidRDefault="006A621E" w:rsidP="00330ACE">
      <w:pPr>
        <w:pStyle w:val="FootnoteText"/>
        <w:ind w:firstLine="0"/>
      </w:pPr>
      <w:r>
        <w:rPr>
          <w:rStyle w:val="FootnoteReference"/>
        </w:rPr>
        <w:footnoteRef/>
      </w:r>
      <w:r>
        <w:t xml:space="preserve"> </w:t>
      </w:r>
      <w:r>
        <w:rPr>
          <w:i/>
          <w:sz w:val="20"/>
          <w:szCs w:val="20"/>
        </w:rPr>
        <w:t>See</w:t>
      </w:r>
      <w:r w:rsidRPr="004B514D">
        <w:rPr>
          <w:sz w:val="20"/>
          <w:szCs w:val="20"/>
        </w:rPr>
        <w:t xml:space="preserve"> </w:t>
      </w:r>
      <w:r>
        <w:rPr>
          <w:sz w:val="20"/>
          <w:szCs w:val="20"/>
        </w:rPr>
        <w:t>Telanetix, Inc., Transferor, AccessLine Communications Corporation, Licensee, and HCP-TELA, LLC, Transferee, Joint Applications for the Grant of Authority Pursuant to Section 214 of the Communications Act of 1934, as amended and Sections 63.04 and 63.24 of the Commission’s Rules to Complete the Indirect Transfer of Control of AccessLine Communications Corporation, An Authorized Domestic and International Section 214 Carrier, to HCP-TELA, LLC, WC Docket No. 13-41, Application, IBFS File No. ITC-T/C-20130128-0032, at 3</w:t>
      </w:r>
      <w:r>
        <w:rPr>
          <w:i/>
          <w:sz w:val="20"/>
          <w:szCs w:val="20"/>
        </w:rPr>
        <w:t xml:space="preserve"> </w:t>
      </w:r>
      <w:r>
        <w:rPr>
          <w:sz w:val="20"/>
          <w:szCs w:val="20"/>
        </w:rPr>
        <w:t>(filed Jan. 28, 2013) (on file in EB-13-IH-0280) (</w:t>
      </w:r>
      <w:r w:rsidRPr="003E0EE1">
        <w:rPr>
          <w:i/>
          <w:sz w:val="20"/>
          <w:szCs w:val="20"/>
        </w:rPr>
        <w:t>AccessLine</w:t>
      </w:r>
      <w:r>
        <w:rPr>
          <w:i/>
          <w:sz w:val="20"/>
          <w:szCs w:val="20"/>
        </w:rPr>
        <w:t xml:space="preserve"> Joint Domestic and Int’l Sec. 214 Application</w:t>
      </w:r>
      <w:r>
        <w:rPr>
          <w:sz w:val="20"/>
          <w:szCs w:val="20"/>
        </w:rPr>
        <w:t>).</w:t>
      </w:r>
    </w:p>
  </w:footnote>
  <w:footnote w:id="12">
    <w:p w:rsidR="006A621E" w:rsidRDefault="006A621E" w:rsidP="0020172B">
      <w:pPr>
        <w:pStyle w:val="FootnoteText"/>
        <w:ind w:firstLine="0"/>
      </w:pPr>
      <w:r>
        <w:rPr>
          <w:rStyle w:val="FootnoteReference"/>
        </w:rPr>
        <w:footnoteRef/>
      </w:r>
      <w:r>
        <w:t xml:space="preserve"> </w:t>
      </w:r>
      <w:r w:rsidRPr="0020172B">
        <w:rPr>
          <w:i/>
          <w:sz w:val="20"/>
          <w:szCs w:val="20"/>
        </w:rPr>
        <w:t>See</w:t>
      </w:r>
      <w:r>
        <w:rPr>
          <w:i/>
          <w:sz w:val="20"/>
          <w:szCs w:val="20"/>
        </w:rPr>
        <w:t xml:space="preserve"> id. </w:t>
      </w:r>
      <w:r>
        <w:rPr>
          <w:sz w:val="20"/>
          <w:szCs w:val="20"/>
        </w:rPr>
        <w:t>at 3.</w:t>
      </w:r>
    </w:p>
  </w:footnote>
  <w:footnote w:id="13">
    <w:p w:rsidR="006A621E" w:rsidRDefault="006A621E" w:rsidP="0020172B">
      <w:pPr>
        <w:pStyle w:val="FootnoteText"/>
        <w:ind w:firstLine="0"/>
      </w:pPr>
      <w:r>
        <w:rPr>
          <w:rStyle w:val="FootnoteReference"/>
        </w:rPr>
        <w:footnoteRef/>
      </w:r>
      <w:r>
        <w:t xml:space="preserve"> </w:t>
      </w:r>
      <w:r w:rsidRPr="0020172B">
        <w:rPr>
          <w:i/>
          <w:sz w:val="20"/>
          <w:szCs w:val="20"/>
        </w:rPr>
        <w:t>See id.</w:t>
      </w:r>
    </w:p>
  </w:footnote>
  <w:footnote w:id="14">
    <w:p w:rsidR="006A621E" w:rsidRDefault="006A621E" w:rsidP="0020172B">
      <w:pPr>
        <w:pStyle w:val="FootnoteText"/>
        <w:ind w:firstLine="0"/>
      </w:pPr>
      <w:r>
        <w:rPr>
          <w:rStyle w:val="FootnoteReference"/>
        </w:rPr>
        <w:footnoteRef/>
      </w:r>
      <w:r>
        <w:rPr>
          <w:i/>
          <w:sz w:val="20"/>
          <w:szCs w:val="20"/>
        </w:rPr>
        <w:t xml:space="preserve"> </w:t>
      </w:r>
      <w:r w:rsidRPr="0020172B">
        <w:rPr>
          <w:i/>
          <w:sz w:val="20"/>
          <w:szCs w:val="20"/>
        </w:rPr>
        <w:t>See id.</w:t>
      </w:r>
      <w:r>
        <w:rPr>
          <w:i/>
          <w:sz w:val="20"/>
          <w:szCs w:val="20"/>
        </w:rPr>
        <w:t xml:space="preserve"> </w:t>
      </w:r>
      <w:r>
        <w:rPr>
          <w:sz w:val="20"/>
          <w:szCs w:val="20"/>
        </w:rPr>
        <w:t>at 4.</w:t>
      </w:r>
    </w:p>
  </w:footnote>
  <w:footnote w:id="15">
    <w:p w:rsidR="006A621E" w:rsidRDefault="006A621E" w:rsidP="00D55925">
      <w:pPr>
        <w:pStyle w:val="FootnoteText"/>
        <w:ind w:firstLine="0"/>
      </w:pPr>
      <w:r>
        <w:rPr>
          <w:rStyle w:val="FootnoteReference"/>
        </w:rPr>
        <w:footnoteRef/>
      </w:r>
      <w:r>
        <w:t xml:space="preserve"> </w:t>
      </w:r>
      <w:r w:rsidRPr="0020172B">
        <w:rPr>
          <w:i/>
          <w:sz w:val="20"/>
          <w:szCs w:val="20"/>
        </w:rPr>
        <w:t>See id.</w:t>
      </w:r>
    </w:p>
  </w:footnote>
  <w:footnote w:id="16">
    <w:p w:rsidR="006A621E" w:rsidRPr="005B7BFD" w:rsidRDefault="006A621E" w:rsidP="005B7BFD">
      <w:pPr>
        <w:pStyle w:val="FootnoteText"/>
        <w:ind w:firstLine="0"/>
        <w:rPr>
          <w:sz w:val="20"/>
          <w:szCs w:val="20"/>
        </w:rPr>
      </w:pPr>
      <w:r>
        <w:rPr>
          <w:rStyle w:val="FootnoteReference"/>
        </w:rPr>
        <w:footnoteRef/>
      </w:r>
      <w:r>
        <w:t xml:space="preserve"> </w:t>
      </w:r>
      <w:r w:rsidRPr="0020172B">
        <w:rPr>
          <w:i/>
          <w:sz w:val="20"/>
          <w:szCs w:val="20"/>
        </w:rPr>
        <w:t>See id.</w:t>
      </w:r>
      <w:r>
        <w:rPr>
          <w:i/>
          <w:sz w:val="20"/>
          <w:szCs w:val="20"/>
        </w:rPr>
        <w:t xml:space="preserve"> </w:t>
      </w:r>
    </w:p>
  </w:footnote>
  <w:footnote w:id="17">
    <w:p w:rsidR="006A621E" w:rsidRPr="00EE2FB8" w:rsidRDefault="006A621E" w:rsidP="00EE2FB8">
      <w:pPr>
        <w:pStyle w:val="FootnoteText"/>
        <w:ind w:firstLine="0"/>
        <w:rPr>
          <w:sz w:val="20"/>
          <w:szCs w:val="20"/>
        </w:rPr>
      </w:pPr>
      <w:r>
        <w:rPr>
          <w:rStyle w:val="FootnoteReference"/>
        </w:rPr>
        <w:footnoteRef/>
      </w:r>
      <w:r>
        <w:t xml:space="preserve"> </w:t>
      </w:r>
      <w:r w:rsidRPr="00EE2FB8">
        <w:rPr>
          <w:i/>
          <w:sz w:val="20"/>
          <w:szCs w:val="20"/>
        </w:rPr>
        <w:t>See</w:t>
      </w:r>
      <w:r w:rsidRPr="00EE2FB8">
        <w:rPr>
          <w:sz w:val="20"/>
          <w:szCs w:val="20"/>
        </w:rPr>
        <w:t xml:space="preserve"> IBFS File No. ITC-STA-20130128-0019 </w:t>
      </w:r>
      <w:r w:rsidRPr="004D4A14">
        <w:rPr>
          <w:sz w:val="20"/>
          <w:szCs w:val="20"/>
        </w:rPr>
        <w:t>(on file in EB-13-IH-0280)</w:t>
      </w:r>
      <w:r>
        <w:rPr>
          <w:sz w:val="20"/>
          <w:szCs w:val="20"/>
        </w:rPr>
        <w:t xml:space="preserve">; IBFS File No. ITC-T/C-20130128-0032 </w:t>
      </w:r>
      <w:r w:rsidRPr="004D4A14">
        <w:rPr>
          <w:sz w:val="20"/>
          <w:szCs w:val="20"/>
        </w:rPr>
        <w:t>(on file in EB-13-IH-0280)</w:t>
      </w:r>
      <w:r>
        <w:rPr>
          <w:sz w:val="20"/>
          <w:szCs w:val="20"/>
        </w:rPr>
        <w:t>; Letter fro</w:t>
      </w:r>
      <w:r w:rsidRPr="00E90E3D">
        <w:rPr>
          <w:sz w:val="20"/>
          <w:szCs w:val="20"/>
        </w:rPr>
        <w:t xml:space="preserve">m </w:t>
      </w:r>
      <w:r>
        <w:rPr>
          <w:sz w:val="20"/>
          <w:szCs w:val="20"/>
        </w:rPr>
        <w:t xml:space="preserve">Glenn S. Richards, Pillsbury Winthrop Shaw Pittman LLP, Attorney for AccessLine, to Marlene H. Dortch, Secretary, FCC (filed Jan. 28, 2013) (on file in EB-13-IH-0280).  </w:t>
      </w:r>
    </w:p>
  </w:footnote>
  <w:footnote w:id="18">
    <w:p w:rsidR="006A621E" w:rsidRPr="00EE2FB8" w:rsidRDefault="006A621E" w:rsidP="00EE2FB8">
      <w:pPr>
        <w:pStyle w:val="FootnoteText"/>
        <w:spacing w:before="240"/>
        <w:ind w:firstLine="0"/>
        <w:rPr>
          <w:sz w:val="20"/>
          <w:szCs w:val="20"/>
        </w:rPr>
      </w:pPr>
      <w:r>
        <w:rPr>
          <w:rStyle w:val="FootnoteReference"/>
        </w:rPr>
        <w:footnoteRef/>
      </w:r>
      <w:r>
        <w:rPr>
          <w:sz w:val="20"/>
          <w:szCs w:val="20"/>
        </w:rPr>
        <w:t xml:space="preserve"> </w:t>
      </w:r>
      <w:r w:rsidRPr="00E603B3">
        <w:rPr>
          <w:i/>
          <w:sz w:val="20"/>
          <w:szCs w:val="20"/>
        </w:rPr>
        <w:t>See</w:t>
      </w:r>
      <w:r>
        <w:rPr>
          <w:sz w:val="20"/>
          <w:szCs w:val="20"/>
        </w:rPr>
        <w:t xml:space="preserve"> </w:t>
      </w:r>
      <w:r w:rsidRPr="00E603B3">
        <w:rPr>
          <w:sz w:val="20"/>
          <w:szCs w:val="20"/>
        </w:rPr>
        <w:t xml:space="preserve">IBFS File No. ITC-STA-20130128-0019 </w:t>
      </w:r>
      <w:r w:rsidRPr="004D4A14">
        <w:rPr>
          <w:sz w:val="20"/>
          <w:szCs w:val="20"/>
        </w:rPr>
        <w:t>(on file in EB-13-IH-0280</w:t>
      </w:r>
      <w:r>
        <w:rPr>
          <w:sz w:val="20"/>
          <w:szCs w:val="20"/>
        </w:rPr>
        <w:t xml:space="preserve">; </w:t>
      </w:r>
      <w:r w:rsidRPr="00EE2FB8">
        <w:rPr>
          <w:i/>
          <w:sz w:val="20"/>
          <w:szCs w:val="20"/>
        </w:rPr>
        <w:t>Streamlined International Applications Accepted</w:t>
      </w:r>
      <w:r w:rsidRPr="005F69F9">
        <w:rPr>
          <w:i/>
          <w:sz w:val="20"/>
          <w:szCs w:val="20"/>
        </w:rPr>
        <w:t xml:space="preserve"> for Filing</w:t>
      </w:r>
      <w:r>
        <w:rPr>
          <w:i/>
          <w:sz w:val="20"/>
          <w:szCs w:val="20"/>
        </w:rPr>
        <w:t xml:space="preserve"> -</w:t>
      </w:r>
      <w:r w:rsidRPr="00EE2FB8">
        <w:rPr>
          <w:i/>
          <w:sz w:val="20"/>
          <w:szCs w:val="20"/>
        </w:rPr>
        <w:t xml:space="preserve"> Section 214 Applications (47 C.F.R. </w:t>
      </w:r>
      <w:r w:rsidRPr="00EE2FB8">
        <w:rPr>
          <w:rStyle w:val="FootnoteTextChar1"/>
          <w:i/>
          <w:sz w:val="20"/>
          <w:szCs w:val="20"/>
        </w:rPr>
        <w:t>§</w:t>
      </w:r>
      <w:r>
        <w:rPr>
          <w:rStyle w:val="FootnoteTextChar1"/>
          <w:sz w:val="20"/>
          <w:szCs w:val="20"/>
        </w:rPr>
        <w:t xml:space="preserve"> </w:t>
      </w:r>
      <w:r w:rsidRPr="00EE2FB8">
        <w:rPr>
          <w:i/>
          <w:sz w:val="20"/>
          <w:szCs w:val="20"/>
        </w:rPr>
        <w:t>63.18); Section 310(B)(4) Requests</w:t>
      </w:r>
      <w:r>
        <w:rPr>
          <w:sz w:val="20"/>
          <w:szCs w:val="20"/>
        </w:rPr>
        <w:t xml:space="preserve">, Public Notice, Report No. TEL-01605S, </w:t>
      </w:r>
      <w:r w:rsidRPr="00EE2FB8">
        <w:rPr>
          <w:color w:val="000000"/>
          <w:sz w:val="20"/>
          <w:szCs w:val="20"/>
        </w:rPr>
        <w:t>2013 WL 772805</w:t>
      </w:r>
      <w:r w:rsidRPr="00B64009">
        <w:rPr>
          <w:sz w:val="20"/>
          <w:szCs w:val="20"/>
        </w:rPr>
        <w:t xml:space="preserve"> (Int’l Bur. Mar. 1, 2013</w:t>
      </w:r>
      <w:r>
        <w:rPr>
          <w:sz w:val="20"/>
          <w:szCs w:val="20"/>
        </w:rPr>
        <w:t xml:space="preserve">) (announcing pending application for approval of international Section 214 transfer of control of AccessLine from Telanetix to HCP and stating that AccessLine had filed an STA request that the IB granted on Feb. 11, 2013). </w:t>
      </w:r>
    </w:p>
  </w:footnote>
  <w:footnote w:id="19">
    <w:p w:rsidR="006A621E" w:rsidRDefault="006A621E" w:rsidP="002C3424">
      <w:pPr>
        <w:pStyle w:val="FootnoteText"/>
        <w:ind w:firstLine="0"/>
      </w:pPr>
      <w:r>
        <w:rPr>
          <w:rStyle w:val="FootnoteReference"/>
        </w:rPr>
        <w:footnoteRef/>
      </w:r>
      <w:r>
        <w:t xml:space="preserve"> </w:t>
      </w:r>
      <w:r w:rsidRPr="00E603B3">
        <w:rPr>
          <w:i/>
          <w:sz w:val="20"/>
          <w:szCs w:val="20"/>
        </w:rPr>
        <w:t xml:space="preserve">See </w:t>
      </w:r>
      <w:r>
        <w:rPr>
          <w:i/>
          <w:sz w:val="20"/>
          <w:szCs w:val="20"/>
        </w:rPr>
        <w:t xml:space="preserve">International Authorizations Granted - </w:t>
      </w:r>
      <w:r w:rsidRPr="00E603B3">
        <w:rPr>
          <w:i/>
          <w:sz w:val="20"/>
          <w:szCs w:val="20"/>
        </w:rPr>
        <w:t>Section 214 Applications (47 C.F.R.</w:t>
      </w:r>
      <w:r w:rsidRPr="000F7AAE">
        <w:rPr>
          <w:rStyle w:val="FootnoteTextChar1"/>
          <w:sz w:val="20"/>
          <w:szCs w:val="20"/>
        </w:rPr>
        <w:t xml:space="preserve"> </w:t>
      </w:r>
      <w:r w:rsidRPr="00D51B27">
        <w:rPr>
          <w:rStyle w:val="FootnoteTextChar1"/>
          <w:i/>
          <w:sz w:val="20"/>
          <w:szCs w:val="20"/>
        </w:rPr>
        <w:t>§</w:t>
      </w:r>
      <w:r w:rsidRPr="00E603B3">
        <w:rPr>
          <w:i/>
          <w:sz w:val="20"/>
          <w:szCs w:val="20"/>
        </w:rPr>
        <w:t xml:space="preserve"> 63.18); Section 310(B)(4) Requests</w:t>
      </w:r>
      <w:r>
        <w:rPr>
          <w:i/>
          <w:sz w:val="20"/>
          <w:szCs w:val="20"/>
        </w:rPr>
        <w:t xml:space="preserve">, </w:t>
      </w:r>
      <w:r w:rsidRPr="007408BC">
        <w:rPr>
          <w:sz w:val="20"/>
          <w:szCs w:val="20"/>
        </w:rPr>
        <w:t>Public Notice</w:t>
      </w:r>
      <w:r>
        <w:rPr>
          <w:sz w:val="20"/>
          <w:szCs w:val="20"/>
        </w:rPr>
        <w:t xml:space="preserve">, </w:t>
      </w:r>
      <w:r w:rsidRPr="007408BC">
        <w:rPr>
          <w:sz w:val="20"/>
          <w:szCs w:val="20"/>
        </w:rPr>
        <w:t>28 FCC Rcd 3069</w:t>
      </w:r>
      <w:r>
        <w:rPr>
          <w:sz w:val="20"/>
          <w:szCs w:val="20"/>
        </w:rPr>
        <w:t>, 3071</w:t>
      </w:r>
      <w:r w:rsidRPr="007408BC">
        <w:rPr>
          <w:sz w:val="20"/>
          <w:szCs w:val="20"/>
        </w:rPr>
        <w:t xml:space="preserve"> (Int’l Bur. 2013)</w:t>
      </w:r>
      <w:r>
        <w:rPr>
          <w:sz w:val="20"/>
          <w:szCs w:val="20"/>
        </w:rPr>
        <w:t>.</w:t>
      </w:r>
    </w:p>
  </w:footnote>
  <w:footnote w:id="20">
    <w:p w:rsidR="006A621E" w:rsidRPr="007408BC" w:rsidRDefault="006A621E" w:rsidP="00A56147">
      <w:pPr>
        <w:pStyle w:val="FootnoteText"/>
        <w:ind w:firstLine="0"/>
        <w:rPr>
          <w:sz w:val="20"/>
          <w:szCs w:val="20"/>
        </w:rPr>
      </w:pPr>
      <w:r>
        <w:rPr>
          <w:rStyle w:val="FootnoteReference"/>
        </w:rPr>
        <w:footnoteRef/>
      </w:r>
      <w:r>
        <w:t xml:space="preserve"> </w:t>
      </w:r>
      <w:r w:rsidRPr="00E603B3">
        <w:rPr>
          <w:i/>
          <w:sz w:val="20"/>
          <w:szCs w:val="20"/>
        </w:rPr>
        <w:t xml:space="preserve">See </w:t>
      </w:r>
      <w:r w:rsidRPr="007408BC">
        <w:rPr>
          <w:i/>
          <w:sz w:val="20"/>
          <w:szCs w:val="20"/>
        </w:rPr>
        <w:t>Domestic Section 214 Application Filed for the transfer of Control of Telanetix, Inc. and AccessLi</w:t>
      </w:r>
      <w:r>
        <w:rPr>
          <w:i/>
          <w:sz w:val="20"/>
          <w:szCs w:val="20"/>
        </w:rPr>
        <w:t>ne Communi</w:t>
      </w:r>
      <w:r w:rsidRPr="007B6E03">
        <w:rPr>
          <w:i/>
          <w:sz w:val="20"/>
          <w:szCs w:val="20"/>
        </w:rPr>
        <w:t xml:space="preserve">cations Corporation </w:t>
      </w:r>
      <w:r w:rsidRPr="007408BC">
        <w:rPr>
          <w:i/>
          <w:sz w:val="20"/>
          <w:szCs w:val="20"/>
        </w:rPr>
        <w:t>to HCP-TELA, LLC, Streamlined Pleading Cycle Established</w:t>
      </w:r>
      <w:r w:rsidRPr="007408BC">
        <w:rPr>
          <w:sz w:val="20"/>
          <w:szCs w:val="20"/>
        </w:rPr>
        <w:t>, WC Docket No. 13-41, Public Notice</w:t>
      </w:r>
      <w:r>
        <w:rPr>
          <w:sz w:val="20"/>
          <w:szCs w:val="20"/>
        </w:rPr>
        <w:t>, 28 FCC Rcd 1551</w:t>
      </w:r>
      <w:r w:rsidRPr="007408BC">
        <w:rPr>
          <w:sz w:val="20"/>
          <w:szCs w:val="20"/>
        </w:rPr>
        <w:t xml:space="preserve"> (Wireline Comp. Bur. 2013) (stating that on February 11, 2013, AccessLine</w:t>
      </w:r>
      <w:r>
        <w:rPr>
          <w:sz w:val="20"/>
          <w:szCs w:val="20"/>
        </w:rPr>
        <w:t xml:space="preserve">, </w:t>
      </w:r>
      <w:r w:rsidRPr="007408BC">
        <w:rPr>
          <w:sz w:val="20"/>
          <w:szCs w:val="20"/>
        </w:rPr>
        <w:t xml:space="preserve">Telanetix, and HCPT submitted an STA request </w:t>
      </w:r>
      <w:r>
        <w:rPr>
          <w:sz w:val="20"/>
          <w:szCs w:val="20"/>
        </w:rPr>
        <w:t xml:space="preserve">that was granted the same day </w:t>
      </w:r>
      <w:r w:rsidRPr="007408BC">
        <w:rPr>
          <w:sz w:val="20"/>
          <w:szCs w:val="20"/>
        </w:rPr>
        <w:t>and an application for the transfer of control of domestic Section 214 authority</w:t>
      </w:r>
      <w:r>
        <w:rPr>
          <w:sz w:val="20"/>
          <w:szCs w:val="20"/>
        </w:rPr>
        <w:t>, which was pending as of the date of the Public Notice on February 26, 2013</w:t>
      </w:r>
      <w:r w:rsidRPr="007408BC">
        <w:rPr>
          <w:sz w:val="20"/>
          <w:szCs w:val="20"/>
        </w:rPr>
        <w:t>).</w:t>
      </w:r>
    </w:p>
  </w:footnote>
  <w:footnote w:id="21">
    <w:p w:rsidR="006A621E" w:rsidRPr="00BA4A0B" w:rsidRDefault="006A621E" w:rsidP="00BA4A0B">
      <w:pPr>
        <w:pStyle w:val="FootnoteText"/>
        <w:ind w:firstLine="0"/>
        <w:rPr>
          <w:sz w:val="20"/>
          <w:szCs w:val="20"/>
        </w:rPr>
      </w:pPr>
      <w:r w:rsidRPr="00367621">
        <w:rPr>
          <w:rStyle w:val="FootnoteReference"/>
          <w:szCs w:val="20"/>
        </w:rPr>
        <w:footnoteRef/>
      </w:r>
      <w:r w:rsidRPr="00BA4A0B">
        <w:rPr>
          <w:sz w:val="20"/>
          <w:szCs w:val="20"/>
        </w:rPr>
        <w:t xml:space="preserve"> </w:t>
      </w:r>
      <w:r w:rsidRPr="007408BC">
        <w:rPr>
          <w:i/>
          <w:sz w:val="20"/>
          <w:szCs w:val="20"/>
        </w:rPr>
        <w:t>See id</w:t>
      </w:r>
      <w:r>
        <w:t>.</w:t>
      </w:r>
    </w:p>
  </w:footnote>
  <w:footnote w:id="22">
    <w:p w:rsidR="006A621E" w:rsidRPr="00BA4A0B" w:rsidRDefault="006A621E" w:rsidP="00BA4A0B">
      <w:pPr>
        <w:pStyle w:val="FootnoteText"/>
        <w:ind w:firstLine="0"/>
        <w:rPr>
          <w:sz w:val="20"/>
          <w:szCs w:val="20"/>
        </w:rPr>
      </w:pPr>
      <w:r>
        <w:rPr>
          <w:rStyle w:val="FootnoteReference"/>
        </w:rPr>
        <w:footnoteRef/>
      </w:r>
      <w:r>
        <w:t xml:space="preserve"> </w:t>
      </w:r>
      <w:r w:rsidRPr="007408BC">
        <w:rPr>
          <w:i/>
          <w:sz w:val="20"/>
          <w:szCs w:val="20"/>
        </w:rPr>
        <w:t>See</w:t>
      </w:r>
      <w:r>
        <w:rPr>
          <w:i/>
          <w:sz w:val="20"/>
          <w:szCs w:val="20"/>
        </w:rPr>
        <w:t xml:space="preserve"> Notice of Domestic Section 214 Authorization Granted, WC Docket No. 13-41, </w:t>
      </w:r>
      <w:r w:rsidRPr="00BA4A0B">
        <w:rPr>
          <w:sz w:val="20"/>
          <w:szCs w:val="20"/>
        </w:rPr>
        <w:t xml:space="preserve">Public Notice, </w:t>
      </w:r>
      <w:r>
        <w:rPr>
          <w:sz w:val="20"/>
          <w:szCs w:val="20"/>
        </w:rPr>
        <w:t>28 FCC Rcd 3405</w:t>
      </w:r>
      <w:r w:rsidRPr="007408BC">
        <w:rPr>
          <w:sz w:val="20"/>
          <w:szCs w:val="20"/>
        </w:rPr>
        <w:t xml:space="preserve"> (Wireline Comp. Bur. 2013)</w:t>
      </w:r>
      <w:r>
        <w:rPr>
          <w:sz w:val="20"/>
          <w:szCs w:val="20"/>
        </w:rPr>
        <w:t>.</w:t>
      </w:r>
    </w:p>
  </w:footnote>
  <w:footnote w:id="23">
    <w:p w:rsidR="006A621E" w:rsidRDefault="006A621E" w:rsidP="00E704F5">
      <w:pPr>
        <w:pStyle w:val="FootnoteText"/>
        <w:ind w:firstLine="0"/>
      </w:pPr>
      <w:r>
        <w:rPr>
          <w:rStyle w:val="FootnoteReference"/>
        </w:rPr>
        <w:footnoteRef/>
      </w:r>
      <w:r>
        <w:t xml:space="preserve"> </w:t>
      </w:r>
      <w:r>
        <w:rPr>
          <w:i/>
          <w:sz w:val="20"/>
          <w:szCs w:val="20"/>
        </w:rPr>
        <w:t xml:space="preserve">See </w:t>
      </w:r>
      <w:r>
        <w:rPr>
          <w:sz w:val="20"/>
          <w:szCs w:val="20"/>
        </w:rPr>
        <w:t>Letter from Pamela S. Kane, Deputy Div. Chief, Investigations and Hearings Division, FCC Enforcement Bureau, to Mr. Glenn S. Richards, Pillsbury Winthrop Shaw Pittman LLP, Attorney for AccessLine (filed Apr. 8, 2013) (on file in EB-13-IH-0280).</w:t>
      </w:r>
    </w:p>
  </w:footnote>
  <w:footnote w:id="24">
    <w:p w:rsidR="006A621E" w:rsidRPr="00E90E3D" w:rsidRDefault="006A621E" w:rsidP="00E90E3D">
      <w:pPr>
        <w:pStyle w:val="FootnoteText"/>
        <w:ind w:firstLine="0"/>
        <w:rPr>
          <w:sz w:val="20"/>
          <w:szCs w:val="20"/>
        </w:rPr>
      </w:pPr>
      <w:r w:rsidRPr="00E90E3D">
        <w:rPr>
          <w:rStyle w:val="FootnoteReference"/>
          <w:szCs w:val="20"/>
        </w:rPr>
        <w:footnoteRef/>
      </w:r>
      <w:r w:rsidRPr="00E90E3D">
        <w:rPr>
          <w:sz w:val="20"/>
          <w:szCs w:val="20"/>
        </w:rPr>
        <w:t xml:space="preserve"> </w:t>
      </w:r>
      <w:r w:rsidRPr="00D65C47">
        <w:rPr>
          <w:i/>
          <w:sz w:val="20"/>
          <w:szCs w:val="20"/>
        </w:rPr>
        <w:t xml:space="preserve">See </w:t>
      </w:r>
      <w:r>
        <w:rPr>
          <w:sz w:val="20"/>
          <w:szCs w:val="20"/>
        </w:rPr>
        <w:t>Letter fro</w:t>
      </w:r>
      <w:r w:rsidRPr="00E90E3D">
        <w:rPr>
          <w:sz w:val="20"/>
          <w:szCs w:val="20"/>
        </w:rPr>
        <w:t xml:space="preserve">m </w:t>
      </w:r>
      <w:r>
        <w:rPr>
          <w:sz w:val="20"/>
          <w:szCs w:val="20"/>
        </w:rPr>
        <w:t>Tony Lin and Glenn S. Richards, Pillsbury Winthrop Shaw Pittman LLP, Attorneys for AccessLine, to Robert B. Krinsky, Attorney Advisor, Investigations and Hearings Division, FCC Enforcement Bureau (filed Apr. 29, 2013) (on file in EB-13-IH-0280).</w:t>
      </w:r>
    </w:p>
  </w:footnote>
  <w:footnote w:id="25">
    <w:p w:rsidR="006A621E" w:rsidRDefault="006A621E">
      <w:pPr>
        <w:pStyle w:val="FootnoteText"/>
        <w:ind w:firstLine="0"/>
        <w:rPr>
          <w:sz w:val="20"/>
          <w:szCs w:val="20"/>
        </w:rPr>
      </w:pPr>
      <w:r>
        <w:rPr>
          <w:rStyle w:val="FootnoteReference"/>
          <w:szCs w:val="20"/>
        </w:rPr>
        <w:footnoteRef/>
      </w:r>
      <w:r>
        <w:rPr>
          <w:sz w:val="20"/>
          <w:szCs w:val="20"/>
        </w:rPr>
        <w:t xml:space="preserve"> 47 C.F.R. § 1.16.</w:t>
      </w:r>
    </w:p>
  </w:footnote>
  <w:footnote w:id="26">
    <w:p w:rsidR="006A621E" w:rsidRDefault="006A621E">
      <w:pPr>
        <w:pStyle w:val="FootnoteText"/>
        <w:ind w:firstLine="0"/>
        <w:rPr>
          <w:sz w:val="20"/>
          <w:szCs w:val="20"/>
        </w:rPr>
      </w:pPr>
      <w:r>
        <w:rPr>
          <w:rStyle w:val="FootnoteReference"/>
        </w:rPr>
        <w:footnoteRef/>
      </w:r>
      <w:r>
        <w:t xml:space="preserve"> </w:t>
      </w:r>
      <w:r>
        <w:rPr>
          <w:rFonts w:eastAsia="MS Mincho" w:cs="Arial"/>
          <w:sz w:val="20"/>
          <w:szCs w:val="20"/>
        </w:rPr>
        <w:t>An FCC Form 159 and detailed instructions for completing the form may be obtained at http://www.fcc.gov/Forms/Form159/159.pdf.</w:t>
      </w:r>
    </w:p>
  </w:footnote>
  <w:footnote w:id="27">
    <w:p w:rsidR="006A621E" w:rsidRDefault="006A621E" w:rsidP="009703AC">
      <w:pPr>
        <w:pStyle w:val="FootnoteText"/>
        <w:ind w:firstLine="0"/>
      </w:pPr>
      <w:r>
        <w:rPr>
          <w:rStyle w:val="FootnoteReference"/>
        </w:rPr>
        <w:footnoteRef/>
      </w:r>
      <w:r>
        <w:t xml:space="preserve"> </w:t>
      </w:r>
      <w:r>
        <w:rPr>
          <w:sz w:val="20"/>
          <w:szCs w:val="20"/>
        </w:rPr>
        <w:t>47 U.S.C. § 208.</w:t>
      </w:r>
    </w:p>
  </w:footnote>
  <w:footnote w:id="28">
    <w:p w:rsidR="006A621E" w:rsidRDefault="006A621E">
      <w:pPr>
        <w:pStyle w:val="FootnoteText"/>
        <w:ind w:firstLine="0"/>
      </w:pPr>
      <w:r>
        <w:rPr>
          <w:rStyle w:val="FootnoteReference"/>
        </w:rPr>
        <w:footnoteRef/>
      </w:r>
      <w:r>
        <w:t xml:space="preserve"> </w:t>
      </w:r>
      <w:r>
        <w:rPr>
          <w:i/>
          <w:sz w:val="20"/>
          <w:szCs w:val="20"/>
        </w:rPr>
        <w:t xml:space="preserve">See </w:t>
      </w:r>
      <w:r>
        <w:rPr>
          <w:sz w:val="20"/>
          <w:szCs w:val="20"/>
        </w:rP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CD" w:rsidRDefault="00536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E" w:rsidRDefault="006A621E">
    <w:pPr>
      <w:pStyle w:val="Header"/>
      <w:widowControl w:val="0"/>
      <w:pBdr>
        <w:bottom w:val="single" w:sz="12" w:space="1" w:color="auto"/>
      </w:pBdr>
      <w:tabs>
        <w:tab w:val="clear" w:pos="4320"/>
        <w:tab w:val="clear" w:pos="8640"/>
        <w:tab w:val="center" w:pos="4680"/>
        <w:tab w:val="right" w:pos="9360"/>
      </w:tabs>
      <w:rPr>
        <w:b/>
      </w:rPr>
    </w:pPr>
    <w:r>
      <w:rPr>
        <w:b/>
      </w:rPr>
      <w:tab/>
    </w:r>
    <w:r>
      <w:rPr>
        <w:b/>
        <w:snapToGrid w:val="0"/>
        <w:kern w:val="28"/>
        <w:szCs w:val="20"/>
      </w:rPr>
      <w:t>Federal</w:t>
    </w:r>
    <w:r>
      <w:rPr>
        <w:b/>
      </w:rPr>
      <w:t xml:space="preserve"> Communications Commission</w:t>
    </w:r>
    <w:r>
      <w:rPr>
        <w:b/>
      </w:rPr>
      <w:tab/>
      <w:t xml:space="preserve">        </w:t>
    </w:r>
    <w:r w:rsidRPr="00502C91">
      <w:rPr>
        <w:b/>
      </w:rPr>
      <w:t>DA 13-</w:t>
    </w:r>
    <w:r w:rsidR="00502C91">
      <w:rPr>
        <w:b/>
      </w:rPr>
      <w:t>1556</w:t>
    </w:r>
  </w:p>
  <w:p w:rsidR="006A621E" w:rsidRPr="003C184F" w:rsidRDefault="006A621E" w:rsidP="00F46940">
    <w:pPr>
      <w:jc w:val="right"/>
      <w:rPr>
        <w:b/>
        <w:sz w:val="22"/>
        <w:szCs w:val="22"/>
      </w:rPr>
    </w:pPr>
  </w:p>
  <w:p w:rsidR="006A621E" w:rsidRDefault="006A6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E" w:rsidRDefault="006A621E">
    <w:pPr>
      <w:pStyle w:val="Header"/>
      <w:widowControl w:val="0"/>
      <w:pBdr>
        <w:bottom w:val="single" w:sz="12" w:space="1" w:color="auto"/>
      </w:pBdr>
      <w:tabs>
        <w:tab w:val="clear" w:pos="4320"/>
        <w:tab w:val="clear" w:pos="8640"/>
        <w:tab w:val="center" w:pos="4680"/>
        <w:tab w:val="right" w:pos="9360"/>
      </w:tabs>
      <w:rPr>
        <w:b/>
      </w:rPr>
    </w:pPr>
    <w:r>
      <w:rPr>
        <w:b/>
      </w:rPr>
      <w:tab/>
    </w:r>
    <w:r>
      <w:rPr>
        <w:b/>
        <w:snapToGrid w:val="0"/>
        <w:kern w:val="28"/>
        <w:szCs w:val="20"/>
      </w:rPr>
      <w:t>Federal</w:t>
    </w:r>
    <w:r>
      <w:rPr>
        <w:b/>
      </w:rPr>
      <w:t xml:space="preserve"> Communications Commission</w:t>
    </w:r>
    <w:r>
      <w:rPr>
        <w:b/>
      </w:rPr>
      <w:tab/>
      <w:t xml:space="preserve">        </w:t>
    </w:r>
    <w:r w:rsidRPr="00502C91">
      <w:rPr>
        <w:b/>
      </w:rPr>
      <w:t>DA 13-</w:t>
    </w:r>
    <w:r w:rsidR="00502C91">
      <w:rPr>
        <w:b/>
      </w:rPr>
      <w:t>1556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9EE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907F2C"/>
    <w:multiLevelType w:val="hybridMultilevel"/>
    <w:tmpl w:val="576649F0"/>
    <w:lvl w:ilvl="0" w:tplc="D3CA77E8">
      <w:start w:val="1"/>
      <w:numFmt w:val="lowerLetter"/>
      <w:lvlText w:val="(%1)"/>
      <w:lvlJc w:val="left"/>
      <w:pPr>
        <w:tabs>
          <w:tab w:val="num" w:pos="1872"/>
        </w:tabs>
        <w:ind w:left="1872" w:hanging="432"/>
      </w:pPr>
      <w:rPr>
        <w:rFonts w:ascii="Times New Roman" w:hAnsi="Times New Roman" w:hint="default"/>
        <w:b w:val="0"/>
        <w:bCs w:val="0"/>
        <w:i w:val="0"/>
        <w:iCs w:val="0"/>
        <w:caps w:val="0"/>
        <w:smallCaps w:val="0"/>
        <w:strike w:val="0"/>
        <w:dstrike w:val="0"/>
        <w:color w:val="auto"/>
        <w:spacing w:val="-2"/>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C4046A9C">
      <w:start w:val="1"/>
      <w:numFmt w:val="lowerLetter"/>
      <w:lvlText w:val="%2)"/>
      <w:lvlJc w:val="left"/>
      <w:pPr>
        <w:tabs>
          <w:tab w:val="num" w:pos="1800"/>
        </w:tabs>
        <w:ind w:left="1800" w:hanging="720"/>
      </w:pPr>
      <w:rPr>
        <w:rFonts w:hint="default"/>
      </w:rPr>
    </w:lvl>
    <w:lvl w:ilvl="2" w:tplc="CD22499A">
      <w:start w:val="2"/>
      <w:numFmt w:val="upp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5A1B9F"/>
    <w:multiLevelType w:val="multilevel"/>
    <w:tmpl w:val="B6C2B70A"/>
    <w:name w:val="zzmpDCStandard||DCStandard|2|1|1|1|0|5||1|0|4||1|0|0||1|0|0||1|0|0||1|0|0||1|0|0||1|0|0||1|0|0||"/>
    <w:lvl w:ilvl="0">
      <w:start w:val="1"/>
      <w:numFmt w:val="decimal"/>
      <w:lvlRestart w:val="0"/>
      <w:pStyle w:val="DCStandardL1"/>
      <w:lvlText w:val="%1."/>
      <w:lvlJc w:val="left"/>
      <w:pPr>
        <w:tabs>
          <w:tab w:val="num" w:pos="1440"/>
        </w:tabs>
        <w:ind w:left="0" w:firstLine="720"/>
      </w:pPr>
      <w:rPr>
        <w:rFonts w:ascii="Times New Roman" w:hAnsi="Times New Roman" w:cs="Times New Roman"/>
        <w:b w:val="0"/>
        <w:i w:val="0"/>
        <w:caps w:val="0"/>
        <w:color w:val="auto"/>
        <w:u w:val="none"/>
      </w:rPr>
    </w:lvl>
    <w:lvl w:ilvl="1">
      <w:start w:val="1"/>
      <w:numFmt w:val="lowerLetter"/>
      <w:pStyle w:val="DCStandardL2"/>
      <w:lvlText w:val="(%2)"/>
      <w:lvlJc w:val="left"/>
      <w:pPr>
        <w:tabs>
          <w:tab w:val="num" w:pos="2160"/>
        </w:tabs>
        <w:ind w:left="2160" w:hanging="720"/>
      </w:pPr>
      <w:rPr>
        <w:rFonts w:ascii="Times New Roman" w:hAnsi="Times New Roman" w:cs="Times New Roman"/>
        <w:b w:val="0"/>
        <w:i w:val="0"/>
        <w:caps w:val="0"/>
        <w:color w:val="auto"/>
        <w:u w:val="none"/>
      </w:rPr>
    </w:lvl>
    <w:lvl w:ilvl="2">
      <w:start w:val="1"/>
      <w:numFmt w:val="lowerRoman"/>
      <w:pStyle w:val="DCStandardL3"/>
      <w:lvlText w:val="(%3)"/>
      <w:lvlJc w:val="left"/>
      <w:pPr>
        <w:tabs>
          <w:tab w:val="num" w:pos="2160"/>
        </w:tabs>
        <w:ind w:left="0" w:firstLine="1440"/>
      </w:pPr>
      <w:rPr>
        <w:rFonts w:ascii="Times New Roman" w:hAnsi="Times New Roman" w:cs="Times New Roman"/>
        <w:b/>
        <w:i w:val="0"/>
        <w:caps w:val="0"/>
        <w:color w:val="auto"/>
        <w:u w:val="none"/>
      </w:rPr>
    </w:lvl>
    <w:lvl w:ilvl="3">
      <w:start w:val="1"/>
      <w:numFmt w:val="decimal"/>
      <w:pStyle w:val="DCStandardL4"/>
      <w:lvlText w:val="(%4)"/>
      <w:lvlJc w:val="left"/>
      <w:pPr>
        <w:tabs>
          <w:tab w:val="num" w:pos="2880"/>
        </w:tabs>
        <w:ind w:left="2160" w:firstLine="0"/>
      </w:pPr>
      <w:rPr>
        <w:rFonts w:ascii="Times New Roman" w:hAnsi="Times New Roman" w:cs="Times New Roman"/>
        <w:b/>
        <w:i w:val="0"/>
        <w:caps w:val="0"/>
        <w:color w:val="auto"/>
        <w:u w:val="none"/>
      </w:rPr>
    </w:lvl>
    <w:lvl w:ilvl="4">
      <w:start w:val="1"/>
      <w:numFmt w:val="lowerLetter"/>
      <w:pStyle w:val="DCStandardL5"/>
      <w:lvlText w:val="%5."/>
      <w:lvlJc w:val="left"/>
      <w:pPr>
        <w:tabs>
          <w:tab w:val="num" w:pos="3600"/>
        </w:tabs>
        <w:ind w:left="2880" w:firstLine="0"/>
      </w:pPr>
      <w:rPr>
        <w:rFonts w:ascii="Times New Roman" w:hAnsi="Times New Roman" w:cs="Times New Roman"/>
        <w:b w:val="0"/>
        <w:i w:val="0"/>
        <w:caps w:val="0"/>
        <w:color w:val="auto"/>
        <w:u w:val="none"/>
      </w:rPr>
    </w:lvl>
    <w:lvl w:ilvl="5">
      <w:start w:val="1"/>
      <w:numFmt w:val="lowerRoman"/>
      <w:pStyle w:val="DCStandardL6"/>
      <w:lvlText w:val="%6."/>
      <w:lvlJc w:val="left"/>
      <w:pPr>
        <w:tabs>
          <w:tab w:val="num" w:pos="4320"/>
        </w:tabs>
        <w:ind w:left="3600" w:firstLine="0"/>
      </w:pPr>
      <w:rPr>
        <w:rFonts w:ascii="Times New Roman" w:hAnsi="Times New Roman" w:cs="Times New Roman"/>
        <w:b w:val="0"/>
        <w:i w:val="0"/>
        <w:caps w:val="0"/>
        <w:color w:val="auto"/>
        <w:u w:val="none"/>
      </w:rPr>
    </w:lvl>
    <w:lvl w:ilvl="6">
      <w:start w:val="1"/>
      <w:numFmt w:val="decimal"/>
      <w:pStyle w:val="DCStandardL7"/>
      <w:lvlText w:val="%7)"/>
      <w:lvlJc w:val="left"/>
      <w:pPr>
        <w:tabs>
          <w:tab w:val="num" w:pos="5040"/>
        </w:tabs>
        <w:ind w:left="3600" w:firstLine="720"/>
      </w:pPr>
      <w:rPr>
        <w:rFonts w:ascii="Times New Roman" w:hAnsi="Times New Roman" w:cs="Times New Roman"/>
        <w:b w:val="0"/>
        <w:i w:val="0"/>
        <w:caps w:val="0"/>
        <w:color w:val="auto"/>
        <w:u w:val="none"/>
      </w:rPr>
    </w:lvl>
    <w:lvl w:ilvl="7">
      <w:start w:val="1"/>
      <w:numFmt w:val="lowerLetter"/>
      <w:pStyle w:val="DCStandardL8"/>
      <w:lvlText w:val="%8)"/>
      <w:lvlJc w:val="left"/>
      <w:pPr>
        <w:tabs>
          <w:tab w:val="num" w:pos="5760"/>
        </w:tabs>
        <w:ind w:left="3600" w:firstLine="1440"/>
      </w:pPr>
      <w:rPr>
        <w:rFonts w:ascii="Times New Roman" w:hAnsi="Times New Roman" w:cs="Times New Roman"/>
        <w:b w:val="0"/>
        <w:i w:val="0"/>
        <w:caps w:val="0"/>
        <w:color w:val="auto"/>
        <w:u w:val="none"/>
      </w:rPr>
    </w:lvl>
    <w:lvl w:ilvl="8">
      <w:start w:val="1"/>
      <w:numFmt w:val="lowerRoman"/>
      <w:pStyle w:val="DCStandardL9"/>
      <w:lvlText w:val="%9)"/>
      <w:lvlJc w:val="left"/>
      <w:pPr>
        <w:tabs>
          <w:tab w:val="num" w:pos="6480"/>
        </w:tabs>
        <w:ind w:left="3600" w:firstLine="2160"/>
      </w:pPr>
      <w:rPr>
        <w:rFonts w:ascii="Times New Roman" w:hAnsi="Times New Roman" w:cs="Times New Roman"/>
        <w:b w:val="0"/>
        <w:i w:val="0"/>
        <w:caps w:val="0"/>
        <w:color w:val="auto"/>
        <w:u w:val="none"/>
      </w:rPr>
    </w:lvl>
  </w:abstractNum>
  <w:abstractNum w:abstractNumId="3">
    <w:nsid w:val="2E221358"/>
    <w:multiLevelType w:val="hybridMultilevel"/>
    <w:tmpl w:val="866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009C2"/>
    <w:multiLevelType w:val="hybridMultilevel"/>
    <w:tmpl w:val="1A082BD0"/>
    <w:lvl w:ilvl="0" w:tplc="565A3B30">
      <w:start w:val="3"/>
      <w:numFmt w:val="upperRoman"/>
      <w:lvlText w:val="%1."/>
      <w:lvlJc w:val="left"/>
      <w:pPr>
        <w:tabs>
          <w:tab w:val="num" w:pos="1080"/>
        </w:tabs>
        <w:ind w:left="1080" w:hanging="720"/>
      </w:pPr>
      <w:rPr>
        <w:rFonts w:hint="default"/>
      </w:rPr>
    </w:lvl>
    <w:lvl w:ilvl="1" w:tplc="595236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54BBA"/>
    <w:multiLevelType w:val="hybridMultilevel"/>
    <w:tmpl w:val="DB82AF84"/>
    <w:lvl w:ilvl="0" w:tplc="595236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77423"/>
    <w:multiLevelType w:val="hybridMultilevel"/>
    <w:tmpl w:val="78C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C262D04E"/>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abstractNum w:abstractNumId="8">
    <w:nsid w:val="628E1E95"/>
    <w:multiLevelType w:val="singleLevel"/>
    <w:tmpl w:val="A886BC10"/>
    <w:lvl w:ilvl="0">
      <w:start w:val="1"/>
      <w:numFmt w:val="decimal"/>
      <w:pStyle w:val="par1"/>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0">
    <w:nsid w:val="6F8D3302"/>
    <w:multiLevelType w:val="hybridMultilevel"/>
    <w:tmpl w:val="40823CA8"/>
    <w:lvl w:ilvl="0" w:tplc="04090001">
      <w:start w:val="1"/>
      <w:numFmt w:val="bullet"/>
      <w:lvlText w:val=""/>
      <w:lvlJc w:val="left"/>
      <w:pPr>
        <w:tabs>
          <w:tab w:val="num" w:pos="1080"/>
        </w:tabs>
        <w:ind w:left="1080" w:hanging="360"/>
      </w:pPr>
      <w:rPr>
        <w:rFonts w:ascii="Symbol" w:hAnsi="Symbol"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7B275228"/>
    <w:multiLevelType w:val="hybridMultilevel"/>
    <w:tmpl w:val="D6B0A896"/>
    <w:lvl w:ilvl="0" w:tplc="67FA3D2E">
      <w:start w:val="1"/>
      <w:numFmt w:val="upperLetter"/>
      <w:lvlText w:val="%1."/>
      <w:lvlJc w:val="left"/>
      <w:pPr>
        <w:tabs>
          <w:tab w:val="num" w:pos="3060"/>
        </w:tabs>
        <w:ind w:left="3060" w:hanging="360"/>
      </w:pPr>
      <w:rPr>
        <w:rFonts w:hint="default"/>
        <w:b/>
      </w:rPr>
    </w:lvl>
    <w:lvl w:ilvl="1" w:tplc="04090001">
      <w:start w:val="1"/>
      <w:numFmt w:val="bullet"/>
      <w:lvlText w:val=""/>
      <w:lvlJc w:val="left"/>
      <w:pPr>
        <w:tabs>
          <w:tab w:val="num" w:pos="3780"/>
        </w:tabs>
        <w:ind w:left="3780" w:hanging="360"/>
      </w:pPr>
      <w:rPr>
        <w:rFonts w:ascii="Symbol" w:hAnsi="Symbol" w:hint="default"/>
        <w:b/>
      </w:rPr>
    </w:lvl>
    <w:lvl w:ilvl="2" w:tplc="10528CBA">
      <w:start w:val="1"/>
      <w:numFmt w:val="decimal"/>
      <w:lvlText w:val="(%3)"/>
      <w:lvlJc w:val="left"/>
      <w:pPr>
        <w:tabs>
          <w:tab w:val="num" w:pos="4680"/>
        </w:tabs>
        <w:ind w:left="4680" w:hanging="360"/>
      </w:pPr>
      <w:rPr>
        <w:rFonts w:hint="default"/>
      </w:r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8"/>
  </w:num>
  <w:num w:numId="3">
    <w:abstractNumId w:val="1"/>
  </w:num>
  <w:num w:numId="4">
    <w:abstractNumId w:val="7"/>
  </w:num>
  <w:num w:numId="5">
    <w:abstractNumId w:val="2"/>
  </w:num>
  <w:num w:numId="6">
    <w:abstractNumId w:val="4"/>
  </w:num>
  <w:num w:numId="7">
    <w:abstractNumId w:val="5"/>
  </w:num>
  <w:num w:numId="8">
    <w:abstractNumId w:val="11"/>
  </w:num>
  <w:num w:numId="9">
    <w:abstractNumId w:val="10"/>
  </w:num>
  <w:num w:numId="10">
    <w:abstractNumId w:val="0"/>
  </w:num>
  <w:num w:numId="11">
    <w:abstractNumId w:val="3"/>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15"/>
    <w:rsid w:val="00003C34"/>
    <w:rsid w:val="00005253"/>
    <w:rsid w:val="00011F3E"/>
    <w:rsid w:val="00021B6F"/>
    <w:rsid w:val="00024555"/>
    <w:rsid w:val="00066E63"/>
    <w:rsid w:val="0007670D"/>
    <w:rsid w:val="00081DE8"/>
    <w:rsid w:val="0008675B"/>
    <w:rsid w:val="000A7FC2"/>
    <w:rsid w:val="000C58F8"/>
    <w:rsid w:val="000D6965"/>
    <w:rsid w:val="000F7AAE"/>
    <w:rsid w:val="00130558"/>
    <w:rsid w:val="00134D22"/>
    <w:rsid w:val="0014751A"/>
    <w:rsid w:val="00164ADC"/>
    <w:rsid w:val="00173BA6"/>
    <w:rsid w:val="0017513A"/>
    <w:rsid w:val="00176171"/>
    <w:rsid w:val="001808D8"/>
    <w:rsid w:val="001923F5"/>
    <w:rsid w:val="00194E37"/>
    <w:rsid w:val="001A3AD5"/>
    <w:rsid w:val="001B3415"/>
    <w:rsid w:val="001C09D1"/>
    <w:rsid w:val="001C2DF6"/>
    <w:rsid w:val="001D403B"/>
    <w:rsid w:val="001D66EF"/>
    <w:rsid w:val="001F47B8"/>
    <w:rsid w:val="0020172B"/>
    <w:rsid w:val="00207845"/>
    <w:rsid w:val="00211A61"/>
    <w:rsid w:val="002120DB"/>
    <w:rsid w:val="00240048"/>
    <w:rsid w:val="00243209"/>
    <w:rsid w:val="0025748E"/>
    <w:rsid w:val="002576DA"/>
    <w:rsid w:val="00264706"/>
    <w:rsid w:val="00274056"/>
    <w:rsid w:val="00274DC1"/>
    <w:rsid w:val="00275F8C"/>
    <w:rsid w:val="0028404F"/>
    <w:rsid w:val="002934E0"/>
    <w:rsid w:val="002972B9"/>
    <w:rsid w:val="002B50ED"/>
    <w:rsid w:val="002B5BB3"/>
    <w:rsid w:val="002C299C"/>
    <w:rsid w:val="002C3424"/>
    <w:rsid w:val="002E0BBA"/>
    <w:rsid w:val="002E39EB"/>
    <w:rsid w:val="003071D8"/>
    <w:rsid w:val="00330ACE"/>
    <w:rsid w:val="003315A8"/>
    <w:rsid w:val="0033773D"/>
    <w:rsid w:val="0035166D"/>
    <w:rsid w:val="00357504"/>
    <w:rsid w:val="0036030E"/>
    <w:rsid w:val="00367621"/>
    <w:rsid w:val="00381E72"/>
    <w:rsid w:val="00386964"/>
    <w:rsid w:val="00396F79"/>
    <w:rsid w:val="003A01B4"/>
    <w:rsid w:val="003A4053"/>
    <w:rsid w:val="003A58A8"/>
    <w:rsid w:val="003A6F17"/>
    <w:rsid w:val="003B32B0"/>
    <w:rsid w:val="003B3B0B"/>
    <w:rsid w:val="003B75BB"/>
    <w:rsid w:val="003C184F"/>
    <w:rsid w:val="003C3CD2"/>
    <w:rsid w:val="003C43CD"/>
    <w:rsid w:val="003D148E"/>
    <w:rsid w:val="003D4321"/>
    <w:rsid w:val="003F752B"/>
    <w:rsid w:val="00403731"/>
    <w:rsid w:val="00404738"/>
    <w:rsid w:val="00405242"/>
    <w:rsid w:val="004121B5"/>
    <w:rsid w:val="00416C1E"/>
    <w:rsid w:val="004327FB"/>
    <w:rsid w:val="0045173D"/>
    <w:rsid w:val="0045702C"/>
    <w:rsid w:val="00460A5B"/>
    <w:rsid w:val="004678A3"/>
    <w:rsid w:val="00471003"/>
    <w:rsid w:val="00473241"/>
    <w:rsid w:val="00473434"/>
    <w:rsid w:val="00474251"/>
    <w:rsid w:val="004827C1"/>
    <w:rsid w:val="004A243B"/>
    <w:rsid w:val="004A6D00"/>
    <w:rsid w:val="004A784F"/>
    <w:rsid w:val="004B4F1E"/>
    <w:rsid w:val="004B514D"/>
    <w:rsid w:val="004D0739"/>
    <w:rsid w:val="004D4A14"/>
    <w:rsid w:val="004E02B5"/>
    <w:rsid w:val="00502C91"/>
    <w:rsid w:val="0050364B"/>
    <w:rsid w:val="0050389D"/>
    <w:rsid w:val="00524556"/>
    <w:rsid w:val="00534EA7"/>
    <w:rsid w:val="00536BCD"/>
    <w:rsid w:val="00596CC7"/>
    <w:rsid w:val="0059779D"/>
    <w:rsid w:val="005B2037"/>
    <w:rsid w:val="005B331B"/>
    <w:rsid w:val="005B7BFD"/>
    <w:rsid w:val="005D1DD6"/>
    <w:rsid w:val="005D75FE"/>
    <w:rsid w:val="005E4B50"/>
    <w:rsid w:val="005E6E67"/>
    <w:rsid w:val="005F1D42"/>
    <w:rsid w:val="005F4C6E"/>
    <w:rsid w:val="005F686B"/>
    <w:rsid w:val="005F6953"/>
    <w:rsid w:val="005F69F9"/>
    <w:rsid w:val="006055D2"/>
    <w:rsid w:val="00616340"/>
    <w:rsid w:val="00616F61"/>
    <w:rsid w:val="00633DE5"/>
    <w:rsid w:val="00636F1E"/>
    <w:rsid w:val="00643103"/>
    <w:rsid w:val="006566FD"/>
    <w:rsid w:val="00680316"/>
    <w:rsid w:val="00680DF7"/>
    <w:rsid w:val="00683B78"/>
    <w:rsid w:val="00693E4A"/>
    <w:rsid w:val="006A1156"/>
    <w:rsid w:val="006A2336"/>
    <w:rsid w:val="006A621E"/>
    <w:rsid w:val="006A7EFA"/>
    <w:rsid w:val="006B05B7"/>
    <w:rsid w:val="006B4E4E"/>
    <w:rsid w:val="006C7EC3"/>
    <w:rsid w:val="006D09BF"/>
    <w:rsid w:val="006D48BF"/>
    <w:rsid w:val="006E2391"/>
    <w:rsid w:val="006E64B0"/>
    <w:rsid w:val="006F7406"/>
    <w:rsid w:val="0071022B"/>
    <w:rsid w:val="00715E7F"/>
    <w:rsid w:val="00737C48"/>
    <w:rsid w:val="007408BC"/>
    <w:rsid w:val="007429F2"/>
    <w:rsid w:val="0075668B"/>
    <w:rsid w:val="007767E1"/>
    <w:rsid w:val="007B1483"/>
    <w:rsid w:val="007B4BFC"/>
    <w:rsid w:val="007B4E6A"/>
    <w:rsid w:val="007B6E03"/>
    <w:rsid w:val="007C3740"/>
    <w:rsid w:val="007E7C3F"/>
    <w:rsid w:val="007F4F54"/>
    <w:rsid w:val="00817EDA"/>
    <w:rsid w:val="0082165C"/>
    <w:rsid w:val="008229AA"/>
    <w:rsid w:val="00827CC1"/>
    <w:rsid w:val="008434C8"/>
    <w:rsid w:val="008608A5"/>
    <w:rsid w:val="00867A5B"/>
    <w:rsid w:val="00874DB1"/>
    <w:rsid w:val="00886B89"/>
    <w:rsid w:val="008A0254"/>
    <w:rsid w:val="008A264F"/>
    <w:rsid w:val="008A3F8F"/>
    <w:rsid w:val="008A73BF"/>
    <w:rsid w:val="008B4588"/>
    <w:rsid w:val="008C4187"/>
    <w:rsid w:val="008C4DD2"/>
    <w:rsid w:val="008C73C6"/>
    <w:rsid w:val="008E3891"/>
    <w:rsid w:val="00916DA5"/>
    <w:rsid w:val="0092458A"/>
    <w:rsid w:val="00934E78"/>
    <w:rsid w:val="00937EB2"/>
    <w:rsid w:val="00941B80"/>
    <w:rsid w:val="00964FB3"/>
    <w:rsid w:val="009703AC"/>
    <w:rsid w:val="009950E2"/>
    <w:rsid w:val="009A6DB8"/>
    <w:rsid w:val="009B2B4B"/>
    <w:rsid w:val="009B5665"/>
    <w:rsid w:val="009B7B41"/>
    <w:rsid w:val="009D2EE3"/>
    <w:rsid w:val="009D6C0D"/>
    <w:rsid w:val="009F5FB8"/>
    <w:rsid w:val="009F7C58"/>
    <w:rsid w:val="00A0379C"/>
    <w:rsid w:val="00A113B9"/>
    <w:rsid w:val="00A33DB2"/>
    <w:rsid w:val="00A440AD"/>
    <w:rsid w:val="00A47F68"/>
    <w:rsid w:val="00A52C32"/>
    <w:rsid w:val="00A56147"/>
    <w:rsid w:val="00A619EC"/>
    <w:rsid w:val="00A6638B"/>
    <w:rsid w:val="00A67D1D"/>
    <w:rsid w:val="00A70026"/>
    <w:rsid w:val="00A73E42"/>
    <w:rsid w:val="00A8111D"/>
    <w:rsid w:val="00A930BB"/>
    <w:rsid w:val="00A96E66"/>
    <w:rsid w:val="00A97F6C"/>
    <w:rsid w:val="00AB2304"/>
    <w:rsid w:val="00AB6821"/>
    <w:rsid w:val="00AC0B1A"/>
    <w:rsid w:val="00AC6BB9"/>
    <w:rsid w:val="00AD2461"/>
    <w:rsid w:val="00AD4E77"/>
    <w:rsid w:val="00AE0E02"/>
    <w:rsid w:val="00AE306C"/>
    <w:rsid w:val="00AE58C1"/>
    <w:rsid w:val="00AF6D3A"/>
    <w:rsid w:val="00AF7595"/>
    <w:rsid w:val="00B0778C"/>
    <w:rsid w:val="00B16C7D"/>
    <w:rsid w:val="00B265D6"/>
    <w:rsid w:val="00B30115"/>
    <w:rsid w:val="00B3239F"/>
    <w:rsid w:val="00B42089"/>
    <w:rsid w:val="00B44117"/>
    <w:rsid w:val="00B539A8"/>
    <w:rsid w:val="00B6072B"/>
    <w:rsid w:val="00B64009"/>
    <w:rsid w:val="00B76A8B"/>
    <w:rsid w:val="00B778A1"/>
    <w:rsid w:val="00B90368"/>
    <w:rsid w:val="00B91347"/>
    <w:rsid w:val="00B96DB3"/>
    <w:rsid w:val="00B97B80"/>
    <w:rsid w:val="00BA493D"/>
    <w:rsid w:val="00BA4A0B"/>
    <w:rsid w:val="00BB34A2"/>
    <w:rsid w:val="00BC7248"/>
    <w:rsid w:val="00C03595"/>
    <w:rsid w:val="00C03F58"/>
    <w:rsid w:val="00C04BC9"/>
    <w:rsid w:val="00C2420B"/>
    <w:rsid w:val="00C261AF"/>
    <w:rsid w:val="00C37500"/>
    <w:rsid w:val="00C3760E"/>
    <w:rsid w:val="00C418A3"/>
    <w:rsid w:val="00C57346"/>
    <w:rsid w:val="00C66DCC"/>
    <w:rsid w:val="00C67A02"/>
    <w:rsid w:val="00C7252A"/>
    <w:rsid w:val="00C8686A"/>
    <w:rsid w:val="00CA51D9"/>
    <w:rsid w:val="00CD0A50"/>
    <w:rsid w:val="00CF3C02"/>
    <w:rsid w:val="00CF55D3"/>
    <w:rsid w:val="00CF59CD"/>
    <w:rsid w:val="00D036E0"/>
    <w:rsid w:val="00D10DC3"/>
    <w:rsid w:val="00D27F17"/>
    <w:rsid w:val="00D30D91"/>
    <w:rsid w:val="00D51B27"/>
    <w:rsid w:val="00D53CD8"/>
    <w:rsid w:val="00D55925"/>
    <w:rsid w:val="00D65C47"/>
    <w:rsid w:val="00D67AE5"/>
    <w:rsid w:val="00D80306"/>
    <w:rsid w:val="00D9021C"/>
    <w:rsid w:val="00D962A9"/>
    <w:rsid w:val="00DA4E2C"/>
    <w:rsid w:val="00DB1A78"/>
    <w:rsid w:val="00DC235D"/>
    <w:rsid w:val="00DC6A84"/>
    <w:rsid w:val="00DD57A7"/>
    <w:rsid w:val="00DD7BE2"/>
    <w:rsid w:val="00DE1B3B"/>
    <w:rsid w:val="00DE4325"/>
    <w:rsid w:val="00E0699C"/>
    <w:rsid w:val="00E1115E"/>
    <w:rsid w:val="00E3015C"/>
    <w:rsid w:val="00E33FA5"/>
    <w:rsid w:val="00E44300"/>
    <w:rsid w:val="00E61510"/>
    <w:rsid w:val="00E62AF2"/>
    <w:rsid w:val="00E65988"/>
    <w:rsid w:val="00E704F5"/>
    <w:rsid w:val="00E90222"/>
    <w:rsid w:val="00E90E3D"/>
    <w:rsid w:val="00E967AF"/>
    <w:rsid w:val="00EA6E09"/>
    <w:rsid w:val="00EC51A6"/>
    <w:rsid w:val="00EC73A1"/>
    <w:rsid w:val="00EE2419"/>
    <w:rsid w:val="00EE2FB8"/>
    <w:rsid w:val="00EE5DC8"/>
    <w:rsid w:val="00EF34BD"/>
    <w:rsid w:val="00EF5112"/>
    <w:rsid w:val="00EF7164"/>
    <w:rsid w:val="00F01082"/>
    <w:rsid w:val="00F07DE0"/>
    <w:rsid w:val="00F20329"/>
    <w:rsid w:val="00F22BD2"/>
    <w:rsid w:val="00F31488"/>
    <w:rsid w:val="00F3152A"/>
    <w:rsid w:val="00F31DB6"/>
    <w:rsid w:val="00F46940"/>
    <w:rsid w:val="00F57C84"/>
    <w:rsid w:val="00F62506"/>
    <w:rsid w:val="00F75E99"/>
    <w:rsid w:val="00F76800"/>
    <w:rsid w:val="00F80B90"/>
    <w:rsid w:val="00FA3E0A"/>
    <w:rsid w:val="00FA5F7D"/>
    <w:rsid w:val="00FA6753"/>
    <w:rsid w:val="00FB215E"/>
    <w:rsid w:val="00FB23EA"/>
    <w:rsid w:val="00FC15CE"/>
    <w:rsid w:val="00FC4C99"/>
    <w:rsid w:val="00FD62FE"/>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Num"/>
    <w:qFormat/>
    <w:pPr>
      <w:keepNext/>
      <w:widowControl w:val="0"/>
      <w:tabs>
        <w:tab w:val="left" w:pos="2160"/>
      </w:tabs>
      <w:spacing w:after="120"/>
      <w:ind w:left="2160" w:hanging="720"/>
      <w:outlineLvl w:val="2"/>
    </w:pPr>
    <w:rPr>
      <w:b/>
      <w:snapToGrid w:val="0"/>
      <w:kern w:val="28"/>
      <w:sz w:val="22"/>
      <w:szCs w:val="20"/>
    </w:rPr>
  </w:style>
  <w:style w:type="paragraph" w:styleId="Heading4">
    <w:name w:val="heading 4"/>
    <w:basedOn w:val="Normal"/>
    <w:next w:val="ParaNum"/>
    <w:qFormat/>
    <w:pPr>
      <w:keepNext/>
      <w:widowControl w:val="0"/>
      <w:tabs>
        <w:tab w:val="left" w:pos="2880"/>
      </w:tabs>
      <w:spacing w:after="120"/>
      <w:ind w:left="2880" w:hanging="720"/>
      <w:outlineLvl w:val="3"/>
    </w:pPr>
    <w:rPr>
      <w:b/>
      <w:snapToGrid w:val="0"/>
      <w:kern w:val="28"/>
      <w:sz w:val="22"/>
      <w:szCs w:val="20"/>
    </w:rPr>
  </w:style>
  <w:style w:type="paragraph" w:styleId="Heading5">
    <w:name w:val="heading 5"/>
    <w:basedOn w:val="Normal"/>
    <w:next w:val="ParaNum"/>
    <w:qFormat/>
    <w:pPr>
      <w:keepNext/>
      <w:widowControl w:val="0"/>
      <w:tabs>
        <w:tab w:val="left" w:pos="3600"/>
      </w:tabs>
      <w:suppressAutoHyphens/>
      <w:spacing w:after="120"/>
      <w:ind w:left="3600" w:hanging="720"/>
      <w:outlineLvl w:val="4"/>
    </w:pPr>
    <w:rPr>
      <w:b/>
      <w:snapToGrid w:val="0"/>
      <w:kern w:val="28"/>
      <w:sz w:val="22"/>
      <w:szCs w:val="20"/>
    </w:rPr>
  </w:style>
  <w:style w:type="paragraph" w:styleId="Heading6">
    <w:name w:val="heading 6"/>
    <w:basedOn w:val="Normal"/>
    <w:next w:val="ParaNum"/>
    <w:qFormat/>
    <w:pPr>
      <w:widowControl w:val="0"/>
      <w:tabs>
        <w:tab w:val="left" w:pos="4320"/>
      </w:tabs>
      <w:spacing w:after="120"/>
      <w:ind w:left="4320" w:hanging="720"/>
      <w:outlineLvl w:val="5"/>
    </w:pPr>
    <w:rPr>
      <w:b/>
      <w:snapToGrid w:val="0"/>
      <w:kern w:val="28"/>
      <w:sz w:val="22"/>
      <w:szCs w:val="20"/>
    </w:rPr>
  </w:style>
  <w:style w:type="paragraph" w:styleId="Heading7">
    <w:name w:val="heading 7"/>
    <w:basedOn w:val="Normal"/>
    <w:next w:val="ParaNum"/>
    <w:qFormat/>
    <w:pPr>
      <w:widowControl w:val="0"/>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pPr>
      <w:widowControl w:val="0"/>
      <w:tabs>
        <w:tab w:val="left" w:pos="5760"/>
      </w:tabs>
      <w:spacing w:after="120"/>
      <w:ind w:left="5760" w:hanging="720"/>
      <w:outlineLvl w:val="7"/>
    </w:pPr>
    <w:rPr>
      <w:b/>
      <w:snapToGrid w:val="0"/>
      <w:kern w:val="28"/>
      <w:sz w:val="22"/>
      <w:szCs w:val="20"/>
    </w:rPr>
  </w:style>
  <w:style w:type="paragraph" w:styleId="Heading9">
    <w:name w:val="heading 9"/>
    <w:basedOn w:val="Normal"/>
    <w:next w:val="ParaNum"/>
    <w:qFormat/>
    <w:pPr>
      <w:widowControl w:val="0"/>
      <w:tabs>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t,f"/>
    <w:basedOn w:val="Normal"/>
    <w:link w:val="FootnoteTextChar2"/>
    <w:rsid w:val="003C43CD"/>
    <w:pPr>
      <w:tabs>
        <w:tab w:val="left" w:pos="720"/>
      </w:tabs>
      <w:suppressAutoHyphens/>
      <w:spacing w:after="200"/>
      <w:ind w:firstLine="360"/>
    </w:pPr>
  </w:style>
  <w:style w:type="character" w:styleId="FootnoteReference">
    <w:name w:val="footnote reference"/>
    <w:aliases w:val="Style 4,Style 12,(NECG) Footnote Reference,Appel note de bas de p,Style 124,fr,o,Style 13,Style 3"/>
    <w:rPr>
      <w:sz w:val="20"/>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rPr>
      <w:noProof w:val="0"/>
      <w:sz w:val="24"/>
      <w:szCs w:val="24"/>
      <w:lang w:val="en-US" w:eastAsia="en-US" w:bidi="ar-SA"/>
    </w:rPr>
  </w:style>
  <w:style w:type="paragraph" w:customStyle="1" w:styleId="par1">
    <w:name w:val="par1"/>
    <w:basedOn w:val="Normal"/>
    <w:link w:val="par1Char"/>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4"/>
      </w:numPr>
      <w:spacing w:after="120"/>
    </w:pPr>
    <w:rPr>
      <w:snapToGrid w:val="0"/>
      <w:kern w:val="28"/>
      <w:sz w:val="22"/>
      <w:szCs w:val="20"/>
      <w:lang w:val="x-none" w:eastAsia="x-none"/>
    </w:rPr>
  </w:style>
  <w:style w:type="paragraph" w:styleId="BodyText">
    <w:name w:val="Body Text"/>
    <w:basedOn w:val="Normal"/>
    <w:link w:val="BodyTextChar"/>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291">
    <w:name w:val="EmailStyle291"/>
    <w:semiHidden/>
    <w:rPr>
      <w:rFonts w:ascii="Arial" w:hAnsi="Arial" w:cs="Arial"/>
      <w:color w:val="auto"/>
      <w:sz w:val="20"/>
      <w:szCs w:val="20"/>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3C43CD"/>
  </w:style>
  <w:style w:type="character" w:customStyle="1" w:styleId="bestsection1">
    <w:name w:val="bestsection1"/>
    <w:rPr>
      <w:color w:val="FF0000"/>
    </w:rPr>
  </w:style>
  <w:style w:type="character" w:styleId="Strong">
    <w:name w:val="Strong"/>
    <w:qFormat/>
    <w:rPr>
      <w:b/>
      <w:bCs/>
    </w:rPr>
  </w:style>
  <w:style w:type="character" w:customStyle="1" w:styleId="HeaderChar">
    <w:name w:val="Header Char"/>
    <w:link w:val="Header"/>
    <w:locked/>
    <w:rPr>
      <w:sz w:val="22"/>
      <w:szCs w:val="24"/>
      <w:lang w:val="en-US" w:eastAsia="en-US" w:bidi="ar-SA"/>
    </w:rPr>
  </w:style>
  <w:style w:type="character" w:customStyle="1" w:styleId="FooterChar">
    <w:name w:val="Footer Char"/>
    <w:link w:val="Footer"/>
    <w:locked/>
    <w:rPr>
      <w:sz w:val="22"/>
      <w:szCs w:val="24"/>
      <w:lang w:val="en-US" w:eastAsia="en-US" w:bidi="ar-SA"/>
    </w:rPr>
  </w:style>
  <w:style w:type="character" w:customStyle="1" w:styleId="Heading1Char">
    <w:name w:val="Heading 1 Char"/>
    <w:link w:val="Heading1"/>
    <w:locked/>
    <w:rPr>
      <w:b/>
      <w:sz w:val="22"/>
      <w:szCs w:val="24"/>
      <w:lang w:val="en-US" w:eastAsia="en-US" w:bidi="ar-SA"/>
    </w:rPr>
  </w:style>
  <w:style w:type="character" w:customStyle="1" w:styleId="BodyTextChar">
    <w:name w:val="Body Text Char"/>
    <w:link w:val="BodyText"/>
    <w:semiHidden/>
    <w:locked/>
    <w:rPr>
      <w:b/>
      <w:sz w:val="24"/>
      <w:u w:val="single"/>
      <w:lang w:val="en-US" w:eastAsia="en-US" w:bidi="ar-SA"/>
    </w:rPr>
  </w:style>
  <w:style w:type="character" w:customStyle="1" w:styleId="ParaNumChar">
    <w:name w:val="ParaNum Char"/>
    <w:link w:val="ParaNum"/>
    <w:rPr>
      <w:snapToGrid w:val="0"/>
      <w:kern w:val="28"/>
      <w:sz w:val="22"/>
      <w:lang w:val="x-none" w:eastAsia="x-none" w:bidi="ar-SA"/>
    </w:rPr>
  </w:style>
  <w:style w:type="character" w:customStyle="1" w:styleId="Heading2Char">
    <w:name w:val="Heading 2 Char"/>
    <w:link w:val="Heading2"/>
    <w:rPr>
      <w:rFonts w:ascii="Arial" w:hAnsi="Arial" w:cs="Arial"/>
      <w:b/>
      <w:bCs/>
      <w:i/>
      <w:iCs/>
      <w:sz w:val="28"/>
      <w:szCs w:val="28"/>
    </w:rPr>
  </w:style>
  <w:style w:type="paragraph" w:customStyle="1" w:styleId="DCStandardL1">
    <w:name w:val="DCStandard_L1"/>
    <w:basedOn w:val="Normal"/>
    <w:next w:val="BodyText"/>
    <w:pPr>
      <w:numPr>
        <w:numId w:val="5"/>
      </w:numPr>
      <w:spacing w:after="240"/>
      <w:jc w:val="both"/>
      <w:outlineLvl w:val="0"/>
    </w:pPr>
    <w:rPr>
      <w:szCs w:val="20"/>
    </w:rPr>
  </w:style>
  <w:style w:type="paragraph" w:customStyle="1" w:styleId="DCStandardL2">
    <w:name w:val="DCStandard_L2"/>
    <w:basedOn w:val="DCStandardL1"/>
    <w:next w:val="BodyText"/>
    <w:pPr>
      <w:numPr>
        <w:ilvl w:val="1"/>
      </w:numPr>
      <w:outlineLvl w:val="1"/>
    </w:pPr>
  </w:style>
  <w:style w:type="paragraph" w:customStyle="1" w:styleId="DCStandardL3">
    <w:name w:val="DCStandard_L3"/>
    <w:basedOn w:val="DCStandardL2"/>
    <w:next w:val="BodyText"/>
    <w:pPr>
      <w:numPr>
        <w:ilvl w:val="2"/>
      </w:numPr>
      <w:outlineLvl w:val="2"/>
    </w:pPr>
  </w:style>
  <w:style w:type="paragraph" w:customStyle="1" w:styleId="DCStandardL4">
    <w:name w:val="DCStandard_L4"/>
    <w:basedOn w:val="DCStandardL3"/>
    <w:next w:val="BodyText"/>
    <w:pPr>
      <w:numPr>
        <w:ilvl w:val="3"/>
      </w:numPr>
      <w:outlineLvl w:val="3"/>
    </w:pPr>
  </w:style>
  <w:style w:type="paragraph" w:customStyle="1" w:styleId="DCStandardL5">
    <w:name w:val="DCStandard_L5"/>
    <w:basedOn w:val="DCStandardL4"/>
    <w:next w:val="BodyText"/>
    <w:pPr>
      <w:numPr>
        <w:ilvl w:val="4"/>
      </w:numPr>
      <w:outlineLvl w:val="4"/>
    </w:pPr>
  </w:style>
  <w:style w:type="paragraph" w:customStyle="1" w:styleId="DCStandardL6">
    <w:name w:val="DCStandard_L6"/>
    <w:basedOn w:val="DCStandardL5"/>
    <w:next w:val="BodyText"/>
    <w:pPr>
      <w:numPr>
        <w:ilvl w:val="5"/>
      </w:numPr>
      <w:outlineLvl w:val="5"/>
    </w:pPr>
  </w:style>
  <w:style w:type="paragraph" w:customStyle="1" w:styleId="DCStandardL7">
    <w:name w:val="DCStandard_L7"/>
    <w:basedOn w:val="DCStandardL6"/>
    <w:next w:val="BodyText"/>
    <w:pPr>
      <w:numPr>
        <w:ilvl w:val="6"/>
      </w:numPr>
      <w:outlineLvl w:val="6"/>
    </w:pPr>
  </w:style>
  <w:style w:type="paragraph" w:customStyle="1" w:styleId="DCStandardL8">
    <w:name w:val="DCStandard_L8"/>
    <w:basedOn w:val="DCStandardL7"/>
    <w:next w:val="BodyText"/>
    <w:pPr>
      <w:numPr>
        <w:ilvl w:val="7"/>
      </w:numPr>
      <w:outlineLvl w:val="7"/>
    </w:pPr>
  </w:style>
  <w:style w:type="paragraph" w:customStyle="1" w:styleId="DCStandardL9">
    <w:name w:val="DCStandard_L9"/>
    <w:basedOn w:val="DCStandardL8"/>
    <w:next w:val="BodyText"/>
    <w:pPr>
      <w:numPr>
        <w:ilvl w:val="8"/>
      </w:numPr>
      <w:outlineLvl w:val="8"/>
    </w:pPr>
  </w:style>
  <w:style w:type="paragraph" w:styleId="ListParagraph">
    <w:name w:val="List Paragraph"/>
    <w:basedOn w:val="Normal"/>
    <w:uiPriority w:val="34"/>
    <w:qFormat/>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odyText1">
    <w:name w:val="Body Text1"/>
    <w:rPr>
      <w:rFonts w:ascii="Times New Roman Bold" w:eastAsia="ヒラギノ角ゴ Pro W3" w:hAnsi="Times New Roman Bold"/>
      <w:color w:val="000000"/>
      <w:u w:val="single"/>
    </w:rPr>
  </w:style>
  <w:style w:type="character" w:customStyle="1" w:styleId="bold1">
    <w:name w:val="bold1"/>
    <w:rPr>
      <w:b/>
      <w:bCs/>
    </w:rPr>
  </w:style>
  <w:style w:type="character" w:customStyle="1" w:styleId="underline">
    <w:name w:val="underline"/>
    <w:basedOn w:val="DefaultParagraphFont"/>
  </w:style>
  <w:style w:type="character" w:styleId="Hyperlink">
    <w:name w:val="Hyperlink"/>
    <w:rPr>
      <w:color w:val="0000FF"/>
      <w:u w:val="single"/>
    </w:rPr>
  </w:style>
  <w:style w:type="character" w:customStyle="1" w:styleId="documentbody">
    <w:name w:val="documentbody"/>
  </w:style>
  <w:style w:type="character" w:customStyle="1" w:styleId="searchterm">
    <w:name w:val="searchterm"/>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customStyle="1" w:styleId="par1Char">
    <w:name w:val="par1 Char"/>
    <w:link w:val="par1"/>
    <w:locked/>
    <w:rPr>
      <w:sz w:val="22"/>
      <w:lang w:val="en-US" w:eastAsia="en-US" w:bidi="ar-SA"/>
    </w:rPr>
  </w:style>
  <w:style w:type="character" w:customStyle="1" w:styleId="FootnoteTextChar1CharCharCharCharChar1">
    <w:name w:val="Footnote Text Char1 Char Char Char Char Char1"/>
    <w:aliases w:val="Footnote Text Char Char Char Char Char Char Char Char,Footnote Text Char3 Char2"/>
    <w:rPr>
      <w:sz w:val="24"/>
      <w:szCs w:val="24"/>
      <w:lang w:val="en-US" w:eastAsia="en-US" w:bidi="ar-SA"/>
    </w:rPr>
  </w:style>
  <w:style w:type="paragraph" w:customStyle="1" w:styleId="Default">
    <w:name w:val="Default"/>
    <w:pPr>
      <w:autoSpaceDE w:val="0"/>
      <w:autoSpaceDN w:val="0"/>
      <w:adjustRightInd w:val="0"/>
    </w:pPr>
    <w:rPr>
      <w:color w:val="000000"/>
    </w:rPr>
  </w:style>
  <w:style w:type="character" w:styleId="FollowedHyperlink">
    <w:name w:val="FollowedHyperlink"/>
    <w:rPr>
      <w:color w:val="800080"/>
      <w:u w:val="single"/>
    </w:rPr>
  </w:style>
  <w:style w:type="paragraph" w:styleId="Revision">
    <w:name w:val="Revision"/>
    <w:hidden/>
    <w:uiPriority w:val="71"/>
    <w:rsid w:val="001C2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Num"/>
    <w:qFormat/>
    <w:pPr>
      <w:keepNext/>
      <w:widowControl w:val="0"/>
      <w:tabs>
        <w:tab w:val="left" w:pos="2160"/>
      </w:tabs>
      <w:spacing w:after="120"/>
      <w:ind w:left="2160" w:hanging="720"/>
      <w:outlineLvl w:val="2"/>
    </w:pPr>
    <w:rPr>
      <w:b/>
      <w:snapToGrid w:val="0"/>
      <w:kern w:val="28"/>
      <w:sz w:val="22"/>
      <w:szCs w:val="20"/>
    </w:rPr>
  </w:style>
  <w:style w:type="paragraph" w:styleId="Heading4">
    <w:name w:val="heading 4"/>
    <w:basedOn w:val="Normal"/>
    <w:next w:val="ParaNum"/>
    <w:qFormat/>
    <w:pPr>
      <w:keepNext/>
      <w:widowControl w:val="0"/>
      <w:tabs>
        <w:tab w:val="left" w:pos="2880"/>
      </w:tabs>
      <w:spacing w:after="120"/>
      <w:ind w:left="2880" w:hanging="720"/>
      <w:outlineLvl w:val="3"/>
    </w:pPr>
    <w:rPr>
      <w:b/>
      <w:snapToGrid w:val="0"/>
      <w:kern w:val="28"/>
      <w:sz w:val="22"/>
      <w:szCs w:val="20"/>
    </w:rPr>
  </w:style>
  <w:style w:type="paragraph" w:styleId="Heading5">
    <w:name w:val="heading 5"/>
    <w:basedOn w:val="Normal"/>
    <w:next w:val="ParaNum"/>
    <w:qFormat/>
    <w:pPr>
      <w:keepNext/>
      <w:widowControl w:val="0"/>
      <w:tabs>
        <w:tab w:val="left" w:pos="3600"/>
      </w:tabs>
      <w:suppressAutoHyphens/>
      <w:spacing w:after="120"/>
      <w:ind w:left="3600" w:hanging="720"/>
      <w:outlineLvl w:val="4"/>
    </w:pPr>
    <w:rPr>
      <w:b/>
      <w:snapToGrid w:val="0"/>
      <w:kern w:val="28"/>
      <w:sz w:val="22"/>
      <w:szCs w:val="20"/>
    </w:rPr>
  </w:style>
  <w:style w:type="paragraph" w:styleId="Heading6">
    <w:name w:val="heading 6"/>
    <w:basedOn w:val="Normal"/>
    <w:next w:val="ParaNum"/>
    <w:qFormat/>
    <w:pPr>
      <w:widowControl w:val="0"/>
      <w:tabs>
        <w:tab w:val="left" w:pos="4320"/>
      </w:tabs>
      <w:spacing w:after="120"/>
      <w:ind w:left="4320" w:hanging="720"/>
      <w:outlineLvl w:val="5"/>
    </w:pPr>
    <w:rPr>
      <w:b/>
      <w:snapToGrid w:val="0"/>
      <w:kern w:val="28"/>
      <w:sz w:val="22"/>
      <w:szCs w:val="20"/>
    </w:rPr>
  </w:style>
  <w:style w:type="paragraph" w:styleId="Heading7">
    <w:name w:val="heading 7"/>
    <w:basedOn w:val="Normal"/>
    <w:next w:val="ParaNum"/>
    <w:qFormat/>
    <w:pPr>
      <w:widowControl w:val="0"/>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pPr>
      <w:widowControl w:val="0"/>
      <w:tabs>
        <w:tab w:val="left" w:pos="5760"/>
      </w:tabs>
      <w:spacing w:after="120"/>
      <w:ind w:left="5760" w:hanging="720"/>
      <w:outlineLvl w:val="7"/>
    </w:pPr>
    <w:rPr>
      <w:b/>
      <w:snapToGrid w:val="0"/>
      <w:kern w:val="28"/>
      <w:sz w:val="22"/>
      <w:szCs w:val="20"/>
    </w:rPr>
  </w:style>
  <w:style w:type="paragraph" w:styleId="Heading9">
    <w:name w:val="heading 9"/>
    <w:basedOn w:val="Normal"/>
    <w:next w:val="ParaNum"/>
    <w:qFormat/>
    <w:pPr>
      <w:widowControl w:val="0"/>
      <w:tabs>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t,f"/>
    <w:basedOn w:val="Normal"/>
    <w:link w:val="FootnoteTextChar2"/>
    <w:rsid w:val="003C43CD"/>
    <w:pPr>
      <w:tabs>
        <w:tab w:val="left" w:pos="720"/>
      </w:tabs>
      <w:suppressAutoHyphens/>
      <w:spacing w:after="200"/>
      <w:ind w:firstLine="360"/>
    </w:pPr>
  </w:style>
  <w:style w:type="character" w:styleId="FootnoteReference">
    <w:name w:val="footnote reference"/>
    <w:aliases w:val="Style 4,Style 12,(NECG) Footnote Reference,Appel note de bas de p,Style 124,fr,o,Style 13,Style 3"/>
    <w:rPr>
      <w:sz w:val="20"/>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rPr>
      <w:noProof w:val="0"/>
      <w:sz w:val="24"/>
      <w:szCs w:val="24"/>
      <w:lang w:val="en-US" w:eastAsia="en-US" w:bidi="ar-SA"/>
    </w:rPr>
  </w:style>
  <w:style w:type="paragraph" w:customStyle="1" w:styleId="par1">
    <w:name w:val="par1"/>
    <w:basedOn w:val="Normal"/>
    <w:link w:val="par1Char"/>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4"/>
      </w:numPr>
      <w:spacing w:after="120"/>
    </w:pPr>
    <w:rPr>
      <w:snapToGrid w:val="0"/>
      <w:kern w:val="28"/>
      <w:sz w:val="22"/>
      <w:szCs w:val="20"/>
      <w:lang w:val="x-none" w:eastAsia="x-none"/>
    </w:rPr>
  </w:style>
  <w:style w:type="paragraph" w:styleId="BodyText">
    <w:name w:val="Body Text"/>
    <w:basedOn w:val="Normal"/>
    <w:link w:val="BodyTextChar"/>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291">
    <w:name w:val="EmailStyle291"/>
    <w:semiHidden/>
    <w:rPr>
      <w:rFonts w:ascii="Arial" w:hAnsi="Arial" w:cs="Arial"/>
      <w:color w:val="auto"/>
      <w:sz w:val="20"/>
      <w:szCs w:val="20"/>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3C43CD"/>
  </w:style>
  <w:style w:type="character" w:customStyle="1" w:styleId="bestsection1">
    <w:name w:val="bestsection1"/>
    <w:rPr>
      <w:color w:val="FF0000"/>
    </w:rPr>
  </w:style>
  <w:style w:type="character" w:styleId="Strong">
    <w:name w:val="Strong"/>
    <w:qFormat/>
    <w:rPr>
      <w:b/>
      <w:bCs/>
    </w:rPr>
  </w:style>
  <w:style w:type="character" w:customStyle="1" w:styleId="HeaderChar">
    <w:name w:val="Header Char"/>
    <w:link w:val="Header"/>
    <w:locked/>
    <w:rPr>
      <w:sz w:val="22"/>
      <w:szCs w:val="24"/>
      <w:lang w:val="en-US" w:eastAsia="en-US" w:bidi="ar-SA"/>
    </w:rPr>
  </w:style>
  <w:style w:type="character" w:customStyle="1" w:styleId="FooterChar">
    <w:name w:val="Footer Char"/>
    <w:link w:val="Footer"/>
    <w:locked/>
    <w:rPr>
      <w:sz w:val="22"/>
      <w:szCs w:val="24"/>
      <w:lang w:val="en-US" w:eastAsia="en-US" w:bidi="ar-SA"/>
    </w:rPr>
  </w:style>
  <w:style w:type="character" w:customStyle="1" w:styleId="Heading1Char">
    <w:name w:val="Heading 1 Char"/>
    <w:link w:val="Heading1"/>
    <w:locked/>
    <w:rPr>
      <w:b/>
      <w:sz w:val="22"/>
      <w:szCs w:val="24"/>
      <w:lang w:val="en-US" w:eastAsia="en-US" w:bidi="ar-SA"/>
    </w:rPr>
  </w:style>
  <w:style w:type="character" w:customStyle="1" w:styleId="BodyTextChar">
    <w:name w:val="Body Text Char"/>
    <w:link w:val="BodyText"/>
    <w:semiHidden/>
    <w:locked/>
    <w:rPr>
      <w:b/>
      <w:sz w:val="24"/>
      <w:u w:val="single"/>
      <w:lang w:val="en-US" w:eastAsia="en-US" w:bidi="ar-SA"/>
    </w:rPr>
  </w:style>
  <w:style w:type="character" w:customStyle="1" w:styleId="ParaNumChar">
    <w:name w:val="ParaNum Char"/>
    <w:link w:val="ParaNum"/>
    <w:rPr>
      <w:snapToGrid w:val="0"/>
      <w:kern w:val="28"/>
      <w:sz w:val="22"/>
      <w:lang w:val="x-none" w:eastAsia="x-none" w:bidi="ar-SA"/>
    </w:rPr>
  </w:style>
  <w:style w:type="character" w:customStyle="1" w:styleId="Heading2Char">
    <w:name w:val="Heading 2 Char"/>
    <w:link w:val="Heading2"/>
    <w:rPr>
      <w:rFonts w:ascii="Arial" w:hAnsi="Arial" w:cs="Arial"/>
      <w:b/>
      <w:bCs/>
      <w:i/>
      <w:iCs/>
      <w:sz w:val="28"/>
      <w:szCs w:val="28"/>
    </w:rPr>
  </w:style>
  <w:style w:type="paragraph" w:customStyle="1" w:styleId="DCStandardL1">
    <w:name w:val="DCStandard_L1"/>
    <w:basedOn w:val="Normal"/>
    <w:next w:val="BodyText"/>
    <w:pPr>
      <w:numPr>
        <w:numId w:val="5"/>
      </w:numPr>
      <w:spacing w:after="240"/>
      <w:jc w:val="both"/>
      <w:outlineLvl w:val="0"/>
    </w:pPr>
    <w:rPr>
      <w:szCs w:val="20"/>
    </w:rPr>
  </w:style>
  <w:style w:type="paragraph" w:customStyle="1" w:styleId="DCStandardL2">
    <w:name w:val="DCStandard_L2"/>
    <w:basedOn w:val="DCStandardL1"/>
    <w:next w:val="BodyText"/>
    <w:pPr>
      <w:numPr>
        <w:ilvl w:val="1"/>
      </w:numPr>
      <w:outlineLvl w:val="1"/>
    </w:pPr>
  </w:style>
  <w:style w:type="paragraph" w:customStyle="1" w:styleId="DCStandardL3">
    <w:name w:val="DCStandard_L3"/>
    <w:basedOn w:val="DCStandardL2"/>
    <w:next w:val="BodyText"/>
    <w:pPr>
      <w:numPr>
        <w:ilvl w:val="2"/>
      </w:numPr>
      <w:outlineLvl w:val="2"/>
    </w:pPr>
  </w:style>
  <w:style w:type="paragraph" w:customStyle="1" w:styleId="DCStandardL4">
    <w:name w:val="DCStandard_L4"/>
    <w:basedOn w:val="DCStandardL3"/>
    <w:next w:val="BodyText"/>
    <w:pPr>
      <w:numPr>
        <w:ilvl w:val="3"/>
      </w:numPr>
      <w:outlineLvl w:val="3"/>
    </w:pPr>
  </w:style>
  <w:style w:type="paragraph" w:customStyle="1" w:styleId="DCStandardL5">
    <w:name w:val="DCStandard_L5"/>
    <w:basedOn w:val="DCStandardL4"/>
    <w:next w:val="BodyText"/>
    <w:pPr>
      <w:numPr>
        <w:ilvl w:val="4"/>
      </w:numPr>
      <w:outlineLvl w:val="4"/>
    </w:pPr>
  </w:style>
  <w:style w:type="paragraph" w:customStyle="1" w:styleId="DCStandardL6">
    <w:name w:val="DCStandard_L6"/>
    <w:basedOn w:val="DCStandardL5"/>
    <w:next w:val="BodyText"/>
    <w:pPr>
      <w:numPr>
        <w:ilvl w:val="5"/>
      </w:numPr>
      <w:outlineLvl w:val="5"/>
    </w:pPr>
  </w:style>
  <w:style w:type="paragraph" w:customStyle="1" w:styleId="DCStandardL7">
    <w:name w:val="DCStandard_L7"/>
    <w:basedOn w:val="DCStandardL6"/>
    <w:next w:val="BodyText"/>
    <w:pPr>
      <w:numPr>
        <w:ilvl w:val="6"/>
      </w:numPr>
      <w:outlineLvl w:val="6"/>
    </w:pPr>
  </w:style>
  <w:style w:type="paragraph" w:customStyle="1" w:styleId="DCStandardL8">
    <w:name w:val="DCStandard_L8"/>
    <w:basedOn w:val="DCStandardL7"/>
    <w:next w:val="BodyText"/>
    <w:pPr>
      <w:numPr>
        <w:ilvl w:val="7"/>
      </w:numPr>
      <w:outlineLvl w:val="7"/>
    </w:pPr>
  </w:style>
  <w:style w:type="paragraph" w:customStyle="1" w:styleId="DCStandardL9">
    <w:name w:val="DCStandard_L9"/>
    <w:basedOn w:val="DCStandardL8"/>
    <w:next w:val="BodyText"/>
    <w:pPr>
      <w:numPr>
        <w:ilvl w:val="8"/>
      </w:numPr>
      <w:outlineLvl w:val="8"/>
    </w:pPr>
  </w:style>
  <w:style w:type="paragraph" w:styleId="ListParagraph">
    <w:name w:val="List Paragraph"/>
    <w:basedOn w:val="Normal"/>
    <w:uiPriority w:val="34"/>
    <w:qFormat/>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odyText1">
    <w:name w:val="Body Text1"/>
    <w:rPr>
      <w:rFonts w:ascii="Times New Roman Bold" w:eastAsia="ヒラギノ角ゴ Pro W3" w:hAnsi="Times New Roman Bold"/>
      <w:color w:val="000000"/>
      <w:u w:val="single"/>
    </w:rPr>
  </w:style>
  <w:style w:type="character" w:customStyle="1" w:styleId="bold1">
    <w:name w:val="bold1"/>
    <w:rPr>
      <w:b/>
      <w:bCs/>
    </w:rPr>
  </w:style>
  <w:style w:type="character" w:customStyle="1" w:styleId="underline">
    <w:name w:val="underline"/>
    <w:basedOn w:val="DefaultParagraphFont"/>
  </w:style>
  <w:style w:type="character" w:styleId="Hyperlink">
    <w:name w:val="Hyperlink"/>
    <w:rPr>
      <w:color w:val="0000FF"/>
      <w:u w:val="single"/>
    </w:rPr>
  </w:style>
  <w:style w:type="character" w:customStyle="1" w:styleId="documentbody">
    <w:name w:val="documentbody"/>
  </w:style>
  <w:style w:type="character" w:customStyle="1" w:styleId="searchterm">
    <w:name w:val="searchterm"/>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customStyle="1" w:styleId="par1Char">
    <w:name w:val="par1 Char"/>
    <w:link w:val="par1"/>
    <w:locked/>
    <w:rPr>
      <w:sz w:val="22"/>
      <w:lang w:val="en-US" w:eastAsia="en-US" w:bidi="ar-SA"/>
    </w:rPr>
  </w:style>
  <w:style w:type="character" w:customStyle="1" w:styleId="FootnoteTextChar1CharCharCharCharChar1">
    <w:name w:val="Footnote Text Char1 Char Char Char Char Char1"/>
    <w:aliases w:val="Footnote Text Char Char Char Char Char Char Char Char,Footnote Text Char3 Char2"/>
    <w:rPr>
      <w:sz w:val="24"/>
      <w:szCs w:val="24"/>
      <w:lang w:val="en-US" w:eastAsia="en-US" w:bidi="ar-SA"/>
    </w:rPr>
  </w:style>
  <w:style w:type="paragraph" w:customStyle="1" w:styleId="Default">
    <w:name w:val="Default"/>
    <w:pPr>
      <w:autoSpaceDE w:val="0"/>
      <w:autoSpaceDN w:val="0"/>
      <w:adjustRightInd w:val="0"/>
    </w:pPr>
    <w:rPr>
      <w:color w:val="000000"/>
    </w:rPr>
  </w:style>
  <w:style w:type="character" w:styleId="FollowedHyperlink">
    <w:name w:val="FollowedHyperlink"/>
    <w:rPr>
      <w:color w:val="800080"/>
      <w:u w:val="single"/>
    </w:rPr>
  </w:style>
  <w:style w:type="paragraph" w:styleId="Revision">
    <w:name w:val="Revision"/>
    <w:hidden/>
    <w:uiPriority w:val="71"/>
    <w:rsid w:val="001C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1138">
      <w:bodyDiv w:val="1"/>
      <w:marLeft w:val="0"/>
      <w:marRight w:val="0"/>
      <w:marTop w:val="0"/>
      <w:marBottom w:val="0"/>
      <w:divBdr>
        <w:top w:val="none" w:sz="0" w:space="0" w:color="auto"/>
        <w:left w:val="none" w:sz="0" w:space="0" w:color="auto"/>
        <w:bottom w:val="none" w:sz="0" w:space="0" w:color="auto"/>
        <w:right w:val="none" w:sz="0" w:space="0" w:color="auto"/>
      </w:divBdr>
    </w:div>
    <w:div w:id="118649392">
      <w:bodyDiv w:val="1"/>
      <w:marLeft w:val="0"/>
      <w:marRight w:val="0"/>
      <w:marTop w:val="0"/>
      <w:marBottom w:val="0"/>
      <w:divBdr>
        <w:top w:val="none" w:sz="0" w:space="0" w:color="auto"/>
        <w:left w:val="none" w:sz="0" w:space="0" w:color="auto"/>
        <w:bottom w:val="none" w:sz="0" w:space="0" w:color="auto"/>
        <w:right w:val="none" w:sz="0" w:space="0" w:color="auto"/>
      </w:divBdr>
    </w:div>
    <w:div w:id="280692469">
      <w:bodyDiv w:val="1"/>
      <w:marLeft w:val="0"/>
      <w:marRight w:val="0"/>
      <w:marTop w:val="0"/>
      <w:marBottom w:val="0"/>
      <w:divBdr>
        <w:top w:val="none" w:sz="0" w:space="0" w:color="auto"/>
        <w:left w:val="none" w:sz="0" w:space="0" w:color="auto"/>
        <w:bottom w:val="none" w:sz="0" w:space="0" w:color="auto"/>
        <w:right w:val="none" w:sz="0" w:space="0" w:color="auto"/>
      </w:divBdr>
    </w:div>
    <w:div w:id="566843855">
      <w:bodyDiv w:val="1"/>
      <w:marLeft w:val="0"/>
      <w:marRight w:val="0"/>
      <w:marTop w:val="0"/>
      <w:marBottom w:val="0"/>
      <w:divBdr>
        <w:top w:val="none" w:sz="0" w:space="0" w:color="auto"/>
        <w:left w:val="none" w:sz="0" w:space="0" w:color="auto"/>
        <w:bottom w:val="none" w:sz="0" w:space="0" w:color="auto"/>
        <w:right w:val="none" w:sz="0" w:space="0" w:color="auto"/>
      </w:divBdr>
    </w:div>
    <w:div w:id="832723834">
      <w:bodyDiv w:val="1"/>
      <w:marLeft w:val="0"/>
      <w:marRight w:val="0"/>
      <w:marTop w:val="0"/>
      <w:marBottom w:val="0"/>
      <w:divBdr>
        <w:top w:val="none" w:sz="0" w:space="0" w:color="auto"/>
        <w:left w:val="none" w:sz="0" w:space="0" w:color="auto"/>
        <w:bottom w:val="none" w:sz="0" w:space="0" w:color="auto"/>
        <w:right w:val="none" w:sz="0" w:space="0" w:color="auto"/>
      </w:divBdr>
    </w:div>
    <w:div w:id="848526422">
      <w:bodyDiv w:val="1"/>
      <w:marLeft w:val="0"/>
      <w:marRight w:val="0"/>
      <w:marTop w:val="0"/>
      <w:marBottom w:val="0"/>
      <w:divBdr>
        <w:top w:val="none" w:sz="0" w:space="0" w:color="auto"/>
        <w:left w:val="none" w:sz="0" w:space="0" w:color="auto"/>
        <w:bottom w:val="none" w:sz="0" w:space="0" w:color="auto"/>
        <w:right w:val="none" w:sz="0" w:space="0" w:color="auto"/>
      </w:divBdr>
    </w:div>
    <w:div w:id="1047756054">
      <w:bodyDiv w:val="1"/>
      <w:marLeft w:val="0"/>
      <w:marRight w:val="0"/>
      <w:marTop w:val="0"/>
      <w:marBottom w:val="0"/>
      <w:divBdr>
        <w:top w:val="none" w:sz="0" w:space="0" w:color="auto"/>
        <w:left w:val="none" w:sz="0" w:space="0" w:color="auto"/>
        <w:bottom w:val="none" w:sz="0" w:space="0" w:color="auto"/>
        <w:right w:val="none" w:sz="0" w:space="0" w:color="auto"/>
      </w:divBdr>
    </w:div>
    <w:div w:id="1290623555">
      <w:bodyDiv w:val="1"/>
      <w:marLeft w:val="0"/>
      <w:marRight w:val="0"/>
      <w:marTop w:val="0"/>
      <w:marBottom w:val="0"/>
      <w:divBdr>
        <w:top w:val="none" w:sz="0" w:space="0" w:color="auto"/>
        <w:left w:val="none" w:sz="0" w:space="0" w:color="auto"/>
        <w:bottom w:val="none" w:sz="0" w:space="0" w:color="auto"/>
        <w:right w:val="none" w:sz="0" w:space="0" w:color="auto"/>
      </w:divBdr>
    </w:div>
    <w:div w:id="163251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illiam.Keho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bert.Krinsk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vanaugh@%20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3552</Words>
  <Characters>20222</Characters>
  <Application>Microsoft Office Word</Application>
  <DocSecurity>0</DocSecurity>
  <Lines>406</Lines>
  <Paragraphs>110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23855</CharactersWithSpaces>
  <SharedDoc>false</SharedDoc>
  <HyperlinkBase> </HyperlinkBase>
  <HLinks>
    <vt:vector size="18" baseType="variant">
      <vt:variant>
        <vt:i4>983144</vt:i4>
      </vt:variant>
      <vt:variant>
        <vt:i4>6</vt:i4>
      </vt:variant>
      <vt:variant>
        <vt:i4>0</vt:i4>
      </vt:variant>
      <vt:variant>
        <vt:i4>5</vt:i4>
      </vt:variant>
      <vt:variant>
        <vt:lpwstr>mailto:William.Kehoe@fcc.gov</vt:lpwstr>
      </vt:variant>
      <vt:variant>
        <vt:lpwstr/>
      </vt:variant>
      <vt:variant>
        <vt:i4>3866718</vt:i4>
      </vt:variant>
      <vt:variant>
        <vt:i4>3</vt:i4>
      </vt:variant>
      <vt:variant>
        <vt:i4>0</vt:i4>
      </vt:variant>
      <vt:variant>
        <vt:i4>5</vt:i4>
      </vt:variant>
      <vt:variant>
        <vt:lpwstr>mailto:Robert.Krinsky@fcc.gov</vt:lpwstr>
      </vt:variant>
      <vt:variant>
        <vt:lpwstr/>
      </vt:variant>
      <vt:variant>
        <vt:i4>3342428</vt:i4>
      </vt:variant>
      <vt:variant>
        <vt:i4>0</vt:i4>
      </vt:variant>
      <vt:variant>
        <vt:i4>0</vt:i4>
      </vt:variant>
      <vt:variant>
        <vt:i4>5</vt:i4>
      </vt:variant>
      <vt:variant>
        <vt:lpwstr>mailto:Cavanaugh@%20fcc.gov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2012-12-04T18:23:00Z</cp:lastPrinted>
  <dcterms:created xsi:type="dcterms:W3CDTF">2013-07-18T14:07:00Z</dcterms:created>
  <dcterms:modified xsi:type="dcterms:W3CDTF">2013-07-18T14:07:00Z</dcterms:modified>
  <cp:category> </cp:category>
  <cp:contentStatus> </cp:contentStatus>
</cp:coreProperties>
</file>