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FC" w:rsidRDefault="009B01FC">
      <w:pPr>
        <w:pStyle w:val="Header"/>
        <w:tabs>
          <w:tab w:val="clear" w:pos="4320"/>
          <w:tab w:val="clear" w:pos="8640"/>
        </w:tabs>
        <w:sectPr w:rsidR="009B01F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D49EE" w:rsidRDefault="0059524C" w:rsidP="00BD49EE">
      <w:pPr>
        <w:jc w:val="right"/>
        <w:rPr>
          <w:b/>
          <w:szCs w:val="22"/>
        </w:rPr>
      </w:pPr>
      <w:r>
        <w:rPr>
          <w:b/>
          <w:szCs w:val="22"/>
        </w:rPr>
        <w:lastRenderedPageBreak/>
        <w:t>DA 13-</w:t>
      </w:r>
      <w:r w:rsidR="0083726B">
        <w:rPr>
          <w:b/>
          <w:szCs w:val="22"/>
        </w:rPr>
        <w:t>1557</w:t>
      </w:r>
    </w:p>
    <w:p w:rsidR="00BD49EE" w:rsidRDefault="00BD49EE" w:rsidP="00BD49EE">
      <w:pPr>
        <w:jc w:val="right"/>
        <w:rPr>
          <w:b/>
          <w:szCs w:val="22"/>
        </w:rPr>
      </w:pPr>
      <w:r>
        <w:rPr>
          <w:b/>
          <w:szCs w:val="22"/>
        </w:rPr>
        <w:t xml:space="preserve">Released:  </w:t>
      </w:r>
      <w:r w:rsidR="0059524C">
        <w:rPr>
          <w:b/>
          <w:szCs w:val="22"/>
        </w:rPr>
        <w:t>July 10, 2013</w:t>
      </w:r>
    </w:p>
    <w:p w:rsidR="009B01FC" w:rsidRPr="00A420EF" w:rsidRDefault="009B01FC">
      <w:pPr>
        <w:jc w:val="right"/>
        <w:rPr>
          <w:szCs w:val="22"/>
        </w:rPr>
      </w:pPr>
    </w:p>
    <w:p w:rsidR="009B01FC" w:rsidRPr="00A420EF" w:rsidRDefault="00B61362">
      <w:pPr>
        <w:spacing w:after="240"/>
        <w:jc w:val="center"/>
        <w:rPr>
          <w:b/>
          <w:szCs w:val="22"/>
        </w:rPr>
      </w:pPr>
      <w:r w:rsidRPr="00A420EF">
        <w:rPr>
          <w:b/>
          <w:szCs w:val="22"/>
        </w:rPr>
        <w:t>Wireline Competition Bureau Seeks Comment on Requests for Review of Administrator Decisions Regarding Mobile Line Count Reporting</w:t>
      </w:r>
    </w:p>
    <w:p w:rsidR="009B01FC" w:rsidRPr="00A420EF" w:rsidRDefault="00767F66" w:rsidP="00B61362">
      <w:pPr>
        <w:spacing w:before="120" w:after="240"/>
        <w:jc w:val="center"/>
        <w:rPr>
          <w:szCs w:val="22"/>
        </w:rPr>
      </w:pPr>
      <w:r>
        <w:rPr>
          <w:szCs w:val="22"/>
        </w:rPr>
        <w:t>CC</w:t>
      </w:r>
      <w:r w:rsidR="00B61362" w:rsidRPr="00A420EF">
        <w:rPr>
          <w:szCs w:val="22"/>
        </w:rPr>
        <w:t xml:space="preserve"> Docket No. </w:t>
      </w:r>
      <w:r>
        <w:rPr>
          <w:szCs w:val="22"/>
        </w:rPr>
        <w:t>96-45, WC Docket No. 05-337</w:t>
      </w:r>
    </w:p>
    <w:p w:rsidR="00B61362" w:rsidRPr="0059524C" w:rsidRDefault="00B61362" w:rsidP="00B61362">
      <w:pPr>
        <w:spacing w:before="120"/>
        <w:rPr>
          <w:b/>
          <w:szCs w:val="22"/>
        </w:rPr>
      </w:pPr>
      <w:r w:rsidRPr="00A420EF">
        <w:rPr>
          <w:b/>
          <w:szCs w:val="22"/>
        </w:rPr>
        <w:t xml:space="preserve">Comment </w:t>
      </w:r>
      <w:r w:rsidRPr="0059524C">
        <w:rPr>
          <w:b/>
          <w:szCs w:val="22"/>
        </w:rPr>
        <w:t xml:space="preserve">Date: </w:t>
      </w:r>
      <w:r w:rsidR="0059524C" w:rsidRPr="0059524C">
        <w:rPr>
          <w:b/>
          <w:szCs w:val="22"/>
        </w:rPr>
        <w:t>August 9, 2013</w:t>
      </w:r>
    </w:p>
    <w:p w:rsidR="00B61362" w:rsidRPr="0059524C" w:rsidRDefault="00B61362" w:rsidP="00B61362">
      <w:pPr>
        <w:spacing w:after="240"/>
        <w:rPr>
          <w:b/>
          <w:szCs w:val="22"/>
        </w:rPr>
      </w:pPr>
      <w:r w:rsidRPr="0059524C">
        <w:rPr>
          <w:b/>
          <w:szCs w:val="22"/>
        </w:rPr>
        <w:t xml:space="preserve">Reply Date: </w:t>
      </w:r>
      <w:r w:rsidR="0059524C" w:rsidRPr="0059524C">
        <w:rPr>
          <w:b/>
          <w:szCs w:val="22"/>
        </w:rPr>
        <w:t>August 26, 2013</w:t>
      </w:r>
    </w:p>
    <w:p w:rsidR="003268C8" w:rsidRPr="00A420EF" w:rsidRDefault="00B61362" w:rsidP="00B61362">
      <w:pPr>
        <w:spacing w:after="240"/>
        <w:ind w:firstLine="720"/>
        <w:rPr>
          <w:szCs w:val="22"/>
        </w:rPr>
      </w:pPr>
      <w:r w:rsidRPr="00A420EF">
        <w:rPr>
          <w:szCs w:val="22"/>
        </w:rPr>
        <w:t>The Wireline Competition Bureau seeks comment on three separate Requests for Review of Decisions by the Universal Service Administrative Company (USAC).  Two requests were filed by AT&amp;T, Inc. on behalf of its affiliates,</w:t>
      </w:r>
      <w:r w:rsidRPr="00A420EF">
        <w:rPr>
          <w:rStyle w:val="FootnoteReference"/>
          <w:szCs w:val="22"/>
        </w:rPr>
        <w:footnoteReference w:id="1"/>
      </w:r>
      <w:r w:rsidRPr="00A420EF">
        <w:rPr>
          <w:szCs w:val="22"/>
        </w:rPr>
        <w:t xml:space="preserve"> and the third request was made by Cordova Wireless Communications, LLC.</w:t>
      </w:r>
      <w:r w:rsidR="00D61C3C" w:rsidRPr="00A420EF">
        <w:rPr>
          <w:rStyle w:val="FootnoteReference"/>
          <w:szCs w:val="22"/>
        </w:rPr>
        <w:footnoteReference w:id="2"/>
      </w:r>
      <w:r w:rsidRPr="00A420EF">
        <w:rPr>
          <w:szCs w:val="22"/>
        </w:rPr>
        <w:t xml:space="preserve">  The three filings request of review of USAC determinations that certain mobile lines were not eligible for universal service support under section 54.307(b) of the Commission’s rules due</w:t>
      </w:r>
      <w:r w:rsidR="00A420EF" w:rsidRPr="00A420EF">
        <w:rPr>
          <w:szCs w:val="22"/>
        </w:rPr>
        <w:t xml:space="preserve"> primarily</w:t>
      </w:r>
      <w:r w:rsidRPr="00A420EF">
        <w:rPr>
          <w:szCs w:val="22"/>
        </w:rPr>
        <w:t xml:space="preserve"> to issues with the reporting of customer billing addresses.</w:t>
      </w:r>
      <w:r w:rsidRPr="00A420EF">
        <w:rPr>
          <w:rStyle w:val="FootnoteReference"/>
          <w:szCs w:val="22"/>
        </w:rPr>
        <w:footnoteReference w:id="3"/>
      </w:r>
      <w:r w:rsidR="00D61C3C" w:rsidRPr="00A420EF">
        <w:rPr>
          <w:szCs w:val="22"/>
        </w:rPr>
        <w:t xml:space="preserve">  </w:t>
      </w:r>
    </w:p>
    <w:p w:rsidR="003268C8" w:rsidRPr="00A420EF" w:rsidRDefault="00A420EF" w:rsidP="00B61362">
      <w:pPr>
        <w:spacing w:after="240"/>
        <w:ind w:firstLine="720"/>
        <w:rPr>
          <w:szCs w:val="22"/>
        </w:rPr>
      </w:pPr>
      <w:r w:rsidRPr="00A420EF">
        <w:rPr>
          <w:szCs w:val="22"/>
        </w:rPr>
        <w:t xml:space="preserve">In its two filings, </w:t>
      </w:r>
      <w:r w:rsidR="00D61C3C" w:rsidRPr="00A420EF">
        <w:rPr>
          <w:szCs w:val="22"/>
        </w:rPr>
        <w:t>AT&amp;T requests review of USAC</w:t>
      </w:r>
      <w:r w:rsidR="003268C8" w:rsidRPr="00A420EF">
        <w:rPr>
          <w:szCs w:val="22"/>
        </w:rPr>
        <w:t xml:space="preserve">’s decision that, in determining the location of </w:t>
      </w:r>
      <w:r w:rsidRPr="00A420EF">
        <w:rPr>
          <w:szCs w:val="22"/>
        </w:rPr>
        <w:t xml:space="preserve">a customer using a </w:t>
      </w:r>
      <w:r w:rsidR="003268C8" w:rsidRPr="00A420EF">
        <w:rPr>
          <w:szCs w:val="22"/>
        </w:rPr>
        <w:t>P.O. Box, a carrier must use the physical address of the relevant post office</w:t>
      </w:r>
      <w:r w:rsidR="00D61C3C" w:rsidRPr="00A420EF">
        <w:rPr>
          <w:szCs w:val="22"/>
        </w:rPr>
        <w:t>.</w:t>
      </w:r>
      <w:r w:rsidR="00D61C3C" w:rsidRPr="00A420EF">
        <w:rPr>
          <w:rStyle w:val="FootnoteReference"/>
          <w:szCs w:val="22"/>
        </w:rPr>
        <w:footnoteReference w:id="4"/>
      </w:r>
      <w:r w:rsidR="003268C8" w:rsidRPr="00A420EF">
        <w:rPr>
          <w:szCs w:val="22"/>
        </w:rPr>
        <w:t xml:space="preserve">  According to the petition, AT&amp;T’s current practice</w:t>
      </w:r>
      <w:r w:rsidRPr="00A420EF">
        <w:rPr>
          <w:szCs w:val="22"/>
        </w:rPr>
        <w:t xml:space="preserve"> is to assign a P.O. Box customer</w:t>
      </w:r>
      <w:r w:rsidR="003268C8" w:rsidRPr="00A420EF">
        <w:rPr>
          <w:szCs w:val="22"/>
        </w:rPr>
        <w:t xml:space="preserve"> based on the centroid </w:t>
      </w:r>
      <w:r w:rsidR="003268C8" w:rsidRPr="00A420EF">
        <w:rPr>
          <w:szCs w:val="22"/>
        </w:rPr>
        <w:lastRenderedPageBreak/>
        <w:t xml:space="preserve">of </w:t>
      </w:r>
      <w:r w:rsidRPr="00A420EF">
        <w:rPr>
          <w:szCs w:val="22"/>
        </w:rPr>
        <w:t>the customer’s</w:t>
      </w:r>
      <w:r w:rsidR="003268C8" w:rsidRPr="00A420EF">
        <w:rPr>
          <w:szCs w:val="22"/>
        </w:rPr>
        <w:t xml:space="preserve"> ZIP codes, and AT&amp;T contends that cataloging and reporting the addresses of all the relevant post offices would be a burdensome undertaking.</w:t>
      </w:r>
      <w:r w:rsidR="003268C8" w:rsidRPr="00A420EF">
        <w:rPr>
          <w:rStyle w:val="FootnoteReference"/>
          <w:szCs w:val="22"/>
        </w:rPr>
        <w:footnoteReference w:id="5"/>
      </w:r>
      <w:r w:rsidR="003268C8" w:rsidRPr="00A420EF">
        <w:rPr>
          <w:szCs w:val="22"/>
        </w:rPr>
        <w:t xml:space="preserve">  </w:t>
      </w:r>
      <w:r w:rsidR="00D61C3C" w:rsidRPr="00A420EF">
        <w:rPr>
          <w:szCs w:val="22"/>
        </w:rPr>
        <w:t xml:space="preserve">  </w:t>
      </w:r>
    </w:p>
    <w:p w:rsidR="00B61362" w:rsidRPr="00A420EF" w:rsidRDefault="00D61C3C" w:rsidP="00B61362">
      <w:pPr>
        <w:spacing w:after="240"/>
        <w:ind w:firstLine="720"/>
        <w:rPr>
          <w:szCs w:val="22"/>
        </w:rPr>
      </w:pPr>
      <w:r w:rsidRPr="00A420EF">
        <w:rPr>
          <w:szCs w:val="22"/>
        </w:rPr>
        <w:t xml:space="preserve">Cordova requests review of USAC’s determination that certain lines were ineligible for support because the initially submitted </w:t>
      </w:r>
      <w:r w:rsidR="00A420EF" w:rsidRPr="00A420EF">
        <w:rPr>
          <w:szCs w:val="22"/>
        </w:rPr>
        <w:t xml:space="preserve">customer </w:t>
      </w:r>
      <w:r w:rsidRPr="00A420EF">
        <w:rPr>
          <w:szCs w:val="22"/>
        </w:rPr>
        <w:t>billing addresses were outside Cordova’s service area, even though the customers also receive bills at local addresses within Cordova’s service area.</w:t>
      </w:r>
      <w:r w:rsidR="009D4471" w:rsidRPr="00A420EF">
        <w:rPr>
          <w:rStyle w:val="FootnoteReference"/>
          <w:szCs w:val="22"/>
        </w:rPr>
        <w:footnoteReference w:id="6"/>
      </w:r>
      <w:r w:rsidR="00A81FA5" w:rsidRPr="00A420EF">
        <w:rPr>
          <w:szCs w:val="22"/>
        </w:rPr>
        <w:t xml:space="preserve">  Cordova argues that, for customers </w:t>
      </w:r>
      <w:r w:rsidR="00A420EF" w:rsidRPr="00A420EF">
        <w:rPr>
          <w:szCs w:val="22"/>
        </w:rPr>
        <w:t>who</w:t>
      </w:r>
      <w:r w:rsidR="00A81FA5" w:rsidRPr="00A420EF">
        <w:rPr>
          <w:szCs w:val="22"/>
        </w:rPr>
        <w:t xml:space="preserve"> receive bills at multiple addresses, USAC should rely upon the local addresses where the customers reside and use the service.</w:t>
      </w:r>
      <w:r w:rsidR="00A81FA5" w:rsidRPr="00A420EF">
        <w:rPr>
          <w:rStyle w:val="FootnoteReference"/>
          <w:szCs w:val="22"/>
        </w:rPr>
        <w:footnoteReference w:id="7"/>
      </w:r>
      <w:r w:rsidR="00A81FA5" w:rsidRPr="00A420EF">
        <w:rPr>
          <w:szCs w:val="22"/>
        </w:rPr>
        <w:t xml:space="preserve">  Cordova also seeks review of a USAC decision that certain lines were ineligible for support because they showed no activity.</w:t>
      </w:r>
      <w:r w:rsidR="00B85DE1" w:rsidRPr="00A420EF">
        <w:rPr>
          <w:rStyle w:val="FootnoteReference"/>
          <w:szCs w:val="22"/>
        </w:rPr>
        <w:footnoteReference w:id="8"/>
      </w:r>
    </w:p>
    <w:p w:rsidR="003268C8" w:rsidRDefault="003268C8" w:rsidP="003268C8">
      <w:pPr>
        <w:tabs>
          <w:tab w:val="left" w:pos="720"/>
        </w:tabs>
        <w:rPr>
          <w:szCs w:val="22"/>
        </w:rPr>
      </w:pPr>
      <w:r>
        <w:t>Pursuant to sections 1.415 and 1.419 of the Commission’s rules, interested parties may file comments or reply comments on or before the dates indicated above.</w:t>
      </w:r>
      <w:r>
        <w:rPr>
          <w:rStyle w:val="FootnoteReference"/>
        </w:rPr>
        <w:footnoteReference w:id="9"/>
      </w:r>
      <w:r>
        <w:t xml:space="preserve">  Comments may be filed using the Commission’s Electronic Comment Filing System (ECFS)</w:t>
      </w:r>
      <w:r>
        <w:rPr>
          <w:szCs w:val="22"/>
        </w:rPr>
        <w:t>.</w:t>
      </w:r>
      <w:r>
        <w:rPr>
          <w:rStyle w:val="FootnoteReference"/>
          <w:szCs w:val="22"/>
        </w:rPr>
        <w:footnoteReference w:id="10"/>
      </w:r>
    </w:p>
    <w:p w:rsidR="003268C8" w:rsidRDefault="003268C8" w:rsidP="003268C8">
      <w:pPr>
        <w:rPr>
          <w:szCs w:val="22"/>
        </w:rPr>
      </w:pPr>
    </w:p>
    <w:p w:rsidR="003268C8" w:rsidRDefault="003268C8" w:rsidP="003268C8">
      <w:pPr>
        <w:numPr>
          <w:ilvl w:val="0"/>
          <w:numId w:val="14"/>
        </w:numPr>
        <w:rPr>
          <w:szCs w:val="22"/>
        </w:rPr>
      </w:pPr>
      <w:r>
        <w:rPr>
          <w:szCs w:val="22"/>
        </w:rPr>
        <w:t xml:space="preserve">Electronic Filers:  Comments may be filed electronically using the Internet by accessing the ECFS:  </w:t>
      </w:r>
      <w:hyperlink r:id="rId14" w:history="1">
        <w:r>
          <w:rPr>
            <w:rStyle w:val="Hyperlink"/>
          </w:rPr>
          <w:t>http://fjallfoss.fcc.gov/ecfs2/</w:t>
        </w:r>
      </w:hyperlink>
      <w:r>
        <w:rPr>
          <w:szCs w:val="22"/>
        </w:rPr>
        <w:t xml:space="preserve">.  </w:t>
      </w:r>
    </w:p>
    <w:p w:rsidR="003268C8" w:rsidRDefault="003268C8" w:rsidP="003268C8">
      <w:pPr>
        <w:rPr>
          <w:szCs w:val="22"/>
        </w:rPr>
      </w:pPr>
    </w:p>
    <w:p w:rsidR="003268C8" w:rsidRDefault="003268C8" w:rsidP="003268C8">
      <w:pPr>
        <w:numPr>
          <w:ilvl w:val="0"/>
          <w:numId w:val="15"/>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268C8" w:rsidRDefault="003268C8" w:rsidP="003268C8">
      <w:pPr>
        <w:rPr>
          <w:szCs w:val="22"/>
        </w:rPr>
      </w:pPr>
    </w:p>
    <w:p w:rsidR="003268C8" w:rsidRDefault="003268C8" w:rsidP="003268C8">
      <w:pPr>
        <w:ind w:firstLine="360"/>
        <w:rPr>
          <w:szCs w:val="22"/>
        </w:rPr>
      </w:pPr>
      <w:r>
        <w:rPr>
          <w:szCs w:val="22"/>
        </w:rPr>
        <w:tab/>
        <w:t>Filings can be sent by hand or messenger delivery, by commercial overnight courier, or by first-class or overnight U.S. Postal Service mail.  All filings must be addressed to the Commission’s Secretary, Office of the Secretary, Federal Communications Commission.</w:t>
      </w:r>
    </w:p>
    <w:p w:rsidR="003268C8" w:rsidRDefault="003268C8" w:rsidP="003268C8">
      <w:pPr>
        <w:rPr>
          <w:szCs w:val="22"/>
        </w:rPr>
      </w:pPr>
    </w:p>
    <w:p w:rsidR="003268C8" w:rsidRDefault="003268C8" w:rsidP="003268C8">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3268C8" w:rsidRDefault="003268C8" w:rsidP="003268C8">
      <w:pPr>
        <w:ind w:left="1080"/>
      </w:pPr>
    </w:p>
    <w:p w:rsidR="003268C8" w:rsidRDefault="003268C8" w:rsidP="003268C8">
      <w:pPr>
        <w:numPr>
          <w:ilvl w:val="0"/>
          <w:numId w:val="15"/>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3268C8" w:rsidRDefault="003268C8" w:rsidP="003268C8"/>
    <w:p w:rsidR="003268C8" w:rsidRDefault="003268C8" w:rsidP="003268C8">
      <w:pPr>
        <w:numPr>
          <w:ilvl w:val="0"/>
          <w:numId w:val="15"/>
        </w:numPr>
      </w:pPr>
      <w:r>
        <w:t xml:space="preserve">U.S. Postal Service first-class, Express, and Priority mail must be addressed to </w:t>
      </w:r>
      <w:smartTag w:uri="urn:schemas-microsoft-com:office:smarttags" w:element="address">
        <w:smartTag w:uri="urn:schemas-microsoft-com:office:smarttags" w:element="Street">
          <w:r>
            <w:t>445 12</w:t>
          </w:r>
          <w:r>
            <w:rPr>
              <w:vertAlign w:val="superscript"/>
            </w:rPr>
            <w:t>th</w:t>
          </w:r>
          <w:r>
            <w:t xml:space="preserve">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w:t>
      </w:r>
    </w:p>
    <w:p w:rsidR="003268C8" w:rsidRDefault="003268C8" w:rsidP="003268C8">
      <w:pPr>
        <w:rPr>
          <w:szCs w:val="22"/>
        </w:rPr>
      </w:pPr>
    </w:p>
    <w:p w:rsidR="003268C8" w:rsidRDefault="003268C8" w:rsidP="003268C8">
      <w:pPr>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(tty).</w:t>
      </w:r>
    </w:p>
    <w:p w:rsidR="003268C8" w:rsidRDefault="0083726B" w:rsidP="003268C8">
      <w:pPr>
        <w:pStyle w:val="ParaNum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jc w:val="left"/>
        <w:rPr>
          <w:szCs w:val="22"/>
        </w:rPr>
      </w:pPr>
      <w:r>
        <w:rPr>
          <w:szCs w:val="22"/>
        </w:rPr>
        <w:lastRenderedPageBreak/>
        <w:br/>
      </w:r>
      <w:r>
        <w:rPr>
          <w:szCs w:val="22"/>
        </w:rPr>
        <w:br/>
      </w:r>
    </w:p>
    <w:p w:rsidR="003268C8" w:rsidRDefault="003268C8" w:rsidP="003268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In addition, we request that one copy of each pleading be sent to each of the following:</w:t>
      </w:r>
      <w:r>
        <w:rPr>
          <w:szCs w:val="22"/>
        </w:rPr>
        <w:t xml:space="preserve">  </w:t>
      </w:r>
    </w:p>
    <w:p w:rsidR="003268C8" w:rsidRDefault="003268C8" w:rsidP="003268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68C8" w:rsidRDefault="003268C8" w:rsidP="003268C8">
      <w:pPr>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Ryan J. Yates, Telecommunications Access Policy Division, Wireline Competition Bureau, 445 12th Street, S.W., Room 5-B</w:t>
      </w:r>
      <w:r w:rsidR="00B85DE1">
        <w:rPr>
          <w:szCs w:val="22"/>
        </w:rPr>
        <w:t>510</w:t>
      </w:r>
      <w:r>
        <w:rPr>
          <w:szCs w:val="22"/>
        </w:rPr>
        <w:t>, Washington, DC 20554; e-mail:  Ryan.Yates@fcc.gov</w:t>
      </w:r>
      <w:r>
        <w:rPr>
          <w:b/>
          <w:szCs w:val="22"/>
        </w:rPr>
        <w:t xml:space="preserve">; </w:t>
      </w:r>
      <w:r>
        <w:rPr>
          <w:szCs w:val="22"/>
        </w:rPr>
        <w:t>and</w:t>
      </w:r>
    </w:p>
    <w:p w:rsidR="003268C8" w:rsidRDefault="003268C8" w:rsidP="003268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68C8" w:rsidRDefault="003268C8" w:rsidP="003268C8">
      <w:pPr>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Charles Tyler, Telecommunications Access Policy Division, Wireline Competition Bureau, 445 12th Street, S.W., Room 5-A452, Washington, DC 20554; e-mail:  </w:t>
      </w:r>
      <w:hyperlink r:id="rId16" w:history="1">
        <w:r w:rsidR="00815FCA" w:rsidRPr="00815FCA">
          <w:rPr>
            <w:rStyle w:val="Hyperlink"/>
          </w:rPr>
          <w:t>mailto:</w:t>
        </w:r>
      </w:hyperlink>
      <w:r>
        <w:rPr>
          <w:szCs w:val="22"/>
        </w:rPr>
        <w:t xml:space="preserve">Charles.Tyler@fcc.gov. </w:t>
      </w:r>
    </w:p>
    <w:p w:rsidR="003268C8" w:rsidRDefault="003268C8" w:rsidP="003268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68C8" w:rsidRDefault="003268C8" w:rsidP="003268C8">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11"/>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3268C8" w:rsidRDefault="003268C8" w:rsidP="003268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68C8" w:rsidRDefault="003268C8" w:rsidP="003268C8">
      <w:pPr>
        <w:ind w:firstLine="720"/>
        <w:rPr>
          <w:szCs w:val="22"/>
        </w:rPr>
      </w:pPr>
      <w:r>
        <w:rPr>
          <w:szCs w:val="22"/>
        </w:rPr>
        <w:t>For further information, please contact Ryan Yates, Telecommunications Access Policy Division, Wireline Competition Bureau at (202) 418-0886 or TTY (202) 418-0484.</w:t>
      </w:r>
    </w:p>
    <w:p w:rsidR="003268C8" w:rsidRDefault="003268C8" w:rsidP="003268C8">
      <w:pPr>
        <w:ind w:firstLine="720"/>
        <w:rPr>
          <w:szCs w:val="22"/>
        </w:rPr>
      </w:pPr>
    </w:p>
    <w:p w:rsidR="003268C8" w:rsidRDefault="003268C8" w:rsidP="003268C8">
      <w:pPr>
        <w:ind w:firstLine="720"/>
        <w:rPr>
          <w:szCs w:val="22"/>
        </w:rPr>
      </w:pPr>
    </w:p>
    <w:p w:rsidR="003268C8" w:rsidRDefault="003268C8" w:rsidP="003268C8">
      <w:pPr>
        <w:jc w:val="center"/>
        <w:rPr>
          <w:b/>
          <w:szCs w:val="22"/>
        </w:rPr>
      </w:pPr>
      <w:r>
        <w:rPr>
          <w:b/>
        </w:rPr>
        <w:t>- FCC -</w:t>
      </w:r>
    </w:p>
    <w:p w:rsidR="003268C8" w:rsidRPr="00B61362" w:rsidRDefault="003268C8" w:rsidP="00B61362">
      <w:pPr>
        <w:spacing w:after="240"/>
        <w:ind w:firstLine="720"/>
        <w:rPr>
          <w:sz w:val="24"/>
        </w:rPr>
      </w:pPr>
    </w:p>
    <w:p w:rsidR="00B61362" w:rsidRDefault="00B61362">
      <w:pPr>
        <w:spacing w:before="120" w:after="240"/>
        <w:rPr>
          <w:sz w:val="24"/>
        </w:rPr>
      </w:pPr>
    </w:p>
    <w:sectPr w:rsidR="00B6136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60" w:rsidRDefault="00743360">
      <w:r>
        <w:separator/>
      </w:r>
    </w:p>
  </w:endnote>
  <w:endnote w:type="continuationSeparator" w:id="0">
    <w:p w:rsidR="00743360" w:rsidRDefault="0074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CA" w:rsidRDefault="0081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CA" w:rsidRDefault="00815F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CA" w:rsidRDefault="00815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60" w:rsidRDefault="00743360">
      <w:r>
        <w:separator/>
      </w:r>
    </w:p>
  </w:footnote>
  <w:footnote w:type="continuationSeparator" w:id="0">
    <w:p w:rsidR="00743360" w:rsidRDefault="00743360">
      <w:r>
        <w:continuationSeparator/>
      </w:r>
    </w:p>
  </w:footnote>
  <w:footnote w:id="1">
    <w:p w:rsidR="00B61362" w:rsidRPr="00A420EF" w:rsidRDefault="00B61362">
      <w:pPr>
        <w:pStyle w:val="FootnoteText"/>
        <w:rPr>
          <w:sz w:val="20"/>
        </w:rPr>
      </w:pPr>
      <w:r w:rsidRPr="00A420EF">
        <w:rPr>
          <w:rStyle w:val="FootnoteReference"/>
          <w:sz w:val="20"/>
        </w:rPr>
        <w:footnoteRef/>
      </w:r>
      <w:r w:rsidRPr="00A420EF">
        <w:rPr>
          <w:sz w:val="20"/>
        </w:rPr>
        <w:t xml:space="preserve"> Request for Review by AT&amp;T of Decision of the Universal Service Administrator, CC Docket No. 96-45 et al. (filed June 22, 2012)</w:t>
      </w:r>
      <w:r w:rsidR="00D61C3C" w:rsidRPr="00A420EF">
        <w:rPr>
          <w:sz w:val="20"/>
        </w:rPr>
        <w:t xml:space="preserve"> (AT&amp;T June 22 Filing)</w:t>
      </w:r>
      <w:r w:rsidRPr="00A420EF">
        <w:rPr>
          <w:sz w:val="20"/>
        </w:rPr>
        <w:t>; Request for Review by AT&amp;T of Decision of the Universal Service Administrator, CC Docket No. 96-45 et al. (filed Apr. 16, 2013)</w:t>
      </w:r>
      <w:r w:rsidR="00D61C3C" w:rsidRPr="00A420EF">
        <w:rPr>
          <w:sz w:val="20"/>
        </w:rPr>
        <w:t xml:space="preserve"> (AT&amp;T April 16 Filing)</w:t>
      </w:r>
      <w:r w:rsidRPr="00A420EF">
        <w:rPr>
          <w:sz w:val="20"/>
        </w:rPr>
        <w:t>.</w:t>
      </w:r>
      <w:r w:rsidR="00187D42">
        <w:rPr>
          <w:sz w:val="20"/>
        </w:rPr>
        <w:t xml:space="preserve"> </w:t>
      </w:r>
    </w:p>
  </w:footnote>
  <w:footnote w:id="2">
    <w:p w:rsidR="00D61C3C" w:rsidRPr="00A420EF" w:rsidRDefault="00D61C3C">
      <w:pPr>
        <w:pStyle w:val="FootnoteText"/>
        <w:rPr>
          <w:sz w:val="20"/>
        </w:rPr>
      </w:pPr>
      <w:r w:rsidRPr="00A420EF">
        <w:rPr>
          <w:rStyle w:val="FootnoteReference"/>
          <w:sz w:val="20"/>
        </w:rPr>
        <w:footnoteRef/>
      </w:r>
      <w:r w:rsidRPr="00A420EF">
        <w:rPr>
          <w:sz w:val="20"/>
        </w:rPr>
        <w:t xml:space="preserve"> Request for Review by Cordova Wireless Communications, LLC of a Decision of Universal Service Administrator, CC Docket No. 96-45 et al. (filed July 5, 2013) (Cordova Filing).</w:t>
      </w:r>
      <w:r w:rsidR="00187D42">
        <w:rPr>
          <w:sz w:val="20"/>
        </w:rPr>
        <w:t xml:space="preserve">  </w:t>
      </w:r>
    </w:p>
  </w:footnote>
  <w:footnote w:id="3">
    <w:p w:rsidR="00B61362" w:rsidRPr="00A420EF" w:rsidRDefault="00B61362">
      <w:pPr>
        <w:pStyle w:val="FootnoteText"/>
        <w:rPr>
          <w:sz w:val="20"/>
        </w:rPr>
      </w:pPr>
      <w:r w:rsidRPr="00A420EF">
        <w:rPr>
          <w:rStyle w:val="FootnoteReference"/>
          <w:sz w:val="20"/>
        </w:rPr>
        <w:footnoteRef/>
      </w:r>
      <w:r w:rsidRPr="00A420EF">
        <w:rPr>
          <w:sz w:val="20"/>
        </w:rPr>
        <w:t xml:space="preserve"> 47 C.F.</w:t>
      </w:r>
      <w:r w:rsidRPr="00187D42">
        <w:rPr>
          <w:sz w:val="20"/>
        </w:rPr>
        <w:t>R. § 54.307(b).</w:t>
      </w:r>
      <w:r w:rsidR="00187D42" w:rsidRPr="00187D42">
        <w:rPr>
          <w:sz w:val="20"/>
        </w:rPr>
        <w:t xml:space="preserve">  Several other petitions regarding mobile line count </w:t>
      </w:r>
      <w:r w:rsidR="00187D42">
        <w:rPr>
          <w:sz w:val="20"/>
        </w:rPr>
        <w:t xml:space="preserve">and customer billing address </w:t>
      </w:r>
      <w:r w:rsidR="00187D42" w:rsidRPr="00187D42">
        <w:rPr>
          <w:sz w:val="20"/>
        </w:rPr>
        <w:t>issues are also currently pending before the Commission.  ACS Wireless Request for Review and Petition for Waiver, CC Docket No. 96-45, WC Docket N</w:t>
      </w:r>
      <w:r w:rsidR="00187D42">
        <w:rPr>
          <w:sz w:val="20"/>
        </w:rPr>
        <w:t xml:space="preserve">o. 05-337 (filed Jan. 17, 2012); </w:t>
      </w:r>
      <w:r w:rsidR="00187D42" w:rsidRPr="00187D42">
        <w:rPr>
          <w:sz w:val="20"/>
        </w:rPr>
        <w:t>Request for Review by PR Wireless, Inc., of a Decision of the Universal Service Administrator, CC Docket Nos. 96-</w:t>
      </w:r>
      <w:r w:rsidR="00187D42">
        <w:rPr>
          <w:sz w:val="20"/>
        </w:rPr>
        <w:t>45, 03-109 (filed Apr. 5, 2010);</w:t>
      </w:r>
      <w:r w:rsidR="00187D42" w:rsidRPr="00187D42">
        <w:rPr>
          <w:sz w:val="20"/>
        </w:rPr>
        <w:t xml:space="preserve"> ASTAC Wireless LLC Petition for Waiver of Section 54.307(b) of the Commission’s Rules, CC Docket </w:t>
      </w:r>
      <w:r w:rsidR="00187D42">
        <w:rPr>
          <w:sz w:val="20"/>
        </w:rPr>
        <w:t>No. 96-45 (filed Jan. 31, 2008);</w:t>
      </w:r>
      <w:r w:rsidR="00187D42" w:rsidRPr="00187D42">
        <w:rPr>
          <w:sz w:val="20"/>
        </w:rPr>
        <w:t xml:space="preserve"> Letter from John T. Nakahata, General Counsel, GCI, to Dana Shaffer, Bureau Chief, Wireline Competition Bureau, FCC, CC Docket No. 96-45 (filed Jan. 26, 2009)</w:t>
      </w:r>
      <w:r w:rsidR="00187D42">
        <w:rPr>
          <w:sz w:val="20"/>
        </w:rPr>
        <w:t>;</w:t>
      </w:r>
      <w:r w:rsidR="00187D42" w:rsidRPr="00187D42">
        <w:rPr>
          <w:sz w:val="20"/>
        </w:rPr>
        <w:t xml:space="preserve"> Mobi PCS, Inc. and Cricket Communications, Inc. Petition Requesting the Federal Communications Commission to Provide Guidance to the Universal Service Administrative Company, CC Docket 96-45 (filed May 29, 2009)</w:t>
      </w:r>
      <w:r w:rsidR="00187D42">
        <w:rPr>
          <w:sz w:val="20"/>
        </w:rPr>
        <w:t>.</w:t>
      </w:r>
    </w:p>
  </w:footnote>
  <w:footnote w:id="4">
    <w:p w:rsidR="00D61C3C" w:rsidRPr="00A420EF" w:rsidRDefault="00D61C3C">
      <w:pPr>
        <w:pStyle w:val="FootnoteText"/>
        <w:rPr>
          <w:sz w:val="20"/>
        </w:rPr>
      </w:pPr>
      <w:r w:rsidRPr="00A420EF">
        <w:rPr>
          <w:rStyle w:val="FootnoteReference"/>
          <w:sz w:val="20"/>
        </w:rPr>
        <w:footnoteRef/>
      </w:r>
      <w:r w:rsidRPr="00A420EF">
        <w:rPr>
          <w:sz w:val="20"/>
        </w:rPr>
        <w:t xml:space="preserve"> AT&amp;T June 22 Filing at 2-3; AT&amp;T April 16 Filing at 2-3.</w:t>
      </w:r>
    </w:p>
  </w:footnote>
  <w:footnote w:id="5">
    <w:p w:rsidR="003268C8" w:rsidRPr="00A420EF" w:rsidRDefault="003268C8">
      <w:pPr>
        <w:pStyle w:val="FootnoteText"/>
        <w:rPr>
          <w:sz w:val="20"/>
        </w:rPr>
      </w:pPr>
      <w:r w:rsidRPr="00A420EF">
        <w:rPr>
          <w:rStyle w:val="FootnoteReference"/>
          <w:sz w:val="20"/>
        </w:rPr>
        <w:footnoteRef/>
      </w:r>
      <w:r w:rsidRPr="00A420EF">
        <w:rPr>
          <w:sz w:val="20"/>
        </w:rPr>
        <w:t xml:space="preserve"> AT&amp;T June 22 Filing at 7-9; AT&amp;T April 16 Filing at 7-9.</w:t>
      </w:r>
    </w:p>
  </w:footnote>
  <w:footnote w:id="6">
    <w:p w:rsidR="009D4471" w:rsidRPr="00A420EF" w:rsidRDefault="009D4471">
      <w:pPr>
        <w:pStyle w:val="FootnoteText"/>
        <w:rPr>
          <w:sz w:val="20"/>
        </w:rPr>
      </w:pPr>
      <w:r w:rsidRPr="00A420EF">
        <w:rPr>
          <w:rStyle w:val="FootnoteReference"/>
          <w:sz w:val="20"/>
        </w:rPr>
        <w:footnoteRef/>
      </w:r>
      <w:r w:rsidRPr="00A420EF">
        <w:rPr>
          <w:sz w:val="20"/>
        </w:rPr>
        <w:t xml:space="preserve"> Cordova Filing at i.</w:t>
      </w:r>
    </w:p>
  </w:footnote>
  <w:footnote w:id="7">
    <w:p w:rsidR="00A81FA5" w:rsidRPr="00A420EF" w:rsidRDefault="00A81FA5">
      <w:pPr>
        <w:pStyle w:val="FootnoteText"/>
        <w:rPr>
          <w:sz w:val="20"/>
        </w:rPr>
      </w:pPr>
      <w:r w:rsidRPr="00A420EF">
        <w:rPr>
          <w:rStyle w:val="FootnoteReference"/>
          <w:sz w:val="20"/>
        </w:rPr>
        <w:footnoteRef/>
      </w:r>
      <w:r w:rsidRPr="00A420EF">
        <w:rPr>
          <w:sz w:val="20"/>
        </w:rPr>
        <w:t xml:space="preserve"> </w:t>
      </w:r>
      <w:r w:rsidRPr="00A420EF">
        <w:rPr>
          <w:i/>
          <w:sz w:val="20"/>
        </w:rPr>
        <w:t xml:space="preserve">Id. </w:t>
      </w:r>
      <w:r w:rsidRPr="00A420EF">
        <w:rPr>
          <w:sz w:val="20"/>
        </w:rPr>
        <w:t>at 5-6.</w:t>
      </w:r>
    </w:p>
  </w:footnote>
  <w:footnote w:id="8">
    <w:p w:rsidR="00B85DE1" w:rsidRPr="00A420EF" w:rsidRDefault="00B85DE1">
      <w:pPr>
        <w:pStyle w:val="FootnoteText"/>
        <w:rPr>
          <w:sz w:val="20"/>
        </w:rPr>
      </w:pPr>
      <w:r w:rsidRPr="00A420EF">
        <w:rPr>
          <w:rStyle w:val="FootnoteReference"/>
          <w:sz w:val="20"/>
        </w:rPr>
        <w:footnoteRef/>
      </w:r>
      <w:r w:rsidRPr="00A420EF">
        <w:rPr>
          <w:sz w:val="20"/>
        </w:rPr>
        <w:t xml:space="preserve"> </w:t>
      </w:r>
      <w:r w:rsidRPr="00A420EF">
        <w:rPr>
          <w:i/>
          <w:sz w:val="20"/>
        </w:rPr>
        <w:t xml:space="preserve">Id. </w:t>
      </w:r>
      <w:r w:rsidRPr="00A420EF">
        <w:rPr>
          <w:sz w:val="20"/>
        </w:rPr>
        <w:t>at 11-14.</w:t>
      </w:r>
    </w:p>
  </w:footnote>
  <w:footnote w:id="9">
    <w:p w:rsidR="003268C8" w:rsidRPr="00A420EF" w:rsidRDefault="003268C8" w:rsidP="003268C8">
      <w:pPr>
        <w:pStyle w:val="FootnoteText"/>
        <w:spacing w:after="120"/>
        <w:rPr>
          <w:sz w:val="20"/>
        </w:rPr>
      </w:pPr>
      <w:r w:rsidRPr="00A420EF">
        <w:rPr>
          <w:rStyle w:val="FootnoteReference"/>
          <w:sz w:val="20"/>
        </w:rPr>
        <w:footnoteRef/>
      </w:r>
      <w:r w:rsidRPr="00A420EF">
        <w:rPr>
          <w:sz w:val="20"/>
        </w:rPr>
        <w:t xml:space="preserve"> </w:t>
      </w:r>
      <w:smartTag w:uri="urn:schemas-microsoft-com:office:smarttags" w:element="metricconverter">
        <w:smartTagPr>
          <w:attr w:name="ProductID" w:val="47 C"/>
        </w:smartTagPr>
        <w:r w:rsidRPr="00A420EF">
          <w:rPr>
            <w:sz w:val="20"/>
          </w:rPr>
          <w:t>47 C</w:t>
        </w:r>
      </w:smartTag>
      <w:r w:rsidRPr="00A420EF">
        <w:rPr>
          <w:sz w:val="20"/>
        </w:rPr>
        <w:t>.F.R. §§ 1.415, 1.419.</w:t>
      </w:r>
    </w:p>
  </w:footnote>
  <w:footnote w:id="10">
    <w:p w:rsidR="003268C8" w:rsidRPr="00A420EF" w:rsidRDefault="003268C8" w:rsidP="003268C8">
      <w:pPr>
        <w:pStyle w:val="FootnoteText"/>
        <w:spacing w:after="120"/>
        <w:rPr>
          <w:sz w:val="20"/>
        </w:rPr>
      </w:pPr>
      <w:r w:rsidRPr="00A420EF">
        <w:rPr>
          <w:rStyle w:val="FootnoteReference"/>
          <w:sz w:val="20"/>
        </w:rPr>
        <w:footnoteRef/>
      </w:r>
      <w:r w:rsidRPr="00A420EF">
        <w:rPr>
          <w:sz w:val="20"/>
        </w:rPr>
        <w:t xml:space="preserve"> </w:t>
      </w:r>
      <w:r w:rsidRPr="00A420EF">
        <w:rPr>
          <w:i/>
          <w:sz w:val="20"/>
        </w:rPr>
        <w:t>See Electronic Filing of Documents in Rulemaking Proceedings</w:t>
      </w:r>
      <w:r w:rsidRPr="00A420EF">
        <w:rPr>
          <w:sz w:val="20"/>
        </w:rPr>
        <w:t>, GC Docket No. 97-113, Report and Order, 13 FCC Rcd 11322 (1998).</w:t>
      </w:r>
    </w:p>
  </w:footnote>
  <w:footnote w:id="11">
    <w:p w:rsidR="003268C8" w:rsidRPr="00A420EF" w:rsidRDefault="003268C8" w:rsidP="003268C8">
      <w:pPr>
        <w:pStyle w:val="FootnoteText"/>
        <w:spacing w:after="120"/>
        <w:rPr>
          <w:i/>
          <w:iCs/>
          <w:sz w:val="20"/>
        </w:rPr>
      </w:pPr>
      <w:r w:rsidRPr="00A420EF">
        <w:rPr>
          <w:rStyle w:val="FootnoteReference"/>
          <w:sz w:val="20"/>
        </w:rPr>
        <w:footnoteRef/>
      </w:r>
      <w:r w:rsidRPr="00A420EF">
        <w:rPr>
          <w:sz w:val="20"/>
        </w:rPr>
        <w:t xml:space="preserve"> </w:t>
      </w:r>
      <w:smartTag w:uri="urn:schemas-microsoft-com:office:smarttags" w:element="metricconverter">
        <w:smartTagPr>
          <w:attr w:name="ProductID" w:val="47 C"/>
        </w:smartTagPr>
        <w:r w:rsidRPr="00A420EF">
          <w:rPr>
            <w:sz w:val="20"/>
          </w:rPr>
          <w:t>47 C</w:t>
        </w:r>
      </w:smartTag>
      <w:r w:rsidRPr="00A420EF">
        <w:rPr>
          <w:sz w:val="20"/>
        </w:rPr>
        <w:t xml:space="preserve">.F.R. §§ 1.1200 </w:t>
      </w:r>
      <w:r w:rsidRPr="00A420EF">
        <w:rPr>
          <w:i/>
          <w:iCs/>
          <w:sz w:val="20"/>
        </w:rPr>
        <w:t>et seq.</w:t>
      </w:r>
    </w:p>
    <w:p w:rsidR="003268C8" w:rsidRPr="00A420EF" w:rsidRDefault="003268C8" w:rsidP="003268C8">
      <w:pPr>
        <w:pStyle w:val="FootnoteText"/>
        <w:spacing w:after="120"/>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CA" w:rsidRDefault="00815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CA" w:rsidRDefault="00815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55" w:rsidRDefault="00904F55" w:rsidP="00904F55">
    <w:pPr>
      <w:pStyle w:val="Header"/>
      <w:tabs>
        <w:tab w:val="clear" w:pos="4320"/>
        <w:tab w:val="clear" w:pos="8640"/>
      </w:tabs>
      <w:spacing w:before="40"/>
      <w:ind w:left="720"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0" allowOverlap="1" wp14:anchorId="7C68243E" wp14:editId="42435DD4">
              <wp:simplePos x="0" y="0"/>
              <wp:positionH relativeFrom="column">
                <wp:posOffset>1078865</wp:posOffset>
              </wp:positionH>
              <wp:positionV relativeFrom="paragraph">
                <wp:posOffset>716280</wp:posOffset>
              </wp:positionV>
              <wp:extent cx="3108960" cy="6400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55" w:rsidRDefault="00904F55" w:rsidP="00904F55">
                          <w:pPr>
                            <w:rPr>
                              <w:rFonts w:ascii="Arial" w:hAnsi="Arial"/>
                              <w:b/>
                            </w:rPr>
                          </w:pPr>
                          <w:r>
                            <w:rPr>
                              <w:rFonts w:ascii="Arial" w:hAnsi="Arial"/>
                              <w:b/>
                            </w:rPr>
                            <w:t>Federal Communications Commission</w:t>
                          </w:r>
                        </w:p>
                        <w:p w:rsidR="00904F55" w:rsidRDefault="00904F55" w:rsidP="00904F5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04F55" w:rsidRDefault="00904F55" w:rsidP="00904F5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4.95pt;margin-top:56.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" o:allowincell="f" stroked="f">
              <v:textbox>
                <w:txbxContent>
                  <w:p w:rsidR="00904F55" w:rsidRDefault="00904F55" w:rsidP="00904F55">
                    <w:pPr>
                      <w:rPr>
                        <w:rFonts w:ascii="Arial" w:hAnsi="Arial"/>
                        <w:b/>
                      </w:rPr>
                    </w:pPr>
                    <w:r>
                      <w:rPr>
                        <w:rFonts w:ascii="Arial" w:hAnsi="Arial"/>
                        <w:b/>
                      </w:rPr>
                      <w:t>Federal Communications Commission</w:t>
                    </w:r>
                  </w:p>
                  <w:p w:rsidR="00904F55" w:rsidRDefault="00904F55" w:rsidP="00904F5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04F55" w:rsidRDefault="00904F55" w:rsidP="00904F5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62336" behindDoc="0" locked="0" layoutInCell="0" allowOverlap="1" wp14:anchorId="239024F3" wp14:editId="6BE64814">
          <wp:simplePos x="0" y="0"/>
          <wp:positionH relativeFrom="column">
            <wp:posOffset>390525</wp:posOffset>
          </wp:positionH>
          <wp:positionV relativeFrom="paragraph">
            <wp:posOffset>120015</wp:posOffset>
          </wp:positionV>
          <wp:extent cx="530225" cy="530225"/>
          <wp:effectExtent l="0" t="0" r="3175" b="3175"/>
          <wp:wrapTopAndBottom/>
          <wp:docPr id="12" name="Picture 1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904F55" w:rsidRDefault="00904F55" w:rsidP="00904F55">
    <w:pPr>
      <w:pStyle w:val="Header"/>
      <w:tabs>
        <w:tab w:val="clear" w:pos="4320"/>
        <w:tab w:val="clear" w:pos="8640"/>
        <w:tab w:val="left" w:pos="1080"/>
      </w:tabs>
      <w:spacing w:line="1120" w:lineRule="exact"/>
      <w:ind w:left="720"/>
      <w:jc w:val="center"/>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6020AEED" wp14:editId="60E3A984">
              <wp:simplePos x="0" y="0"/>
              <wp:positionH relativeFrom="column">
                <wp:posOffset>387350</wp:posOffset>
              </wp:positionH>
              <wp:positionV relativeFrom="paragraph">
                <wp:posOffset>695325</wp:posOffset>
              </wp:positionV>
              <wp:extent cx="5943600" cy="2540"/>
              <wp:effectExtent l="0" t="0" r="19050" b="355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54.75pt" to="498.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PyIQIAADk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1" allowOverlap="1" wp14:anchorId="51F7DFBF" wp14:editId="2D4F8EA9">
              <wp:simplePos x="0" y="0"/>
              <wp:positionH relativeFrom="column">
                <wp:posOffset>3792855</wp:posOffset>
              </wp:positionH>
              <wp:positionV relativeFrom="paragraph">
                <wp:posOffset>19050</wp:posOffset>
              </wp:positionV>
              <wp:extent cx="2640965" cy="548640"/>
              <wp:effectExtent l="0" t="0" r="698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55" w:rsidRDefault="00904F55" w:rsidP="00904F55">
                          <w:pPr>
                            <w:spacing w:before="40"/>
                            <w:jc w:val="right"/>
                            <w:rPr>
                              <w:rFonts w:ascii="Arial" w:hAnsi="Arial"/>
                              <w:b/>
                              <w:sz w:val="16"/>
                            </w:rPr>
                          </w:pPr>
                          <w:r>
                            <w:rPr>
                              <w:rFonts w:ascii="Arial" w:hAnsi="Arial"/>
                              <w:b/>
                              <w:sz w:val="16"/>
                            </w:rPr>
                            <w:t>News Media Information 202 / 418-0500</w:t>
                          </w:r>
                        </w:p>
                        <w:p w:rsidR="00904F55" w:rsidRDefault="00904F55" w:rsidP="00904F5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4F55" w:rsidRDefault="00904F55" w:rsidP="00904F55">
                          <w:pPr>
                            <w:jc w:val="right"/>
                            <w:rPr>
                              <w:rFonts w:ascii="Arial" w:hAnsi="Arial"/>
                              <w:b/>
                              <w:sz w:val="16"/>
                            </w:rPr>
                          </w:pPr>
                          <w:r>
                            <w:rPr>
                              <w:rFonts w:ascii="Arial" w:hAnsi="Arial"/>
                              <w:b/>
                              <w:sz w:val="16"/>
                            </w:rPr>
                            <w:t>TTY: 1-888-835-5322</w:t>
                          </w:r>
                        </w:p>
                        <w:p w:rsidR="00904F55" w:rsidRDefault="00904F55" w:rsidP="00904F5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8.65pt;margin-top:1.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" stroked="f">
              <v:textbox inset=",0,,0">
                <w:txbxContent>
                  <w:p w:rsidR="00904F55" w:rsidRDefault="00904F55" w:rsidP="00904F55">
                    <w:pPr>
                      <w:spacing w:before="40"/>
                      <w:jc w:val="right"/>
                      <w:rPr>
                        <w:rFonts w:ascii="Arial" w:hAnsi="Arial"/>
                        <w:b/>
                        <w:sz w:val="16"/>
                      </w:rPr>
                    </w:pPr>
                    <w:r>
                      <w:rPr>
                        <w:rFonts w:ascii="Arial" w:hAnsi="Arial"/>
                        <w:b/>
                        <w:sz w:val="16"/>
                      </w:rPr>
                      <w:t>News Media Information 202 / 418-0500</w:t>
                    </w:r>
                  </w:p>
                  <w:p w:rsidR="00904F55" w:rsidRDefault="00904F55" w:rsidP="00904F5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04F55" w:rsidRDefault="00904F55" w:rsidP="00904F55">
                    <w:pPr>
                      <w:jc w:val="right"/>
                      <w:rPr>
                        <w:rFonts w:ascii="Arial" w:hAnsi="Arial"/>
                        <w:b/>
                        <w:sz w:val="16"/>
                      </w:rPr>
                    </w:pPr>
                    <w:r>
                      <w:rPr>
                        <w:rFonts w:ascii="Arial" w:hAnsi="Arial"/>
                        <w:b/>
                        <w:sz w:val="16"/>
                      </w:rPr>
                      <w:t>TTY: 1-888-835-5322</w:t>
                    </w:r>
                  </w:p>
                  <w:p w:rsidR="00904F55" w:rsidRDefault="00904F55" w:rsidP="00904F55">
                    <w:pPr>
                      <w:jc w:val="right"/>
                    </w:pPr>
                  </w:p>
                </w:txbxContent>
              </v:textbox>
            </v:shape>
          </w:pict>
        </mc:Fallback>
      </mc:AlternateContent>
    </w:r>
  </w:p>
  <w:p w:rsidR="00904F55" w:rsidRDefault="00904F55" w:rsidP="00904F55">
    <w:pPr>
      <w:pStyle w:val="Header"/>
      <w:tabs>
        <w:tab w:val="clear" w:pos="4320"/>
        <w:tab w:val="clear" w:pos="8640"/>
        <w:tab w:val="left" w:pos="1080"/>
      </w:tabs>
      <w:ind w:left="720"/>
      <w:jc w:val="center"/>
      <w:rPr>
        <w:rFonts w:ascii="Arial" w:hAnsi="Arial"/>
        <w:b/>
        <w:sz w:val="24"/>
      </w:rPr>
    </w:pPr>
  </w:p>
  <w:p w:rsidR="009B01FC" w:rsidRPr="00904F55" w:rsidRDefault="009B01FC" w:rsidP="00904F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62"/>
    <w:rsid w:val="00187D42"/>
    <w:rsid w:val="003268C8"/>
    <w:rsid w:val="0059524C"/>
    <w:rsid w:val="006F2E9C"/>
    <w:rsid w:val="00743360"/>
    <w:rsid w:val="00767F66"/>
    <w:rsid w:val="00815FCA"/>
    <w:rsid w:val="0083726B"/>
    <w:rsid w:val="00904F55"/>
    <w:rsid w:val="009B01FC"/>
    <w:rsid w:val="009D4471"/>
    <w:rsid w:val="00A420EF"/>
    <w:rsid w:val="00A81FA5"/>
    <w:rsid w:val="00AA4E1E"/>
    <w:rsid w:val="00B4458E"/>
    <w:rsid w:val="00B61362"/>
    <w:rsid w:val="00B85DE1"/>
    <w:rsid w:val="00BD49EE"/>
    <w:rsid w:val="00D6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basedOn w:val="DefaultParagraphFont"/>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customStyle="1" w:styleId="ParaNum0">
    <w:name w:val="ParaNum"/>
    <w:basedOn w:val="Normal"/>
    <w:rsid w:val="003268C8"/>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sid w:val="003268C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basedOn w:val="DefaultParagraphFont"/>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customStyle="1" w:styleId="ParaNum0">
    <w:name w:val="ParaNum"/>
    <w:basedOn w:val="Normal"/>
    <w:rsid w:val="003268C8"/>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sid w:val="003268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931</Words>
  <Characters>5262</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6211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2013-07-10T14:03:00Z</cp:lastPrinted>
  <dcterms:created xsi:type="dcterms:W3CDTF">2013-07-10T20:33:00Z</dcterms:created>
  <dcterms:modified xsi:type="dcterms:W3CDTF">2013-07-10T20:33:00Z</dcterms:modified>
  <cp:category> </cp:category>
  <cp:contentStatus> </cp:contentStatus>
</cp:coreProperties>
</file>