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70" w:rsidRPr="00064ACA" w:rsidRDefault="00416170">
      <w:pPr>
        <w:pStyle w:val="TOCTitle"/>
        <w:widowControl/>
        <w:spacing w:before="0" w:after="0"/>
        <w:rPr>
          <w:rFonts w:ascii="Times New Roman" w:hAnsi="Times New Roman"/>
          <w:caps w:val="0"/>
          <w:spacing w:val="0"/>
          <w:szCs w:val="22"/>
        </w:rPr>
      </w:pPr>
      <w:bookmarkStart w:id="0" w:name="_GoBack"/>
      <w:bookmarkEnd w:id="0"/>
      <w:r w:rsidRPr="00064ACA">
        <w:rPr>
          <w:rFonts w:ascii="Times New Roman" w:hAnsi="Times New Roman"/>
          <w:caps w:val="0"/>
          <w:spacing w:val="0"/>
          <w:szCs w:val="22"/>
        </w:rPr>
        <w:t>Before the</w:t>
      </w:r>
    </w:p>
    <w:p w:rsidR="00416170" w:rsidRPr="00064ACA" w:rsidRDefault="00416170">
      <w:pPr>
        <w:jc w:val="center"/>
        <w:rPr>
          <w:b/>
          <w:szCs w:val="22"/>
        </w:rPr>
      </w:pPr>
      <w:r w:rsidRPr="00064ACA">
        <w:rPr>
          <w:b/>
          <w:szCs w:val="22"/>
        </w:rPr>
        <w:t>Federal Communications Commission</w:t>
      </w:r>
    </w:p>
    <w:p w:rsidR="00416170" w:rsidRPr="00064ACA" w:rsidRDefault="00416170">
      <w:pPr>
        <w:jc w:val="center"/>
        <w:rPr>
          <w:b/>
          <w:szCs w:val="22"/>
        </w:rPr>
      </w:pPr>
      <w:r w:rsidRPr="00064ACA">
        <w:rPr>
          <w:b/>
          <w:szCs w:val="22"/>
        </w:rPr>
        <w:t>Washington, D.C. 20554</w:t>
      </w:r>
    </w:p>
    <w:p w:rsidR="00416170" w:rsidRPr="00064ACA" w:rsidRDefault="00416170">
      <w:pPr>
        <w:tabs>
          <w:tab w:val="left" w:pos="-720"/>
        </w:tabs>
        <w:suppressAutoHyphens/>
        <w:rPr>
          <w:spacing w:val="-2"/>
          <w:szCs w:val="22"/>
        </w:rPr>
      </w:pPr>
    </w:p>
    <w:tbl>
      <w:tblPr>
        <w:tblW w:w="0" w:type="auto"/>
        <w:tblLayout w:type="fixed"/>
        <w:tblLook w:val="0000" w:firstRow="0" w:lastRow="0" w:firstColumn="0" w:lastColumn="0" w:noHBand="0" w:noVBand="0"/>
      </w:tblPr>
      <w:tblGrid>
        <w:gridCol w:w="4698"/>
        <w:gridCol w:w="630"/>
        <w:gridCol w:w="4248"/>
      </w:tblGrid>
      <w:tr w:rsidR="00416170" w:rsidRPr="00064ACA">
        <w:tc>
          <w:tcPr>
            <w:tcW w:w="4698" w:type="dxa"/>
          </w:tcPr>
          <w:p w:rsidR="00416170" w:rsidRPr="00064ACA" w:rsidRDefault="00416170">
            <w:pPr>
              <w:tabs>
                <w:tab w:val="center" w:pos="4680"/>
              </w:tabs>
              <w:suppressAutoHyphens/>
              <w:rPr>
                <w:spacing w:val="-2"/>
                <w:szCs w:val="22"/>
              </w:rPr>
            </w:pPr>
            <w:r w:rsidRPr="00064ACA">
              <w:rPr>
                <w:spacing w:val="-2"/>
                <w:szCs w:val="22"/>
              </w:rPr>
              <w:t>In the Matter of</w:t>
            </w:r>
          </w:p>
          <w:p w:rsidR="00416170" w:rsidRPr="00064ACA" w:rsidRDefault="00416170">
            <w:pPr>
              <w:tabs>
                <w:tab w:val="center" w:pos="4680"/>
              </w:tabs>
              <w:suppressAutoHyphens/>
              <w:rPr>
                <w:spacing w:val="-2"/>
                <w:szCs w:val="22"/>
              </w:rPr>
            </w:pPr>
          </w:p>
          <w:p w:rsidR="00416170" w:rsidRPr="00064ACA" w:rsidRDefault="00416170">
            <w:pPr>
              <w:tabs>
                <w:tab w:val="right" w:pos="4482"/>
              </w:tabs>
              <w:rPr>
                <w:szCs w:val="22"/>
              </w:rPr>
            </w:pPr>
            <w:r w:rsidRPr="00064ACA">
              <w:rPr>
                <w:szCs w:val="22"/>
              </w:rPr>
              <w:t xml:space="preserve">Review of the Emergency Alert System; </w:t>
            </w:r>
            <w:r w:rsidRPr="00064ACA">
              <w:rPr>
                <w:szCs w:val="22"/>
              </w:rPr>
              <w:tab/>
            </w:r>
          </w:p>
          <w:p w:rsidR="00416170" w:rsidRPr="00064ACA" w:rsidRDefault="00416170">
            <w:pPr>
              <w:rPr>
                <w:szCs w:val="22"/>
              </w:rPr>
            </w:pPr>
          </w:p>
          <w:p w:rsidR="00416170" w:rsidRPr="00064ACA" w:rsidRDefault="00416170">
            <w:pPr>
              <w:rPr>
                <w:szCs w:val="22"/>
              </w:rPr>
            </w:pPr>
            <w:r w:rsidRPr="00064ACA">
              <w:rPr>
                <w:szCs w:val="22"/>
              </w:rPr>
              <w:t>Independent Spanish Broadcasters Association, the Office of Communication of the United Church of Christ, Inc., and the Minority Media and Telecommunications Council, Petition for Immediate Relief</w:t>
            </w:r>
            <w:r w:rsidR="00CD591A" w:rsidRPr="00064ACA">
              <w:rPr>
                <w:szCs w:val="22"/>
              </w:rPr>
              <w:t>;</w:t>
            </w:r>
          </w:p>
          <w:p w:rsidR="00416170" w:rsidRPr="00064ACA" w:rsidRDefault="00416170">
            <w:pPr>
              <w:rPr>
                <w:szCs w:val="22"/>
              </w:rPr>
            </w:pPr>
          </w:p>
          <w:p w:rsidR="00416170" w:rsidRPr="00064ACA" w:rsidRDefault="00416170">
            <w:pPr>
              <w:rPr>
                <w:szCs w:val="22"/>
              </w:rPr>
            </w:pPr>
            <w:r w:rsidRPr="00064ACA">
              <w:rPr>
                <w:szCs w:val="22"/>
              </w:rPr>
              <w:t>Randy Gehman Petition for Rulemaking</w:t>
            </w:r>
          </w:p>
        </w:tc>
        <w:tc>
          <w:tcPr>
            <w:tcW w:w="630" w:type="dxa"/>
          </w:tcPr>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b/>
                <w:spacing w:val="-2"/>
                <w:szCs w:val="22"/>
              </w:rPr>
            </w:pPr>
            <w:r w:rsidRPr="00064ACA">
              <w:rPr>
                <w:b/>
                <w:spacing w:val="-2"/>
                <w:szCs w:val="22"/>
              </w:rPr>
              <w:t>)</w:t>
            </w:r>
          </w:p>
          <w:p w:rsidR="00416170" w:rsidRPr="00064ACA" w:rsidRDefault="00416170">
            <w:pPr>
              <w:tabs>
                <w:tab w:val="center" w:pos="4680"/>
              </w:tabs>
              <w:suppressAutoHyphens/>
              <w:rPr>
                <w:spacing w:val="-2"/>
                <w:szCs w:val="22"/>
              </w:rPr>
            </w:pPr>
            <w:r w:rsidRPr="00064ACA">
              <w:rPr>
                <w:b/>
                <w:spacing w:val="-2"/>
                <w:szCs w:val="22"/>
              </w:rPr>
              <w:t>)</w:t>
            </w:r>
          </w:p>
        </w:tc>
        <w:tc>
          <w:tcPr>
            <w:tcW w:w="4248" w:type="dxa"/>
          </w:tcPr>
          <w:p w:rsidR="00416170" w:rsidRPr="00064ACA" w:rsidRDefault="00416170">
            <w:pPr>
              <w:tabs>
                <w:tab w:val="center" w:pos="4680"/>
              </w:tabs>
              <w:suppressAutoHyphens/>
              <w:rPr>
                <w:spacing w:val="-2"/>
                <w:szCs w:val="22"/>
              </w:rPr>
            </w:pPr>
          </w:p>
          <w:p w:rsidR="00416170" w:rsidRDefault="00416170">
            <w:pPr>
              <w:tabs>
                <w:tab w:val="center" w:pos="4680"/>
              </w:tabs>
              <w:suppressAutoHyphens/>
              <w:rPr>
                <w:spacing w:val="-2"/>
                <w:szCs w:val="22"/>
              </w:rPr>
            </w:pPr>
          </w:p>
          <w:p w:rsidR="0092331E" w:rsidRPr="00064ACA" w:rsidRDefault="0092331E">
            <w:pPr>
              <w:tabs>
                <w:tab w:val="center" w:pos="4680"/>
              </w:tabs>
              <w:suppressAutoHyphens/>
              <w:rPr>
                <w:spacing w:val="-2"/>
                <w:szCs w:val="22"/>
              </w:rPr>
            </w:pPr>
          </w:p>
          <w:p w:rsidR="00416170" w:rsidRPr="00064ACA" w:rsidRDefault="00416170">
            <w:pPr>
              <w:pStyle w:val="TOAHeading"/>
              <w:tabs>
                <w:tab w:val="clear" w:pos="9360"/>
                <w:tab w:val="center" w:pos="4680"/>
              </w:tabs>
              <w:rPr>
                <w:spacing w:val="-2"/>
                <w:szCs w:val="22"/>
              </w:rPr>
            </w:pPr>
            <w:r w:rsidRPr="00064ACA">
              <w:rPr>
                <w:spacing w:val="-2"/>
                <w:szCs w:val="22"/>
              </w:rPr>
              <w:t xml:space="preserve">           EB Docket No. </w:t>
            </w:r>
            <w:bookmarkStart w:id="1" w:name="OLE_LINK3"/>
            <w:r w:rsidRPr="00064ACA">
              <w:rPr>
                <w:spacing w:val="-2"/>
                <w:szCs w:val="22"/>
              </w:rPr>
              <w:t>04-296</w:t>
            </w:r>
            <w:bookmarkEnd w:id="1"/>
          </w:p>
          <w:p w:rsidR="00416170" w:rsidRPr="00064ACA" w:rsidRDefault="00416170">
            <w:pPr>
              <w:rPr>
                <w:szCs w:val="22"/>
              </w:rPr>
            </w:pPr>
          </w:p>
          <w:p w:rsidR="00416170" w:rsidRPr="00064ACA" w:rsidRDefault="00416170">
            <w:pPr>
              <w:rPr>
                <w:szCs w:val="22"/>
              </w:rPr>
            </w:pPr>
          </w:p>
          <w:p w:rsidR="00416170" w:rsidRPr="00064ACA" w:rsidRDefault="00416170">
            <w:pPr>
              <w:rPr>
                <w:szCs w:val="22"/>
              </w:rPr>
            </w:pPr>
          </w:p>
          <w:p w:rsidR="00416170" w:rsidRPr="00064ACA" w:rsidRDefault="00416170">
            <w:pPr>
              <w:tabs>
                <w:tab w:val="center" w:pos="4680"/>
              </w:tabs>
              <w:suppressAutoHyphens/>
              <w:rPr>
                <w:spacing w:val="-2"/>
                <w:szCs w:val="22"/>
              </w:rPr>
            </w:pPr>
          </w:p>
        </w:tc>
      </w:tr>
    </w:tbl>
    <w:p w:rsidR="00416170" w:rsidRPr="00064ACA" w:rsidRDefault="00416170">
      <w:pPr>
        <w:tabs>
          <w:tab w:val="left" w:pos="-720"/>
        </w:tabs>
        <w:suppressAutoHyphens/>
        <w:rPr>
          <w:spacing w:val="-2"/>
          <w:szCs w:val="22"/>
        </w:rPr>
      </w:pPr>
    </w:p>
    <w:p w:rsidR="00416170" w:rsidRPr="00064ACA" w:rsidRDefault="00416170">
      <w:pPr>
        <w:jc w:val="center"/>
        <w:rPr>
          <w:b/>
          <w:szCs w:val="22"/>
        </w:rPr>
      </w:pPr>
      <w:r w:rsidRPr="00064ACA">
        <w:rPr>
          <w:b/>
          <w:szCs w:val="22"/>
        </w:rPr>
        <w:t xml:space="preserve">ORDER </w:t>
      </w:r>
    </w:p>
    <w:p w:rsidR="00416170" w:rsidRPr="00064ACA" w:rsidRDefault="00416170">
      <w:pPr>
        <w:tabs>
          <w:tab w:val="left" w:pos="-720"/>
        </w:tabs>
        <w:suppressAutoHyphens/>
        <w:rPr>
          <w:spacing w:val="-2"/>
          <w:szCs w:val="22"/>
        </w:rPr>
      </w:pPr>
    </w:p>
    <w:p w:rsidR="00416170" w:rsidRPr="00064ACA" w:rsidRDefault="00416170">
      <w:pPr>
        <w:tabs>
          <w:tab w:val="left" w:pos="720"/>
          <w:tab w:val="left" w:pos="5760"/>
        </w:tabs>
        <w:suppressAutoHyphens/>
        <w:rPr>
          <w:spacing w:val="-2"/>
          <w:szCs w:val="22"/>
        </w:rPr>
      </w:pPr>
      <w:r w:rsidRPr="00064ACA">
        <w:rPr>
          <w:b/>
          <w:spacing w:val="-2"/>
          <w:szCs w:val="22"/>
        </w:rPr>
        <w:t xml:space="preserve">Adopted: </w:t>
      </w:r>
      <w:r w:rsidR="00E9618E">
        <w:rPr>
          <w:b/>
          <w:spacing w:val="-2"/>
          <w:szCs w:val="22"/>
        </w:rPr>
        <w:t>July</w:t>
      </w:r>
      <w:r w:rsidR="00A21235">
        <w:rPr>
          <w:b/>
          <w:spacing w:val="-2"/>
          <w:szCs w:val="22"/>
        </w:rPr>
        <w:t xml:space="preserve"> </w:t>
      </w:r>
      <w:r w:rsidR="00E229ED">
        <w:rPr>
          <w:b/>
          <w:spacing w:val="-2"/>
          <w:szCs w:val="22"/>
        </w:rPr>
        <w:t>15</w:t>
      </w:r>
      <w:r w:rsidR="00A1531D" w:rsidRPr="00064ACA">
        <w:rPr>
          <w:b/>
          <w:spacing w:val="-2"/>
          <w:szCs w:val="22"/>
        </w:rPr>
        <w:t>, 2013</w:t>
      </w:r>
      <w:r w:rsidRPr="00064ACA">
        <w:rPr>
          <w:b/>
          <w:spacing w:val="-2"/>
          <w:szCs w:val="22"/>
        </w:rPr>
        <w:tab/>
        <w:t xml:space="preserve">Released: </w:t>
      </w:r>
      <w:r w:rsidR="00E9618E">
        <w:rPr>
          <w:b/>
          <w:spacing w:val="-2"/>
          <w:szCs w:val="22"/>
        </w:rPr>
        <w:t>July</w:t>
      </w:r>
      <w:r w:rsidR="00A21235">
        <w:rPr>
          <w:b/>
          <w:spacing w:val="-2"/>
          <w:szCs w:val="22"/>
        </w:rPr>
        <w:t xml:space="preserve"> </w:t>
      </w:r>
      <w:r w:rsidR="00E229ED">
        <w:rPr>
          <w:b/>
          <w:spacing w:val="-2"/>
          <w:szCs w:val="22"/>
        </w:rPr>
        <w:t>15</w:t>
      </w:r>
      <w:r w:rsidRPr="00064ACA">
        <w:rPr>
          <w:b/>
          <w:spacing w:val="-2"/>
          <w:szCs w:val="22"/>
        </w:rPr>
        <w:t>, 201</w:t>
      </w:r>
      <w:r w:rsidR="00A1531D" w:rsidRPr="00064ACA">
        <w:rPr>
          <w:b/>
          <w:spacing w:val="-2"/>
          <w:szCs w:val="22"/>
        </w:rPr>
        <w:t>3</w:t>
      </w:r>
    </w:p>
    <w:p w:rsidR="00416170" w:rsidRPr="00064ACA" w:rsidRDefault="00416170">
      <w:pPr>
        <w:tabs>
          <w:tab w:val="left" w:pos="720"/>
          <w:tab w:val="left" w:pos="5760"/>
        </w:tabs>
        <w:suppressAutoHyphens/>
        <w:rPr>
          <w:spacing w:val="-2"/>
          <w:szCs w:val="22"/>
        </w:rPr>
      </w:pPr>
    </w:p>
    <w:p w:rsidR="00416170" w:rsidRDefault="00416170">
      <w:pPr>
        <w:tabs>
          <w:tab w:val="left" w:pos="1890"/>
        </w:tabs>
        <w:rPr>
          <w:szCs w:val="22"/>
        </w:rPr>
      </w:pPr>
      <w:r w:rsidRPr="00064ACA">
        <w:rPr>
          <w:szCs w:val="22"/>
        </w:rPr>
        <w:t xml:space="preserve">By the </w:t>
      </w:r>
      <w:r w:rsidR="00576AB8" w:rsidRPr="00064ACA">
        <w:rPr>
          <w:szCs w:val="22"/>
        </w:rPr>
        <w:t>Chief, Public Safety and Homeland Security Bureau</w:t>
      </w:r>
      <w:r w:rsidRPr="00064ACA">
        <w:rPr>
          <w:szCs w:val="22"/>
        </w:rPr>
        <w:t xml:space="preserve">:  </w:t>
      </w:r>
    </w:p>
    <w:p w:rsidR="00322D58" w:rsidRDefault="00322D58">
      <w:pPr>
        <w:tabs>
          <w:tab w:val="left" w:pos="1890"/>
        </w:tabs>
        <w:rPr>
          <w:szCs w:val="22"/>
        </w:rPr>
      </w:pPr>
    </w:p>
    <w:p w:rsidR="00322D58" w:rsidRPr="00322D58" w:rsidRDefault="00322D58" w:rsidP="00322D58">
      <w:pPr>
        <w:rPr>
          <w:b/>
          <w:szCs w:val="22"/>
        </w:rPr>
      </w:pPr>
      <w:r>
        <w:rPr>
          <w:b/>
          <w:szCs w:val="22"/>
        </w:rPr>
        <w:t>I.</w:t>
      </w:r>
      <w:r>
        <w:rPr>
          <w:b/>
          <w:szCs w:val="22"/>
        </w:rPr>
        <w:tab/>
        <w:t>Introduction</w:t>
      </w:r>
    </w:p>
    <w:p w:rsidR="00416170" w:rsidRPr="00064ACA" w:rsidRDefault="00416170">
      <w:pPr>
        <w:rPr>
          <w:szCs w:val="22"/>
        </w:rPr>
      </w:pPr>
    </w:p>
    <w:p w:rsidR="007F7C9B" w:rsidRDefault="00DC0516" w:rsidP="00AE5DE2">
      <w:pPr>
        <w:pStyle w:val="ParaNum"/>
        <w:widowControl/>
        <w:tabs>
          <w:tab w:val="clear" w:pos="900"/>
          <w:tab w:val="num" w:pos="720"/>
        </w:tabs>
        <w:ind w:left="0" w:firstLine="720"/>
        <w:rPr>
          <w:szCs w:val="22"/>
        </w:rPr>
      </w:pPr>
      <w:r w:rsidRPr="00064ACA">
        <w:rPr>
          <w:szCs w:val="22"/>
        </w:rPr>
        <w:t>In this Order we address</w:t>
      </w:r>
      <w:r w:rsidR="00940CB9">
        <w:rPr>
          <w:szCs w:val="22"/>
        </w:rPr>
        <w:t xml:space="preserve"> the</w:t>
      </w:r>
      <w:r w:rsidRPr="00064ACA">
        <w:rPr>
          <w:szCs w:val="22"/>
        </w:rPr>
        <w:t xml:space="preserve"> petitions for waiver of </w:t>
      </w:r>
      <w:r w:rsidR="00F94634" w:rsidRPr="00064ACA">
        <w:rPr>
          <w:szCs w:val="22"/>
        </w:rPr>
        <w:t>Section 11.56 of the Commission’s rules</w:t>
      </w:r>
      <w:r w:rsidR="00D60DCF">
        <w:rPr>
          <w:szCs w:val="22"/>
        </w:rPr>
        <w:t>,</w:t>
      </w:r>
      <w:r w:rsidR="00284668" w:rsidRPr="00064ACA">
        <w:rPr>
          <w:rStyle w:val="FootnoteReference"/>
          <w:szCs w:val="22"/>
        </w:rPr>
        <w:footnoteReference w:id="1"/>
      </w:r>
      <w:r w:rsidR="00F94634" w:rsidRPr="00064ACA">
        <w:rPr>
          <w:szCs w:val="22"/>
        </w:rPr>
        <w:t xml:space="preserve"> </w:t>
      </w:r>
      <w:r w:rsidR="00B3619B">
        <w:rPr>
          <w:szCs w:val="22"/>
        </w:rPr>
        <w:t xml:space="preserve">filed by </w:t>
      </w:r>
      <w:r w:rsidR="00B3619B" w:rsidRPr="00475DE9">
        <w:rPr>
          <w:szCs w:val="22"/>
        </w:rPr>
        <w:t>Southern Communications Volunteers, Inc.</w:t>
      </w:r>
      <w:r w:rsidR="00B3619B">
        <w:rPr>
          <w:szCs w:val="22"/>
        </w:rPr>
        <w:t xml:space="preserve"> (SCV)</w:t>
      </w:r>
      <w:r w:rsidR="00F923BF">
        <w:rPr>
          <w:szCs w:val="22"/>
        </w:rPr>
        <w:t>,</w:t>
      </w:r>
      <w:r w:rsidR="00B3619B" w:rsidRPr="00475DE9">
        <w:rPr>
          <w:szCs w:val="22"/>
        </w:rPr>
        <w:t xml:space="preserve"> </w:t>
      </w:r>
      <w:r w:rsidR="00DF3E5A" w:rsidRPr="00475DE9">
        <w:rPr>
          <w:szCs w:val="22"/>
        </w:rPr>
        <w:t>Applegate Media, Inc.</w:t>
      </w:r>
      <w:r w:rsidR="00DF3E5A">
        <w:rPr>
          <w:szCs w:val="22"/>
        </w:rPr>
        <w:t xml:space="preserve"> (Applegate)</w:t>
      </w:r>
      <w:r w:rsidR="00597FF4">
        <w:rPr>
          <w:szCs w:val="22"/>
        </w:rPr>
        <w:t>,</w:t>
      </w:r>
      <w:r w:rsidR="00DF3E5A">
        <w:rPr>
          <w:szCs w:val="22"/>
        </w:rPr>
        <w:t xml:space="preserve"> </w:t>
      </w:r>
      <w:r w:rsidR="005F1201">
        <w:rPr>
          <w:szCs w:val="22"/>
        </w:rPr>
        <w:t xml:space="preserve">Telecommunications Management, LLC and Avenue Broadband Communications, Inc., (New Wave), Lakeview Cable, Inc. (Lakeview), </w:t>
      </w:r>
      <w:r w:rsidR="00DF3E5A" w:rsidRPr="00DF3E5A">
        <w:rPr>
          <w:szCs w:val="22"/>
        </w:rPr>
        <w:t>RB3, LLC and Arklaoktex, LLC</w:t>
      </w:r>
      <w:r w:rsidR="005F1201">
        <w:rPr>
          <w:szCs w:val="22"/>
        </w:rPr>
        <w:t>, d/b/a Reach Broadband (Reach),</w:t>
      </w:r>
      <w:r w:rsidR="00FF5EAE">
        <w:rPr>
          <w:rStyle w:val="FootnoteReference"/>
          <w:szCs w:val="22"/>
        </w:rPr>
        <w:footnoteReference w:id="2"/>
      </w:r>
      <w:r w:rsidR="005F1201">
        <w:rPr>
          <w:szCs w:val="22"/>
        </w:rPr>
        <w:t xml:space="preserve"> </w:t>
      </w:r>
      <w:r w:rsidR="00B3619B">
        <w:rPr>
          <w:szCs w:val="22"/>
        </w:rPr>
        <w:t>(collectively, the Petitioners).</w:t>
      </w:r>
      <w:r w:rsidR="00B3619B" w:rsidRPr="00064ACA">
        <w:rPr>
          <w:rStyle w:val="FootnoteReference"/>
          <w:szCs w:val="22"/>
        </w:rPr>
        <w:footnoteReference w:id="3"/>
      </w:r>
      <w:r w:rsidR="00B3619B">
        <w:rPr>
          <w:szCs w:val="22"/>
        </w:rPr>
        <w:t xml:space="preserve">  Section 11.56</w:t>
      </w:r>
      <w:r w:rsidRPr="00064ACA">
        <w:rPr>
          <w:szCs w:val="22"/>
        </w:rPr>
        <w:t xml:space="preserve"> </w:t>
      </w:r>
      <w:r w:rsidR="00F94634" w:rsidRPr="00064ACA">
        <w:rPr>
          <w:szCs w:val="22"/>
        </w:rPr>
        <w:t xml:space="preserve">requires Emergency Alert System (EAS) Participants to </w:t>
      </w:r>
      <w:r w:rsidR="00DE1C98" w:rsidRPr="00064ACA">
        <w:rPr>
          <w:szCs w:val="22"/>
        </w:rPr>
        <w:t>have installed</w:t>
      </w:r>
      <w:r w:rsidR="00F94634" w:rsidRPr="00064ACA">
        <w:rPr>
          <w:szCs w:val="22"/>
        </w:rPr>
        <w:t xml:space="preserve"> operational equipment that </w:t>
      </w:r>
      <w:r w:rsidR="00BB2C44" w:rsidRPr="00064ACA">
        <w:rPr>
          <w:szCs w:val="22"/>
        </w:rPr>
        <w:t>can</w:t>
      </w:r>
      <w:r w:rsidR="00F94634" w:rsidRPr="00064ACA">
        <w:rPr>
          <w:szCs w:val="22"/>
        </w:rPr>
        <w:t xml:space="preserve"> receive and process EAS alerts in the Common Alerting Protocol (CAP) by June 30, 2012.</w:t>
      </w:r>
      <w:r w:rsidR="00F94634" w:rsidRPr="00064ACA">
        <w:rPr>
          <w:rStyle w:val="FootnoteReference"/>
          <w:szCs w:val="22"/>
        </w:rPr>
        <w:footnoteReference w:id="4"/>
      </w:r>
      <w:r w:rsidR="00282243">
        <w:rPr>
          <w:szCs w:val="22"/>
        </w:rPr>
        <w:t xml:space="preserve">  </w:t>
      </w:r>
      <w:r w:rsidR="00B3619B">
        <w:rPr>
          <w:szCs w:val="22"/>
        </w:rPr>
        <w:t xml:space="preserve"> </w:t>
      </w:r>
      <w:r w:rsidRPr="00064ACA">
        <w:rPr>
          <w:szCs w:val="22"/>
        </w:rPr>
        <w:t>F</w:t>
      </w:r>
      <w:r w:rsidR="004F2F9D" w:rsidRPr="00064ACA">
        <w:rPr>
          <w:szCs w:val="22"/>
        </w:rPr>
        <w:t xml:space="preserve">or the reasons set </w:t>
      </w:r>
      <w:r w:rsidRPr="00064ACA">
        <w:rPr>
          <w:szCs w:val="22"/>
        </w:rPr>
        <w:t>out</w:t>
      </w:r>
      <w:r w:rsidR="004F2F9D" w:rsidRPr="00064ACA">
        <w:rPr>
          <w:szCs w:val="22"/>
        </w:rPr>
        <w:t xml:space="preserve"> herein, we </w:t>
      </w:r>
      <w:r w:rsidR="001B4E40" w:rsidRPr="00064ACA">
        <w:rPr>
          <w:szCs w:val="22"/>
        </w:rPr>
        <w:t xml:space="preserve">deny </w:t>
      </w:r>
      <w:r w:rsidR="00921416">
        <w:rPr>
          <w:szCs w:val="22"/>
        </w:rPr>
        <w:t>these</w:t>
      </w:r>
      <w:r w:rsidR="001B4E40" w:rsidRPr="00064ACA">
        <w:rPr>
          <w:szCs w:val="22"/>
        </w:rPr>
        <w:t xml:space="preserve"> petitions.  </w:t>
      </w:r>
    </w:p>
    <w:p w:rsidR="008277F8" w:rsidRDefault="008277F8" w:rsidP="008277F8">
      <w:pPr>
        <w:pStyle w:val="ParaNum"/>
        <w:widowControl/>
        <w:numPr>
          <w:ilvl w:val="0"/>
          <w:numId w:val="0"/>
        </w:numPr>
        <w:ind w:left="720"/>
        <w:rPr>
          <w:szCs w:val="22"/>
        </w:rPr>
      </w:pPr>
    </w:p>
    <w:p w:rsidR="008277F8" w:rsidRPr="0068340B" w:rsidRDefault="005204A8" w:rsidP="008277F8">
      <w:pPr>
        <w:pStyle w:val="ParaNum"/>
        <w:widowControl/>
        <w:numPr>
          <w:ilvl w:val="0"/>
          <w:numId w:val="0"/>
        </w:numPr>
        <w:rPr>
          <w:b/>
          <w:szCs w:val="22"/>
        </w:rPr>
      </w:pPr>
      <w:r>
        <w:rPr>
          <w:b/>
          <w:szCs w:val="22"/>
        </w:rPr>
        <w:t>I</w:t>
      </w:r>
      <w:r w:rsidR="00322D58">
        <w:rPr>
          <w:b/>
          <w:szCs w:val="22"/>
        </w:rPr>
        <w:t>I</w:t>
      </w:r>
      <w:r>
        <w:rPr>
          <w:b/>
          <w:szCs w:val="22"/>
        </w:rPr>
        <w:t xml:space="preserve">. </w:t>
      </w:r>
      <w:r>
        <w:rPr>
          <w:b/>
          <w:szCs w:val="22"/>
        </w:rPr>
        <w:tab/>
        <w:t>Background</w:t>
      </w:r>
    </w:p>
    <w:p w:rsidR="0068340B" w:rsidRDefault="0068340B" w:rsidP="0068340B">
      <w:pPr>
        <w:pStyle w:val="ParaNum"/>
        <w:widowControl/>
        <w:numPr>
          <w:ilvl w:val="0"/>
          <w:numId w:val="0"/>
        </w:numPr>
        <w:ind w:firstLine="360"/>
        <w:rPr>
          <w:szCs w:val="22"/>
        </w:rPr>
      </w:pPr>
      <w:bookmarkStart w:id="2" w:name="_Ref301425683"/>
    </w:p>
    <w:p w:rsidR="005204A8" w:rsidRPr="005204A8" w:rsidRDefault="0068340B" w:rsidP="005204A8">
      <w:pPr>
        <w:pStyle w:val="ParaNum"/>
        <w:widowControl/>
        <w:tabs>
          <w:tab w:val="clear" w:pos="900"/>
          <w:tab w:val="num" w:pos="720"/>
        </w:tabs>
        <w:ind w:left="0" w:firstLine="720"/>
        <w:rPr>
          <w:szCs w:val="22"/>
        </w:rPr>
      </w:pPr>
      <w:r>
        <w:rPr>
          <w:szCs w:val="22"/>
        </w:rPr>
        <w:t xml:space="preserve">In its </w:t>
      </w:r>
      <w:r w:rsidR="00EF7F72">
        <w:rPr>
          <w:szCs w:val="22"/>
        </w:rPr>
        <w:t xml:space="preserve">2007 </w:t>
      </w:r>
      <w:r w:rsidR="00FC402B" w:rsidRPr="00FC402B">
        <w:rPr>
          <w:i/>
          <w:szCs w:val="22"/>
        </w:rPr>
        <w:t>EAS</w:t>
      </w:r>
      <w:r>
        <w:rPr>
          <w:szCs w:val="22"/>
        </w:rPr>
        <w:t xml:space="preserve"> </w:t>
      </w:r>
      <w:r w:rsidRPr="0068340B">
        <w:rPr>
          <w:i/>
          <w:szCs w:val="22"/>
        </w:rPr>
        <w:t>Second Report and Order</w:t>
      </w:r>
      <w:r>
        <w:rPr>
          <w:szCs w:val="22"/>
        </w:rPr>
        <w:t>, the Commission, among other things, mandated that EAS Participants be able to receive a CAP-formatted EAS alert message issued by the Federal Emergency Management Agency (FEMA) no later than 180 days after FEMA adopted technical standards for CAP.</w:t>
      </w:r>
      <w:r w:rsidR="00F052AF">
        <w:rPr>
          <w:rStyle w:val="FootnoteReference"/>
          <w:szCs w:val="22"/>
        </w:rPr>
        <w:footnoteReference w:id="5"/>
      </w:r>
      <w:r w:rsidR="005204A8">
        <w:t xml:space="preserve"> </w:t>
      </w:r>
      <w:bookmarkEnd w:id="2"/>
      <w:r w:rsidR="005204A8">
        <w:t xml:space="preserve"> </w:t>
      </w:r>
      <w:r w:rsidR="005204A8" w:rsidRPr="005204A8">
        <w:rPr>
          <w:szCs w:val="22"/>
        </w:rPr>
        <w:t>On September 30, 2010, FEMA published the technical standards and requirements for CAP-formatted EAS alerts, triggering the 180-day clock for EAS Participants to be able to receive CAP-formatted alerts.</w:t>
      </w:r>
      <w:bookmarkStart w:id="3" w:name="_Ref301423737"/>
      <w:r w:rsidR="005204A8">
        <w:rPr>
          <w:rStyle w:val="FootnoteReference"/>
        </w:rPr>
        <w:footnoteReference w:id="6"/>
      </w:r>
      <w:bookmarkEnd w:id="3"/>
      <w:r w:rsidR="005F5613">
        <w:rPr>
          <w:szCs w:val="22"/>
        </w:rPr>
        <w:t xml:space="preserve">  </w:t>
      </w:r>
      <w:r w:rsidR="005204A8" w:rsidRPr="005204A8">
        <w:rPr>
          <w:szCs w:val="22"/>
        </w:rPr>
        <w:t xml:space="preserve">On November 18, 2010, the Commission adopted the </w:t>
      </w:r>
      <w:r w:rsidR="005204A8" w:rsidRPr="005204A8">
        <w:rPr>
          <w:i/>
          <w:szCs w:val="22"/>
        </w:rPr>
        <w:t>Waiver Order</w:t>
      </w:r>
      <w:r w:rsidR="005204A8" w:rsidRPr="005204A8">
        <w:rPr>
          <w:szCs w:val="22"/>
        </w:rPr>
        <w:t xml:space="preserve">, which extended the 180-day deadline for EAS Participants to meet the CAP-related obligations </w:t>
      </w:r>
      <w:r w:rsidR="005204A8">
        <w:rPr>
          <w:szCs w:val="22"/>
        </w:rPr>
        <w:t>it</w:t>
      </w:r>
      <w:r w:rsidR="005204A8" w:rsidRPr="005204A8">
        <w:rPr>
          <w:szCs w:val="22"/>
        </w:rPr>
        <w:t xml:space="preserve"> adopted in the </w:t>
      </w:r>
      <w:r w:rsidR="005204A8" w:rsidRPr="005204A8">
        <w:rPr>
          <w:i/>
          <w:szCs w:val="22"/>
        </w:rPr>
        <w:t>Second Report and Order</w:t>
      </w:r>
      <w:r w:rsidR="005204A8" w:rsidRPr="005204A8">
        <w:rPr>
          <w:szCs w:val="22"/>
        </w:rPr>
        <w:t xml:space="preserve"> until September 30, 2011.</w:t>
      </w:r>
      <w:r w:rsidR="005204A8">
        <w:rPr>
          <w:rStyle w:val="FootnoteReference"/>
          <w:szCs w:val="22"/>
        </w:rPr>
        <w:footnoteReference w:id="7"/>
      </w:r>
      <w:r w:rsidR="006E3E03">
        <w:rPr>
          <w:szCs w:val="22"/>
        </w:rPr>
        <w:t xml:space="preserve">  Finally, on </w:t>
      </w:r>
      <w:r w:rsidR="00031AC0">
        <w:rPr>
          <w:szCs w:val="22"/>
        </w:rPr>
        <w:t xml:space="preserve">September 16, 2011 </w:t>
      </w:r>
      <w:r w:rsidR="00031AC0">
        <w:t>the Commission</w:t>
      </w:r>
      <w:r w:rsidR="00286FBA">
        <w:t xml:space="preserve"> extended the deadline </w:t>
      </w:r>
      <w:r w:rsidR="00A36E6E">
        <w:t xml:space="preserve">a final </w:t>
      </w:r>
      <w:r w:rsidR="00286FBA">
        <w:t>time,</w:t>
      </w:r>
      <w:r w:rsidR="00031AC0">
        <w:t xml:space="preserve"> amend</w:t>
      </w:r>
      <w:r w:rsidR="00286FBA">
        <w:t>ing</w:t>
      </w:r>
      <w:r w:rsidR="00031AC0">
        <w:t xml:space="preserve"> section 11.56 of the Commission's EAS rules to require EAS Participants to be able to receive CAP-formatted EAS alerts as required by Part 11 no later than June 30, </w:t>
      </w:r>
      <w:bookmarkStart w:id="6" w:name="sp_1511_13711"/>
      <w:bookmarkStart w:id="7" w:name="SDU_13711"/>
      <w:bookmarkStart w:id="8" w:name="citeas((Cite_as:_26_F.C.C.R._13710,_*137"/>
      <w:bookmarkEnd w:id="6"/>
      <w:bookmarkEnd w:id="7"/>
      <w:bookmarkEnd w:id="8"/>
      <w:r w:rsidR="00031AC0">
        <w:t>2012.</w:t>
      </w:r>
      <w:r w:rsidR="006E3E03">
        <w:rPr>
          <w:rStyle w:val="FootnoteReference"/>
          <w:szCs w:val="22"/>
        </w:rPr>
        <w:footnoteReference w:id="8"/>
      </w:r>
    </w:p>
    <w:p w:rsidR="004F2F9D" w:rsidRPr="00064ACA" w:rsidRDefault="004F2F9D" w:rsidP="004F2F9D">
      <w:pPr>
        <w:pStyle w:val="ParaNum"/>
        <w:widowControl/>
        <w:numPr>
          <w:ilvl w:val="0"/>
          <w:numId w:val="0"/>
        </w:numPr>
        <w:ind w:left="720"/>
        <w:rPr>
          <w:szCs w:val="22"/>
        </w:rPr>
      </w:pPr>
    </w:p>
    <w:p w:rsidR="009940DD" w:rsidRPr="00921416" w:rsidRDefault="00B3619B" w:rsidP="0030715E">
      <w:pPr>
        <w:pStyle w:val="ParaNum"/>
        <w:widowControl/>
        <w:tabs>
          <w:tab w:val="clear" w:pos="900"/>
          <w:tab w:val="num" w:pos="720"/>
        </w:tabs>
        <w:ind w:left="0" w:firstLine="720"/>
      </w:pPr>
      <w:r>
        <w:t xml:space="preserve">SCV, </w:t>
      </w:r>
      <w:r w:rsidR="00C52FDA" w:rsidRPr="00C52FDA">
        <w:rPr>
          <w:szCs w:val="22"/>
        </w:rPr>
        <w:t xml:space="preserve">New Wave, Lakeview, Reach, </w:t>
      </w:r>
      <w:r>
        <w:t>and Applegate</w:t>
      </w:r>
      <w:r w:rsidR="0088403F" w:rsidRPr="00064ACA">
        <w:t xml:space="preserve"> </w:t>
      </w:r>
      <w:r w:rsidR="00F94634" w:rsidRPr="00064ACA">
        <w:t xml:space="preserve">filed petitions </w:t>
      </w:r>
      <w:r w:rsidR="00DC0516" w:rsidRPr="00064ACA">
        <w:t>seeking</w:t>
      </w:r>
      <w:r w:rsidR="00F94634" w:rsidRPr="00064ACA">
        <w:t xml:space="preserve"> temporary waiver of </w:t>
      </w:r>
      <w:r w:rsidR="0088403F" w:rsidRPr="00064ACA">
        <w:t>section 11.56</w:t>
      </w:r>
      <w:r w:rsidR="004536D8" w:rsidRPr="00064ACA">
        <w:t xml:space="preserve"> </w:t>
      </w:r>
      <w:r w:rsidR="00954393" w:rsidRPr="00064ACA">
        <w:t>on the basis that they could not meet the June 30</w:t>
      </w:r>
      <w:r w:rsidR="00597FF4">
        <w:t>, 2012</w:t>
      </w:r>
      <w:r w:rsidR="00954393" w:rsidRPr="00064ACA">
        <w:t xml:space="preserve"> deadline due to vendor delay</w:t>
      </w:r>
      <w:r w:rsidR="00EC2178" w:rsidRPr="00064ACA">
        <w:t>.</w:t>
      </w:r>
      <w:r>
        <w:rPr>
          <w:rStyle w:val="FootnoteReference"/>
          <w:szCs w:val="22"/>
        </w:rPr>
        <w:footnoteReference w:id="9"/>
      </w:r>
      <w:r w:rsidR="00F94634" w:rsidRPr="00064ACA">
        <w:t xml:space="preserve">  </w:t>
      </w:r>
    </w:p>
    <w:p w:rsidR="00921416" w:rsidRPr="00921416" w:rsidRDefault="00921416" w:rsidP="00921416">
      <w:pPr>
        <w:pStyle w:val="ParaNum"/>
        <w:widowControl/>
        <w:numPr>
          <w:ilvl w:val="0"/>
          <w:numId w:val="0"/>
        </w:numPr>
        <w:ind w:left="720"/>
        <w:rPr>
          <w:szCs w:val="22"/>
        </w:rPr>
      </w:pPr>
    </w:p>
    <w:p w:rsidR="009940DD" w:rsidRPr="00322D58" w:rsidRDefault="005204A8" w:rsidP="008A1D08">
      <w:pPr>
        <w:pStyle w:val="ParaNum"/>
        <w:widowControl/>
        <w:numPr>
          <w:ilvl w:val="0"/>
          <w:numId w:val="0"/>
        </w:numPr>
        <w:rPr>
          <w:szCs w:val="22"/>
        </w:rPr>
      </w:pPr>
      <w:r>
        <w:rPr>
          <w:b/>
          <w:szCs w:val="22"/>
        </w:rPr>
        <w:t>II</w:t>
      </w:r>
      <w:r w:rsidR="00322D58">
        <w:rPr>
          <w:b/>
          <w:szCs w:val="22"/>
        </w:rPr>
        <w:t>I</w:t>
      </w:r>
      <w:r>
        <w:rPr>
          <w:b/>
          <w:szCs w:val="22"/>
        </w:rPr>
        <w:t>.</w:t>
      </w:r>
      <w:r>
        <w:rPr>
          <w:b/>
          <w:szCs w:val="22"/>
        </w:rPr>
        <w:tab/>
      </w:r>
      <w:r w:rsidR="00322D58">
        <w:rPr>
          <w:b/>
          <w:szCs w:val="22"/>
        </w:rPr>
        <w:t>Discussion</w:t>
      </w:r>
    </w:p>
    <w:p w:rsidR="00FE7F5E" w:rsidRPr="00921416" w:rsidRDefault="00FE7F5E" w:rsidP="00921416">
      <w:pPr>
        <w:pStyle w:val="ParaNum"/>
        <w:widowControl/>
        <w:numPr>
          <w:ilvl w:val="0"/>
          <w:numId w:val="0"/>
        </w:numPr>
        <w:ind w:firstLine="360"/>
        <w:rPr>
          <w:szCs w:val="22"/>
        </w:rPr>
      </w:pPr>
    </w:p>
    <w:p w:rsidR="00954393" w:rsidRPr="00064ACA" w:rsidRDefault="00921416" w:rsidP="00921416">
      <w:pPr>
        <w:pStyle w:val="ParaNum"/>
        <w:widowControl/>
        <w:tabs>
          <w:tab w:val="clear" w:pos="900"/>
          <w:tab w:val="num" w:pos="720"/>
        </w:tabs>
        <w:ind w:left="0" w:firstLine="720"/>
        <w:rPr>
          <w:szCs w:val="22"/>
        </w:rPr>
      </w:pPr>
      <w:r w:rsidRPr="00921416">
        <w:rPr>
          <w:szCs w:val="22"/>
        </w:rPr>
        <w:t>T</w:t>
      </w:r>
      <w:r w:rsidR="00A96122" w:rsidRPr="00921416">
        <w:rPr>
          <w:color w:val="000000"/>
          <w:szCs w:val="22"/>
        </w:rPr>
        <w:t>he</w:t>
      </w:r>
      <w:r w:rsidR="00A96122" w:rsidRPr="00064ACA">
        <w:rPr>
          <w:color w:val="000000"/>
          <w:szCs w:val="22"/>
        </w:rPr>
        <w:t xml:space="preserve"> Commission</w:t>
      </w:r>
      <w:r w:rsidR="00FE3589" w:rsidRPr="00064ACA">
        <w:rPr>
          <w:color w:val="000000"/>
          <w:szCs w:val="22"/>
        </w:rPr>
        <w:t xml:space="preserve"> </w:t>
      </w:r>
      <w:r w:rsidR="00A96122" w:rsidRPr="00064ACA">
        <w:rPr>
          <w:color w:val="000000"/>
          <w:szCs w:val="22"/>
        </w:rPr>
        <w:t>has</w:t>
      </w:r>
      <w:r w:rsidR="00FE3589" w:rsidRPr="00064ACA">
        <w:rPr>
          <w:color w:val="000000"/>
          <w:szCs w:val="22"/>
        </w:rPr>
        <w:t xml:space="preserve"> authority to waive </w:t>
      </w:r>
      <w:r w:rsidR="00A96122" w:rsidRPr="00064ACA">
        <w:rPr>
          <w:color w:val="000000"/>
          <w:szCs w:val="22"/>
        </w:rPr>
        <w:t>it</w:t>
      </w:r>
      <w:r w:rsidR="00F35010">
        <w:rPr>
          <w:color w:val="000000"/>
          <w:szCs w:val="22"/>
        </w:rPr>
        <w:t>s</w:t>
      </w:r>
      <w:r w:rsidR="00FE3589" w:rsidRPr="00064ACA">
        <w:rPr>
          <w:color w:val="000000"/>
          <w:szCs w:val="22"/>
        </w:rPr>
        <w:t xml:space="preserve"> rules if there is “good cause” to do so</w:t>
      </w:r>
      <w:bookmarkStart w:id="9" w:name="FN[FN20]"/>
      <w:bookmarkEnd w:id="9"/>
      <w:r w:rsidR="00FE3589" w:rsidRPr="00064ACA">
        <w:rPr>
          <w:color w:val="000000"/>
          <w:szCs w:val="22"/>
        </w:rPr>
        <w:t>.</w:t>
      </w:r>
      <w:r w:rsidR="00FE3589" w:rsidRPr="00064ACA">
        <w:rPr>
          <w:rStyle w:val="FootnoteReference"/>
          <w:color w:val="000000"/>
          <w:szCs w:val="22"/>
        </w:rPr>
        <w:footnoteReference w:id="10"/>
      </w:r>
      <w:r w:rsidR="00FE3589" w:rsidRPr="00064ACA">
        <w:rPr>
          <w:color w:val="000000"/>
          <w:szCs w:val="22"/>
        </w:rPr>
        <w:t xml:space="preserve">  </w:t>
      </w:r>
      <w:r w:rsidR="00A96122" w:rsidRPr="00064ACA">
        <w:rPr>
          <w:color w:val="000000"/>
          <w:szCs w:val="22"/>
        </w:rPr>
        <w:t>The Commission</w:t>
      </w:r>
      <w:r w:rsidR="00FE3589" w:rsidRPr="00064ACA">
        <w:rPr>
          <w:color w:val="000000"/>
          <w:szCs w:val="22"/>
        </w:rPr>
        <w:t xml:space="preserve"> </w:t>
      </w:r>
      <w:r w:rsidR="00940CB9">
        <w:rPr>
          <w:color w:val="000000"/>
          <w:szCs w:val="22"/>
        </w:rPr>
        <w:t xml:space="preserve">generally finds such good cause </w:t>
      </w:r>
      <w:r w:rsidR="00FE3589" w:rsidRPr="00064ACA">
        <w:rPr>
          <w:color w:val="000000"/>
          <w:szCs w:val="22"/>
        </w:rPr>
        <w:t xml:space="preserve">where </w:t>
      </w:r>
      <w:r w:rsidR="00A36E6E">
        <w:rPr>
          <w:color w:val="000000"/>
          <w:szCs w:val="22"/>
        </w:rPr>
        <w:t xml:space="preserve">special circumstances warrant a deviation from the general rule, and such deviation will serve </w:t>
      </w:r>
      <w:r w:rsidR="00FE3589" w:rsidRPr="00064ACA">
        <w:rPr>
          <w:color w:val="000000"/>
          <w:szCs w:val="22"/>
        </w:rPr>
        <w:t>the public interest</w:t>
      </w:r>
      <w:bookmarkStart w:id="10" w:name="FN[FN21]"/>
      <w:bookmarkEnd w:id="10"/>
      <w:r w:rsidR="00FE3589" w:rsidRPr="00064ACA">
        <w:rPr>
          <w:color w:val="000000"/>
          <w:szCs w:val="22"/>
        </w:rPr>
        <w:t>.</w:t>
      </w:r>
      <w:r w:rsidR="00FE3589" w:rsidRPr="00064ACA">
        <w:rPr>
          <w:rStyle w:val="FootnoteReference"/>
          <w:color w:val="000000"/>
          <w:szCs w:val="22"/>
        </w:rPr>
        <w:footnoteReference w:id="11"/>
      </w:r>
      <w:r w:rsidR="008F1E7B">
        <w:rPr>
          <w:color w:val="000000"/>
          <w:szCs w:val="22"/>
        </w:rPr>
        <w:t xml:space="preserve">  </w:t>
      </w:r>
      <w:r w:rsidR="004D6766">
        <w:rPr>
          <w:color w:val="000000"/>
          <w:szCs w:val="22"/>
        </w:rPr>
        <w:t>The</w:t>
      </w:r>
      <w:r w:rsidR="00954393" w:rsidRPr="00064ACA">
        <w:rPr>
          <w:szCs w:val="22"/>
        </w:rPr>
        <w:t xml:space="preserve"> </w:t>
      </w:r>
      <w:r w:rsidR="00B87C63" w:rsidRPr="00064ACA">
        <w:rPr>
          <w:szCs w:val="22"/>
        </w:rPr>
        <w:t xml:space="preserve">waiver </w:t>
      </w:r>
      <w:r w:rsidR="00954393" w:rsidRPr="00064ACA">
        <w:rPr>
          <w:szCs w:val="22"/>
        </w:rPr>
        <w:t>applicant faces a high hurdle and must plead with particularity the facts and circumstances that warrant a waiver.</w:t>
      </w:r>
      <w:r w:rsidR="00954393" w:rsidRPr="00064ACA">
        <w:rPr>
          <w:rStyle w:val="FootnoteReference"/>
          <w:szCs w:val="22"/>
        </w:rPr>
        <w:footnoteReference w:id="12"/>
      </w:r>
    </w:p>
    <w:p w:rsidR="00A11729" w:rsidRDefault="00A11729" w:rsidP="00445F0C">
      <w:pPr>
        <w:pStyle w:val="ListParagraph"/>
        <w:ind w:left="0"/>
        <w:rPr>
          <w:szCs w:val="22"/>
        </w:rPr>
      </w:pPr>
    </w:p>
    <w:p w:rsidR="00B85AB1" w:rsidRDefault="000C3CAC" w:rsidP="00B85AB1">
      <w:pPr>
        <w:pStyle w:val="ParaNum"/>
        <w:ind w:left="0"/>
        <w:rPr>
          <w:szCs w:val="22"/>
        </w:rPr>
      </w:pPr>
      <w:r w:rsidRPr="00B85AB1">
        <w:rPr>
          <w:szCs w:val="22"/>
        </w:rPr>
        <w:t xml:space="preserve">We find that </w:t>
      </w:r>
      <w:r w:rsidR="00F118A4">
        <w:t>the Petitioners</w:t>
      </w:r>
      <w:r w:rsidR="00FF5EAE" w:rsidRPr="00064ACA">
        <w:t xml:space="preserve"> </w:t>
      </w:r>
      <w:r w:rsidRPr="00B85AB1">
        <w:rPr>
          <w:szCs w:val="22"/>
        </w:rPr>
        <w:t xml:space="preserve">have failed </w:t>
      </w:r>
      <w:r w:rsidR="00A36E6E" w:rsidRPr="00B85AB1">
        <w:rPr>
          <w:szCs w:val="22"/>
        </w:rPr>
        <w:t>the first prong of the Commission’s waiver analysis</w:t>
      </w:r>
      <w:r w:rsidRPr="00B85AB1">
        <w:rPr>
          <w:szCs w:val="22"/>
        </w:rPr>
        <w:t xml:space="preserve">.  </w:t>
      </w:r>
      <w:r w:rsidR="00940CB9" w:rsidRPr="00B85AB1">
        <w:rPr>
          <w:szCs w:val="22"/>
        </w:rPr>
        <w:t>V</w:t>
      </w:r>
      <w:r w:rsidRPr="00B85AB1">
        <w:rPr>
          <w:szCs w:val="22"/>
        </w:rPr>
        <w:t xml:space="preserve">endor delay </w:t>
      </w:r>
      <w:r w:rsidR="002E6822" w:rsidRPr="00B85AB1">
        <w:rPr>
          <w:szCs w:val="22"/>
        </w:rPr>
        <w:t xml:space="preserve">alone </w:t>
      </w:r>
      <w:r w:rsidR="00940CB9" w:rsidRPr="00B85AB1">
        <w:rPr>
          <w:szCs w:val="22"/>
        </w:rPr>
        <w:t xml:space="preserve">does </w:t>
      </w:r>
      <w:r w:rsidR="002E6822" w:rsidRPr="00B85AB1">
        <w:rPr>
          <w:szCs w:val="22"/>
        </w:rPr>
        <w:t xml:space="preserve">not </w:t>
      </w:r>
      <w:r w:rsidRPr="00B85AB1">
        <w:rPr>
          <w:szCs w:val="22"/>
        </w:rPr>
        <w:t xml:space="preserve">ordinarily </w:t>
      </w:r>
      <w:r w:rsidR="002E6822" w:rsidRPr="00B85AB1">
        <w:rPr>
          <w:szCs w:val="22"/>
        </w:rPr>
        <w:t xml:space="preserve">constitute </w:t>
      </w:r>
      <w:r w:rsidR="008050CD" w:rsidRPr="00B85AB1">
        <w:rPr>
          <w:szCs w:val="22"/>
        </w:rPr>
        <w:t xml:space="preserve">the “special circumstances” that would justify a </w:t>
      </w:r>
      <w:r w:rsidRPr="00B85AB1">
        <w:rPr>
          <w:szCs w:val="22"/>
        </w:rPr>
        <w:t>waiver.</w:t>
      </w:r>
      <w:r w:rsidRPr="00064ACA">
        <w:rPr>
          <w:rStyle w:val="FootnoteReference"/>
          <w:szCs w:val="22"/>
        </w:rPr>
        <w:footnoteReference w:id="13"/>
      </w:r>
      <w:r w:rsidRPr="00B85AB1">
        <w:rPr>
          <w:szCs w:val="22"/>
        </w:rPr>
        <w:t xml:space="preserve">  </w:t>
      </w:r>
      <w:r w:rsidR="00B85AB1">
        <w:rPr>
          <w:szCs w:val="22"/>
        </w:rPr>
        <w:t>In order to constitute “special circumstances” justifying a waiver, t</w:t>
      </w:r>
      <w:r w:rsidR="008050CD" w:rsidRPr="00B85AB1">
        <w:rPr>
          <w:szCs w:val="22"/>
        </w:rPr>
        <w:t xml:space="preserve">he delay </w:t>
      </w:r>
      <w:r w:rsidR="00534F52">
        <w:rPr>
          <w:szCs w:val="22"/>
        </w:rPr>
        <w:t>must</w:t>
      </w:r>
      <w:r w:rsidR="00534F52" w:rsidRPr="00B85AB1">
        <w:rPr>
          <w:szCs w:val="22"/>
        </w:rPr>
        <w:t xml:space="preserve"> </w:t>
      </w:r>
      <w:r w:rsidR="008050CD" w:rsidRPr="00B85AB1">
        <w:rPr>
          <w:szCs w:val="22"/>
        </w:rPr>
        <w:t xml:space="preserve">have </w:t>
      </w:r>
      <w:r w:rsidR="00534F52">
        <w:rPr>
          <w:szCs w:val="22"/>
        </w:rPr>
        <w:t>arisen</w:t>
      </w:r>
      <w:r w:rsidR="008050CD" w:rsidRPr="00B85AB1">
        <w:rPr>
          <w:szCs w:val="22"/>
        </w:rPr>
        <w:t xml:space="preserve"> from some event or events </w:t>
      </w:r>
      <w:r w:rsidR="002E6822" w:rsidRPr="00B85AB1">
        <w:rPr>
          <w:szCs w:val="22"/>
        </w:rPr>
        <w:t xml:space="preserve">that </w:t>
      </w:r>
      <w:r w:rsidR="00534F52">
        <w:rPr>
          <w:szCs w:val="22"/>
        </w:rPr>
        <w:t>occurred despite</w:t>
      </w:r>
      <w:r w:rsidR="002E6822" w:rsidRPr="00B85AB1">
        <w:rPr>
          <w:szCs w:val="22"/>
        </w:rPr>
        <w:t xml:space="preserve"> Petitioner</w:t>
      </w:r>
      <w:r w:rsidR="00534F52">
        <w:rPr>
          <w:szCs w:val="22"/>
        </w:rPr>
        <w:t>’</w:t>
      </w:r>
      <w:r w:rsidR="002E6822" w:rsidRPr="00B85AB1">
        <w:rPr>
          <w:szCs w:val="22"/>
        </w:rPr>
        <w:t>s</w:t>
      </w:r>
      <w:r w:rsidR="00714CA3">
        <w:rPr>
          <w:szCs w:val="22"/>
        </w:rPr>
        <w:t xml:space="preserve"> diligent</w:t>
      </w:r>
      <w:r w:rsidR="002E6822" w:rsidRPr="00B85AB1">
        <w:rPr>
          <w:szCs w:val="22"/>
        </w:rPr>
        <w:t xml:space="preserve"> business </w:t>
      </w:r>
      <w:r w:rsidR="00BB1517" w:rsidRPr="00B85AB1">
        <w:rPr>
          <w:szCs w:val="22"/>
        </w:rPr>
        <w:t>operations</w:t>
      </w:r>
      <w:r w:rsidR="00534F52">
        <w:rPr>
          <w:szCs w:val="22"/>
        </w:rPr>
        <w:t>, and not as a result of Petitioner’s actions</w:t>
      </w:r>
      <w:r w:rsidR="002E6822" w:rsidRPr="00B85AB1">
        <w:rPr>
          <w:szCs w:val="22"/>
        </w:rPr>
        <w:t>.</w:t>
      </w:r>
      <w:r w:rsidR="004C2CE2">
        <w:rPr>
          <w:rStyle w:val="FootnoteReference"/>
          <w:szCs w:val="22"/>
        </w:rPr>
        <w:footnoteReference w:id="14"/>
      </w:r>
      <w:r w:rsidR="00B85AB1" w:rsidRPr="00B85AB1">
        <w:rPr>
          <w:szCs w:val="22"/>
        </w:rPr>
        <w:t xml:space="preserve">  </w:t>
      </w:r>
    </w:p>
    <w:p w:rsidR="00B85AB1" w:rsidRDefault="00B85AB1" w:rsidP="001C3B10">
      <w:pPr>
        <w:pStyle w:val="ListParagraph"/>
        <w:rPr>
          <w:szCs w:val="22"/>
        </w:rPr>
      </w:pPr>
    </w:p>
    <w:p w:rsidR="004C6E87" w:rsidRPr="001C3B10" w:rsidRDefault="00FF5EAE" w:rsidP="00717C1F">
      <w:pPr>
        <w:pStyle w:val="ParaNum"/>
        <w:widowControl/>
        <w:tabs>
          <w:tab w:val="clear" w:pos="900"/>
          <w:tab w:val="num" w:pos="720"/>
        </w:tabs>
        <w:ind w:left="0" w:firstLine="720"/>
      </w:pPr>
      <w:r>
        <w:rPr>
          <w:szCs w:val="22"/>
        </w:rPr>
        <w:t xml:space="preserve">The </w:t>
      </w:r>
      <w:r w:rsidR="00BC02FE" w:rsidRPr="00BC02FE">
        <w:rPr>
          <w:szCs w:val="22"/>
        </w:rPr>
        <w:t>SCV</w:t>
      </w:r>
      <w:r>
        <w:rPr>
          <w:szCs w:val="22"/>
        </w:rPr>
        <w:t xml:space="preserve">, </w:t>
      </w:r>
      <w:r w:rsidRPr="00C52FDA">
        <w:rPr>
          <w:szCs w:val="22"/>
        </w:rPr>
        <w:t>New Wave, Lakeview,</w:t>
      </w:r>
      <w:r w:rsidR="006535CB">
        <w:rPr>
          <w:szCs w:val="22"/>
        </w:rPr>
        <w:t xml:space="preserve"> and</w:t>
      </w:r>
      <w:r w:rsidRPr="00C52FDA">
        <w:rPr>
          <w:szCs w:val="22"/>
        </w:rPr>
        <w:t xml:space="preserve"> Reach </w:t>
      </w:r>
      <w:r w:rsidR="00BC02FE" w:rsidRPr="00BC02FE">
        <w:rPr>
          <w:szCs w:val="22"/>
        </w:rPr>
        <w:t>waiver request</w:t>
      </w:r>
      <w:r>
        <w:rPr>
          <w:szCs w:val="22"/>
        </w:rPr>
        <w:t>s</w:t>
      </w:r>
      <w:r w:rsidR="00BC02FE" w:rsidRPr="00BC02FE">
        <w:rPr>
          <w:szCs w:val="22"/>
        </w:rPr>
        <w:t xml:space="preserve">, however, show that </w:t>
      </w:r>
      <w:r w:rsidR="00DE4837">
        <w:rPr>
          <w:szCs w:val="22"/>
        </w:rPr>
        <w:t xml:space="preserve"> they</w:t>
      </w:r>
      <w:r w:rsidRPr="00BC02FE">
        <w:rPr>
          <w:szCs w:val="22"/>
        </w:rPr>
        <w:t xml:space="preserve"> </w:t>
      </w:r>
      <w:r w:rsidR="00AD083B">
        <w:rPr>
          <w:szCs w:val="22"/>
        </w:rPr>
        <w:t xml:space="preserve">chose to </w:t>
      </w:r>
      <w:r w:rsidR="00BC02FE" w:rsidRPr="00BC02FE">
        <w:rPr>
          <w:szCs w:val="22"/>
        </w:rPr>
        <w:t xml:space="preserve">wait until very close to the deadline to order equipment, and thus any delay in receiving equipment was entirely attributable to </w:t>
      </w:r>
      <w:r>
        <w:rPr>
          <w:szCs w:val="22"/>
        </w:rPr>
        <w:t xml:space="preserve">each company’s business </w:t>
      </w:r>
      <w:r w:rsidR="00BC02FE" w:rsidRPr="00BC02FE">
        <w:rPr>
          <w:szCs w:val="22"/>
        </w:rPr>
        <w:t>decisions</w:t>
      </w:r>
      <w:r w:rsidR="00C547F7" w:rsidRPr="001C3B10">
        <w:t>.</w:t>
      </w:r>
      <w:r w:rsidR="00B85AB1" w:rsidRPr="001C3B10">
        <w:t xml:space="preserve">  </w:t>
      </w:r>
      <w:r w:rsidR="00C547F7">
        <w:t>SCV states that it did not order the equipment until May 24, 2012 because it had a long-standing relationship with its equipment vendor who normally “delivered the ordered equipment within a matter of days each time SCV ordered.”</w:t>
      </w:r>
      <w:r w:rsidR="00C547F7">
        <w:rPr>
          <w:rStyle w:val="FootnoteReference"/>
        </w:rPr>
        <w:footnoteReference w:id="15"/>
      </w:r>
      <w:r w:rsidR="00C547F7">
        <w:t xml:space="preserve">  SCV also says it only ordered the equipment after its fund drive ended, which provided the money necessary to purchase the equipment.</w:t>
      </w:r>
      <w:r w:rsidR="00C547F7">
        <w:rPr>
          <w:rStyle w:val="FootnoteReference"/>
        </w:rPr>
        <w:footnoteReference w:id="16"/>
      </w:r>
      <w:r w:rsidR="00B85AB1">
        <w:t xml:space="preserve">  </w:t>
      </w:r>
      <w:r w:rsidR="001E2832">
        <w:t>New Wave stated that it contacted its vendor in April, 2012, and was told the equipment was on back order and would not be delivered in time to meet the June 30, 2012 deadline.</w:t>
      </w:r>
      <w:r w:rsidR="00872083">
        <w:rPr>
          <w:rStyle w:val="FootnoteReference"/>
        </w:rPr>
        <w:footnoteReference w:id="17"/>
      </w:r>
      <w:r w:rsidR="001E2832">
        <w:t xml:space="preserve">  According to New Wave, it attempted unsuccessfully to obtain the required equipment from other vendors, finally ordering the equipment from its initial vendor in June, 2012.</w:t>
      </w:r>
      <w:r w:rsidR="004E3234">
        <w:rPr>
          <w:rStyle w:val="FootnoteReference"/>
        </w:rPr>
        <w:footnoteReference w:id="18"/>
      </w:r>
      <w:r w:rsidR="001E2832">
        <w:t xml:space="preserve">  </w:t>
      </w:r>
      <w:r w:rsidR="00872083">
        <w:t>Lakeview st</w:t>
      </w:r>
      <w:r w:rsidR="0003409F">
        <w:t>ates that it first attempted to order its equipment in late May, 2012, and was told that the equipment would not be delivered until 6 to 8 weeks after the June 30, 2012 deadline.</w:t>
      </w:r>
      <w:r w:rsidR="0003409F">
        <w:rPr>
          <w:rStyle w:val="FootnoteReference"/>
        </w:rPr>
        <w:footnoteReference w:id="19"/>
      </w:r>
      <w:r w:rsidR="0003409F">
        <w:t xml:space="preserve">  </w:t>
      </w:r>
      <w:r w:rsidR="005902CA">
        <w:t>Reach states that it first attempted to order its equipment from the manufacturer in “spring, 2012,” and was told to order the equipment form the National Cable Television Cooperative, which Reach did on June 25, 2012.</w:t>
      </w:r>
      <w:r w:rsidR="005902CA">
        <w:rPr>
          <w:rStyle w:val="FootnoteReference"/>
        </w:rPr>
        <w:footnoteReference w:id="20"/>
      </w:r>
      <w:r w:rsidR="005902CA">
        <w:t xml:space="preserve"> </w:t>
      </w:r>
      <w:r>
        <w:t xml:space="preserve"> None of these </w:t>
      </w:r>
      <w:r w:rsidR="00B85AB1">
        <w:t>explanation</w:t>
      </w:r>
      <w:r>
        <w:t>s</w:t>
      </w:r>
      <w:r w:rsidR="00B85AB1">
        <w:t xml:space="preserve"> show the kind of exogenous circumstances necessary to a showing of special circumstances.  Applegate has </w:t>
      </w:r>
      <w:r w:rsidR="00DE4837">
        <w:t xml:space="preserve">also </w:t>
      </w:r>
      <w:r w:rsidR="00B85AB1">
        <w:t>failed to make a showing of special circumstances</w:t>
      </w:r>
      <w:r w:rsidR="006535CB">
        <w:t xml:space="preserve"> in its waiver request</w:t>
      </w:r>
      <w:r w:rsidR="00B85AB1">
        <w:t xml:space="preserve"> because, despite a request for further information from the Commission, Applegate has not provided an explanation as to why it waited until May 7, 2012 to order CAP-compliant EAS equipment.</w:t>
      </w:r>
      <w:r w:rsidR="00B85AB1">
        <w:rPr>
          <w:rStyle w:val="FootnoteReference"/>
        </w:rPr>
        <w:footnoteReference w:id="21"/>
      </w:r>
      <w:r w:rsidR="00B85AB1">
        <w:t xml:space="preserve">  T</w:t>
      </w:r>
      <w:r w:rsidR="008050CD" w:rsidRPr="001C3B10">
        <w:t>hus,</w:t>
      </w:r>
      <w:r w:rsidR="00C32D1C">
        <w:t xml:space="preserve"> in each of the petitions we consider today,</w:t>
      </w:r>
      <w:r w:rsidR="00F118A4">
        <w:t xml:space="preserve"> the</w:t>
      </w:r>
      <w:r w:rsidR="008050CD" w:rsidRPr="001C3B10">
        <w:t xml:space="preserve"> Petitioners have failed to show the special circumstances necessary to justify a deviation from section 11.56 of the Commission’s rules.</w:t>
      </w:r>
    </w:p>
    <w:p w:rsidR="004C6E87" w:rsidRPr="004C6E87" w:rsidRDefault="004C6E87" w:rsidP="004C6E87">
      <w:pPr>
        <w:pStyle w:val="ParaNum"/>
        <w:numPr>
          <w:ilvl w:val="0"/>
          <w:numId w:val="0"/>
        </w:numPr>
        <w:ind w:left="900"/>
        <w:rPr>
          <w:szCs w:val="22"/>
        </w:rPr>
      </w:pPr>
    </w:p>
    <w:p w:rsidR="001C3B10" w:rsidRDefault="000C3CAC" w:rsidP="001C3B10">
      <w:pPr>
        <w:pStyle w:val="ParaNum"/>
        <w:ind w:left="0"/>
        <w:rPr>
          <w:szCs w:val="22"/>
        </w:rPr>
      </w:pPr>
      <w:r w:rsidRPr="000C3CAC">
        <w:rPr>
          <w:szCs w:val="22"/>
        </w:rPr>
        <w:t xml:space="preserve">Moreover, we find that </w:t>
      </w:r>
      <w:r w:rsidR="00B85AB1">
        <w:rPr>
          <w:szCs w:val="22"/>
        </w:rPr>
        <w:t xml:space="preserve">the lack of </w:t>
      </w:r>
      <w:r w:rsidR="00B85AB1" w:rsidRPr="000C3CAC">
        <w:rPr>
          <w:szCs w:val="22"/>
        </w:rPr>
        <w:t xml:space="preserve">due diligence </w:t>
      </w:r>
      <w:r w:rsidR="00B85AB1">
        <w:rPr>
          <w:szCs w:val="22"/>
        </w:rPr>
        <w:t>shown by the P</w:t>
      </w:r>
      <w:r w:rsidR="00B85AB1" w:rsidRPr="000C3CAC">
        <w:rPr>
          <w:szCs w:val="22"/>
        </w:rPr>
        <w:t xml:space="preserve">etitioners </w:t>
      </w:r>
      <w:r w:rsidR="00B85AB1">
        <w:rPr>
          <w:szCs w:val="22"/>
        </w:rPr>
        <w:t>to obtain</w:t>
      </w:r>
      <w:r w:rsidR="00B85AB1" w:rsidRPr="000C3CAC">
        <w:rPr>
          <w:szCs w:val="22"/>
        </w:rPr>
        <w:t xml:space="preserve"> the required equipment in a timely fashion</w:t>
      </w:r>
      <w:r w:rsidR="00B85AB1">
        <w:rPr>
          <w:szCs w:val="22"/>
        </w:rPr>
        <w:t xml:space="preserve"> is inconsistent with the </w:t>
      </w:r>
      <w:r w:rsidR="004D6766">
        <w:rPr>
          <w:szCs w:val="22"/>
        </w:rPr>
        <w:t xml:space="preserve">public interest </w:t>
      </w:r>
      <w:r w:rsidR="00B85AB1">
        <w:rPr>
          <w:szCs w:val="22"/>
        </w:rPr>
        <w:t xml:space="preserve">and thus offers no justification for the requested waiver.  </w:t>
      </w:r>
      <w:r w:rsidRPr="000C3CAC">
        <w:rPr>
          <w:szCs w:val="22"/>
        </w:rPr>
        <w:t>The Commission implemented the June 30 deadline for CAP compliance in order to ensure that “Next Generation EAS” would be transmitted in an efficient, rapid, and secure manner over a variety of formats.</w:t>
      </w:r>
      <w:r w:rsidRPr="00064ACA">
        <w:rPr>
          <w:rStyle w:val="FootnoteReference"/>
          <w:szCs w:val="22"/>
        </w:rPr>
        <w:footnoteReference w:id="22"/>
      </w:r>
      <w:r w:rsidRPr="000C3CAC">
        <w:rPr>
          <w:szCs w:val="22"/>
        </w:rPr>
        <w:t xml:space="preserve">  Th</w:t>
      </w:r>
      <w:r w:rsidR="001C3B10">
        <w:rPr>
          <w:szCs w:val="22"/>
        </w:rPr>
        <w:t xml:space="preserve">e Commission acknowledged EAS Participant concerns with the potential difficulties associated with the introduction of a new technology such as CAP, and </w:t>
      </w:r>
      <w:r w:rsidRPr="000C3CAC">
        <w:rPr>
          <w:szCs w:val="22"/>
        </w:rPr>
        <w:t xml:space="preserve">provided EAS Participants with a </w:t>
      </w:r>
      <w:r w:rsidR="001C3B10">
        <w:rPr>
          <w:szCs w:val="22"/>
        </w:rPr>
        <w:t xml:space="preserve">series of compliance windows, the final one of which </w:t>
      </w:r>
      <w:r w:rsidRPr="000C3CAC">
        <w:rPr>
          <w:szCs w:val="22"/>
        </w:rPr>
        <w:t>exceed</w:t>
      </w:r>
      <w:r w:rsidR="001C3B10">
        <w:rPr>
          <w:szCs w:val="22"/>
        </w:rPr>
        <w:t>ed</w:t>
      </w:r>
      <w:r w:rsidRPr="000C3CAC">
        <w:rPr>
          <w:szCs w:val="22"/>
        </w:rPr>
        <w:t xml:space="preserve"> nine months.</w:t>
      </w:r>
      <w:r w:rsidR="00EF7F72">
        <w:rPr>
          <w:rStyle w:val="FootnoteReference"/>
          <w:szCs w:val="22"/>
        </w:rPr>
        <w:footnoteReference w:id="23"/>
      </w:r>
      <w:r w:rsidRPr="000C3CAC">
        <w:rPr>
          <w:szCs w:val="22"/>
        </w:rPr>
        <w:t xml:space="preserve">   Despite this, </w:t>
      </w:r>
      <w:r w:rsidR="004E68B7" w:rsidRPr="000C3CAC">
        <w:rPr>
          <w:szCs w:val="22"/>
        </w:rPr>
        <w:t>SCV did not order its equipment until May 24, 2012</w:t>
      </w:r>
      <w:r w:rsidR="004E68B7">
        <w:rPr>
          <w:szCs w:val="22"/>
        </w:rPr>
        <w:t>,</w:t>
      </w:r>
      <w:r w:rsidR="004E68B7" w:rsidRPr="00064ACA">
        <w:rPr>
          <w:rStyle w:val="FootnoteReference"/>
          <w:szCs w:val="22"/>
        </w:rPr>
        <w:footnoteReference w:id="24"/>
      </w:r>
      <w:r w:rsidR="004E68B7">
        <w:rPr>
          <w:szCs w:val="22"/>
        </w:rPr>
        <w:t xml:space="preserve"> New Wave did not order its equipment until June, 2012,</w:t>
      </w:r>
      <w:r w:rsidR="004E68B7">
        <w:rPr>
          <w:rStyle w:val="FootnoteReference"/>
          <w:szCs w:val="22"/>
        </w:rPr>
        <w:footnoteReference w:id="25"/>
      </w:r>
      <w:r w:rsidR="004E68B7">
        <w:rPr>
          <w:szCs w:val="22"/>
        </w:rPr>
        <w:t xml:space="preserve"> </w:t>
      </w:r>
      <w:r w:rsidR="00144095">
        <w:rPr>
          <w:szCs w:val="22"/>
        </w:rPr>
        <w:t>Lakeview did not order its equipment until late May, 2012,</w:t>
      </w:r>
      <w:r w:rsidR="00144095">
        <w:rPr>
          <w:rStyle w:val="FootnoteReference"/>
          <w:szCs w:val="22"/>
        </w:rPr>
        <w:footnoteReference w:id="26"/>
      </w:r>
      <w:r w:rsidR="00144095">
        <w:rPr>
          <w:szCs w:val="22"/>
        </w:rPr>
        <w:t xml:space="preserve"> Reach did not attempt to order its equipment until late spring 2012 at the earliest,</w:t>
      </w:r>
      <w:r w:rsidR="00144095">
        <w:rPr>
          <w:rStyle w:val="FootnoteReference"/>
          <w:szCs w:val="22"/>
        </w:rPr>
        <w:footnoteReference w:id="27"/>
      </w:r>
      <w:r w:rsidR="00144095">
        <w:rPr>
          <w:szCs w:val="22"/>
        </w:rPr>
        <w:t xml:space="preserve"> </w:t>
      </w:r>
      <w:r w:rsidR="00726C80">
        <w:rPr>
          <w:szCs w:val="22"/>
        </w:rPr>
        <w:t xml:space="preserve">and </w:t>
      </w:r>
      <w:r w:rsidR="00D86AE5">
        <w:rPr>
          <w:szCs w:val="22"/>
        </w:rPr>
        <w:t>Applegate</w:t>
      </w:r>
      <w:r w:rsidR="00D86AE5" w:rsidRPr="000C3CAC">
        <w:rPr>
          <w:szCs w:val="22"/>
        </w:rPr>
        <w:t xml:space="preserve"> </w:t>
      </w:r>
      <w:r w:rsidRPr="000C3CAC">
        <w:rPr>
          <w:szCs w:val="22"/>
        </w:rPr>
        <w:t>did not order its CAP-compliant equipment until May 7, 2012,</w:t>
      </w:r>
      <w:r w:rsidRPr="00064ACA">
        <w:rPr>
          <w:rStyle w:val="FootnoteReference"/>
          <w:szCs w:val="22"/>
        </w:rPr>
        <w:footnoteReference w:id="28"/>
      </w:r>
      <w:r w:rsidRPr="000C3CAC">
        <w:rPr>
          <w:szCs w:val="22"/>
        </w:rPr>
        <w:t xml:space="preserve"> </w:t>
      </w:r>
      <w:r w:rsidR="001C3B10">
        <w:rPr>
          <w:szCs w:val="22"/>
        </w:rPr>
        <w:t xml:space="preserve">  As we discuss in paragraph 6 above, this delay, to the extent it was explained, was </w:t>
      </w:r>
      <w:r w:rsidR="00534F52">
        <w:rPr>
          <w:szCs w:val="22"/>
        </w:rPr>
        <w:t xml:space="preserve">not </w:t>
      </w:r>
      <w:r w:rsidR="001C3B10">
        <w:rPr>
          <w:szCs w:val="22"/>
        </w:rPr>
        <w:t>attributable to circumstance</w:t>
      </w:r>
      <w:r w:rsidR="00534F52">
        <w:rPr>
          <w:szCs w:val="22"/>
        </w:rPr>
        <w:t>s</w:t>
      </w:r>
      <w:r w:rsidR="001C3B10">
        <w:rPr>
          <w:szCs w:val="22"/>
        </w:rPr>
        <w:t xml:space="preserve"> beyond the Petitioner’s business choice, and so does not </w:t>
      </w:r>
      <w:r w:rsidR="00A21235">
        <w:rPr>
          <w:szCs w:val="22"/>
        </w:rPr>
        <w:t>provide justification for rule waiver</w:t>
      </w:r>
      <w:r w:rsidR="001C3B10">
        <w:rPr>
          <w:szCs w:val="22"/>
        </w:rPr>
        <w:t xml:space="preserve">.  </w:t>
      </w:r>
    </w:p>
    <w:p w:rsidR="00445F0C" w:rsidRDefault="00445F0C" w:rsidP="001C3B10">
      <w:pPr>
        <w:pStyle w:val="ParaNum"/>
        <w:numPr>
          <w:ilvl w:val="0"/>
          <w:numId w:val="0"/>
        </w:numPr>
        <w:ind w:left="900"/>
      </w:pPr>
    </w:p>
    <w:p w:rsidR="00E8197F" w:rsidRPr="00322D58" w:rsidRDefault="00A16C9F" w:rsidP="004A23DF">
      <w:pPr>
        <w:pStyle w:val="ParaNum"/>
        <w:ind w:left="0"/>
        <w:rPr>
          <w:szCs w:val="22"/>
        </w:rPr>
      </w:pPr>
      <w:r w:rsidRPr="004A23DF">
        <w:rPr>
          <w:szCs w:val="22"/>
        </w:rPr>
        <w:t xml:space="preserve">In conclusion, we </w:t>
      </w:r>
      <w:r w:rsidR="00285EF4" w:rsidRPr="004A23DF">
        <w:rPr>
          <w:szCs w:val="22"/>
        </w:rPr>
        <w:t xml:space="preserve">find that </w:t>
      </w:r>
      <w:r w:rsidR="00E11898">
        <w:rPr>
          <w:szCs w:val="22"/>
        </w:rPr>
        <w:t xml:space="preserve">the </w:t>
      </w:r>
      <w:r w:rsidR="004D6766">
        <w:rPr>
          <w:szCs w:val="22"/>
        </w:rPr>
        <w:t>Petitioner</w:t>
      </w:r>
      <w:r w:rsidR="00E11898">
        <w:rPr>
          <w:szCs w:val="22"/>
        </w:rPr>
        <w:t>s</w:t>
      </w:r>
      <w:r w:rsidR="004D6766">
        <w:rPr>
          <w:szCs w:val="22"/>
        </w:rPr>
        <w:t xml:space="preserve"> have failed to show special circumstances to justify departure from the requirements of section 11.56(a) of the Commissions’ rules, and that </w:t>
      </w:r>
      <w:r w:rsidR="00285EF4" w:rsidRPr="004A23DF">
        <w:rPr>
          <w:szCs w:val="22"/>
        </w:rPr>
        <w:t xml:space="preserve">it is not in the public interest to </w:t>
      </w:r>
      <w:r w:rsidRPr="004A23DF">
        <w:rPr>
          <w:szCs w:val="22"/>
        </w:rPr>
        <w:t>grant waiver of Section 11.56</w:t>
      </w:r>
      <w:r w:rsidR="004D6766">
        <w:rPr>
          <w:szCs w:val="22"/>
        </w:rPr>
        <w:t xml:space="preserve">(a) </w:t>
      </w:r>
      <w:r w:rsidRPr="004A23DF">
        <w:rPr>
          <w:szCs w:val="22"/>
        </w:rPr>
        <w:t>to Applegate and SCV</w:t>
      </w:r>
      <w:r w:rsidR="005D23FE">
        <w:rPr>
          <w:szCs w:val="22"/>
        </w:rPr>
        <w:t>.  W</w:t>
      </w:r>
      <w:r w:rsidR="00064ACA" w:rsidRPr="004A23DF">
        <w:rPr>
          <w:szCs w:val="22"/>
        </w:rPr>
        <w:t xml:space="preserve">e </w:t>
      </w:r>
      <w:r w:rsidR="00D7054E">
        <w:rPr>
          <w:szCs w:val="22"/>
        </w:rPr>
        <w:t xml:space="preserve">therefore </w:t>
      </w:r>
      <w:r w:rsidR="00647B09" w:rsidRPr="004A23DF">
        <w:rPr>
          <w:szCs w:val="22"/>
        </w:rPr>
        <w:t xml:space="preserve">deny </w:t>
      </w:r>
      <w:r w:rsidR="00E967FE" w:rsidRPr="004A23DF">
        <w:rPr>
          <w:szCs w:val="22"/>
        </w:rPr>
        <w:t>the</w:t>
      </w:r>
      <w:r w:rsidR="008F0F9D" w:rsidRPr="004A23DF">
        <w:rPr>
          <w:szCs w:val="22"/>
        </w:rPr>
        <w:t>ir</w:t>
      </w:r>
      <w:r w:rsidR="00647B09" w:rsidRPr="004A23DF">
        <w:rPr>
          <w:szCs w:val="22"/>
        </w:rPr>
        <w:t xml:space="preserve"> waiver petitions</w:t>
      </w:r>
      <w:r w:rsidR="006205BE" w:rsidRPr="004A23DF">
        <w:rPr>
          <w:szCs w:val="22"/>
        </w:rPr>
        <w:t>.</w:t>
      </w:r>
    </w:p>
    <w:p w:rsidR="00322D58" w:rsidRDefault="00322D58" w:rsidP="00322D58">
      <w:pPr>
        <w:pStyle w:val="ListParagraph"/>
        <w:rPr>
          <w:szCs w:val="22"/>
        </w:rPr>
      </w:pPr>
    </w:p>
    <w:p w:rsidR="00322D58" w:rsidRPr="00322D58" w:rsidRDefault="00322D58" w:rsidP="00322D58">
      <w:pPr>
        <w:pStyle w:val="ParaNum"/>
        <w:numPr>
          <w:ilvl w:val="0"/>
          <w:numId w:val="0"/>
        </w:numPr>
        <w:rPr>
          <w:b/>
          <w:szCs w:val="22"/>
        </w:rPr>
      </w:pPr>
      <w:r w:rsidRPr="00322D58">
        <w:rPr>
          <w:b/>
          <w:szCs w:val="22"/>
        </w:rPr>
        <w:t>IV.</w:t>
      </w:r>
      <w:r w:rsidRPr="00322D58">
        <w:rPr>
          <w:b/>
          <w:szCs w:val="22"/>
        </w:rPr>
        <w:tab/>
        <w:t>Ordering Clauses</w:t>
      </w:r>
    </w:p>
    <w:p w:rsidR="0002240D" w:rsidRPr="00064ACA" w:rsidRDefault="0002240D" w:rsidP="0002240D">
      <w:pPr>
        <w:pStyle w:val="ParaNum"/>
        <w:widowControl/>
        <w:numPr>
          <w:ilvl w:val="0"/>
          <w:numId w:val="0"/>
        </w:numPr>
        <w:rPr>
          <w:szCs w:val="22"/>
        </w:rPr>
      </w:pPr>
    </w:p>
    <w:p w:rsidR="00E67EAB" w:rsidRPr="00475DE9" w:rsidRDefault="00F401E1" w:rsidP="00475DE9">
      <w:pPr>
        <w:pStyle w:val="ParaNum"/>
        <w:widowControl/>
        <w:tabs>
          <w:tab w:val="clear" w:pos="900"/>
          <w:tab w:val="num" w:pos="720"/>
        </w:tabs>
        <w:ind w:left="0" w:firstLine="720"/>
        <w:rPr>
          <w:szCs w:val="22"/>
        </w:rPr>
      </w:pPr>
      <w:r w:rsidRPr="00064ACA">
        <w:rPr>
          <w:szCs w:val="22"/>
        </w:rPr>
        <w:t xml:space="preserve">Accordingly, IT IS ORDERED </w:t>
      </w:r>
      <w:r w:rsidR="002D5039" w:rsidRPr="00064ACA">
        <w:rPr>
          <w:snapToGrid/>
          <w:kern w:val="0"/>
          <w:szCs w:val="22"/>
        </w:rPr>
        <w:t xml:space="preserve">that pursuant to Section 4(i) of the Communications Act of 1934, as amended, </w:t>
      </w:r>
      <w:hyperlink r:id="rId8" w:history="1">
        <w:r w:rsidR="002D5039" w:rsidRPr="00064ACA">
          <w:rPr>
            <w:snapToGrid/>
            <w:kern w:val="0"/>
            <w:szCs w:val="22"/>
          </w:rPr>
          <w:t>47 U.S.C. § 154(i)</w:t>
        </w:r>
      </w:hyperlink>
      <w:r w:rsidR="002D5039" w:rsidRPr="00064ACA">
        <w:rPr>
          <w:snapToGrid/>
          <w:kern w:val="0"/>
          <w:szCs w:val="22"/>
        </w:rPr>
        <w:t>, and Section</w:t>
      </w:r>
      <w:r w:rsidR="00D225FE" w:rsidRPr="00064ACA">
        <w:rPr>
          <w:snapToGrid/>
          <w:kern w:val="0"/>
          <w:szCs w:val="22"/>
        </w:rPr>
        <w:t>s</w:t>
      </w:r>
      <w:r w:rsidR="002D5039" w:rsidRPr="00064ACA">
        <w:rPr>
          <w:snapToGrid/>
          <w:kern w:val="0"/>
          <w:szCs w:val="22"/>
        </w:rPr>
        <w:t xml:space="preserve"> 1.</w:t>
      </w:r>
      <w:r w:rsidR="0035335A" w:rsidRPr="00064ACA">
        <w:rPr>
          <w:snapToGrid/>
          <w:kern w:val="0"/>
          <w:szCs w:val="22"/>
        </w:rPr>
        <w:t>3</w:t>
      </w:r>
      <w:r w:rsidR="00D225FE" w:rsidRPr="00064ACA">
        <w:rPr>
          <w:snapToGrid/>
          <w:kern w:val="0"/>
          <w:szCs w:val="22"/>
        </w:rPr>
        <w:t xml:space="preserve"> and 1.</w:t>
      </w:r>
      <w:r w:rsidR="0035335A" w:rsidRPr="00064ACA">
        <w:rPr>
          <w:snapToGrid/>
          <w:kern w:val="0"/>
          <w:szCs w:val="22"/>
        </w:rPr>
        <w:t>8</w:t>
      </w:r>
      <w:r w:rsidR="002D5039" w:rsidRPr="00064ACA">
        <w:rPr>
          <w:snapToGrid/>
          <w:kern w:val="0"/>
          <w:szCs w:val="22"/>
        </w:rPr>
        <w:t xml:space="preserve"> of the Commission's Rules, 47 C.F.R. §</w:t>
      </w:r>
      <w:r w:rsidR="00D225FE" w:rsidRPr="00064ACA">
        <w:rPr>
          <w:snapToGrid/>
          <w:kern w:val="0"/>
          <w:szCs w:val="22"/>
        </w:rPr>
        <w:t>§</w:t>
      </w:r>
      <w:r w:rsidR="0035335A" w:rsidRPr="00064ACA">
        <w:rPr>
          <w:snapToGrid/>
          <w:kern w:val="0"/>
          <w:szCs w:val="22"/>
        </w:rPr>
        <w:t xml:space="preserve"> 1.3</w:t>
      </w:r>
      <w:r w:rsidR="002D5039" w:rsidRPr="00064ACA">
        <w:rPr>
          <w:snapToGrid/>
          <w:kern w:val="0"/>
          <w:szCs w:val="22"/>
        </w:rPr>
        <w:t>,</w:t>
      </w:r>
      <w:r w:rsidR="00D225FE" w:rsidRPr="00064ACA">
        <w:rPr>
          <w:snapToGrid/>
          <w:kern w:val="0"/>
          <w:szCs w:val="22"/>
        </w:rPr>
        <w:t xml:space="preserve"> 1.</w:t>
      </w:r>
      <w:r w:rsidR="0035335A" w:rsidRPr="00064ACA">
        <w:rPr>
          <w:snapToGrid/>
          <w:kern w:val="0"/>
          <w:szCs w:val="22"/>
        </w:rPr>
        <w:t>8</w:t>
      </w:r>
      <w:r w:rsidR="00D225FE" w:rsidRPr="00064ACA">
        <w:rPr>
          <w:snapToGrid/>
          <w:kern w:val="0"/>
          <w:szCs w:val="22"/>
        </w:rPr>
        <w:t>,</w:t>
      </w:r>
      <w:r w:rsidR="002B5C63" w:rsidRPr="00064ACA">
        <w:rPr>
          <w:snapToGrid/>
          <w:kern w:val="0"/>
          <w:szCs w:val="22"/>
        </w:rPr>
        <w:t xml:space="preserve"> </w:t>
      </w:r>
      <w:r w:rsidR="00D86113">
        <w:rPr>
          <w:szCs w:val="22"/>
        </w:rPr>
        <w:t xml:space="preserve"> t</w:t>
      </w:r>
      <w:r w:rsidR="00E67EAB" w:rsidRPr="00475DE9">
        <w:rPr>
          <w:szCs w:val="22"/>
        </w:rPr>
        <w:t>he “Request</w:t>
      </w:r>
      <w:r w:rsidR="00726C80">
        <w:rPr>
          <w:szCs w:val="22"/>
        </w:rPr>
        <w:t>s</w:t>
      </w:r>
      <w:r w:rsidR="00E67EAB" w:rsidRPr="00475DE9">
        <w:rPr>
          <w:szCs w:val="22"/>
        </w:rPr>
        <w:t xml:space="preserve"> for Waiver,” filed by Southern Communications Volunteers, Inc. </w:t>
      </w:r>
      <w:r w:rsidR="00726C80" w:rsidRPr="00475DE9">
        <w:rPr>
          <w:szCs w:val="22"/>
        </w:rPr>
        <w:t xml:space="preserve">and the </w:t>
      </w:r>
      <w:r w:rsidR="00726C80">
        <w:rPr>
          <w:szCs w:val="22"/>
        </w:rPr>
        <w:t xml:space="preserve">Petitions for Waiver filed by </w:t>
      </w:r>
      <w:r w:rsidR="00726C80" w:rsidRPr="00726C80">
        <w:rPr>
          <w:szCs w:val="22"/>
        </w:rPr>
        <w:t>Telecommunications Management, LLC and Avenue Broadband Communications, Inc.</w:t>
      </w:r>
      <w:r w:rsidR="00726C80">
        <w:rPr>
          <w:szCs w:val="22"/>
        </w:rPr>
        <w:t>;</w:t>
      </w:r>
      <w:r w:rsidR="00726C80" w:rsidRPr="00726C80">
        <w:rPr>
          <w:szCs w:val="22"/>
        </w:rPr>
        <w:t xml:space="preserve"> Lakeview Cable, Inc.</w:t>
      </w:r>
      <w:r w:rsidR="00726C80">
        <w:rPr>
          <w:szCs w:val="22"/>
        </w:rPr>
        <w:t xml:space="preserve">; </w:t>
      </w:r>
      <w:r w:rsidR="00726C80" w:rsidRPr="00726C80">
        <w:rPr>
          <w:szCs w:val="22"/>
        </w:rPr>
        <w:t>RB3, LLC and Ark</w:t>
      </w:r>
      <w:r w:rsidR="0030177B">
        <w:rPr>
          <w:szCs w:val="22"/>
        </w:rPr>
        <w:t>l</w:t>
      </w:r>
      <w:r w:rsidR="00726C80" w:rsidRPr="00726C80">
        <w:rPr>
          <w:szCs w:val="22"/>
        </w:rPr>
        <w:t>aoktex, LLC, d/b/a Reach Broadband</w:t>
      </w:r>
      <w:r w:rsidR="00726C80">
        <w:rPr>
          <w:szCs w:val="22"/>
        </w:rPr>
        <w:t xml:space="preserve">; and </w:t>
      </w:r>
      <w:r w:rsidR="00E67EAB" w:rsidRPr="00475DE9">
        <w:rPr>
          <w:szCs w:val="22"/>
        </w:rPr>
        <w:t>Applegate Media, Inc., ARE DENIED.</w:t>
      </w:r>
    </w:p>
    <w:p w:rsidR="00AE5DE2" w:rsidRPr="00064ACA" w:rsidRDefault="00AE5DE2" w:rsidP="00AE5DE2">
      <w:pPr>
        <w:pStyle w:val="ParaNum"/>
        <w:widowControl/>
        <w:numPr>
          <w:ilvl w:val="0"/>
          <w:numId w:val="0"/>
        </w:numPr>
        <w:rPr>
          <w:szCs w:val="22"/>
        </w:rPr>
      </w:pPr>
    </w:p>
    <w:p w:rsidR="00416170" w:rsidRPr="00064ACA" w:rsidRDefault="000F7097" w:rsidP="00AE5DE2">
      <w:pPr>
        <w:pStyle w:val="ParaNum"/>
        <w:widowControl/>
        <w:tabs>
          <w:tab w:val="clear" w:pos="900"/>
          <w:tab w:val="num" w:pos="720"/>
        </w:tabs>
        <w:ind w:left="0" w:firstLine="720"/>
        <w:rPr>
          <w:snapToGrid/>
          <w:kern w:val="0"/>
          <w:szCs w:val="22"/>
        </w:rPr>
      </w:pPr>
      <w:r w:rsidRPr="00064ACA">
        <w:rPr>
          <w:szCs w:val="22"/>
        </w:rPr>
        <w:t>This action is taken under delegated authority pursuant to Sections 0.191 and 0.392 of the Commission’s rules, 47 C.F.R. §§ 0.191, 0.392.</w:t>
      </w:r>
    </w:p>
    <w:p w:rsidR="00416170" w:rsidRPr="00064ACA" w:rsidRDefault="00416170">
      <w:pPr>
        <w:pStyle w:val="ParaNum"/>
        <w:numPr>
          <w:ilvl w:val="0"/>
          <w:numId w:val="0"/>
        </w:numPr>
        <w:ind w:left="-540"/>
        <w:rPr>
          <w:szCs w:val="22"/>
        </w:rPr>
      </w:pPr>
    </w:p>
    <w:p w:rsidR="00416170" w:rsidRPr="00064ACA" w:rsidRDefault="00416170">
      <w:pPr>
        <w:ind w:left="3600"/>
        <w:rPr>
          <w:szCs w:val="22"/>
        </w:rPr>
      </w:pPr>
      <w:r w:rsidRPr="00064ACA">
        <w:rPr>
          <w:szCs w:val="22"/>
        </w:rPr>
        <w:t>FEDERAL COMMUNICATIONS COMMISSION</w:t>
      </w:r>
    </w:p>
    <w:p w:rsidR="00416170" w:rsidRPr="00064ACA" w:rsidRDefault="00416170">
      <w:pPr>
        <w:ind w:left="4320"/>
        <w:rPr>
          <w:szCs w:val="22"/>
        </w:rPr>
      </w:pPr>
    </w:p>
    <w:p w:rsidR="00416170" w:rsidRPr="00064ACA" w:rsidRDefault="00416170">
      <w:pPr>
        <w:ind w:left="4320"/>
        <w:rPr>
          <w:szCs w:val="22"/>
        </w:rPr>
      </w:pPr>
    </w:p>
    <w:p w:rsidR="00416170" w:rsidRPr="00064ACA" w:rsidRDefault="00416170">
      <w:pPr>
        <w:ind w:left="4320"/>
        <w:rPr>
          <w:szCs w:val="22"/>
        </w:rPr>
      </w:pPr>
    </w:p>
    <w:p w:rsidR="000F7097" w:rsidRPr="00064ACA" w:rsidRDefault="000F7097" w:rsidP="000F7097">
      <w:pPr>
        <w:tabs>
          <w:tab w:val="left" w:pos="3600"/>
        </w:tabs>
        <w:rPr>
          <w:szCs w:val="22"/>
        </w:rPr>
      </w:pPr>
      <w:r w:rsidRPr="00064ACA">
        <w:rPr>
          <w:szCs w:val="22"/>
        </w:rPr>
        <w:tab/>
        <w:t>David Turetsky</w:t>
      </w:r>
    </w:p>
    <w:p w:rsidR="000F7097" w:rsidRPr="00064ACA" w:rsidRDefault="000F7097" w:rsidP="000F7097">
      <w:pPr>
        <w:tabs>
          <w:tab w:val="left" w:pos="3600"/>
        </w:tabs>
        <w:rPr>
          <w:szCs w:val="22"/>
        </w:rPr>
      </w:pPr>
      <w:r w:rsidRPr="00064ACA">
        <w:rPr>
          <w:szCs w:val="22"/>
        </w:rPr>
        <w:tab/>
        <w:t>Chief</w:t>
      </w:r>
    </w:p>
    <w:p w:rsidR="00416170" w:rsidRPr="00064ACA" w:rsidRDefault="000F7097" w:rsidP="00335E9B">
      <w:pPr>
        <w:tabs>
          <w:tab w:val="left" w:pos="3600"/>
        </w:tabs>
        <w:rPr>
          <w:szCs w:val="22"/>
        </w:rPr>
      </w:pPr>
      <w:r w:rsidRPr="00064ACA">
        <w:rPr>
          <w:szCs w:val="22"/>
        </w:rPr>
        <w:tab/>
        <w:t>Public Safety and Homeland Security Bureau</w:t>
      </w:r>
    </w:p>
    <w:sectPr w:rsidR="00416170" w:rsidRPr="00064ACA" w:rsidSect="007046A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296"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0A" w:rsidRDefault="001A440A">
      <w:r>
        <w:separator/>
      </w:r>
    </w:p>
  </w:endnote>
  <w:endnote w:type="continuationSeparator" w:id="0">
    <w:p w:rsidR="001A440A" w:rsidRDefault="001A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70" w:rsidRDefault="00E70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CA" w:rsidRDefault="00FC402B" w:rsidP="00064ACA">
    <w:pPr>
      <w:pStyle w:val="Footer"/>
      <w:jc w:val="center"/>
    </w:pPr>
    <w:r>
      <w:fldChar w:fldCharType="begin"/>
    </w:r>
    <w:r w:rsidR="00064ACA">
      <w:instrText xml:space="preserve"> PAGE   \* MERGEFORMAT </w:instrText>
    </w:r>
    <w:r>
      <w:fldChar w:fldCharType="separate"/>
    </w:r>
    <w:r w:rsidR="00E70570">
      <w:rPr>
        <w:noProof/>
      </w:rPr>
      <w:t>2</w:t>
    </w:r>
    <w:r>
      <w:rPr>
        <w:noProof/>
      </w:rPr>
      <w:fldChar w:fldCharType="end"/>
    </w:r>
  </w:p>
  <w:p w:rsidR="00101A9F" w:rsidRDefault="00101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70" w:rsidRDefault="00E7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0A" w:rsidRDefault="001A440A">
      <w:r>
        <w:separator/>
      </w:r>
    </w:p>
  </w:footnote>
  <w:footnote w:type="continuationSeparator" w:id="0">
    <w:p w:rsidR="001A440A" w:rsidRDefault="001A440A">
      <w:r>
        <w:continuationSeparator/>
      </w:r>
    </w:p>
  </w:footnote>
  <w:footnote w:id="1">
    <w:p w:rsidR="00284668" w:rsidRDefault="00284668">
      <w:pPr>
        <w:pStyle w:val="FootnoteText"/>
      </w:pPr>
      <w:r>
        <w:rPr>
          <w:rStyle w:val="FootnoteReference"/>
        </w:rPr>
        <w:footnoteRef/>
      </w:r>
      <w:r w:rsidRPr="00285EF4">
        <w:t xml:space="preserve"> 47 C.F.R. § 11.56.  </w:t>
      </w:r>
    </w:p>
    <w:p w:rsidR="00284668" w:rsidRDefault="00284668">
      <w:pPr>
        <w:pStyle w:val="FootnoteText"/>
      </w:pPr>
    </w:p>
  </w:footnote>
  <w:footnote w:id="2">
    <w:p w:rsidR="00B55D93" w:rsidRDefault="00FF5EAE">
      <w:pPr>
        <w:pStyle w:val="FootnoteText"/>
      </w:pPr>
      <w:r>
        <w:rPr>
          <w:rStyle w:val="FootnoteReference"/>
        </w:rPr>
        <w:footnoteRef/>
      </w:r>
      <w:r>
        <w:t xml:space="preserve"> </w:t>
      </w:r>
      <w:r w:rsidR="00DF3E5A" w:rsidRPr="00DF3E5A">
        <w:t>New Wave</w:t>
      </w:r>
      <w:r w:rsidR="00DF3E5A">
        <w:t xml:space="preserve">, </w:t>
      </w:r>
      <w:r w:rsidR="00DF3E5A" w:rsidRPr="00DF3E5A">
        <w:t>Lakeview</w:t>
      </w:r>
      <w:r w:rsidR="00DF3E5A">
        <w:t xml:space="preserve"> and </w:t>
      </w:r>
      <w:r>
        <w:t>Reach</w:t>
      </w:r>
      <w:r w:rsidR="00DF3E5A">
        <w:t xml:space="preserve"> each filed requests for waivers of the Commission’s June 30, 2012 CAP deadline on behalf of multiple cable systems, each of which stated separate bases for the requests.  Thus, </w:t>
      </w:r>
      <w:r w:rsidR="00B55D93">
        <w:t>we are able to separate those request</w:t>
      </w:r>
      <w:r w:rsidR="0030715E">
        <w:t>s</w:t>
      </w:r>
      <w:r w:rsidR="00B55D93">
        <w:t xml:space="preserve"> for waiver that are based solely on vendor delay.  Accordingly, this order resolves:</w:t>
      </w:r>
    </w:p>
    <w:p w:rsidR="00B55D93" w:rsidRDefault="00B55D93" w:rsidP="007015AE">
      <w:pPr>
        <w:pStyle w:val="FootnoteText"/>
        <w:numPr>
          <w:ilvl w:val="0"/>
          <w:numId w:val="24"/>
        </w:numPr>
      </w:pPr>
      <w:r w:rsidRPr="00B55D93">
        <w:t>New Wave’s request for waiver of the June 30, 2012 deadline on the basis of vendor delay for its Ashdown, Arizona; Brazil and Clinton, Indiana; and Westville and Coatesville, Illinois systems</w:t>
      </w:r>
      <w:r w:rsidR="00A946A1">
        <w:t>;</w:t>
      </w:r>
      <w:r w:rsidR="00DF3E5A">
        <w:t xml:space="preserve">  </w:t>
      </w:r>
    </w:p>
    <w:p w:rsidR="00B55D93" w:rsidRDefault="00B55D93" w:rsidP="007015AE">
      <w:pPr>
        <w:pStyle w:val="FootnoteText"/>
        <w:numPr>
          <w:ilvl w:val="0"/>
          <w:numId w:val="24"/>
        </w:numPr>
      </w:pPr>
      <w:r>
        <w:t xml:space="preserve">Lakeview’s </w:t>
      </w:r>
      <w:r w:rsidRPr="00B55D93">
        <w:t>request for waiver of the June 30, 2012 deadline on the basis of vendor delay for its Cache/Indiahoma, Oklahoma system</w:t>
      </w:r>
      <w:r w:rsidR="00A946A1">
        <w:t>;</w:t>
      </w:r>
      <w:r>
        <w:t xml:space="preserve"> and</w:t>
      </w:r>
    </w:p>
    <w:p w:rsidR="00B55D93" w:rsidRDefault="00B55D93" w:rsidP="007015AE">
      <w:pPr>
        <w:pStyle w:val="FootnoteText"/>
        <w:numPr>
          <w:ilvl w:val="0"/>
          <w:numId w:val="24"/>
        </w:numPr>
      </w:pPr>
      <w:r>
        <w:t xml:space="preserve">Reach’s </w:t>
      </w:r>
      <w:r w:rsidR="00FF5EAE">
        <w:t>request</w:t>
      </w:r>
      <w:r w:rsidR="00400529">
        <w:t xml:space="preserve"> for </w:t>
      </w:r>
      <w:r w:rsidR="00FF5EAE">
        <w:t xml:space="preserve">waiver of the June 30, 2012 deadline on the basis of vendor delay for its Eufala, Hondo, and Kenedy, systems.  </w:t>
      </w:r>
    </w:p>
    <w:p w:rsidR="00FF5EAE" w:rsidRDefault="00400529" w:rsidP="007015AE">
      <w:pPr>
        <w:pStyle w:val="FootnoteText"/>
      </w:pPr>
      <w:r w:rsidRPr="00400529">
        <w:t>This Order does not address any other requests for waiver of the June 30, 2012 deadline</w:t>
      </w:r>
      <w:r w:rsidR="00B55D93">
        <w:t xml:space="preserve"> contained in the filings of New Wave, Lakeview and Reach</w:t>
      </w:r>
      <w:r>
        <w:t>.</w:t>
      </w:r>
    </w:p>
    <w:p w:rsidR="00FF5EAE" w:rsidRDefault="00FF5EAE">
      <w:pPr>
        <w:pStyle w:val="FootnoteText"/>
      </w:pPr>
    </w:p>
  </w:footnote>
  <w:footnote w:id="3">
    <w:p w:rsidR="00B3619B" w:rsidRPr="00285EF4" w:rsidRDefault="00B3619B" w:rsidP="00B3619B">
      <w:pPr>
        <w:pStyle w:val="FootnoteText"/>
      </w:pPr>
      <w:r w:rsidRPr="00285EF4">
        <w:rPr>
          <w:rStyle w:val="FootnoteReference"/>
        </w:rPr>
        <w:footnoteRef/>
      </w:r>
      <w:r w:rsidRPr="00285EF4">
        <w:t xml:space="preserve"> </w:t>
      </w:r>
      <w:r w:rsidRPr="00285EF4">
        <w:rPr>
          <w:i/>
        </w:rPr>
        <w:t xml:space="preserve">See </w:t>
      </w:r>
      <w:r w:rsidRPr="00285EF4">
        <w:t>Request for Waiver, EB Docket No. 04-296 (filed July 2, 2012)</w:t>
      </w:r>
      <w:r w:rsidR="00C547F7">
        <w:t xml:space="preserve"> </w:t>
      </w:r>
      <w:r w:rsidRPr="00285EF4">
        <w:t xml:space="preserve">(SCV Petition); </w:t>
      </w:r>
      <w:r w:rsidR="00A971EF" w:rsidRPr="00285EF4">
        <w:t xml:space="preserve">Request for Waiver, EB Docket No. 04-296 (filed </w:t>
      </w:r>
      <w:r w:rsidR="00A971EF">
        <w:t>June 29</w:t>
      </w:r>
      <w:r w:rsidR="00A971EF" w:rsidRPr="00285EF4">
        <w:t>, 2012)</w:t>
      </w:r>
      <w:r w:rsidR="00A971EF">
        <w:t xml:space="preserve"> </w:t>
      </w:r>
      <w:r w:rsidR="00A971EF" w:rsidRPr="00285EF4">
        <w:t>(</w:t>
      </w:r>
      <w:r w:rsidR="00A971EF">
        <w:t>New Wave</w:t>
      </w:r>
      <w:r w:rsidR="00A971EF" w:rsidRPr="00285EF4">
        <w:t xml:space="preserve"> Petition); Request for Waiver, EB Docket No. 04-296 (filed Ju</w:t>
      </w:r>
      <w:r w:rsidR="00A971EF">
        <w:t>ne</w:t>
      </w:r>
      <w:r w:rsidR="00A971EF" w:rsidRPr="00285EF4">
        <w:t xml:space="preserve"> 2</w:t>
      </w:r>
      <w:r w:rsidR="00A971EF">
        <w:t>9</w:t>
      </w:r>
      <w:r w:rsidR="00A971EF" w:rsidRPr="00285EF4">
        <w:t>, 2012)</w:t>
      </w:r>
      <w:r w:rsidR="00A971EF">
        <w:t xml:space="preserve"> </w:t>
      </w:r>
      <w:r w:rsidR="00A971EF" w:rsidRPr="00285EF4">
        <w:t>(</w:t>
      </w:r>
      <w:r w:rsidR="00A971EF">
        <w:t>Lakeview</w:t>
      </w:r>
      <w:r w:rsidR="00A971EF" w:rsidRPr="00285EF4">
        <w:t xml:space="preserve"> Petition); </w:t>
      </w:r>
      <w:r w:rsidR="00D44B20" w:rsidRPr="00285EF4">
        <w:t xml:space="preserve">Request for Waiver, EB Docket No. 04-296 (filed </w:t>
      </w:r>
      <w:r w:rsidR="00D44B20">
        <w:t xml:space="preserve">June 28, </w:t>
      </w:r>
      <w:r w:rsidR="00D44B20" w:rsidRPr="00285EF4">
        <w:t>2012)</w:t>
      </w:r>
      <w:r w:rsidR="00D44B20">
        <w:t xml:space="preserve"> </w:t>
      </w:r>
      <w:r w:rsidR="00D44B20" w:rsidRPr="00285EF4">
        <w:t>(</w:t>
      </w:r>
      <w:r w:rsidR="00D44B20">
        <w:t>Reach</w:t>
      </w:r>
      <w:r w:rsidR="00D44B20" w:rsidRPr="00285EF4">
        <w:t xml:space="preserve"> Petition); </w:t>
      </w:r>
      <w:r w:rsidRPr="00285EF4">
        <w:t>Letter, Lindsey Riggs to FCC, EB Docket No. 04-296 (filed June 28, 2012)</w:t>
      </w:r>
      <w:r w:rsidR="00C547F7">
        <w:t xml:space="preserve"> </w:t>
      </w:r>
      <w:r w:rsidRPr="00285EF4">
        <w:t>(Applegate Petition).</w:t>
      </w:r>
    </w:p>
    <w:p w:rsidR="00B3619B" w:rsidRPr="00285EF4" w:rsidRDefault="00B3619B" w:rsidP="00B3619B">
      <w:pPr>
        <w:pStyle w:val="FootnoteText"/>
        <w:rPr>
          <w:i/>
        </w:rPr>
      </w:pPr>
    </w:p>
  </w:footnote>
  <w:footnote w:id="4">
    <w:p w:rsidR="00101A9F" w:rsidRPr="00285EF4" w:rsidRDefault="00101A9F" w:rsidP="00153FC4">
      <w:pPr>
        <w:pStyle w:val="FootnoteText"/>
      </w:pPr>
      <w:r w:rsidRPr="00285EF4">
        <w:rPr>
          <w:rStyle w:val="FootnoteReference"/>
        </w:rPr>
        <w:footnoteRef/>
      </w:r>
      <w:r w:rsidRPr="00285EF4">
        <w:t xml:space="preserve"> </w:t>
      </w:r>
      <w:r w:rsidR="00EA4575" w:rsidRPr="00285EF4">
        <w:t xml:space="preserve">The EAS </w:t>
      </w:r>
      <w:r w:rsidR="007F7C9B">
        <w:t xml:space="preserve">is a </w:t>
      </w:r>
      <w:r w:rsidR="00615554">
        <w:t>hierarc</w:t>
      </w:r>
      <w:r w:rsidR="00F27060">
        <w:t>h</w:t>
      </w:r>
      <w:r w:rsidR="00615554">
        <w:t>i</w:t>
      </w:r>
      <w:r w:rsidR="00F27060">
        <w:t>c</w:t>
      </w:r>
      <w:r w:rsidR="00615554">
        <w:t>al alert message distribution system</w:t>
      </w:r>
      <w:r w:rsidR="00FC547F">
        <w:t xml:space="preserve"> that</w:t>
      </w:r>
      <w:r w:rsidR="007F7C9B">
        <w:t xml:space="preserve"> delivers alerts initiated by federal, state and local alerting authorities utilizing </w:t>
      </w:r>
      <w:r w:rsidR="00EA4575" w:rsidRPr="00285EF4">
        <w:t xml:space="preserve">the transmission facilities of radio and television broadcast stations, cable operators, satellite radio and television service providers, and wireline </w:t>
      </w:r>
      <w:r w:rsidR="00284668">
        <w:t xml:space="preserve">video service providers, </w:t>
      </w:r>
      <w:r w:rsidR="00EA4575" w:rsidRPr="00285EF4">
        <w:t>collectively referred to as “EAS Participants</w:t>
      </w:r>
      <w:r w:rsidR="00285EF4" w:rsidRPr="00285EF4">
        <w:t>.”</w:t>
      </w:r>
      <w:r w:rsidR="00EA4575" w:rsidRPr="00285EF4">
        <w:t xml:space="preserve">  </w:t>
      </w:r>
      <w:r w:rsidR="00EA4575" w:rsidRPr="00285EF4">
        <w:rPr>
          <w:i/>
        </w:rPr>
        <w:t xml:space="preserve">See </w:t>
      </w:r>
      <w:r w:rsidR="00EA4575" w:rsidRPr="00285EF4">
        <w:t xml:space="preserve">47 C.F.R. §11.2(c).  CAP is an open, interoperable XML-based standard that allows an alert initiator to deliver information-rich alerts to multiple devices.  </w:t>
      </w:r>
      <w:r w:rsidR="00EA4575" w:rsidRPr="00285EF4">
        <w:rPr>
          <w:i/>
        </w:rPr>
        <w:t xml:space="preserve">See </w:t>
      </w:r>
      <w:r w:rsidR="00EA4575" w:rsidRPr="00285EF4">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04-296, </w:t>
      </w:r>
      <w:r w:rsidR="00EA4575" w:rsidRPr="00285EF4">
        <w:rPr>
          <w:i/>
        </w:rPr>
        <w:t>Fifth Report and Order</w:t>
      </w:r>
      <w:r w:rsidR="00EA4575" w:rsidRPr="00285EF4">
        <w:t>, 27 FCC Rcd 642, 648  ¶ 10 (2012)</w:t>
      </w:r>
      <w:r w:rsidR="00C547F7">
        <w:t xml:space="preserve"> </w:t>
      </w:r>
      <w:r w:rsidR="00EA4575" w:rsidRPr="00285EF4">
        <w:t>(</w:t>
      </w:r>
      <w:r w:rsidR="00EA4575" w:rsidRPr="00285EF4">
        <w:rPr>
          <w:i/>
        </w:rPr>
        <w:t>Fifth Report and Order</w:t>
      </w:r>
      <w:r w:rsidR="00EA4575" w:rsidRPr="00285EF4">
        <w:t>).</w:t>
      </w:r>
      <w:r w:rsidR="00EA4575" w:rsidRPr="00285EF4">
        <w:rPr>
          <w:bCs/>
        </w:rPr>
        <w:t xml:space="preserve"> </w:t>
      </w:r>
    </w:p>
    <w:p w:rsidR="00101A9F" w:rsidRPr="00285EF4" w:rsidRDefault="00101A9F" w:rsidP="00153FC4">
      <w:pPr>
        <w:pStyle w:val="FootnoteText"/>
      </w:pPr>
    </w:p>
  </w:footnote>
  <w:footnote w:id="5">
    <w:p w:rsidR="00F052AF" w:rsidRDefault="00F052AF" w:rsidP="00F052AF">
      <w:pPr>
        <w:pStyle w:val="FootnoteText"/>
        <w:rPr>
          <w:iCs/>
        </w:rPr>
      </w:pPr>
      <w:r>
        <w:rPr>
          <w:rStyle w:val="FootnoteReference"/>
        </w:rPr>
        <w:footnoteRef/>
      </w:r>
      <w:r>
        <w:t xml:space="preserve"> </w:t>
      </w:r>
      <w:r>
        <w:rPr>
          <w:i/>
        </w:rPr>
        <w:t xml:space="preserve">See </w:t>
      </w:r>
      <w:r>
        <w:t xml:space="preserve">Review of the Emergency Alert System; Independent Spanish Broadcasters Association, The Office of Communication of the United Church of Christ, Inc., and the Minority Media and Telecommunications Council, Petition for Immediate Relief, ET Docket No. 04-296, </w:t>
      </w:r>
      <w:r>
        <w:rPr>
          <w:i/>
        </w:rPr>
        <w:t>Second Report and Order and Further Notice of Proposed Rulemaking</w:t>
      </w:r>
      <w:r>
        <w:t xml:space="preserve">, </w:t>
      </w:r>
      <w:r>
        <w:rPr>
          <w:iCs/>
        </w:rPr>
        <w:t xml:space="preserve">22 FCC Rcd 13275 </w:t>
      </w:r>
      <w:r w:rsidR="00821237">
        <w:rPr>
          <w:iCs/>
        </w:rPr>
        <w:t>¶ 26</w:t>
      </w:r>
      <w:r w:rsidR="000F5A99">
        <w:rPr>
          <w:iCs/>
        </w:rPr>
        <w:t xml:space="preserve"> (2007)</w:t>
      </w:r>
      <w:r w:rsidR="00C547F7">
        <w:rPr>
          <w:iCs/>
        </w:rPr>
        <w:t xml:space="preserve"> </w:t>
      </w:r>
      <w:r>
        <w:rPr>
          <w:iCs/>
        </w:rPr>
        <w:t>(</w:t>
      </w:r>
      <w:r w:rsidR="008050CD" w:rsidRPr="00C547F7">
        <w:rPr>
          <w:i/>
          <w:iCs/>
        </w:rPr>
        <w:t xml:space="preserve">EAS </w:t>
      </w:r>
      <w:r>
        <w:rPr>
          <w:i/>
          <w:iCs/>
        </w:rPr>
        <w:t>Second Report and Order</w:t>
      </w:r>
      <w:r>
        <w:rPr>
          <w:iCs/>
        </w:rPr>
        <w:t>).</w:t>
      </w:r>
    </w:p>
    <w:p w:rsidR="00F052AF" w:rsidRDefault="00F052AF" w:rsidP="00F052AF">
      <w:pPr>
        <w:pStyle w:val="FootnoteText"/>
      </w:pPr>
    </w:p>
  </w:footnote>
  <w:footnote w:id="6">
    <w:p w:rsidR="005204A8" w:rsidRDefault="005204A8" w:rsidP="005204A8">
      <w:pPr>
        <w:pStyle w:val="FootnoteText"/>
        <w:rPr>
          <w:i/>
        </w:rPr>
      </w:pPr>
      <w:r>
        <w:rPr>
          <w:rStyle w:val="FootnoteReference"/>
        </w:rPr>
        <w:footnoteRef/>
      </w:r>
      <w:bookmarkStart w:id="4" w:name="OLE_LINK1"/>
      <w:bookmarkStart w:id="5" w:name="OLE_LINK2"/>
      <w:r>
        <w:rPr>
          <w:i/>
        </w:rPr>
        <w:t xml:space="preserve"> </w:t>
      </w:r>
      <w:bookmarkEnd w:id="4"/>
      <w:bookmarkEnd w:id="5"/>
      <w:r w:rsidR="0000041E" w:rsidRPr="00285EF4">
        <w:rPr>
          <w:i/>
        </w:rPr>
        <w:t xml:space="preserve">See </w:t>
      </w:r>
      <w:r w:rsidR="0000041E" w:rsidRPr="00285EF4">
        <w:t xml:space="preserve">Review of the Emergency Alert System; Independent Spanish Broadcasters Association, the Office of Communication of the United Church of Christ, Inc., and the Minority Media and Telecommunications Council, Petition for Immediate Relief; Randy Gehman Petition for Rulemaking, EB Docket 04-296, </w:t>
      </w:r>
      <w:r w:rsidR="0000041E" w:rsidRPr="00285EF4">
        <w:rPr>
          <w:i/>
        </w:rPr>
        <w:t>Fourth Report and Order</w:t>
      </w:r>
      <w:r w:rsidR="0000041E" w:rsidRPr="00285EF4">
        <w:t>, 26 FCC Rcd 13710</w:t>
      </w:r>
      <w:r w:rsidR="00E70ECE">
        <w:t xml:space="preserve">, </w:t>
      </w:r>
      <w:r w:rsidR="0000041E" w:rsidRPr="00285EF4">
        <w:t>13</w:t>
      </w:r>
      <w:r w:rsidR="0000041E">
        <w:t>713 ¶ 4</w:t>
      </w:r>
      <w:r w:rsidR="0000041E" w:rsidRPr="00285EF4">
        <w:t xml:space="preserve"> (2011)</w:t>
      </w:r>
      <w:r w:rsidR="00C547F7">
        <w:t xml:space="preserve"> </w:t>
      </w:r>
      <w:r w:rsidR="0000041E">
        <w:t>(</w:t>
      </w:r>
      <w:r w:rsidR="008050CD" w:rsidRPr="00C547F7">
        <w:rPr>
          <w:i/>
        </w:rPr>
        <w:t>EAS</w:t>
      </w:r>
      <w:r w:rsidR="008050CD">
        <w:t xml:space="preserve"> </w:t>
      </w:r>
      <w:r w:rsidR="0000041E">
        <w:rPr>
          <w:i/>
        </w:rPr>
        <w:t>Fourth Report and Order</w:t>
      </w:r>
      <w:r w:rsidR="0000041E">
        <w:t>)</w:t>
      </w:r>
      <w:r w:rsidR="0000041E" w:rsidRPr="00285EF4">
        <w:t>.</w:t>
      </w:r>
    </w:p>
    <w:p w:rsidR="00F052AF" w:rsidRDefault="00F052AF" w:rsidP="005204A8">
      <w:pPr>
        <w:pStyle w:val="FootnoteText"/>
      </w:pPr>
    </w:p>
  </w:footnote>
  <w:footnote w:id="7">
    <w:p w:rsidR="005204A8" w:rsidRDefault="005204A8" w:rsidP="005204A8">
      <w:pPr>
        <w:pStyle w:val="FootnoteText"/>
        <w:rPr>
          <w:szCs w:val="22"/>
        </w:rPr>
      </w:pPr>
      <w:r>
        <w:rPr>
          <w:rStyle w:val="FootnoteReference"/>
        </w:rPr>
        <w:footnoteRef/>
      </w:r>
      <w:r>
        <w:t xml:space="preserve"> </w:t>
      </w:r>
      <w:r>
        <w:rPr>
          <w:i/>
        </w:rPr>
        <w:t>See</w:t>
      </w:r>
      <w:r>
        <w:t xml:space="preserve"> </w:t>
      </w:r>
      <w:r>
        <w:rPr>
          <w:szCs w:val="22"/>
        </w:rPr>
        <w:t>Review of the Emergency Alert System, Order, EB Docket No. 04-296, 25 FCC Rcd 16376</w:t>
      </w:r>
      <w:r w:rsidR="00F052AF">
        <w:rPr>
          <w:szCs w:val="22"/>
        </w:rPr>
        <w:t xml:space="preserve"> ¶</w:t>
      </w:r>
      <w:r w:rsidR="00D86113">
        <w:rPr>
          <w:szCs w:val="22"/>
        </w:rPr>
        <w:t xml:space="preserve"> 1 (2010)</w:t>
      </w:r>
      <w:r w:rsidR="00C547F7">
        <w:rPr>
          <w:szCs w:val="22"/>
        </w:rPr>
        <w:t xml:space="preserve"> </w:t>
      </w:r>
      <w:r>
        <w:rPr>
          <w:szCs w:val="22"/>
        </w:rPr>
        <w:t>(</w:t>
      </w:r>
      <w:r>
        <w:rPr>
          <w:i/>
          <w:szCs w:val="22"/>
        </w:rPr>
        <w:t>Waiver Order</w:t>
      </w:r>
      <w:r>
        <w:rPr>
          <w:szCs w:val="22"/>
        </w:rPr>
        <w:t xml:space="preserve">).   </w:t>
      </w:r>
    </w:p>
    <w:p w:rsidR="00F052AF" w:rsidRDefault="00F052AF" w:rsidP="005204A8">
      <w:pPr>
        <w:pStyle w:val="FootnoteText"/>
      </w:pPr>
    </w:p>
  </w:footnote>
  <w:footnote w:id="8">
    <w:p w:rsidR="006E3E03" w:rsidRDefault="006E3E03">
      <w:pPr>
        <w:pStyle w:val="FootnoteText"/>
      </w:pPr>
      <w:r>
        <w:rPr>
          <w:rStyle w:val="FootnoteReference"/>
        </w:rPr>
        <w:footnoteRef/>
      </w:r>
      <w:r>
        <w:t xml:space="preserve"> </w:t>
      </w:r>
      <w:r w:rsidRPr="00285EF4">
        <w:rPr>
          <w:i/>
        </w:rPr>
        <w:t>See Fourth Report and Order</w:t>
      </w:r>
      <w:r w:rsidRPr="00285EF4">
        <w:t xml:space="preserve">, 26 FCC Rcd </w:t>
      </w:r>
      <w:r w:rsidR="00BE2F4E">
        <w:t xml:space="preserve">at </w:t>
      </w:r>
      <w:r w:rsidRPr="00285EF4">
        <w:t>13</w:t>
      </w:r>
      <w:r>
        <w:t>711-</w:t>
      </w:r>
      <w:r w:rsidRPr="00285EF4">
        <w:t xml:space="preserve">12 </w:t>
      </w:r>
      <w:r>
        <w:t>¶</w:t>
      </w:r>
      <w:r w:rsidRPr="00285EF4">
        <w:t xml:space="preserve">¶ </w:t>
      </w:r>
      <w:r>
        <w:t>1</w:t>
      </w:r>
      <w:r w:rsidRPr="00285EF4">
        <w:t xml:space="preserve"> (2011).</w:t>
      </w:r>
    </w:p>
    <w:p w:rsidR="006E3E03" w:rsidRDefault="006E3E03">
      <w:pPr>
        <w:pStyle w:val="FootnoteText"/>
      </w:pPr>
    </w:p>
  </w:footnote>
  <w:footnote w:id="9">
    <w:p w:rsidR="00B3619B" w:rsidRDefault="00B3619B">
      <w:pPr>
        <w:pStyle w:val="FootnoteText"/>
      </w:pPr>
      <w:r>
        <w:rPr>
          <w:rStyle w:val="FootnoteReference"/>
        </w:rPr>
        <w:footnoteRef/>
      </w:r>
      <w:r>
        <w:t xml:space="preserve"> </w:t>
      </w:r>
      <w:r>
        <w:rPr>
          <w:i/>
        </w:rPr>
        <w:t xml:space="preserve">See </w:t>
      </w:r>
      <w:r w:rsidR="00D112EA">
        <w:t>SCV Petition at 1</w:t>
      </w:r>
      <w:r w:rsidR="00FF5EAE">
        <w:t xml:space="preserve">, </w:t>
      </w:r>
      <w:r w:rsidR="0062436F">
        <w:t xml:space="preserve">New Wave Petition at 3, </w:t>
      </w:r>
      <w:r w:rsidR="00FF5EAE">
        <w:t xml:space="preserve">Lakeview Petition at 1, Reach Petition at 2, </w:t>
      </w:r>
      <w:r w:rsidR="00D112EA">
        <w:t>Applegate Petition at 1.</w:t>
      </w:r>
    </w:p>
    <w:p w:rsidR="00D112EA" w:rsidRPr="00B3619B" w:rsidRDefault="00D112EA">
      <w:pPr>
        <w:pStyle w:val="FootnoteText"/>
      </w:pPr>
    </w:p>
  </w:footnote>
  <w:footnote w:id="10">
    <w:p w:rsidR="00FE3589" w:rsidRPr="00285EF4" w:rsidRDefault="00FE3589">
      <w:pPr>
        <w:pStyle w:val="FootnoteText"/>
        <w:rPr>
          <w:rFonts w:ascii="Verdana" w:hAnsi="Verdana"/>
        </w:rPr>
      </w:pPr>
      <w:r w:rsidRPr="00285EF4">
        <w:rPr>
          <w:rStyle w:val="FootnoteReference"/>
        </w:rPr>
        <w:footnoteRef/>
      </w:r>
      <w:r w:rsidRPr="00285EF4">
        <w:t xml:space="preserve"> </w:t>
      </w:r>
      <w:r w:rsidR="000D0786" w:rsidRPr="008277F8">
        <w:rPr>
          <w:iCs/>
        </w:rPr>
        <w:t>47 C.F.R. § 1.3</w:t>
      </w:r>
      <w:r w:rsidRPr="00285EF4">
        <w:t xml:space="preserve">. </w:t>
      </w:r>
      <w:r w:rsidR="009D0BCD" w:rsidRPr="00285EF4">
        <w:t xml:space="preserve"> </w:t>
      </w:r>
      <w:r w:rsidRPr="00285EF4">
        <w:rPr>
          <w:i/>
          <w:iCs/>
        </w:rPr>
        <w:t xml:space="preserve">See </w:t>
      </w:r>
      <w:hyperlink r:id="rId1" w:tgtFrame="_top" w:history="1">
        <w:r w:rsidRPr="00285EF4">
          <w:rPr>
            <w:i/>
            <w:iCs/>
          </w:rPr>
          <w:t>Northeast Cellular Telephone Co. v. FCC</w:t>
        </w:r>
        <w:r w:rsidRPr="00285EF4">
          <w:t>, 897 F.2d 1164, 1166 (D.C. Cir. 1990)</w:t>
        </w:r>
      </w:hyperlink>
      <w:r w:rsidRPr="00285EF4">
        <w:t>.</w:t>
      </w:r>
    </w:p>
    <w:p w:rsidR="00FE3589" w:rsidRPr="00285EF4" w:rsidRDefault="00FE3589">
      <w:pPr>
        <w:pStyle w:val="FootnoteText"/>
      </w:pPr>
    </w:p>
  </w:footnote>
  <w:footnote w:id="11">
    <w:p w:rsidR="00FE3589" w:rsidRPr="00285EF4" w:rsidRDefault="00FE3589">
      <w:pPr>
        <w:pStyle w:val="FootnoteText"/>
        <w:rPr>
          <w:rFonts w:ascii="Verdana" w:hAnsi="Verdana"/>
        </w:rPr>
      </w:pPr>
      <w:r w:rsidRPr="00285EF4">
        <w:rPr>
          <w:rStyle w:val="FootnoteReference"/>
        </w:rPr>
        <w:footnoteRef/>
      </w:r>
      <w:r w:rsidRPr="00285EF4">
        <w:t xml:space="preserve"> </w:t>
      </w:r>
      <w:hyperlink r:id="rId2" w:tgtFrame="_top" w:history="1">
        <w:r w:rsidRPr="00285EF4">
          <w:rPr>
            <w:i/>
            <w:iCs/>
          </w:rPr>
          <w:t>Northeast Cellular</w:t>
        </w:r>
        <w:r w:rsidRPr="00285EF4">
          <w:t>, 897 F.2d at 1166</w:t>
        </w:r>
      </w:hyperlink>
      <w:r w:rsidRPr="00285EF4">
        <w:t xml:space="preserve"> (</w:t>
      </w:r>
      <w:r w:rsidRPr="00285EF4">
        <w:rPr>
          <w:i/>
          <w:iCs/>
        </w:rPr>
        <w:t>citing WAIT Radio v. FCC</w:t>
      </w:r>
      <w:r w:rsidRPr="00285EF4">
        <w:t>, 418 F.2d 1153, 1159 (D.C.</w:t>
      </w:r>
      <w:r w:rsidR="00597FF4">
        <w:t xml:space="preserve"> </w:t>
      </w:r>
      <w:r w:rsidRPr="00285EF4">
        <w:t>Cir.1969)</w:t>
      </w:r>
      <w:r w:rsidR="006205BE" w:rsidRPr="00285EF4">
        <w:t xml:space="preserve">, </w:t>
      </w:r>
      <w:r w:rsidR="006205BE" w:rsidRPr="00285EF4">
        <w:rPr>
          <w:i/>
          <w:iCs/>
        </w:rPr>
        <w:t xml:space="preserve">aff’d, </w:t>
      </w:r>
      <w:r w:rsidR="006205BE" w:rsidRPr="00285EF4">
        <w:t xml:space="preserve">459 F.2d 1203 (1973), </w:t>
      </w:r>
      <w:r w:rsidR="006205BE" w:rsidRPr="00285EF4">
        <w:rPr>
          <w:i/>
          <w:iCs/>
        </w:rPr>
        <w:t xml:space="preserve">cert. denied, </w:t>
      </w:r>
      <w:r w:rsidR="006205BE" w:rsidRPr="00285EF4">
        <w:t>409 U.S. 1027 (1972)</w:t>
      </w:r>
      <w:r w:rsidR="00C32D1C">
        <w:t>)</w:t>
      </w:r>
      <w:r w:rsidRPr="00285EF4">
        <w:t>.</w:t>
      </w:r>
    </w:p>
    <w:p w:rsidR="00FE3589" w:rsidRPr="00285EF4" w:rsidRDefault="00FE3589">
      <w:pPr>
        <w:pStyle w:val="FootnoteText"/>
      </w:pPr>
    </w:p>
  </w:footnote>
  <w:footnote w:id="12">
    <w:p w:rsidR="00153FC4" w:rsidRPr="00285EF4" w:rsidRDefault="00954393" w:rsidP="00153FC4">
      <w:pPr>
        <w:autoSpaceDE w:val="0"/>
        <w:autoSpaceDN w:val="0"/>
        <w:adjustRightInd w:val="0"/>
        <w:rPr>
          <w:sz w:val="20"/>
        </w:rPr>
      </w:pPr>
      <w:r w:rsidRPr="00285EF4">
        <w:rPr>
          <w:rStyle w:val="FootnoteReference"/>
          <w:sz w:val="20"/>
        </w:rPr>
        <w:footnoteRef/>
      </w:r>
      <w:r w:rsidRPr="00285EF4">
        <w:rPr>
          <w:sz w:val="20"/>
        </w:rPr>
        <w:t xml:space="preserve"> </w:t>
      </w:r>
      <w:r w:rsidRPr="00285EF4">
        <w:rPr>
          <w:i/>
          <w:iCs/>
          <w:sz w:val="20"/>
        </w:rPr>
        <w:t>WAIT Radio</w:t>
      </w:r>
      <w:r w:rsidR="006205BE" w:rsidRPr="00285EF4">
        <w:rPr>
          <w:i/>
          <w:iCs/>
          <w:sz w:val="20"/>
        </w:rPr>
        <w:t>, supra</w:t>
      </w:r>
      <w:r w:rsidRPr="00285EF4">
        <w:rPr>
          <w:i/>
          <w:iCs/>
          <w:sz w:val="20"/>
        </w:rPr>
        <w:t xml:space="preserve">, </w:t>
      </w:r>
      <w:r w:rsidRPr="00285EF4">
        <w:rPr>
          <w:sz w:val="20"/>
        </w:rPr>
        <w:t xml:space="preserve">418 F.2d </w:t>
      </w:r>
      <w:r w:rsidR="006205BE" w:rsidRPr="00285EF4">
        <w:rPr>
          <w:sz w:val="20"/>
        </w:rPr>
        <w:t>at</w:t>
      </w:r>
      <w:r w:rsidRPr="00285EF4">
        <w:rPr>
          <w:sz w:val="20"/>
        </w:rPr>
        <w:t xml:space="preserve"> 1157</w:t>
      </w:r>
      <w:r w:rsidR="006205BE" w:rsidRPr="00285EF4">
        <w:rPr>
          <w:sz w:val="20"/>
        </w:rPr>
        <w:t>.</w:t>
      </w:r>
      <w:r w:rsidRPr="00285EF4">
        <w:rPr>
          <w:sz w:val="20"/>
        </w:rPr>
        <w:t xml:space="preserve"> </w:t>
      </w:r>
    </w:p>
    <w:p w:rsidR="00153FC4" w:rsidRPr="00285EF4" w:rsidRDefault="00153FC4" w:rsidP="00153FC4">
      <w:pPr>
        <w:autoSpaceDE w:val="0"/>
        <w:autoSpaceDN w:val="0"/>
        <w:adjustRightInd w:val="0"/>
        <w:rPr>
          <w:sz w:val="20"/>
        </w:rPr>
      </w:pPr>
    </w:p>
  </w:footnote>
  <w:footnote w:id="13">
    <w:p w:rsidR="000C3CAC" w:rsidRPr="00E967FE" w:rsidRDefault="000C3CAC" w:rsidP="000C3CAC">
      <w:pPr>
        <w:pStyle w:val="FootnoteText"/>
        <w:rPr>
          <w:i/>
        </w:rPr>
      </w:pPr>
      <w:r>
        <w:rPr>
          <w:rStyle w:val="FootnoteReference"/>
        </w:rPr>
        <w:footnoteRef/>
      </w:r>
      <w:r>
        <w:t xml:space="preserve"> </w:t>
      </w:r>
      <w:r w:rsidRPr="00285EF4">
        <w:rPr>
          <w:i/>
        </w:rPr>
        <w:t>See</w:t>
      </w:r>
      <w:r w:rsidR="00473A95">
        <w:rPr>
          <w:i/>
        </w:rPr>
        <w:t>, e.g.</w:t>
      </w:r>
      <w:r w:rsidR="00473A95">
        <w:t>,</w:t>
      </w:r>
      <w:r w:rsidRPr="00285EF4">
        <w:rPr>
          <w:i/>
        </w:rPr>
        <w:t xml:space="preserve"> </w:t>
      </w:r>
      <w:r w:rsidRPr="00285EF4">
        <w:t xml:space="preserve">Wendell &amp; Associates Request to Waive the Period to Construct Unbuilt Station WKNJ (AM) Harriman, New York, File No. BMAP-200001023ACF, </w:t>
      </w:r>
      <w:r w:rsidRPr="00285EF4">
        <w:rPr>
          <w:i/>
        </w:rPr>
        <w:t>Memorandum Opinion and Order</w:t>
      </w:r>
      <w:r w:rsidRPr="00285EF4">
        <w:t>, 17 FCC Rcd 18576, 18578 ¶ 7 (2002</w:t>
      </w:r>
      <w:r w:rsidRPr="008F1E7B">
        <w:t>)</w:t>
      </w:r>
      <w:r w:rsidR="00C547F7">
        <w:t xml:space="preserve"> </w:t>
      </w:r>
      <w:r w:rsidR="008F1E7B" w:rsidRPr="008F1E7B">
        <w:t>(“</w:t>
      </w:r>
      <w:r w:rsidR="008F1E7B" w:rsidRPr="008F1E7B">
        <w:rPr>
          <w:color w:val="000000"/>
        </w:rPr>
        <w:t>vendor problems, whatever their cause, are ordinary risks for which businesses should prudently plan, and would not generally form the basis for a waiver</w:t>
      </w:r>
      <w:r w:rsidR="008F1E7B" w:rsidRPr="008F1E7B">
        <w:t>”).</w:t>
      </w:r>
      <w:r w:rsidRPr="00285EF4">
        <w:t xml:space="preserve">  </w:t>
      </w:r>
      <w:r>
        <w:rPr>
          <w:i/>
        </w:rPr>
        <w:t xml:space="preserve">See also </w:t>
      </w:r>
      <w:r w:rsidRPr="00285EF4">
        <w:t xml:space="preserve">Application for Review of Specialized Mobile Radio Station WZZ–545, licensed to Motek Engineering San Jose, California, </w:t>
      </w:r>
      <w:r w:rsidRPr="00285EF4">
        <w:rPr>
          <w:i/>
        </w:rPr>
        <w:t>Memorandum Opinion and Order</w:t>
      </w:r>
      <w:r w:rsidRPr="00285EF4">
        <w:t>, 98 F.C.C.2d 323 ¶¶ 4, 10 (1984) (“</w:t>
      </w:r>
      <w:bookmarkStart w:id="11" w:name="SR;476"/>
      <w:bookmarkEnd w:id="11"/>
      <w:r w:rsidRPr="00285EF4">
        <w:t xml:space="preserve">delays in the manufacture or shipment of </w:t>
      </w:r>
      <w:bookmarkStart w:id="12" w:name="SR;483"/>
      <w:bookmarkEnd w:id="12"/>
      <w:r w:rsidRPr="00285EF4">
        <w:t xml:space="preserve">equipment provide no basis for an extension …The nature of [the licensee’s] relationship with its supplier is the result of [its] independent business judgment and may not be used to absolve [it] or any other licensee from the </w:t>
      </w:r>
      <w:r>
        <w:t>…</w:t>
      </w:r>
      <w:r w:rsidRPr="00285EF4">
        <w:t xml:space="preserve"> requirements [of] </w:t>
      </w:r>
      <w:r>
        <w:t>our rules.”);</w:t>
      </w:r>
      <w:r w:rsidRPr="00285EF4">
        <w:t xml:space="preserve"> Revision of the Commission’s Rules to Ensure Compatibility with Enhanced 911 Emergency Calling Systems, CC Docket No. 94-102, </w:t>
      </w:r>
      <w:r w:rsidRPr="00285EF4">
        <w:rPr>
          <w:i/>
        </w:rPr>
        <w:t>Order</w:t>
      </w:r>
      <w:r w:rsidRPr="00285EF4">
        <w:t>, 16 FCC Rcd 18330, 18354 Statement of Commissioner Michael Copps (2001) (“</w:t>
      </w:r>
      <w:bookmarkStart w:id="13" w:name="SR;13501"/>
      <w:bookmarkEnd w:id="13"/>
      <w:r w:rsidRPr="00285EF4">
        <w:t xml:space="preserve">waivers will not be granted merely … because of </w:t>
      </w:r>
      <w:bookmarkStart w:id="14" w:name="SR;13518"/>
      <w:bookmarkEnd w:id="14"/>
      <w:r w:rsidRPr="00285EF4">
        <w:t xml:space="preserve">delays by a </w:t>
      </w:r>
      <w:bookmarkStart w:id="15" w:name="SR;13521"/>
      <w:bookmarkEnd w:id="15"/>
      <w:r w:rsidRPr="00285EF4">
        <w:t>vendor”).</w:t>
      </w:r>
    </w:p>
    <w:p w:rsidR="000C3CAC" w:rsidRDefault="000C3CAC" w:rsidP="000C3CAC">
      <w:pPr>
        <w:pStyle w:val="FootnoteText"/>
      </w:pPr>
    </w:p>
  </w:footnote>
  <w:footnote w:id="14">
    <w:p w:rsidR="00C547F7" w:rsidRDefault="004C2CE2" w:rsidP="00146646">
      <w:pPr>
        <w:pStyle w:val="FootnoteText"/>
      </w:pPr>
      <w:r>
        <w:rPr>
          <w:rStyle w:val="FootnoteReference"/>
        </w:rPr>
        <w:footnoteRef/>
      </w:r>
      <w:r>
        <w:t xml:space="preserve"> </w:t>
      </w:r>
      <w:r>
        <w:rPr>
          <w:i/>
        </w:rPr>
        <w:t xml:space="preserve">See, e.g. </w:t>
      </w:r>
      <w:r w:rsidR="00146646" w:rsidRPr="00D14898">
        <w:t xml:space="preserve">Winnebago Cooperative Telephone Association, File No. EB-02-TS-663, </w:t>
      </w:r>
      <w:r w:rsidR="00146646" w:rsidRPr="00D14898">
        <w:rPr>
          <w:i/>
        </w:rPr>
        <w:t>Order</w:t>
      </w:r>
      <w:r w:rsidR="00146646" w:rsidRPr="00D14898">
        <w:t>, 18 FCC Rcd 14332</w:t>
      </w:r>
      <w:r w:rsidR="00146646">
        <w:t>, 14333 ¶ 4</w:t>
      </w:r>
      <w:r w:rsidR="00146646" w:rsidRPr="00D14898">
        <w:t xml:space="preserve"> (EB 2003</w:t>
      </w:r>
      <w:r w:rsidR="00146646">
        <w:t>)</w:t>
      </w:r>
      <w:r w:rsidR="00C547F7">
        <w:t xml:space="preserve"> </w:t>
      </w:r>
      <w:r w:rsidR="00146646">
        <w:t>(</w:t>
      </w:r>
      <w:r w:rsidR="00146646" w:rsidRPr="008F1E7B">
        <w:rPr>
          <w:i/>
        </w:rPr>
        <w:t>Winnebago</w:t>
      </w:r>
      <w:r w:rsidR="00146646">
        <w:t>)</w:t>
      </w:r>
      <w:r w:rsidR="00C547F7">
        <w:t xml:space="preserve"> </w:t>
      </w:r>
      <w:r w:rsidR="00146646">
        <w:t>(</w:t>
      </w:r>
      <w:r w:rsidR="00146646">
        <w:rPr>
          <w:szCs w:val="22"/>
        </w:rPr>
        <w:t xml:space="preserve">Commission grants waiver where petitioner ordered equipment but after installing it, “found certain components of the EAS system missing [and] its vendor’s delivery of the missing components has been delayed.”); </w:t>
      </w:r>
      <w:r w:rsidR="00146646" w:rsidRPr="00D14898">
        <w:t xml:space="preserve">D&amp;P Cable, Inc., File No. EB-02-TS-673, </w:t>
      </w:r>
      <w:r w:rsidR="00146646" w:rsidRPr="00D14898">
        <w:rPr>
          <w:i/>
        </w:rPr>
        <w:t>Order</w:t>
      </w:r>
      <w:r w:rsidR="00146646" w:rsidRPr="00D14898">
        <w:t>, 18 FCC Rcd 14336</w:t>
      </w:r>
      <w:r w:rsidR="00146646">
        <w:t>,</w:t>
      </w:r>
      <w:r w:rsidR="00146646" w:rsidRPr="00D14898">
        <w:t xml:space="preserve"> </w:t>
      </w:r>
      <w:r w:rsidR="00146646">
        <w:t>14337</w:t>
      </w:r>
      <w:r w:rsidR="00146646" w:rsidRPr="00D14898">
        <w:t xml:space="preserve"> </w:t>
      </w:r>
      <w:r w:rsidR="00146646">
        <w:t>¶ 3</w:t>
      </w:r>
      <w:r w:rsidR="00EA6D49">
        <w:t xml:space="preserve"> </w:t>
      </w:r>
      <w:r w:rsidR="00146646" w:rsidRPr="00D14898">
        <w:t>(EB 2003)</w:t>
      </w:r>
      <w:r w:rsidR="000F6D27">
        <w:t xml:space="preserve"> </w:t>
      </w:r>
      <w:r w:rsidR="00146646">
        <w:t>(</w:t>
      </w:r>
      <w:r w:rsidR="00146646">
        <w:rPr>
          <w:i/>
        </w:rPr>
        <w:t>D&amp;P Cable</w:t>
      </w:r>
      <w:r w:rsidR="00146646">
        <w:t>)</w:t>
      </w:r>
      <w:r w:rsidR="00C547F7">
        <w:t xml:space="preserve"> </w:t>
      </w:r>
      <w:r w:rsidR="00146646">
        <w:t xml:space="preserve">(Commission grants waiver where </w:t>
      </w:r>
      <w:r w:rsidR="00146646">
        <w:rPr>
          <w:szCs w:val="22"/>
        </w:rPr>
        <w:t>petitioner installed the equipment and “once installed [found that the] equipment did not work properly … and submits that although its vendor promised prompt delivery of replacement EAS equipment, there has been a delay”)</w:t>
      </w:r>
      <w:r w:rsidR="00534F52">
        <w:rPr>
          <w:szCs w:val="22"/>
        </w:rPr>
        <w:t>.</w:t>
      </w:r>
    </w:p>
    <w:p w:rsidR="004C2CE2" w:rsidRPr="00C547F7" w:rsidRDefault="004C2CE2">
      <w:pPr>
        <w:pStyle w:val="FootnoteText"/>
        <w:rPr>
          <w:i/>
        </w:rPr>
      </w:pPr>
    </w:p>
  </w:footnote>
  <w:footnote w:id="15">
    <w:p w:rsidR="00C547F7" w:rsidRDefault="00C547F7" w:rsidP="00C547F7">
      <w:pPr>
        <w:pStyle w:val="FootnoteText"/>
      </w:pPr>
      <w:r>
        <w:rPr>
          <w:rStyle w:val="FootnoteReference"/>
        </w:rPr>
        <w:footnoteRef/>
      </w:r>
      <w:r>
        <w:t xml:space="preserve"> </w:t>
      </w:r>
      <w:r w:rsidR="00872083" w:rsidRPr="00285EF4">
        <w:rPr>
          <w:i/>
        </w:rPr>
        <w:t xml:space="preserve">See </w:t>
      </w:r>
      <w:r w:rsidR="00872083" w:rsidRPr="00285EF4">
        <w:t>Letter, Marjorie Conner</w:t>
      </w:r>
      <w:r w:rsidR="00872083">
        <w:t>, Counsel to Southern Communications Volunteers, Inc.,</w:t>
      </w:r>
      <w:r w:rsidR="00872083" w:rsidRPr="00285EF4">
        <w:t xml:space="preserve"> to Thomas Beers</w:t>
      </w:r>
      <w:r w:rsidR="00872083">
        <w:t>, Chief, Policy and Licensing Division, Public Safety and Homeland Security Bureau, Federal Communications Commission</w:t>
      </w:r>
      <w:r w:rsidR="00872083" w:rsidRPr="00285EF4">
        <w:t xml:space="preserve"> (dated Aug. 24, 2012)</w:t>
      </w:r>
      <w:r w:rsidR="00872083">
        <w:t xml:space="preserve"> (SCV Letter), </w:t>
      </w:r>
      <w:r>
        <w:t>at 1.</w:t>
      </w:r>
    </w:p>
    <w:p w:rsidR="00C547F7" w:rsidRDefault="00C547F7" w:rsidP="00C547F7">
      <w:pPr>
        <w:pStyle w:val="FootnoteText"/>
      </w:pPr>
    </w:p>
  </w:footnote>
  <w:footnote w:id="16">
    <w:p w:rsidR="00C547F7" w:rsidRDefault="00C547F7" w:rsidP="00C547F7">
      <w:pPr>
        <w:pStyle w:val="FootnoteText"/>
      </w:pPr>
      <w:r>
        <w:rPr>
          <w:rStyle w:val="FootnoteReference"/>
        </w:rPr>
        <w:footnoteRef/>
      </w:r>
      <w:r>
        <w:t xml:space="preserve"> </w:t>
      </w:r>
      <w:r>
        <w:rPr>
          <w:i/>
        </w:rPr>
        <w:t>Id</w:t>
      </w:r>
      <w:r>
        <w:t>. at 2.</w:t>
      </w:r>
    </w:p>
    <w:p w:rsidR="00C547F7" w:rsidRPr="009D60B3" w:rsidRDefault="00C547F7" w:rsidP="00C547F7">
      <w:pPr>
        <w:pStyle w:val="FootnoteText"/>
      </w:pPr>
    </w:p>
  </w:footnote>
  <w:footnote w:id="17">
    <w:p w:rsidR="00872083" w:rsidRDefault="00872083">
      <w:pPr>
        <w:pStyle w:val="FootnoteText"/>
      </w:pPr>
      <w:r>
        <w:rPr>
          <w:rStyle w:val="FootnoteReference"/>
        </w:rPr>
        <w:footnoteRef/>
      </w:r>
      <w:r>
        <w:t xml:space="preserve"> </w:t>
      </w:r>
      <w:r w:rsidRPr="00285EF4">
        <w:rPr>
          <w:i/>
        </w:rPr>
        <w:t xml:space="preserve">See </w:t>
      </w:r>
      <w:r w:rsidRPr="00285EF4">
        <w:t xml:space="preserve">Letter, </w:t>
      </w:r>
      <w:r>
        <w:t xml:space="preserve">James N. Moskowitz, Counsel to </w:t>
      </w:r>
      <w:r w:rsidR="00AD083B" w:rsidRPr="00AD083B">
        <w:t xml:space="preserve">Telecommunications Management, LLC and Avenue Broadband Communications, Inc., </w:t>
      </w:r>
      <w:r w:rsidRPr="00285EF4">
        <w:t>to Thomas Beers</w:t>
      </w:r>
      <w:r>
        <w:t>, Chief, Policy and Licensing Division, Public Safety and Homeland Security Bureau, Federal Communications Commission</w:t>
      </w:r>
      <w:r w:rsidRPr="00285EF4">
        <w:t xml:space="preserve"> (dated </w:t>
      </w:r>
      <w:r>
        <w:t xml:space="preserve">September </w:t>
      </w:r>
      <w:r w:rsidR="00AD083B">
        <w:t>5</w:t>
      </w:r>
      <w:r w:rsidRPr="00285EF4">
        <w:t>, 2012)</w:t>
      </w:r>
      <w:r>
        <w:t xml:space="preserve"> (</w:t>
      </w:r>
      <w:r w:rsidR="00AD083B">
        <w:t>New Wave</w:t>
      </w:r>
      <w:r>
        <w:t xml:space="preserve"> Letter), at </w:t>
      </w:r>
      <w:r w:rsidR="00AD083B">
        <w:t>2,</w:t>
      </w:r>
      <w:r w:rsidR="00597FF4">
        <w:t xml:space="preserve"> </w:t>
      </w:r>
      <w:r w:rsidR="00AD083B">
        <w:t>3</w:t>
      </w:r>
      <w:r w:rsidRPr="00285EF4">
        <w:t>.</w:t>
      </w:r>
    </w:p>
    <w:p w:rsidR="004E3234" w:rsidRDefault="004E3234">
      <w:pPr>
        <w:pStyle w:val="FootnoteText"/>
      </w:pPr>
    </w:p>
  </w:footnote>
  <w:footnote w:id="18">
    <w:p w:rsidR="004E3234" w:rsidRDefault="004E3234">
      <w:pPr>
        <w:pStyle w:val="FootnoteText"/>
      </w:pPr>
      <w:r>
        <w:rPr>
          <w:rStyle w:val="FootnoteReference"/>
        </w:rPr>
        <w:footnoteRef/>
      </w:r>
      <w:r>
        <w:t xml:space="preserve"> </w:t>
      </w:r>
      <w:r w:rsidRPr="0030715E">
        <w:rPr>
          <w:i/>
        </w:rPr>
        <w:t>Id.</w:t>
      </w:r>
    </w:p>
  </w:footnote>
  <w:footnote w:id="19">
    <w:p w:rsidR="0003409F" w:rsidRDefault="0003409F">
      <w:pPr>
        <w:pStyle w:val="FootnoteText"/>
      </w:pPr>
      <w:r>
        <w:rPr>
          <w:rStyle w:val="FootnoteReference"/>
        </w:rPr>
        <w:footnoteRef/>
      </w:r>
      <w:r>
        <w:t xml:space="preserve"> </w:t>
      </w:r>
      <w:r w:rsidRPr="0003409F">
        <w:rPr>
          <w:i/>
        </w:rPr>
        <w:t xml:space="preserve">See </w:t>
      </w:r>
      <w:r w:rsidRPr="0003409F">
        <w:t xml:space="preserve">Letter, James N. Moskowitz, Counsel to </w:t>
      </w:r>
      <w:r>
        <w:t xml:space="preserve">Lakeview Cable, </w:t>
      </w:r>
      <w:r w:rsidRPr="0003409F">
        <w:t xml:space="preserve">Inc., to Thomas Beers, Chief, Policy and Licensing Division, Public Safety and Homeland Security Bureau, Federal Communications Commission (dated September </w:t>
      </w:r>
      <w:r>
        <w:t>7</w:t>
      </w:r>
      <w:r w:rsidRPr="0003409F">
        <w:t>, 2012) (</w:t>
      </w:r>
      <w:r w:rsidR="005902CA">
        <w:t>Lakeview</w:t>
      </w:r>
      <w:r w:rsidRPr="0003409F">
        <w:t xml:space="preserve"> Letter), at </w:t>
      </w:r>
      <w:r w:rsidR="005902CA">
        <w:t>1</w:t>
      </w:r>
      <w:r w:rsidRPr="0003409F">
        <w:t>.</w:t>
      </w:r>
    </w:p>
    <w:p w:rsidR="005902CA" w:rsidRDefault="005902CA">
      <w:pPr>
        <w:pStyle w:val="FootnoteText"/>
      </w:pPr>
    </w:p>
  </w:footnote>
  <w:footnote w:id="20">
    <w:p w:rsidR="005902CA" w:rsidRDefault="005902CA">
      <w:pPr>
        <w:pStyle w:val="FootnoteText"/>
      </w:pPr>
      <w:r>
        <w:rPr>
          <w:rStyle w:val="FootnoteReference"/>
        </w:rPr>
        <w:footnoteRef/>
      </w:r>
      <w:r>
        <w:t xml:space="preserve"> </w:t>
      </w:r>
      <w:r w:rsidRPr="005902CA">
        <w:rPr>
          <w:i/>
        </w:rPr>
        <w:t xml:space="preserve">See </w:t>
      </w:r>
      <w:r w:rsidRPr="005902CA">
        <w:t xml:space="preserve">Letter, </w:t>
      </w:r>
      <w:r>
        <w:t>Scott C. Friedman</w:t>
      </w:r>
      <w:r w:rsidRPr="005902CA">
        <w:t>, Counsel to RB3, LLC a</w:t>
      </w:r>
      <w:r w:rsidR="00597FF4">
        <w:t>n</w:t>
      </w:r>
      <w:r w:rsidRPr="005902CA">
        <w:t>d Ark</w:t>
      </w:r>
      <w:r w:rsidR="0030177B">
        <w:t>l</w:t>
      </w:r>
      <w:r w:rsidRPr="005902CA">
        <w:t>aoktex, LLC</w:t>
      </w:r>
      <w:r>
        <w:t>, d/b/a Reach Broadband</w:t>
      </w:r>
      <w:r w:rsidRPr="005902CA">
        <w:t>, to Thomas Beers, Chief, Policy and Licensing Division, Public Safety and Homeland Security Bureau, Federal Communications Commission (dated September 7, 2012) (</w:t>
      </w:r>
      <w:r>
        <w:t xml:space="preserve">Reach </w:t>
      </w:r>
      <w:r w:rsidRPr="005902CA">
        <w:t xml:space="preserve">Letter), at </w:t>
      </w:r>
      <w:r>
        <w:t>3</w:t>
      </w:r>
      <w:r w:rsidRPr="005902CA">
        <w:t>.</w:t>
      </w:r>
    </w:p>
    <w:p w:rsidR="005902CA" w:rsidRDefault="005902CA">
      <w:pPr>
        <w:pStyle w:val="FootnoteText"/>
      </w:pPr>
    </w:p>
  </w:footnote>
  <w:footnote w:id="21">
    <w:p w:rsidR="00B85AB1" w:rsidRPr="00285EF4" w:rsidRDefault="00B85AB1" w:rsidP="00B85AB1">
      <w:pPr>
        <w:pStyle w:val="FootnoteText"/>
      </w:pPr>
      <w:r>
        <w:rPr>
          <w:rStyle w:val="FootnoteReference"/>
        </w:rPr>
        <w:footnoteRef/>
      </w:r>
      <w:r>
        <w:t xml:space="preserve"> </w:t>
      </w:r>
      <w:r>
        <w:rPr>
          <w:i/>
        </w:rPr>
        <w:t>See</w:t>
      </w:r>
      <w:r>
        <w:t xml:space="preserve"> Letter, </w:t>
      </w:r>
      <w:r w:rsidRPr="00285EF4">
        <w:t>Thomas Beers</w:t>
      </w:r>
      <w:r>
        <w:t>, Chief, Policy and Licensing Division, Public Safety and Homeland Security Bureau, Federal Communications Commission</w:t>
      </w:r>
      <w:r w:rsidRPr="00285EF4">
        <w:t xml:space="preserve"> (dated </w:t>
      </w:r>
      <w:r>
        <w:t>June 28, 2012), to Lindsay Riggs, Applegate Media, Inc. (dated Oct. 5, 2012).</w:t>
      </w:r>
    </w:p>
    <w:p w:rsidR="00B85AB1" w:rsidRPr="009D60B3" w:rsidRDefault="00B85AB1" w:rsidP="00B85AB1">
      <w:pPr>
        <w:pStyle w:val="FootnoteText"/>
      </w:pPr>
    </w:p>
  </w:footnote>
  <w:footnote w:id="22">
    <w:p w:rsidR="000C3CAC" w:rsidRPr="00285EF4" w:rsidRDefault="000C3CAC" w:rsidP="000C3CAC">
      <w:pPr>
        <w:pStyle w:val="FootnoteText"/>
      </w:pPr>
      <w:r w:rsidRPr="00285EF4">
        <w:rPr>
          <w:rStyle w:val="FootnoteReference"/>
        </w:rPr>
        <w:footnoteRef/>
      </w:r>
      <w:r w:rsidRPr="00285EF4">
        <w:t xml:space="preserve"> </w:t>
      </w:r>
      <w:r w:rsidRPr="00285EF4">
        <w:rPr>
          <w:i/>
        </w:rPr>
        <w:t>See Fourth Report and Order</w:t>
      </w:r>
      <w:r w:rsidRPr="00285EF4">
        <w:t xml:space="preserve">, 26 FCC Rcd </w:t>
      </w:r>
      <w:r>
        <w:t xml:space="preserve">at </w:t>
      </w:r>
      <w:r w:rsidRPr="00285EF4">
        <w:t>13710, 13</w:t>
      </w:r>
      <w:r>
        <w:t>711-</w:t>
      </w:r>
      <w:r w:rsidRPr="00285EF4">
        <w:t xml:space="preserve">12 </w:t>
      </w:r>
      <w:r>
        <w:t>¶</w:t>
      </w:r>
      <w:r w:rsidRPr="00285EF4">
        <w:t xml:space="preserve">¶ </w:t>
      </w:r>
      <w:r>
        <w:t>1, 4</w:t>
      </w:r>
      <w:r w:rsidRPr="00285EF4">
        <w:t>.</w:t>
      </w:r>
    </w:p>
    <w:p w:rsidR="000C3CAC" w:rsidRPr="00285EF4" w:rsidRDefault="000C3CAC" w:rsidP="000C3CAC">
      <w:pPr>
        <w:pStyle w:val="FootnoteText"/>
      </w:pPr>
    </w:p>
  </w:footnote>
  <w:footnote w:id="23">
    <w:p w:rsidR="00EF7F72" w:rsidRDefault="00EF7F72">
      <w:pPr>
        <w:pStyle w:val="FootnoteText"/>
      </w:pPr>
      <w:r>
        <w:rPr>
          <w:rStyle w:val="FootnoteReference"/>
        </w:rPr>
        <w:footnoteRef/>
      </w:r>
      <w:r>
        <w:t xml:space="preserve"> Indeed, EAS Participants have been on notice since 2007 that they would need to purchase CAP-compliant EAS equipment.  </w:t>
      </w:r>
      <w:r>
        <w:rPr>
          <w:i/>
        </w:rPr>
        <w:t>See Second Report and Order</w:t>
      </w:r>
      <w:r>
        <w:t xml:space="preserve">, </w:t>
      </w:r>
      <w:r>
        <w:rPr>
          <w:iCs/>
        </w:rPr>
        <w:t>22 FCC Rcd 13275</w:t>
      </w:r>
      <w:r>
        <w:t xml:space="preserve">, 13288 ¶ 26.  </w:t>
      </w:r>
    </w:p>
    <w:p w:rsidR="00EF7F72" w:rsidRDefault="00EF7F72">
      <w:pPr>
        <w:pStyle w:val="FootnoteText"/>
      </w:pPr>
    </w:p>
  </w:footnote>
  <w:footnote w:id="24">
    <w:p w:rsidR="004E68B7" w:rsidRPr="00285EF4" w:rsidRDefault="004E68B7" w:rsidP="004E68B7">
      <w:pPr>
        <w:pStyle w:val="FootnoteText"/>
      </w:pPr>
      <w:r w:rsidRPr="00285EF4">
        <w:rPr>
          <w:rStyle w:val="FootnoteReference"/>
        </w:rPr>
        <w:footnoteRef/>
      </w:r>
      <w:r w:rsidRPr="00285EF4">
        <w:t xml:space="preserve"> </w:t>
      </w:r>
      <w:r w:rsidRPr="00285EF4">
        <w:rPr>
          <w:i/>
        </w:rPr>
        <w:t xml:space="preserve">See </w:t>
      </w:r>
      <w:r>
        <w:t>SCV Letter at 1</w:t>
      </w:r>
      <w:r w:rsidRPr="00285EF4">
        <w:t>.</w:t>
      </w:r>
    </w:p>
    <w:p w:rsidR="004E68B7" w:rsidRPr="00285EF4" w:rsidRDefault="004E68B7" w:rsidP="004E68B7">
      <w:pPr>
        <w:pStyle w:val="FootnoteText"/>
      </w:pPr>
    </w:p>
  </w:footnote>
  <w:footnote w:id="25">
    <w:p w:rsidR="004E68B7" w:rsidRDefault="004E68B7">
      <w:pPr>
        <w:pStyle w:val="FootnoteText"/>
      </w:pPr>
      <w:r>
        <w:rPr>
          <w:rStyle w:val="FootnoteReference"/>
        </w:rPr>
        <w:footnoteRef/>
      </w:r>
      <w:r>
        <w:t xml:space="preserve"> </w:t>
      </w:r>
      <w:r w:rsidRPr="0030715E">
        <w:rPr>
          <w:i/>
        </w:rPr>
        <w:t>See</w:t>
      </w:r>
      <w:r>
        <w:t xml:space="preserve"> New Wave Letter at 2.</w:t>
      </w:r>
    </w:p>
    <w:p w:rsidR="004E68B7" w:rsidRDefault="004E68B7">
      <w:pPr>
        <w:pStyle w:val="FootnoteText"/>
      </w:pPr>
    </w:p>
  </w:footnote>
  <w:footnote w:id="26">
    <w:p w:rsidR="00144095" w:rsidRDefault="00144095">
      <w:pPr>
        <w:pStyle w:val="FootnoteText"/>
      </w:pPr>
      <w:r>
        <w:rPr>
          <w:rStyle w:val="FootnoteReference"/>
        </w:rPr>
        <w:footnoteRef/>
      </w:r>
      <w:r>
        <w:t xml:space="preserve"> </w:t>
      </w:r>
      <w:r w:rsidRPr="0030715E">
        <w:rPr>
          <w:i/>
        </w:rPr>
        <w:t>See</w:t>
      </w:r>
      <w:r>
        <w:t xml:space="preserve"> Lakeview Letter at 1.</w:t>
      </w:r>
    </w:p>
    <w:p w:rsidR="00144095" w:rsidRDefault="00144095">
      <w:pPr>
        <w:pStyle w:val="FootnoteText"/>
      </w:pPr>
    </w:p>
  </w:footnote>
  <w:footnote w:id="27">
    <w:p w:rsidR="00144095" w:rsidRPr="00144095" w:rsidRDefault="00144095" w:rsidP="00144095">
      <w:pPr>
        <w:pStyle w:val="FootnoteText"/>
      </w:pPr>
      <w:r>
        <w:rPr>
          <w:rStyle w:val="FootnoteReference"/>
        </w:rPr>
        <w:footnoteRef/>
      </w:r>
      <w:r>
        <w:t xml:space="preserve"> </w:t>
      </w:r>
      <w:r w:rsidRPr="00144095">
        <w:rPr>
          <w:i/>
        </w:rPr>
        <w:t>See</w:t>
      </w:r>
      <w:r w:rsidRPr="00144095">
        <w:t xml:space="preserve"> </w:t>
      </w:r>
      <w:r>
        <w:t xml:space="preserve">Reach </w:t>
      </w:r>
      <w:r w:rsidRPr="00144095">
        <w:t xml:space="preserve">Letter at </w:t>
      </w:r>
      <w:r>
        <w:t>3</w:t>
      </w:r>
      <w:r w:rsidRPr="00144095">
        <w:t>.</w:t>
      </w:r>
    </w:p>
    <w:p w:rsidR="00144095" w:rsidRDefault="00144095">
      <w:pPr>
        <w:pStyle w:val="FootnoteText"/>
      </w:pPr>
    </w:p>
  </w:footnote>
  <w:footnote w:id="28">
    <w:p w:rsidR="000C3CAC" w:rsidRPr="00285EF4" w:rsidRDefault="000C3CAC" w:rsidP="000C3CAC">
      <w:pPr>
        <w:pStyle w:val="FootnoteText"/>
      </w:pPr>
      <w:r w:rsidRPr="00285EF4">
        <w:rPr>
          <w:rStyle w:val="FootnoteReference"/>
        </w:rPr>
        <w:footnoteRef/>
      </w:r>
      <w:r w:rsidRPr="00285EF4">
        <w:t xml:space="preserve"> </w:t>
      </w:r>
      <w:r w:rsidRPr="00285EF4">
        <w:rPr>
          <w:i/>
        </w:rPr>
        <w:t xml:space="preserve">See </w:t>
      </w:r>
      <w:r w:rsidRPr="00285EF4">
        <w:t>Applegate Petition at 1.</w:t>
      </w:r>
    </w:p>
    <w:p w:rsidR="000C3CAC" w:rsidRPr="00285EF4" w:rsidRDefault="000C3CAC" w:rsidP="000C3CA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70" w:rsidRDefault="00E70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9F" w:rsidRDefault="00101A9F">
    <w:pPr>
      <w:pStyle w:val="Header"/>
      <w:tabs>
        <w:tab w:val="clear" w:pos="4320"/>
        <w:tab w:val="left" w:pos="7200"/>
        <w:tab w:val="right" w:pos="9270"/>
      </w:tabs>
      <w:rPr>
        <w:b/>
      </w:rPr>
    </w:pPr>
    <w:r>
      <w:t xml:space="preserve">                                               </w:t>
    </w:r>
    <w:r>
      <w:rPr>
        <w:b/>
      </w:rPr>
      <w:t xml:space="preserve">Federal Communications Commission                                     DA </w:t>
    </w:r>
    <w:r w:rsidR="00E67EAB">
      <w:rPr>
        <w:b/>
      </w:rPr>
      <w:t>13</w:t>
    </w:r>
    <w:r>
      <w:rPr>
        <w:b/>
      </w:rPr>
      <w:t>-</w:t>
    </w:r>
    <w:r w:rsidR="0080354F">
      <w:rPr>
        <w:b/>
      </w:rPr>
      <w:t>1575</w:t>
    </w:r>
  </w:p>
  <w:p w:rsidR="00101A9F" w:rsidRDefault="00A776CE">
    <w:pPr>
      <w:pStyle w:val="Header"/>
    </w:pPr>
    <w:r>
      <w:rPr>
        <w:noProof/>
        <w:snapToGrid/>
      </w:rPr>
      <mc:AlternateContent>
        <mc:Choice Requires="wps">
          <w:drawing>
            <wp:anchor distT="4294967294" distB="4294967294" distL="114300" distR="114300" simplePos="0" relativeHeight="251657216" behindDoc="0" locked="0" layoutInCell="0" allowOverlap="1" wp14:anchorId="11E253AA" wp14:editId="32B06013">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9F" w:rsidRDefault="00101A9F">
    <w:pPr>
      <w:pStyle w:val="Header"/>
      <w:tabs>
        <w:tab w:val="clear" w:pos="4320"/>
        <w:tab w:val="clear" w:pos="8640"/>
        <w:tab w:val="left" w:pos="7200"/>
        <w:tab w:val="left" w:pos="8010"/>
        <w:tab w:val="right" w:pos="9270"/>
        <w:tab w:val="right" w:pos="9360"/>
      </w:tabs>
      <w:rPr>
        <w:b/>
      </w:rPr>
    </w:pPr>
    <w:r>
      <w:t xml:space="preserve">                                                  </w:t>
    </w:r>
    <w:r>
      <w:rPr>
        <w:b/>
      </w:rPr>
      <w:t xml:space="preserve">Federal Communications Commission                           </w:t>
    </w:r>
    <w:r>
      <w:rPr>
        <w:b/>
      </w:rPr>
      <w:tab/>
    </w:r>
    <w:r>
      <w:rPr>
        <w:b/>
      </w:rPr>
      <w:tab/>
      <w:t xml:space="preserve">DA </w:t>
    </w:r>
    <w:r w:rsidR="0047733D">
      <w:rPr>
        <w:b/>
      </w:rPr>
      <w:t>13</w:t>
    </w:r>
    <w:r>
      <w:rPr>
        <w:b/>
      </w:rPr>
      <w:t>-</w:t>
    </w:r>
    <w:r w:rsidR="0080354F">
      <w:rPr>
        <w:b/>
      </w:rPr>
      <w:t>1575</w:t>
    </w:r>
  </w:p>
  <w:p w:rsidR="00101A9F" w:rsidRDefault="00A776CE">
    <w:pPr>
      <w:pStyle w:val="Header"/>
    </w:pPr>
    <w:r>
      <w:rPr>
        <w:noProof/>
        <w:snapToGrid/>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101A9F" w:rsidRDefault="00101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3240"/>
        </w:tabs>
        <w:ind w:left="3240" w:hanging="720"/>
      </w:pPr>
      <w:rPr>
        <w:rFonts w:cs="Times New Roman"/>
      </w:rPr>
    </w:lvl>
  </w:abstractNum>
  <w:abstractNum w:abstractNumId="1">
    <w:nsid w:val="025A783C"/>
    <w:multiLevelType w:val="singleLevel"/>
    <w:tmpl w:val="A52053E0"/>
    <w:lvl w:ilvl="0">
      <w:start w:val="1"/>
      <w:numFmt w:val="decimal"/>
      <w:pStyle w:val="DocumentMap"/>
      <w:lvlText w:val="%1."/>
      <w:lvlJc w:val="left"/>
      <w:pPr>
        <w:tabs>
          <w:tab w:val="num" w:pos="1080"/>
        </w:tabs>
        <w:ind w:left="0" w:firstLine="720"/>
      </w:pPr>
      <w:rPr>
        <w:b w:val="0"/>
        <w:i w:val="0"/>
      </w:rPr>
    </w:lvl>
  </w:abstractNum>
  <w:abstractNum w:abstractNumId="2">
    <w:nsid w:val="037673A6"/>
    <w:multiLevelType w:val="multilevel"/>
    <w:tmpl w:val="12F6ECC0"/>
    <w:name w:val="WW8Num4"/>
    <w:lvl w:ilvl="0">
      <w:start w:val="1"/>
      <w:numFmt w:val="upperRoman"/>
      <w:lvlText w:val="%1."/>
      <w:lvlJc w:val="left"/>
      <w:pPr>
        <w:tabs>
          <w:tab w:val="num" w:pos="720"/>
        </w:tabs>
        <w:ind w:left="720" w:hanging="720"/>
      </w:pPr>
      <w:rPr>
        <w:rFonts w:ascii="Times New Roman" w:hAnsi="Times New Roman" w:hint="default"/>
        <w:sz w:val="22"/>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6CE4944"/>
    <w:multiLevelType w:val="multilevel"/>
    <w:tmpl w:val="C236499C"/>
    <w:lvl w:ilvl="0">
      <w:start w:val="1"/>
      <w:numFmt w:val="decimal"/>
      <w:lvlText w:val="%1."/>
      <w:lvlJc w:val="left"/>
      <w:pPr>
        <w:tabs>
          <w:tab w:val="num" w:pos="900"/>
        </w:tabs>
        <w:ind w:left="-540" w:firstLine="900"/>
      </w:pPr>
      <w:rPr>
        <w:rFonts w:ascii="Times New Roman" w:hAnsi="Times New Roman" w:hint="default"/>
        <w:b w:val="0"/>
        <w:i w:val="0"/>
        <w:caps w:val="0"/>
        <w:strike w:val="0"/>
        <w:dstrike w:val="0"/>
        <w:vanish w:val="0"/>
        <w:sz w:val="22"/>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B44166"/>
    <w:multiLevelType w:val="hybridMultilevel"/>
    <w:tmpl w:val="F2880164"/>
    <w:lvl w:ilvl="0" w:tplc="AFEEC53C">
      <w:start w:val="1"/>
      <w:numFmt w:val="decimal"/>
      <w:lvlText w:val="%1."/>
      <w:lvlJc w:val="left"/>
      <w:pPr>
        <w:tabs>
          <w:tab w:val="num" w:pos="720"/>
        </w:tabs>
        <w:ind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BF32B3C"/>
    <w:multiLevelType w:val="hybridMultilevel"/>
    <w:tmpl w:val="FD902954"/>
    <w:lvl w:ilvl="0" w:tplc="AFEEC53C">
      <w:start w:val="1"/>
      <w:numFmt w:val="decimal"/>
      <w:pStyle w:val="ParaNum"/>
      <w:lvlText w:val="%1."/>
      <w:lvlJc w:val="left"/>
      <w:pPr>
        <w:tabs>
          <w:tab w:val="num" w:pos="900"/>
        </w:tabs>
        <w:ind w:left="-540" w:firstLine="900"/>
      </w:pPr>
      <w:rPr>
        <w:rFonts w:ascii="Times New Roman" w:hAnsi="Times New Roman" w:hint="default"/>
        <w:b w:val="0"/>
        <w:i w:val="0"/>
        <w:caps w:val="0"/>
        <w:strike w:val="0"/>
        <w:dstrike w:val="0"/>
        <w:vanish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82E3D"/>
    <w:multiLevelType w:val="hybridMultilevel"/>
    <w:tmpl w:val="0AB40F10"/>
    <w:lvl w:ilvl="0" w:tplc="AFEEC53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5E715533"/>
    <w:multiLevelType w:val="multilevel"/>
    <w:tmpl w:val="05AE21FC"/>
    <w:lvl w:ilvl="0">
      <w:start w:val="1"/>
      <w:numFmt w:val="upperRoman"/>
      <w:pStyle w:val="Heading1"/>
      <w:lvlText w:val="%1."/>
      <w:lvlJc w:val="left"/>
      <w:pPr>
        <w:tabs>
          <w:tab w:val="num" w:pos="720"/>
        </w:tabs>
        <w:ind w:left="720" w:hanging="720"/>
      </w:pPr>
      <w:rPr>
        <w:rFonts w:ascii="Times New Roman" w:hAnsi="Times New Roman" w:hint="default"/>
        <w:b/>
        <w:i w:val="0"/>
        <w:sz w:val="22"/>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b/>
        <w:i w:val="0"/>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61182925"/>
    <w:multiLevelType w:val="singleLevel"/>
    <w:tmpl w:val="974CC14E"/>
    <w:lvl w:ilvl="0">
      <w:start w:val="1"/>
      <w:numFmt w:val="decimal"/>
      <w:lvlText w:val="%1."/>
      <w:lvlJc w:val="left"/>
      <w:pPr>
        <w:tabs>
          <w:tab w:val="num" w:pos="1080"/>
        </w:tabs>
        <w:ind w:firstLine="720"/>
      </w:pPr>
      <w:rPr>
        <w:rFonts w:ascii="Times New Roman" w:hAnsi="Times New Roman" w:cs="Times New Roman"/>
        <w:sz w:val="22"/>
      </w:rPr>
    </w:lvl>
  </w:abstractNum>
  <w:abstractNum w:abstractNumId="9">
    <w:nsid w:val="68FF4F99"/>
    <w:multiLevelType w:val="hybridMultilevel"/>
    <w:tmpl w:val="003C3D20"/>
    <w:lvl w:ilvl="0" w:tplc="82DEDC42">
      <w:start w:val="1"/>
      <w:numFmt w:val="decimal"/>
      <w:lvlText w:val="%1."/>
      <w:lvlJc w:val="left"/>
      <w:pPr>
        <w:tabs>
          <w:tab w:val="num" w:pos="1440"/>
        </w:tabs>
        <w:ind w:left="144" w:firstLine="576"/>
      </w:pPr>
      <w:rPr>
        <w:rFonts w:cs="Times New Roman" w:hint="default"/>
        <w:sz w:val="24"/>
        <w:szCs w:val="24"/>
      </w:rPr>
    </w:lvl>
    <w:lvl w:ilvl="1" w:tplc="798A153C">
      <w:start w:val="1"/>
      <w:numFmt w:val="lowerLetter"/>
      <w:lvlText w:val="%2."/>
      <w:lvlJc w:val="left"/>
      <w:pPr>
        <w:tabs>
          <w:tab w:val="num" w:pos="1440"/>
        </w:tabs>
        <w:ind w:left="1440" w:hanging="360"/>
      </w:pPr>
      <w:rPr>
        <w:rFonts w:cs="Times New Roman"/>
      </w:rPr>
    </w:lvl>
    <w:lvl w:ilvl="2" w:tplc="23CE1456">
      <w:start w:val="1"/>
      <w:numFmt w:val="lowerRoman"/>
      <w:lvlText w:val="%3."/>
      <w:lvlJc w:val="right"/>
      <w:pPr>
        <w:tabs>
          <w:tab w:val="num" w:pos="2160"/>
        </w:tabs>
        <w:ind w:left="2160" w:hanging="180"/>
      </w:pPr>
      <w:rPr>
        <w:rFonts w:cs="Times New Roman"/>
      </w:rPr>
    </w:lvl>
    <w:lvl w:ilvl="3" w:tplc="9B36E37C">
      <w:start w:val="1"/>
      <w:numFmt w:val="decimal"/>
      <w:lvlText w:val="%4."/>
      <w:lvlJc w:val="left"/>
      <w:pPr>
        <w:tabs>
          <w:tab w:val="num" w:pos="2880"/>
        </w:tabs>
        <w:ind w:left="2880" w:hanging="360"/>
      </w:pPr>
      <w:rPr>
        <w:rFonts w:cs="Times New Roman"/>
      </w:rPr>
    </w:lvl>
    <w:lvl w:ilvl="4" w:tplc="8E04B936">
      <w:start w:val="1"/>
      <w:numFmt w:val="lowerLetter"/>
      <w:lvlText w:val="%5."/>
      <w:lvlJc w:val="left"/>
      <w:pPr>
        <w:tabs>
          <w:tab w:val="num" w:pos="3600"/>
        </w:tabs>
        <w:ind w:left="3600" w:hanging="360"/>
      </w:pPr>
      <w:rPr>
        <w:rFonts w:cs="Times New Roman"/>
      </w:rPr>
    </w:lvl>
    <w:lvl w:ilvl="5" w:tplc="F322EBD8">
      <w:start w:val="1"/>
      <w:numFmt w:val="lowerRoman"/>
      <w:lvlText w:val="%6."/>
      <w:lvlJc w:val="right"/>
      <w:pPr>
        <w:tabs>
          <w:tab w:val="num" w:pos="4320"/>
        </w:tabs>
        <w:ind w:left="4320" w:hanging="180"/>
      </w:pPr>
      <w:rPr>
        <w:rFonts w:cs="Times New Roman"/>
      </w:rPr>
    </w:lvl>
    <w:lvl w:ilvl="6" w:tplc="3C48FFBE">
      <w:start w:val="1"/>
      <w:numFmt w:val="decimal"/>
      <w:lvlText w:val="%7."/>
      <w:lvlJc w:val="left"/>
      <w:pPr>
        <w:tabs>
          <w:tab w:val="num" w:pos="5040"/>
        </w:tabs>
        <w:ind w:left="5040" w:hanging="360"/>
      </w:pPr>
      <w:rPr>
        <w:rFonts w:cs="Times New Roman"/>
      </w:rPr>
    </w:lvl>
    <w:lvl w:ilvl="7" w:tplc="E14E300A">
      <w:start w:val="1"/>
      <w:numFmt w:val="lowerLetter"/>
      <w:lvlText w:val="%8."/>
      <w:lvlJc w:val="left"/>
      <w:pPr>
        <w:tabs>
          <w:tab w:val="num" w:pos="5760"/>
        </w:tabs>
        <w:ind w:left="5760" w:hanging="360"/>
      </w:pPr>
      <w:rPr>
        <w:rFonts w:cs="Times New Roman"/>
      </w:rPr>
    </w:lvl>
    <w:lvl w:ilvl="8" w:tplc="4CC45776">
      <w:start w:val="1"/>
      <w:numFmt w:val="lowerRoman"/>
      <w:lvlText w:val="%9."/>
      <w:lvlJc w:val="right"/>
      <w:pPr>
        <w:tabs>
          <w:tab w:val="num" w:pos="6480"/>
        </w:tabs>
        <w:ind w:left="6480" w:hanging="180"/>
      </w:pPr>
      <w:rPr>
        <w:rFonts w:cs="Times New Roman"/>
      </w:rPr>
    </w:lvl>
  </w:abstractNum>
  <w:abstractNum w:abstractNumId="10">
    <w:nsid w:val="6A4A6C7A"/>
    <w:multiLevelType w:val="hybridMultilevel"/>
    <w:tmpl w:val="B0CE47DA"/>
    <w:lvl w:ilvl="0" w:tplc="FFFFFFFF">
      <w:start w:val="1"/>
      <w:numFmt w:val="decimal"/>
      <w:lvlText w:val="%1."/>
      <w:lvlJc w:val="left"/>
      <w:pPr>
        <w:tabs>
          <w:tab w:val="num" w:pos="756"/>
        </w:tabs>
        <w:ind w:left="-180" w:firstLine="900"/>
      </w:pPr>
      <w:rPr>
        <w:rFonts w:ascii="Times New Roman" w:hAnsi="Times New Roman" w:cs="Times New Roman" w:hint="default"/>
        <w:b w:val="0"/>
        <w:i w:val="0"/>
        <w:caps w:val="0"/>
        <w:strike w:val="0"/>
        <w:dstrike w:val="0"/>
        <w:vanish w:val="0"/>
        <w:sz w:val="22"/>
        <w:u w:val="none"/>
        <w:vertAlign w:val="baseline"/>
      </w:rPr>
    </w:lvl>
    <w:lvl w:ilvl="1" w:tplc="FFFFFFFF">
      <w:start w:val="4"/>
      <w:numFmt w:val="upperLetter"/>
      <w:lvlText w:val="%2."/>
      <w:lvlJc w:val="left"/>
      <w:pPr>
        <w:tabs>
          <w:tab w:val="num" w:pos="1440"/>
        </w:tabs>
        <w:ind w:left="1440" w:hanging="360"/>
      </w:pPr>
      <w:rPr>
        <w:rFonts w:cs="Times New Roman" w:hint="default"/>
      </w:rPr>
    </w:lvl>
    <w:lvl w:ilvl="2" w:tplc="FFFFFFFF">
      <w:start w:val="3"/>
      <w:numFmt w:val="lowerLetter"/>
      <w:lvlText w:val="%3."/>
      <w:lvlJc w:val="left"/>
      <w:pPr>
        <w:tabs>
          <w:tab w:val="num" w:pos="2340"/>
        </w:tabs>
        <w:ind w:left="2340" w:hanging="360"/>
      </w:pPr>
      <w:rPr>
        <w:rFonts w:cs="Times New Roman" w:hint="default"/>
      </w:rPr>
    </w:lvl>
    <w:lvl w:ilvl="3" w:tplc="FFFFFFFF">
      <w:start w:val="5"/>
      <w:numFmt w:val="lowerRoman"/>
      <w:lvlText w:val="(%4)"/>
      <w:lvlJc w:val="left"/>
      <w:pPr>
        <w:tabs>
          <w:tab w:val="num" w:pos="3240"/>
        </w:tabs>
        <w:ind w:left="3240" w:hanging="720"/>
      </w:pPr>
      <w:rPr>
        <w:rFonts w:cs="Times New Roman" w:hint="default"/>
        <w:i/>
      </w:rPr>
    </w:lvl>
    <w:lvl w:ilvl="4" w:tplc="FFFFFFFF">
      <w:start w:val="1"/>
      <w:numFmt w:val="decimal"/>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F6F3684"/>
    <w:multiLevelType w:val="hybridMultilevel"/>
    <w:tmpl w:val="2C3EA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5"/>
  </w:num>
  <w:num w:numId="5">
    <w:abstractNumId w:val="5"/>
  </w:num>
  <w:num w:numId="6">
    <w:abstractNumId w:val="6"/>
  </w:num>
  <w:num w:numId="7">
    <w:abstractNumId w:val="5"/>
  </w:num>
  <w:num w:numId="8">
    <w:abstractNumId w:val="9"/>
  </w:num>
  <w:num w:numId="9">
    <w:abstractNumId w:val="1"/>
  </w:num>
  <w:num w:numId="10">
    <w:abstractNumId w:val="5"/>
  </w:num>
  <w:num w:numId="11">
    <w:abstractNumId w:val="5"/>
  </w:num>
  <w:num w:numId="12">
    <w:abstractNumId w:val="5"/>
  </w:num>
  <w:num w:numId="13">
    <w:abstractNumId w:val="3"/>
  </w:num>
  <w:num w:numId="14">
    <w:abstractNumId w:val="5"/>
  </w:num>
  <w:num w:numId="15">
    <w:abstractNumId w:val="5"/>
  </w:num>
  <w:num w:numId="16">
    <w:abstractNumId w:val="4"/>
  </w:num>
  <w:num w:numId="17">
    <w:abstractNumId w:val="5"/>
  </w:num>
  <w:num w:numId="18">
    <w:abstractNumId w:val="10"/>
  </w:num>
  <w:num w:numId="19">
    <w:abstractNumId w:val="5"/>
  </w:num>
  <w:num w:numId="20">
    <w:abstractNumId w:val="5"/>
    <w:lvlOverride w:ilvl="0">
      <w:startOverride w:val="1"/>
    </w:lvlOverride>
  </w:num>
  <w:num w:numId="21">
    <w:abstractNumId w:val="5"/>
  </w:num>
  <w:num w:numId="22">
    <w:abstractNumId w:val="5"/>
  </w:num>
  <w:num w:numId="23">
    <w:abstractNumId w:val="5"/>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70"/>
    <w:rsid w:val="0000041E"/>
    <w:rsid w:val="0002240D"/>
    <w:rsid w:val="000235E2"/>
    <w:rsid w:val="00031AC0"/>
    <w:rsid w:val="00032ADD"/>
    <w:rsid w:val="0003409F"/>
    <w:rsid w:val="000429D3"/>
    <w:rsid w:val="00053627"/>
    <w:rsid w:val="0006023B"/>
    <w:rsid w:val="00064ACA"/>
    <w:rsid w:val="00065B5F"/>
    <w:rsid w:val="00067BDE"/>
    <w:rsid w:val="0008124A"/>
    <w:rsid w:val="00081E71"/>
    <w:rsid w:val="00086519"/>
    <w:rsid w:val="000A0D86"/>
    <w:rsid w:val="000A4BA7"/>
    <w:rsid w:val="000A56AC"/>
    <w:rsid w:val="000B1DF8"/>
    <w:rsid w:val="000B2A26"/>
    <w:rsid w:val="000B7AEC"/>
    <w:rsid w:val="000C028E"/>
    <w:rsid w:val="000C3CAC"/>
    <w:rsid w:val="000C70E5"/>
    <w:rsid w:val="000D0786"/>
    <w:rsid w:val="000E25AC"/>
    <w:rsid w:val="000E3BD3"/>
    <w:rsid w:val="000E71E1"/>
    <w:rsid w:val="000F269A"/>
    <w:rsid w:val="000F45A7"/>
    <w:rsid w:val="000F5117"/>
    <w:rsid w:val="000F5A99"/>
    <w:rsid w:val="000F6D27"/>
    <w:rsid w:val="000F7097"/>
    <w:rsid w:val="00101A9F"/>
    <w:rsid w:val="00103818"/>
    <w:rsid w:val="0010733A"/>
    <w:rsid w:val="0011007B"/>
    <w:rsid w:val="00136E77"/>
    <w:rsid w:val="00144095"/>
    <w:rsid w:val="00146646"/>
    <w:rsid w:val="00153FC4"/>
    <w:rsid w:val="001A440A"/>
    <w:rsid w:val="001A5B78"/>
    <w:rsid w:val="001A6068"/>
    <w:rsid w:val="001A74B5"/>
    <w:rsid w:val="001B131B"/>
    <w:rsid w:val="001B4E40"/>
    <w:rsid w:val="001C3B10"/>
    <w:rsid w:val="001D2951"/>
    <w:rsid w:val="001D6BF8"/>
    <w:rsid w:val="001E1CF2"/>
    <w:rsid w:val="001E2832"/>
    <w:rsid w:val="001E3F30"/>
    <w:rsid w:val="001F2ACD"/>
    <w:rsid w:val="00200B70"/>
    <w:rsid w:val="002010D6"/>
    <w:rsid w:val="00216A69"/>
    <w:rsid w:val="00264688"/>
    <w:rsid w:val="00273AE6"/>
    <w:rsid w:val="00276B9F"/>
    <w:rsid w:val="002812A4"/>
    <w:rsid w:val="00282243"/>
    <w:rsid w:val="0028401F"/>
    <w:rsid w:val="0028411C"/>
    <w:rsid w:val="00284668"/>
    <w:rsid w:val="00285EF4"/>
    <w:rsid w:val="00286FBA"/>
    <w:rsid w:val="00293D50"/>
    <w:rsid w:val="0029552C"/>
    <w:rsid w:val="002A0E8B"/>
    <w:rsid w:val="002A7897"/>
    <w:rsid w:val="002B456E"/>
    <w:rsid w:val="002B5C63"/>
    <w:rsid w:val="002C620B"/>
    <w:rsid w:val="002D5039"/>
    <w:rsid w:val="002D5F33"/>
    <w:rsid w:val="002D68C3"/>
    <w:rsid w:val="002E0B50"/>
    <w:rsid w:val="002E6822"/>
    <w:rsid w:val="002F197A"/>
    <w:rsid w:val="002F64F9"/>
    <w:rsid w:val="0030177B"/>
    <w:rsid w:val="0030715E"/>
    <w:rsid w:val="00322D58"/>
    <w:rsid w:val="00327869"/>
    <w:rsid w:val="00335E9B"/>
    <w:rsid w:val="003373BC"/>
    <w:rsid w:val="0035335A"/>
    <w:rsid w:val="00363A59"/>
    <w:rsid w:val="003854EB"/>
    <w:rsid w:val="00385C02"/>
    <w:rsid w:val="003877BC"/>
    <w:rsid w:val="00392D40"/>
    <w:rsid w:val="003B34F1"/>
    <w:rsid w:val="003B3B54"/>
    <w:rsid w:val="003C4563"/>
    <w:rsid w:val="003F2274"/>
    <w:rsid w:val="00400529"/>
    <w:rsid w:val="0040149F"/>
    <w:rsid w:val="00402E3B"/>
    <w:rsid w:val="00406765"/>
    <w:rsid w:val="00416170"/>
    <w:rsid w:val="00434D57"/>
    <w:rsid w:val="00437A51"/>
    <w:rsid w:val="00441E06"/>
    <w:rsid w:val="00445F0C"/>
    <w:rsid w:val="00446227"/>
    <w:rsid w:val="0044654F"/>
    <w:rsid w:val="004536D8"/>
    <w:rsid w:val="0046074E"/>
    <w:rsid w:val="00461877"/>
    <w:rsid w:val="00461C45"/>
    <w:rsid w:val="00473A95"/>
    <w:rsid w:val="00474B17"/>
    <w:rsid w:val="00475DE9"/>
    <w:rsid w:val="004771E7"/>
    <w:rsid w:val="0047733D"/>
    <w:rsid w:val="00485209"/>
    <w:rsid w:val="0049149C"/>
    <w:rsid w:val="00492048"/>
    <w:rsid w:val="00497BF5"/>
    <w:rsid w:val="004A23DF"/>
    <w:rsid w:val="004A48E0"/>
    <w:rsid w:val="004A7145"/>
    <w:rsid w:val="004B319D"/>
    <w:rsid w:val="004B5E87"/>
    <w:rsid w:val="004B70BE"/>
    <w:rsid w:val="004B7270"/>
    <w:rsid w:val="004C2CE2"/>
    <w:rsid w:val="004C67A3"/>
    <w:rsid w:val="004C6E87"/>
    <w:rsid w:val="004D6766"/>
    <w:rsid w:val="004D6DAF"/>
    <w:rsid w:val="004E3234"/>
    <w:rsid w:val="004E68B7"/>
    <w:rsid w:val="004F2F9D"/>
    <w:rsid w:val="004F40AF"/>
    <w:rsid w:val="005004B7"/>
    <w:rsid w:val="0051604A"/>
    <w:rsid w:val="005204A8"/>
    <w:rsid w:val="00534F52"/>
    <w:rsid w:val="005451A8"/>
    <w:rsid w:val="0055201D"/>
    <w:rsid w:val="00553C66"/>
    <w:rsid w:val="00553FC7"/>
    <w:rsid w:val="0055584E"/>
    <w:rsid w:val="00557749"/>
    <w:rsid w:val="00576AB8"/>
    <w:rsid w:val="00581461"/>
    <w:rsid w:val="005839E4"/>
    <w:rsid w:val="005902CA"/>
    <w:rsid w:val="00596860"/>
    <w:rsid w:val="00597FF4"/>
    <w:rsid w:val="005B1AF0"/>
    <w:rsid w:val="005C572E"/>
    <w:rsid w:val="005C7562"/>
    <w:rsid w:val="005D23FE"/>
    <w:rsid w:val="005D2898"/>
    <w:rsid w:val="005D32EC"/>
    <w:rsid w:val="005D3429"/>
    <w:rsid w:val="005E0D85"/>
    <w:rsid w:val="005E3126"/>
    <w:rsid w:val="005E3D25"/>
    <w:rsid w:val="005F1201"/>
    <w:rsid w:val="005F2BA5"/>
    <w:rsid w:val="005F5613"/>
    <w:rsid w:val="00600BCA"/>
    <w:rsid w:val="00615554"/>
    <w:rsid w:val="006158FC"/>
    <w:rsid w:val="00617C4A"/>
    <w:rsid w:val="006205BE"/>
    <w:rsid w:val="0062436F"/>
    <w:rsid w:val="006264AF"/>
    <w:rsid w:val="00630BB1"/>
    <w:rsid w:val="006323E5"/>
    <w:rsid w:val="00647B09"/>
    <w:rsid w:val="006535CB"/>
    <w:rsid w:val="006609A5"/>
    <w:rsid w:val="006635F0"/>
    <w:rsid w:val="006656EA"/>
    <w:rsid w:val="00677C0A"/>
    <w:rsid w:val="0068340B"/>
    <w:rsid w:val="006857BA"/>
    <w:rsid w:val="006959FF"/>
    <w:rsid w:val="006A28DC"/>
    <w:rsid w:val="006C00ED"/>
    <w:rsid w:val="006E0705"/>
    <w:rsid w:val="006E3E03"/>
    <w:rsid w:val="006F411E"/>
    <w:rsid w:val="006F4A8A"/>
    <w:rsid w:val="006F5403"/>
    <w:rsid w:val="007015AE"/>
    <w:rsid w:val="007046A0"/>
    <w:rsid w:val="00714C25"/>
    <w:rsid w:val="00714CA3"/>
    <w:rsid w:val="0071516D"/>
    <w:rsid w:val="00715E00"/>
    <w:rsid w:val="00716DFE"/>
    <w:rsid w:val="00717C1F"/>
    <w:rsid w:val="007255E1"/>
    <w:rsid w:val="00725C5F"/>
    <w:rsid w:val="00726C80"/>
    <w:rsid w:val="007312BE"/>
    <w:rsid w:val="00737B2B"/>
    <w:rsid w:val="007506F7"/>
    <w:rsid w:val="007535E9"/>
    <w:rsid w:val="0075735C"/>
    <w:rsid w:val="00792325"/>
    <w:rsid w:val="007940B1"/>
    <w:rsid w:val="007A2A94"/>
    <w:rsid w:val="007B68B5"/>
    <w:rsid w:val="007B6B47"/>
    <w:rsid w:val="007D01D8"/>
    <w:rsid w:val="007D02AA"/>
    <w:rsid w:val="007D2BBF"/>
    <w:rsid w:val="007F0115"/>
    <w:rsid w:val="007F7C9B"/>
    <w:rsid w:val="008018D1"/>
    <w:rsid w:val="0080354F"/>
    <w:rsid w:val="008050CD"/>
    <w:rsid w:val="00821237"/>
    <w:rsid w:val="008277F8"/>
    <w:rsid w:val="0084721E"/>
    <w:rsid w:val="00860A2D"/>
    <w:rsid w:val="00863777"/>
    <w:rsid w:val="00872083"/>
    <w:rsid w:val="00873C39"/>
    <w:rsid w:val="00874476"/>
    <w:rsid w:val="008811EB"/>
    <w:rsid w:val="00881782"/>
    <w:rsid w:val="0088403F"/>
    <w:rsid w:val="00891D6E"/>
    <w:rsid w:val="00894AC9"/>
    <w:rsid w:val="008A05C0"/>
    <w:rsid w:val="008A1D08"/>
    <w:rsid w:val="008B4542"/>
    <w:rsid w:val="008C045C"/>
    <w:rsid w:val="008C11DB"/>
    <w:rsid w:val="008C142D"/>
    <w:rsid w:val="008F0F9D"/>
    <w:rsid w:val="008F1E7B"/>
    <w:rsid w:val="0090004B"/>
    <w:rsid w:val="00902A3F"/>
    <w:rsid w:val="009145BC"/>
    <w:rsid w:val="00921416"/>
    <w:rsid w:val="0092186C"/>
    <w:rsid w:val="0092331E"/>
    <w:rsid w:val="00934147"/>
    <w:rsid w:val="00940CB9"/>
    <w:rsid w:val="00941E81"/>
    <w:rsid w:val="00954393"/>
    <w:rsid w:val="00960159"/>
    <w:rsid w:val="009604B9"/>
    <w:rsid w:val="0098101F"/>
    <w:rsid w:val="00984BB8"/>
    <w:rsid w:val="009940DD"/>
    <w:rsid w:val="009A00B0"/>
    <w:rsid w:val="009A29BC"/>
    <w:rsid w:val="009A4758"/>
    <w:rsid w:val="009A54C2"/>
    <w:rsid w:val="009B2266"/>
    <w:rsid w:val="009B2CB9"/>
    <w:rsid w:val="009C4423"/>
    <w:rsid w:val="009D0BCD"/>
    <w:rsid w:val="009D2AC6"/>
    <w:rsid w:val="009D60B3"/>
    <w:rsid w:val="00A0110C"/>
    <w:rsid w:val="00A11729"/>
    <w:rsid w:val="00A1390C"/>
    <w:rsid w:val="00A1531D"/>
    <w:rsid w:val="00A16C9F"/>
    <w:rsid w:val="00A21235"/>
    <w:rsid w:val="00A24C4F"/>
    <w:rsid w:val="00A274AA"/>
    <w:rsid w:val="00A3388C"/>
    <w:rsid w:val="00A3611F"/>
    <w:rsid w:val="00A36E6E"/>
    <w:rsid w:val="00A4057F"/>
    <w:rsid w:val="00A46470"/>
    <w:rsid w:val="00A519CE"/>
    <w:rsid w:val="00A55A73"/>
    <w:rsid w:val="00A64CA9"/>
    <w:rsid w:val="00A67F3C"/>
    <w:rsid w:val="00A75FE5"/>
    <w:rsid w:val="00A776CE"/>
    <w:rsid w:val="00A8034A"/>
    <w:rsid w:val="00A946A1"/>
    <w:rsid w:val="00A96122"/>
    <w:rsid w:val="00A971EF"/>
    <w:rsid w:val="00AA10E0"/>
    <w:rsid w:val="00AC2AFA"/>
    <w:rsid w:val="00AC71A4"/>
    <w:rsid w:val="00AD083B"/>
    <w:rsid w:val="00AE095B"/>
    <w:rsid w:val="00AE0F6D"/>
    <w:rsid w:val="00AE5DE2"/>
    <w:rsid w:val="00AF1954"/>
    <w:rsid w:val="00AF5FEA"/>
    <w:rsid w:val="00B0033C"/>
    <w:rsid w:val="00B11C53"/>
    <w:rsid w:val="00B2629C"/>
    <w:rsid w:val="00B3619B"/>
    <w:rsid w:val="00B37184"/>
    <w:rsid w:val="00B50F51"/>
    <w:rsid w:val="00B523F2"/>
    <w:rsid w:val="00B53145"/>
    <w:rsid w:val="00B55D93"/>
    <w:rsid w:val="00B57D34"/>
    <w:rsid w:val="00B61C23"/>
    <w:rsid w:val="00B67736"/>
    <w:rsid w:val="00B763EA"/>
    <w:rsid w:val="00B83879"/>
    <w:rsid w:val="00B85AB1"/>
    <w:rsid w:val="00B87C63"/>
    <w:rsid w:val="00B97911"/>
    <w:rsid w:val="00BA1A20"/>
    <w:rsid w:val="00BA78D4"/>
    <w:rsid w:val="00BB1517"/>
    <w:rsid w:val="00BB2C44"/>
    <w:rsid w:val="00BB75DC"/>
    <w:rsid w:val="00BC02FE"/>
    <w:rsid w:val="00BC0B59"/>
    <w:rsid w:val="00BE2F4E"/>
    <w:rsid w:val="00C15D59"/>
    <w:rsid w:val="00C32D1C"/>
    <w:rsid w:val="00C435B4"/>
    <w:rsid w:val="00C44FDD"/>
    <w:rsid w:val="00C52FDA"/>
    <w:rsid w:val="00C547F7"/>
    <w:rsid w:val="00C56BD4"/>
    <w:rsid w:val="00C60FE8"/>
    <w:rsid w:val="00C66435"/>
    <w:rsid w:val="00C70C14"/>
    <w:rsid w:val="00C71ABD"/>
    <w:rsid w:val="00C832CF"/>
    <w:rsid w:val="00C8721C"/>
    <w:rsid w:val="00CA1871"/>
    <w:rsid w:val="00CA51C1"/>
    <w:rsid w:val="00CB1B0A"/>
    <w:rsid w:val="00CB472B"/>
    <w:rsid w:val="00CD591A"/>
    <w:rsid w:val="00CD70D4"/>
    <w:rsid w:val="00D112EA"/>
    <w:rsid w:val="00D1180F"/>
    <w:rsid w:val="00D13275"/>
    <w:rsid w:val="00D225FE"/>
    <w:rsid w:val="00D40447"/>
    <w:rsid w:val="00D439B1"/>
    <w:rsid w:val="00D44B20"/>
    <w:rsid w:val="00D57F14"/>
    <w:rsid w:val="00D60DCF"/>
    <w:rsid w:val="00D61A0F"/>
    <w:rsid w:val="00D62207"/>
    <w:rsid w:val="00D7054E"/>
    <w:rsid w:val="00D71664"/>
    <w:rsid w:val="00D76C44"/>
    <w:rsid w:val="00D77C6E"/>
    <w:rsid w:val="00D86113"/>
    <w:rsid w:val="00D86AE5"/>
    <w:rsid w:val="00D911AA"/>
    <w:rsid w:val="00DA1B48"/>
    <w:rsid w:val="00DB164F"/>
    <w:rsid w:val="00DB5533"/>
    <w:rsid w:val="00DB78B9"/>
    <w:rsid w:val="00DC0516"/>
    <w:rsid w:val="00DC312C"/>
    <w:rsid w:val="00DC67FF"/>
    <w:rsid w:val="00DC6CF9"/>
    <w:rsid w:val="00DD2B1C"/>
    <w:rsid w:val="00DE10C7"/>
    <w:rsid w:val="00DE11C3"/>
    <w:rsid w:val="00DE1C98"/>
    <w:rsid w:val="00DE4837"/>
    <w:rsid w:val="00DF1917"/>
    <w:rsid w:val="00DF3E5A"/>
    <w:rsid w:val="00E11898"/>
    <w:rsid w:val="00E15D55"/>
    <w:rsid w:val="00E2003E"/>
    <w:rsid w:val="00E229ED"/>
    <w:rsid w:val="00E272A2"/>
    <w:rsid w:val="00E36310"/>
    <w:rsid w:val="00E4101E"/>
    <w:rsid w:val="00E43158"/>
    <w:rsid w:val="00E4494C"/>
    <w:rsid w:val="00E562BD"/>
    <w:rsid w:val="00E66B04"/>
    <w:rsid w:val="00E67EAB"/>
    <w:rsid w:val="00E70570"/>
    <w:rsid w:val="00E70ECE"/>
    <w:rsid w:val="00E7522E"/>
    <w:rsid w:val="00E8197F"/>
    <w:rsid w:val="00E9146B"/>
    <w:rsid w:val="00E91E45"/>
    <w:rsid w:val="00E9618E"/>
    <w:rsid w:val="00E967FE"/>
    <w:rsid w:val="00E96A5C"/>
    <w:rsid w:val="00EA14A4"/>
    <w:rsid w:val="00EA2FF7"/>
    <w:rsid w:val="00EA316A"/>
    <w:rsid w:val="00EA4575"/>
    <w:rsid w:val="00EA63B5"/>
    <w:rsid w:val="00EA6D49"/>
    <w:rsid w:val="00EB01FC"/>
    <w:rsid w:val="00EB46D2"/>
    <w:rsid w:val="00EB5493"/>
    <w:rsid w:val="00EC2178"/>
    <w:rsid w:val="00EE5F4D"/>
    <w:rsid w:val="00EF1CD9"/>
    <w:rsid w:val="00EF7F72"/>
    <w:rsid w:val="00F00D8E"/>
    <w:rsid w:val="00F01584"/>
    <w:rsid w:val="00F052AF"/>
    <w:rsid w:val="00F07FB2"/>
    <w:rsid w:val="00F118A4"/>
    <w:rsid w:val="00F27060"/>
    <w:rsid w:val="00F33667"/>
    <w:rsid w:val="00F35010"/>
    <w:rsid w:val="00F401E1"/>
    <w:rsid w:val="00F40538"/>
    <w:rsid w:val="00F72254"/>
    <w:rsid w:val="00F81F07"/>
    <w:rsid w:val="00F923BF"/>
    <w:rsid w:val="00F933BC"/>
    <w:rsid w:val="00F94634"/>
    <w:rsid w:val="00F94A8A"/>
    <w:rsid w:val="00FA3951"/>
    <w:rsid w:val="00FA6DC0"/>
    <w:rsid w:val="00FB535C"/>
    <w:rsid w:val="00FB5982"/>
    <w:rsid w:val="00FB6C25"/>
    <w:rsid w:val="00FC402B"/>
    <w:rsid w:val="00FC547F"/>
    <w:rsid w:val="00FD0B5F"/>
    <w:rsid w:val="00FD52F7"/>
    <w:rsid w:val="00FE0B4E"/>
    <w:rsid w:val="00FE3589"/>
    <w:rsid w:val="00FE7F5E"/>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semiHidden/>
    <w:locked/>
    <w:rPr>
      <w:snapToGrid w:val="0"/>
      <w:kern w:val="28"/>
      <w:sz w:val="22"/>
      <w:lang w:val="en-US" w:eastAsia="en-US" w:bidi="ar-SA"/>
    </w:rPr>
  </w:style>
  <w:style w:type="paragraph" w:customStyle="1" w:styleId="ParaNum">
    <w:name w:val="ParaNum"/>
    <w:basedOn w:val="Normal"/>
    <w:link w:val="ParaNumChar"/>
    <w:pPr>
      <w:numPr>
        <w:numId w:val="1"/>
      </w:numPr>
    </w:pPr>
    <w:rPr>
      <w:lang w:val="x-none" w:eastAsia="x-none"/>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1"/>
    <w:uiPriority w:val="99"/>
    <w:semiHidden/>
    <w:rPr>
      <w:sz w:val="20"/>
    </w:rPr>
  </w:style>
  <w:style w:type="character" w:styleId="FootnoteReference">
    <w:name w:val="footnote reference"/>
    <w:aliases w:val="Style 12,(NECG) Footnote Reference,o,fr,Style 3,Appel note de bas de p,Style 124,Style 17,FR,Style 13,Footnote Reference/,Style 6"/>
    <w:semiHidden/>
    <w:rPr>
      <w:vertAlign w:val="superscript"/>
    </w:rPr>
  </w:style>
  <w:style w:type="character" w:customStyle="1" w:styleId="FootnoteTextChar1">
    <w:name w:val="Footnote Text Char1"/>
    <w:aliases w:val="Footnote Text Char Char1,Footnote Text Char3 Char Char,Footnote Text Char4 Char1 Char Char,Footnote Text Char Char2 Char Char Char,Footnote Text Char3 Char Char Char2 Char Char,Footnote Text Char Char2 Char Char Char2 Char Char"/>
    <w:link w:val="FootnoteText"/>
    <w:uiPriority w:val="99"/>
    <w:semiHidden/>
    <w:locked/>
    <w:rPr>
      <w:snapToGrid w:val="0"/>
      <w:kern w:val="28"/>
      <w:lang w:val="en-US" w:eastAsia="en-US" w:bidi="ar-SA"/>
    </w:rPr>
  </w:style>
  <w:style w:type="character" w:customStyle="1" w:styleId="Heading5Char1">
    <w:name w:val="Heading 5 Char1"/>
    <w:aliases w:val="Heading 5 Char Char"/>
    <w:link w:val="Heading5"/>
    <w:locked/>
    <w:rPr>
      <w:b/>
      <w:bCs/>
      <w:i/>
      <w:iCs/>
      <w:snapToGrid w:val="0"/>
      <w:kern w:val="28"/>
      <w:sz w:val="26"/>
      <w:szCs w:val="26"/>
      <w:lang w:val="en-US" w:eastAsia="en-US" w:bidi="ar-SA"/>
    </w:rPr>
  </w:style>
  <w:style w:type="character" w:customStyle="1" w:styleId="ParaNumChar">
    <w:name w:val="ParaNum Char"/>
    <w:link w:val="ParaNum"/>
    <w:locked/>
    <w:rPr>
      <w:snapToGrid w:val="0"/>
      <w:kern w:val="28"/>
      <w:sz w:val="22"/>
      <w:lang w:val="x-none" w:eastAsia="x-none"/>
    </w:rPr>
  </w:style>
  <w:style w:type="character" w:styleId="Hyperlink">
    <w:name w:val="Hyperlink"/>
    <w:rPr>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f Char"/>
    <w:semiHidden/>
    <w:locked/>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9604B9"/>
    <w:pPr>
      <w:numPr>
        <w:numId w:val="9"/>
      </w:numPr>
      <w:shd w:val="clear" w:color="auto" w:fill="000080"/>
      <w:tabs>
        <w:tab w:val="clear" w:pos="1080"/>
      </w:tabs>
      <w:ind w:firstLine="0"/>
      <w:jc w:val="both"/>
    </w:pPr>
    <w:rPr>
      <w:rFonts w:ascii="Tahoma" w:hAnsi="Tahoma" w:cs="Tahoma"/>
    </w:rPr>
  </w:style>
  <w:style w:type="character" w:customStyle="1" w:styleId="FooterChar">
    <w:name w:val="Footer Char"/>
    <w:link w:val="Footer"/>
    <w:uiPriority w:val="99"/>
    <w:rsid w:val="00064ACA"/>
    <w:rPr>
      <w:snapToGrid w:val="0"/>
      <w:kern w:val="28"/>
      <w:sz w:val="22"/>
    </w:rPr>
  </w:style>
  <w:style w:type="paragraph" w:styleId="ListParagraph">
    <w:name w:val="List Paragraph"/>
    <w:basedOn w:val="Normal"/>
    <w:uiPriority w:val="34"/>
    <w:qFormat/>
    <w:rsid w:val="009940DD"/>
    <w:pPr>
      <w:ind w:left="720"/>
    </w:pPr>
  </w:style>
  <w:style w:type="character" w:customStyle="1" w:styleId="starpage">
    <w:name w:val="starpage"/>
    <w:basedOn w:val="DefaultParagraphFont"/>
    <w:rsid w:val="00031AC0"/>
  </w:style>
  <w:style w:type="character" w:styleId="FollowedHyperlink">
    <w:name w:val="FollowedHyperlink"/>
    <w:rsid w:val="000004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aliases w:val="Heading 5 Char"/>
    <w:basedOn w:val="Normal"/>
    <w:next w:val="Normal"/>
    <w:link w:val="Heading5Char1"/>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Cs w:val="22"/>
    </w:rPr>
  </w:style>
  <w:style w:type="paragraph" w:styleId="Heading7">
    <w:name w:val="heading 7"/>
    <w:basedOn w:val="Normal"/>
    <w:next w:val="Normal"/>
    <w:qFormat/>
    <w:pPr>
      <w:numPr>
        <w:ilvl w:val="6"/>
        <w:numId w:val="2"/>
      </w:numPr>
      <w:spacing w:before="240" w:after="60"/>
      <w:outlineLvl w:val="6"/>
    </w:pPr>
    <w:rPr>
      <w:sz w:val="24"/>
      <w:szCs w:val="24"/>
    </w:rPr>
  </w:style>
  <w:style w:type="paragraph" w:styleId="Heading8">
    <w:name w:val="heading 8"/>
    <w:basedOn w:val="Normal"/>
    <w:next w:val="Normal"/>
    <w:qFormat/>
    <w:pPr>
      <w:numPr>
        <w:ilvl w:val="7"/>
        <w:numId w:val="2"/>
      </w:numPr>
      <w:spacing w:before="240" w:after="60"/>
      <w:outlineLvl w:val="7"/>
    </w:pPr>
    <w:rPr>
      <w:i/>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semiHidden/>
    <w:locked/>
    <w:rPr>
      <w:snapToGrid w:val="0"/>
      <w:kern w:val="28"/>
      <w:sz w:val="22"/>
      <w:lang w:val="en-US" w:eastAsia="en-US" w:bidi="ar-SA"/>
    </w:rPr>
  </w:style>
  <w:style w:type="paragraph" w:customStyle="1" w:styleId="ParaNum">
    <w:name w:val="ParaNum"/>
    <w:basedOn w:val="Normal"/>
    <w:link w:val="ParaNumChar"/>
    <w:pPr>
      <w:numPr>
        <w:numId w:val="1"/>
      </w:numPr>
    </w:pPr>
    <w:rPr>
      <w:lang w:val="x-none" w:eastAsia="x-none"/>
    </w:rPr>
  </w:style>
  <w:style w:type="paragraph" w:styleId="FootnoteText">
    <w:name w:val="footnote text"/>
    <w:aliases w:val="Footnote Text Char,Footnote Text Char3 Char,Footnote Text Char4 Char1 Char,Footnote Text Char Char2 Char Char,Footnote Text Char3 Char Char Char2 Char,Footnote Text Char Char2 Char Char Char2 Char,Footnote Text Char3,fn Char Char,fn,FOOTN"/>
    <w:basedOn w:val="Normal"/>
    <w:link w:val="FootnoteTextChar1"/>
    <w:uiPriority w:val="99"/>
    <w:semiHidden/>
    <w:rPr>
      <w:sz w:val="20"/>
    </w:rPr>
  </w:style>
  <w:style w:type="character" w:styleId="FootnoteReference">
    <w:name w:val="footnote reference"/>
    <w:aliases w:val="Style 12,(NECG) Footnote Reference,o,fr,Style 3,Appel note de bas de p,Style 124,Style 17,FR,Style 13,Footnote Reference/,Style 6"/>
    <w:semiHidden/>
    <w:rPr>
      <w:vertAlign w:val="superscript"/>
    </w:rPr>
  </w:style>
  <w:style w:type="character" w:customStyle="1" w:styleId="FootnoteTextChar1">
    <w:name w:val="Footnote Text Char1"/>
    <w:aliases w:val="Footnote Text Char Char1,Footnote Text Char3 Char Char,Footnote Text Char4 Char1 Char Char,Footnote Text Char Char2 Char Char Char,Footnote Text Char3 Char Char Char2 Char Char,Footnote Text Char Char2 Char Char Char2 Char Char"/>
    <w:link w:val="FootnoteText"/>
    <w:uiPriority w:val="99"/>
    <w:semiHidden/>
    <w:locked/>
    <w:rPr>
      <w:snapToGrid w:val="0"/>
      <w:kern w:val="28"/>
      <w:lang w:val="en-US" w:eastAsia="en-US" w:bidi="ar-SA"/>
    </w:rPr>
  </w:style>
  <w:style w:type="character" w:customStyle="1" w:styleId="Heading5Char1">
    <w:name w:val="Heading 5 Char1"/>
    <w:aliases w:val="Heading 5 Char Char"/>
    <w:link w:val="Heading5"/>
    <w:locked/>
    <w:rPr>
      <w:b/>
      <w:bCs/>
      <w:i/>
      <w:iCs/>
      <w:snapToGrid w:val="0"/>
      <w:kern w:val="28"/>
      <w:sz w:val="26"/>
      <w:szCs w:val="26"/>
      <w:lang w:val="en-US" w:eastAsia="en-US" w:bidi="ar-SA"/>
    </w:rPr>
  </w:style>
  <w:style w:type="character" w:customStyle="1" w:styleId="ParaNumChar">
    <w:name w:val="ParaNum Char"/>
    <w:link w:val="ParaNum"/>
    <w:locked/>
    <w:rPr>
      <w:snapToGrid w:val="0"/>
      <w:kern w:val="28"/>
      <w:sz w:val="22"/>
      <w:lang w:val="x-none" w:eastAsia="x-none"/>
    </w:rPr>
  </w:style>
  <w:style w:type="character" w:styleId="Hyperlink">
    <w:name w:val="Hyperlink"/>
    <w:rPr>
      <w:color w:val="0000FF"/>
      <w:u w:val="single"/>
    </w:rPr>
  </w:style>
  <w:style w:type="character" w:customStyle="1" w:styleId="FootnoteTextChar2">
    <w:name w:val="Footnote Text Char2"/>
    <w:aliases w:val="Footnote Text Char5 Char,Footnote Text Char3 Char Char1 Char,Footnote Text Char2 Char1 Char Char1 Char,Footnote Text Char1 Char Char Char Char Char,Footnote Text Char2 Char Char Char Char Char1 Char,Footnote Text Char Char,f Char"/>
    <w:semiHidden/>
    <w:locked/>
    <w:rPr>
      <w:lang w:val="en-US" w:eastAsia="ar-SA" w:bidi="ar-SA"/>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9604B9"/>
    <w:pPr>
      <w:numPr>
        <w:numId w:val="9"/>
      </w:numPr>
      <w:shd w:val="clear" w:color="auto" w:fill="000080"/>
      <w:tabs>
        <w:tab w:val="clear" w:pos="1080"/>
      </w:tabs>
      <w:ind w:firstLine="0"/>
      <w:jc w:val="both"/>
    </w:pPr>
    <w:rPr>
      <w:rFonts w:ascii="Tahoma" w:hAnsi="Tahoma" w:cs="Tahoma"/>
    </w:rPr>
  </w:style>
  <w:style w:type="character" w:customStyle="1" w:styleId="FooterChar">
    <w:name w:val="Footer Char"/>
    <w:link w:val="Footer"/>
    <w:uiPriority w:val="99"/>
    <w:rsid w:val="00064ACA"/>
    <w:rPr>
      <w:snapToGrid w:val="0"/>
      <w:kern w:val="28"/>
      <w:sz w:val="22"/>
    </w:rPr>
  </w:style>
  <w:style w:type="paragraph" w:styleId="ListParagraph">
    <w:name w:val="List Paragraph"/>
    <w:basedOn w:val="Normal"/>
    <w:uiPriority w:val="34"/>
    <w:qFormat/>
    <w:rsid w:val="009940DD"/>
    <w:pPr>
      <w:ind w:left="720"/>
    </w:pPr>
  </w:style>
  <w:style w:type="character" w:customStyle="1" w:styleId="starpage">
    <w:name w:val="starpage"/>
    <w:basedOn w:val="DefaultParagraphFont"/>
    <w:rsid w:val="00031AC0"/>
  </w:style>
  <w:style w:type="character" w:styleId="FollowedHyperlink">
    <w:name w:val="FollowedHyperlink"/>
    <w:rsid w:val="000004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Communications&amp;db=1000546&amp;rs=WLW12.04&amp;docname=47USCAS154&amp;rp=%2ffind%2fdefault.wl&amp;findtype=L&amp;ordoc=2011089772&amp;tc=-1&amp;vr=2.0&amp;fn=_top&amp;sv=Split&amp;tf=-1&amp;pbc=AB4595E3&amp;utid=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Communications&amp;db=350&amp;rs=WLW13.04&amp;tc=-1&amp;rp=%2ffind%2fdefault.wl&amp;findtype=Y&amp;ordoc=2022356659&amp;serialnum=1990047144&amp;vr=2.0&amp;fn=_top&amp;sv=Split&amp;tf=-1&amp;referencepositiontype=S&amp;pbc=452EB758&amp;referenceposition=1166&amp;utid=1" TargetMode="External"/><Relationship Id="rId1" Type="http://schemas.openxmlformats.org/officeDocument/2006/relationships/hyperlink" Target="http://web2.westlaw.com/find/default.wl?mt=Communications&amp;db=350&amp;rs=WLW13.04&amp;tc=-1&amp;rp=%2ffind%2fdefault.wl&amp;findtype=Y&amp;ordoc=2022356659&amp;serialnum=1990047144&amp;vr=2.0&amp;fn=_top&amp;sv=Split&amp;tf=-1&amp;referencepositiontype=S&amp;pbc=452EB758&amp;referenceposition=1166&amp;u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6359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7567</CharactersWithSpaces>
  <SharedDoc>false</SharedDoc>
  <HyperlinkBase> </HyperlinkBase>
  <HLinks>
    <vt:vector size="18" baseType="variant">
      <vt:variant>
        <vt:i4>6488069</vt:i4>
      </vt:variant>
      <vt:variant>
        <vt:i4>0</vt:i4>
      </vt:variant>
      <vt:variant>
        <vt:i4>0</vt:i4>
      </vt:variant>
      <vt:variant>
        <vt:i4>5</vt:i4>
      </vt:variant>
      <vt:variant>
        <vt:lpwstr>http://web2.westlaw.com/find/default.wl?mt=Communications&amp;db=1000546&amp;rs=WLW12.04&amp;docname=47USCAS154&amp;rp=%2ffind%2fdefault.wl&amp;findtype=L&amp;ordoc=2011089772&amp;tc=-1&amp;vr=2.0&amp;fn=_top&amp;sv=Split&amp;tf=-1&amp;pbc=AB4595E3&amp;utid=1</vt:lpwstr>
      </vt:variant>
      <vt:variant>
        <vt:lpwstr/>
      </vt:variant>
      <vt:variant>
        <vt:i4>4980837</vt:i4>
      </vt:variant>
      <vt:variant>
        <vt:i4>3</vt:i4>
      </vt:variant>
      <vt:variant>
        <vt:i4>0</vt:i4>
      </vt:variant>
      <vt:variant>
        <vt:i4>5</vt:i4>
      </vt:variant>
      <vt:variant>
        <vt:lpwstr>http://web2.westlaw.com/find/default.wl?mt=Communications&amp;db=350&amp;rs=WLW13.04&amp;tc=-1&amp;rp=%2ffind%2fdefault.wl&amp;findtype=Y&amp;ordoc=2022356659&amp;serialnum=1990047144&amp;vr=2.0&amp;fn=_top&amp;sv=Split&amp;tf=-1&amp;referencepositiontype=S&amp;pbc=452EB758&amp;referenceposition=1166&amp;utid=1</vt:lpwstr>
      </vt:variant>
      <vt:variant>
        <vt:lpwstr/>
      </vt:variant>
      <vt:variant>
        <vt:i4>4980837</vt:i4>
      </vt:variant>
      <vt:variant>
        <vt:i4>0</vt:i4>
      </vt:variant>
      <vt:variant>
        <vt:i4>0</vt:i4>
      </vt:variant>
      <vt:variant>
        <vt:i4>5</vt:i4>
      </vt:variant>
      <vt:variant>
        <vt:lpwstr>http://web2.westlaw.com/find/default.wl?mt=Communications&amp;db=350&amp;rs=WLW13.04&amp;tc=-1&amp;rp=%2ffind%2fdefault.wl&amp;findtype=Y&amp;ordoc=2022356659&amp;serialnum=1990047144&amp;vr=2.0&amp;fn=_top&amp;sv=Split&amp;tf=-1&amp;referencepositiontype=S&amp;pbc=452EB758&amp;referenceposition=1166&amp;u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2012-09-06T16:01:00Z</cp:lastPrinted>
  <dcterms:created xsi:type="dcterms:W3CDTF">2013-07-16T14:18:00Z</dcterms:created>
  <dcterms:modified xsi:type="dcterms:W3CDTF">2013-07-16T14:18:00Z</dcterms:modified>
  <cp:category> </cp:category>
  <cp:contentStatus> </cp:contentStatus>
</cp:coreProperties>
</file>