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CA3FC" w14:textId="6AEFB272" w:rsidR="00614DD1" w:rsidRPr="00410DAE" w:rsidRDefault="00614DD1" w:rsidP="006370DD">
      <w:pPr>
        <w:jc w:val="right"/>
        <w:rPr>
          <w:rFonts w:ascii="Times New Roman" w:hAnsi="Times New Roman"/>
          <w:b/>
          <w:snapToGrid w:val="0"/>
          <w:sz w:val="22"/>
          <w:szCs w:val="22"/>
        </w:rPr>
      </w:pPr>
      <w:bookmarkStart w:id="0" w:name="_GoBack"/>
      <w:bookmarkEnd w:id="0"/>
      <w:r w:rsidRPr="00410DAE">
        <w:rPr>
          <w:rFonts w:ascii="Times New Roman" w:hAnsi="Times New Roman"/>
          <w:b/>
          <w:snapToGrid w:val="0"/>
          <w:sz w:val="22"/>
          <w:szCs w:val="22"/>
        </w:rPr>
        <w:t>DA 13-</w:t>
      </w:r>
      <w:r w:rsidR="00410DAE" w:rsidRPr="00410DAE">
        <w:rPr>
          <w:rFonts w:ascii="Times New Roman" w:hAnsi="Times New Roman"/>
          <w:b/>
          <w:snapToGrid w:val="0"/>
          <w:sz w:val="22"/>
          <w:szCs w:val="22"/>
        </w:rPr>
        <w:t>1613</w:t>
      </w:r>
    </w:p>
    <w:p w14:paraId="632BF0EF" w14:textId="37048B7F" w:rsidR="00614DD1" w:rsidRPr="00611E75" w:rsidRDefault="00A65D2A" w:rsidP="006370DD">
      <w:pPr>
        <w:jc w:val="right"/>
        <w:rPr>
          <w:rFonts w:ascii="Times New Roman" w:hAnsi="Times New Roman"/>
          <w:b/>
          <w:snapToGrid w:val="0"/>
          <w:sz w:val="22"/>
          <w:szCs w:val="22"/>
        </w:rPr>
      </w:pPr>
      <w:r w:rsidRPr="00611E75">
        <w:rPr>
          <w:rFonts w:ascii="Times New Roman" w:hAnsi="Times New Roman"/>
          <w:b/>
          <w:snapToGrid w:val="0"/>
          <w:sz w:val="22"/>
          <w:szCs w:val="22"/>
        </w:rPr>
        <w:t xml:space="preserve">Released:  </w:t>
      </w:r>
      <w:r w:rsidR="00A12149" w:rsidRPr="00611E75">
        <w:rPr>
          <w:rFonts w:ascii="Times New Roman" w:hAnsi="Times New Roman"/>
          <w:b/>
          <w:snapToGrid w:val="0"/>
          <w:sz w:val="22"/>
          <w:szCs w:val="22"/>
        </w:rPr>
        <w:t>July</w:t>
      </w:r>
      <w:r w:rsidR="00614DD1" w:rsidRPr="00611E75">
        <w:rPr>
          <w:rFonts w:ascii="Times New Roman" w:hAnsi="Times New Roman"/>
          <w:b/>
          <w:snapToGrid w:val="0"/>
          <w:sz w:val="22"/>
          <w:szCs w:val="22"/>
        </w:rPr>
        <w:t xml:space="preserve"> </w:t>
      </w:r>
      <w:r w:rsidR="00410DAE">
        <w:rPr>
          <w:rFonts w:ascii="Times New Roman" w:hAnsi="Times New Roman"/>
          <w:b/>
          <w:snapToGrid w:val="0"/>
          <w:sz w:val="22"/>
          <w:szCs w:val="22"/>
        </w:rPr>
        <w:t>22</w:t>
      </w:r>
      <w:r w:rsidR="00614DD1" w:rsidRPr="00611E75">
        <w:rPr>
          <w:rFonts w:ascii="Times New Roman" w:hAnsi="Times New Roman"/>
          <w:b/>
          <w:snapToGrid w:val="0"/>
          <w:sz w:val="22"/>
          <w:szCs w:val="22"/>
        </w:rPr>
        <w:t>, 2013</w:t>
      </w:r>
    </w:p>
    <w:p w14:paraId="27C6DA5E" w14:textId="77777777" w:rsidR="00614DD1" w:rsidRPr="00611E75" w:rsidRDefault="00614DD1" w:rsidP="006370DD">
      <w:pPr>
        <w:rPr>
          <w:rFonts w:ascii="Times New Roman" w:hAnsi="Times New Roman"/>
          <w:b/>
          <w:sz w:val="22"/>
          <w:szCs w:val="22"/>
        </w:rPr>
      </w:pPr>
    </w:p>
    <w:p w14:paraId="60D4A687" w14:textId="77777777" w:rsidR="00410DAE" w:rsidRDefault="00B85AD6" w:rsidP="006370DD">
      <w:pPr>
        <w:jc w:val="center"/>
        <w:rPr>
          <w:rFonts w:ascii="Times New Roman" w:hAnsi="Times New Roman"/>
          <w:b/>
          <w:sz w:val="22"/>
          <w:szCs w:val="22"/>
        </w:rPr>
      </w:pPr>
      <w:r>
        <w:rPr>
          <w:rFonts w:ascii="Times New Roman" w:hAnsi="Times New Roman"/>
          <w:b/>
          <w:sz w:val="22"/>
          <w:szCs w:val="22"/>
        </w:rPr>
        <w:t xml:space="preserve">INCENTIVE AUCTION TASK FORCE </w:t>
      </w:r>
      <w:r w:rsidR="0036713E" w:rsidRPr="00611E75">
        <w:rPr>
          <w:rFonts w:ascii="Times New Roman" w:hAnsi="Times New Roman"/>
          <w:b/>
          <w:sz w:val="22"/>
          <w:szCs w:val="22"/>
        </w:rPr>
        <w:t>RELEASE</w:t>
      </w:r>
      <w:r>
        <w:rPr>
          <w:rFonts w:ascii="Times New Roman" w:hAnsi="Times New Roman"/>
          <w:b/>
          <w:sz w:val="22"/>
          <w:szCs w:val="22"/>
        </w:rPr>
        <w:t>S</w:t>
      </w:r>
      <w:r w:rsidR="0036713E" w:rsidRPr="00611E75">
        <w:rPr>
          <w:rFonts w:ascii="Times New Roman" w:hAnsi="Times New Roman"/>
          <w:b/>
          <w:sz w:val="22"/>
          <w:szCs w:val="22"/>
        </w:rPr>
        <w:t xml:space="preserve"> </w:t>
      </w:r>
      <w:r w:rsidR="009A287C">
        <w:rPr>
          <w:rFonts w:ascii="Times New Roman" w:hAnsi="Times New Roman"/>
          <w:b/>
          <w:sz w:val="22"/>
          <w:szCs w:val="22"/>
        </w:rPr>
        <w:t xml:space="preserve">INFORMATION </w:t>
      </w:r>
    </w:p>
    <w:p w14:paraId="12B3FDF3" w14:textId="59057324" w:rsidR="00614DD1" w:rsidRPr="00611E75" w:rsidRDefault="009A287C" w:rsidP="006370DD">
      <w:pPr>
        <w:jc w:val="center"/>
        <w:rPr>
          <w:rFonts w:ascii="Times New Roman" w:hAnsi="Times New Roman"/>
          <w:b/>
          <w:sz w:val="22"/>
          <w:szCs w:val="22"/>
        </w:rPr>
      </w:pPr>
      <w:r>
        <w:rPr>
          <w:rFonts w:ascii="Times New Roman" w:hAnsi="Times New Roman"/>
          <w:b/>
          <w:sz w:val="22"/>
          <w:szCs w:val="22"/>
        </w:rPr>
        <w:t>RELATED TO INCENTIVE AUCTION</w:t>
      </w:r>
      <w:r w:rsidR="00A12149" w:rsidRPr="00611E75">
        <w:rPr>
          <w:rFonts w:ascii="Times New Roman" w:hAnsi="Times New Roman"/>
          <w:b/>
          <w:sz w:val="22"/>
          <w:szCs w:val="22"/>
        </w:rPr>
        <w:t xml:space="preserve"> REPACKING</w:t>
      </w:r>
    </w:p>
    <w:p w14:paraId="1E2216CA" w14:textId="77777777" w:rsidR="00380C17" w:rsidRDefault="00614DD1" w:rsidP="006370DD">
      <w:pPr>
        <w:jc w:val="center"/>
        <w:rPr>
          <w:rFonts w:ascii="Times New Roman" w:hAnsi="Times New Roman"/>
          <w:b/>
          <w:sz w:val="22"/>
          <w:szCs w:val="22"/>
        </w:rPr>
      </w:pPr>
      <w:r w:rsidRPr="00611E75">
        <w:rPr>
          <w:rFonts w:ascii="Times New Roman" w:hAnsi="Times New Roman"/>
          <w:b/>
          <w:sz w:val="22"/>
          <w:szCs w:val="22"/>
        </w:rPr>
        <w:t>GN Docket No. 12-268</w:t>
      </w:r>
    </w:p>
    <w:p w14:paraId="1CD1101D" w14:textId="77777777" w:rsidR="0048379D" w:rsidRPr="00611E75" w:rsidRDefault="0048379D" w:rsidP="006370DD">
      <w:pPr>
        <w:jc w:val="center"/>
        <w:rPr>
          <w:rFonts w:ascii="Times New Roman" w:hAnsi="Times New Roman"/>
          <w:b/>
          <w:sz w:val="22"/>
          <w:szCs w:val="22"/>
        </w:rPr>
      </w:pPr>
      <w:r>
        <w:rPr>
          <w:rFonts w:ascii="Times New Roman" w:hAnsi="Times New Roman"/>
          <w:b/>
          <w:sz w:val="22"/>
          <w:szCs w:val="22"/>
        </w:rPr>
        <w:t>ET Docket No. 13-26</w:t>
      </w:r>
    </w:p>
    <w:p w14:paraId="1B63DC03" w14:textId="77777777" w:rsidR="00380C17" w:rsidRPr="00611E75" w:rsidRDefault="00380C17" w:rsidP="006370DD">
      <w:pPr>
        <w:ind w:firstLine="720"/>
        <w:rPr>
          <w:rFonts w:ascii="Times New Roman" w:hAnsi="Times New Roman"/>
          <w:sz w:val="22"/>
          <w:szCs w:val="22"/>
        </w:rPr>
      </w:pPr>
    </w:p>
    <w:p w14:paraId="60FC30C3" w14:textId="77777777" w:rsidR="009A287C" w:rsidRDefault="000E4D53" w:rsidP="000E4D53">
      <w:pPr>
        <w:rPr>
          <w:rFonts w:ascii="Times New Roman" w:hAnsi="Times New Roman"/>
          <w:sz w:val="22"/>
          <w:szCs w:val="22"/>
        </w:rPr>
      </w:pPr>
      <w:r>
        <w:rPr>
          <w:rFonts w:ascii="Times New Roman" w:hAnsi="Times New Roman"/>
          <w:sz w:val="22"/>
          <w:szCs w:val="22"/>
        </w:rPr>
        <w:t xml:space="preserve">     </w:t>
      </w:r>
      <w:r w:rsidR="009A287C">
        <w:rPr>
          <w:rFonts w:ascii="Times New Roman" w:hAnsi="Times New Roman"/>
          <w:sz w:val="22"/>
          <w:szCs w:val="22"/>
        </w:rPr>
        <w:t xml:space="preserve">As stated in the Notice of Proposed Rulemaking, </w:t>
      </w:r>
      <w:r w:rsidR="009A287C" w:rsidRPr="00BC2DFB">
        <w:rPr>
          <w:rFonts w:ascii="Times New Roman" w:hAnsi="Times New Roman"/>
          <w:sz w:val="22"/>
          <w:szCs w:val="22"/>
        </w:rPr>
        <w:t>the incentive auction will have three major pieces:  a reverse auction, a forward auction, and a reorganization or “repacking” of the broadcast television bands</w:t>
      </w:r>
      <w:r w:rsidR="00370335">
        <w:rPr>
          <w:rFonts w:ascii="Times New Roman" w:hAnsi="Times New Roman"/>
          <w:sz w:val="22"/>
          <w:szCs w:val="22"/>
        </w:rPr>
        <w:t>, which is likely to include the reassignment of some television stations to new channels</w:t>
      </w:r>
      <w:r w:rsidR="009A287C" w:rsidRPr="00BC2DFB">
        <w:rPr>
          <w:rFonts w:ascii="Times New Roman" w:hAnsi="Times New Roman"/>
          <w:sz w:val="22"/>
          <w:szCs w:val="22"/>
        </w:rPr>
        <w:t>.</w:t>
      </w:r>
      <w:r w:rsidR="009A287C" w:rsidRPr="00611E75">
        <w:rPr>
          <w:rStyle w:val="FootnoteReference"/>
          <w:szCs w:val="22"/>
        </w:rPr>
        <w:footnoteReference w:id="2"/>
      </w:r>
      <w:r w:rsidR="009A287C" w:rsidRPr="00BC2DFB">
        <w:rPr>
          <w:rFonts w:ascii="Times New Roman" w:hAnsi="Times New Roman"/>
          <w:sz w:val="22"/>
          <w:szCs w:val="22"/>
        </w:rPr>
        <w:t xml:space="preserve">  The data and </w:t>
      </w:r>
      <w:r w:rsidR="00370335">
        <w:rPr>
          <w:rFonts w:ascii="Times New Roman" w:hAnsi="Times New Roman"/>
          <w:sz w:val="22"/>
          <w:szCs w:val="22"/>
        </w:rPr>
        <w:t xml:space="preserve">updated </w:t>
      </w:r>
      <w:r w:rsidR="009A287C" w:rsidRPr="00BC2DFB">
        <w:rPr>
          <w:rFonts w:ascii="Times New Roman" w:hAnsi="Times New Roman"/>
          <w:sz w:val="22"/>
          <w:szCs w:val="22"/>
        </w:rPr>
        <w:t xml:space="preserve">software </w:t>
      </w:r>
      <w:r w:rsidR="006C09F1">
        <w:rPr>
          <w:rFonts w:ascii="Times New Roman" w:hAnsi="Times New Roman"/>
          <w:sz w:val="22"/>
          <w:szCs w:val="22"/>
        </w:rPr>
        <w:t>we</w:t>
      </w:r>
      <w:r w:rsidR="00DC338F">
        <w:rPr>
          <w:rFonts w:ascii="Times New Roman" w:hAnsi="Times New Roman"/>
          <w:sz w:val="22"/>
          <w:szCs w:val="22"/>
        </w:rPr>
        <w:t xml:space="preserve"> are </w:t>
      </w:r>
      <w:r w:rsidR="009A287C" w:rsidRPr="00BC2DFB">
        <w:rPr>
          <w:rFonts w:ascii="Times New Roman" w:hAnsi="Times New Roman"/>
          <w:sz w:val="22"/>
          <w:szCs w:val="22"/>
        </w:rPr>
        <w:t>releas</w:t>
      </w:r>
      <w:r w:rsidR="00DC338F">
        <w:rPr>
          <w:rFonts w:ascii="Times New Roman" w:hAnsi="Times New Roman"/>
          <w:sz w:val="22"/>
          <w:szCs w:val="22"/>
        </w:rPr>
        <w:t xml:space="preserve">ing in connection with this Public Notice </w:t>
      </w:r>
      <w:r w:rsidR="009A287C" w:rsidRPr="00BC2DFB">
        <w:rPr>
          <w:rFonts w:ascii="Times New Roman" w:hAnsi="Times New Roman"/>
          <w:sz w:val="22"/>
          <w:szCs w:val="22"/>
        </w:rPr>
        <w:t xml:space="preserve">are relevant to the repacking component of the incentive auction.  </w:t>
      </w:r>
      <w:r w:rsidR="004D5199">
        <w:rPr>
          <w:rFonts w:ascii="Times New Roman" w:hAnsi="Times New Roman"/>
          <w:sz w:val="22"/>
          <w:szCs w:val="22"/>
        </w:rPr>
        <w:t>Specifically, t</w:t>
      </w:r>
      <w:r w:rsidR="004D5199" w:rsidRPr="00611E75">
        <w:rPr>
          <w:rFonts w:ascii="Times New Roman" w:hAnsi="Times New Roman"/>
          <w:sz w:val="22"/>
          <w:szCs w:val="22"/>
        </w:rPr>
        <w:t xml:space="preserve">he </w:t>
      </w:r>
      <w:r w:rsidR="004D5199">
        <w:rPr>
          <w:rFonts w:ascii="Times New Roman" w:hAnsi="Times New Roman"/>
          <w:sz w:val="22"/>
          <w:szCs w:val="22"/>
        </w:rPr>
        <w:t xml:space="preserve">material </w:t>
      </w:r>
      <w:r w:rsidR="00DC338F">
        <w:rPr>
          <w:rFonts w:ascii="Times New Roman" w:hAnsi="Times New Roman"/>
          <w:sz w:val="22"/>
          <w:szCs w:val="22"/>
        </w:rPr>
        <w:t xml:space="preserve">being </w:t>
      </w:r>
      <w:r w:rsidR="004D5199" w:rsidRPr="00611E75">
        <w:rPr>
          <w:rFonts w:ascii="Times New Roman" w:hAnsi="Times New Roman"/>
          <w:sz w:val="22"/>
          <w:szCs w:val="22"/>
        </w:rPr>
        <w:t>releas</w:t>
      </w:r>
      <w:r w:rsidR="00DC338F">
        <w:rPr>
          <w:rFonts w:ascii="Times New Roman" w:hAnsi="Times New Roman"/>
          <w:sz w:val="22"/>
          <w:szCs w:val="22"/>
        </w:rPr>
        <w:t>ed</w:t>
      </w:r>
      <w:r w:rsidR="004D5199" w:rsidRPr="00611E75">
        <w:rPr>
          <w:rFonts w:ascii="Times New Roman" w:hAnsi="Times New Roman"/>
          <w:sz w:val="22"/>
          <w:szCs w:val="22"/>
        </w:rPr>
        <w:t xml:space="preserve"> represent</w:t>
      </w:r>
      <w:r w:rsidR="004D5199">
        <w:rPr>
          <w:rFonts w:ascii="Times New Roman" w:hAnsi="Times New Roman"/>
          <w:sz w:val="22"/>
          <w:szCs w:val="22"/>
        </w:rPr>
        <w:t>s</w:t>
      </w:r>
      <w:r w:rsidR="004D5199" w:rsidRPr="00611E75">
        <w:rPr>
          <w:rFonts w:ascii="Times New Roman" w:hAnsi="Times New Roman"/>
          <w:sz w:val="22"/>
          <w:szCs w:val="22"/>
        </w:rPr>
        <w:t xml:space="preserve"> the results of </w:t>
      </w:r>
      <w:r w:rsidR="004D5199">
        <w:rPr>
          <w:rFonts w:ascii="Times New Roman" w:hAnsi="Times New Roman"/>
          <w:sz w:val="22"/>
          <w:szCs w:val="22"/>
        </w:rPr>
        <w:t xml:space="preserve">a </w:t>
      </w:r>
      <w:r w:rsidR="004D5199" w:rsidRPr="00611E75">
        <w:rPr>
          <w:rFonts w:ascii="Times New Roman" w:hAnsi="Times New Roman"/>
          <w:sz w:val="22"/>
          <w:szCs w:val="22"/>
        </w:rPr>
        <w:t xml:space="preserve">staff analysis of whether a television station </w:t>
      </w:r>
      <w:r w:rsidR="004D5199">
        <w:rPr>
          <w:rFonts w:ascii="Times New Roman" w:hAnsi="Times New Roman"/>
          <w:sz w:val="22"/>
          <w:szCs w:val="22"/>
        </w:rPr>
        <w:t>could</w:t>
      </w:r>
      <w:r w:rsidR="004D5199" w:rsidRPr="00611E75">
        <w:rPr>
          <w:rFonts w:ascii="Times New Roman" w:hAnsi="Times New Roman"/>
          <w:sz w:val="22"/>
          <w:szCs w:val="22"/>
        </w:rPr>
        <w:t xml:space="preserve"> be assigned to particular channels in the </w:t>
      </w:r>
      <w:r w:rsidR="00035098">
        <w:rPr>
          <w:rFonts w:ascii="Times New Roman" w:hAnsi="Times New Roman"/>
          <w:sz w:val="22"/>
          <w:szCs w:val="22"/>
        </w:rPr>
        <w:t xml:space="preserve">incentive auction </w:t>
      </w:r>
      <w:r w:rsidR="004D5199">
        <w:rPr>
          <w:rFonts w:ascii="Times New Roman" w:hAnsi="Times New Roman"/>
          <w:sz w:val="22"/>
          <w:szCs w:val="22"/>
        </w:rPr>
        <w:t>repacking</w:t>
      </w:r>
      <w:r w:rsidR="004D5199" w:rsidRPr="00611E75">
        <w:rPr>
          <w:rFonts w:ascii="Times New Roman" w:hAnsi="Times New Roman"/>
          <w:sz w:val="22"/>
          <w:szCs w:val="22"/>
        </w:rPr>
        <w:t xml:space="preserve"> process</w:t>
      </w:r>
      <w:r w:rsidR="004D5199">
        <w:rPr>
          <w:rFonts w:ascii="Times New Roman" w:hAnsi="Times New Roman"/>
          <w:sz w:val="22"/>
          <w:szCs w:val="22"/>
        </w:rPr>
        <w:t>,</w:t>
      </w:r>
      <w:r w:rsidR="004D5199" w:rsidRPr="00611E75">
        <w:rPr>
          <w:rFonts w:ascii="Times New Roman" w:hAnsi="Times New Roman"/>
          <w:sz w:val="22"/>
          <w:szCs w:val="22"/>
        </w:rPr>
        <w:t xml:space="preserve"> consistent with statutory and other requirements</w:t>
      </w:r>
      <w:r w:rsidR="004D5199">
        <w:rPr>
          <w:rFonts w:ascii="Times New Roman" w:hAnsi="Times New Roman"/>
          <w:sz w:val="22"/>
          <w:szCs w:val="22"/>
        </w:rPr>
        <w:t xml:space="preserve">, based on certain </w:t>
      </w:r>
      <w:r w:rsidR="00E73E8A">
        <w:rPr>
          <w:rFonts w:ascii="Times New Roman" w:hAnsi="Times New Roman"/>
          <w:sz w:val="22"/>
          <w:szCs w:val="22"/>
        </w:rPr>
        <w:t xml:space="preserve">preliminary </w:t>
      </w:r>
      <w:r w:rsidR="004D5199">
        <w:rPr>
          <w:rFonts w:ascii="Times New Roman" w:hAnsi="Times New Roman"/>
          <w:sz w:val="22"/>
          <w:szCs w:val="22"/>
        </w:rPr>
        <w:t>assumptions</w:t>
      </w:r>
      <w:r w:rsidR="004D5199" w:rsidRPr="00611E75">
        <w:rPr>
          <w:rFonts w:ascii="Times New Roman" w:hAnsi="Times New Roman"/>
          <w:sz w:val="22"/>
          <w:szCs w:val="22"/>
        </w:rPr>
        <w:t>.</w:t>
      </w:r>
      <w:r w:rsidR="008F1285">
        <w:rPr>
          <w:rFonts w:ascii="Times New Roman" w:hAnsi="Times New Roman"/>
          <w:sz w:val="22"/>
          <w:szCs w:val="22"/>
        </w:rPr>
        <w:t xml:space="preserve">  </w:t>
      </w:r>
      <w:r w:rsidR="001B3986">
        <w:rPr>
          <w:rFonts w:ascii="Times New Roman" w:hAnsi="Times New Roman"/>
          <w:sz w:val="22"/>
          <w:szCs w:val="22"/>
        </w:rPr>
        <w:t>T</w:t>
      </w:r>
      <w:r w:rsidR="008F1285" w:rsidRPr="008415FA">
        <w:rPr>
          <w:rFonts w:ascii="Times New Roman" w:hAnsi="Times New Roman"/>
          <w:sz w:val="22"/>
          <w:szCs w:val="22"/>
        </w:rPr>
        <w:t xml:space="preserve">he </w:t>
      </w:r>
      <w:r w:rsidR="008F1285">
        <w:rPr>
          <w:rFonts w:ascii="Times New Roman" w:hAnsi="Times New Roman"/>
          <w:sz w:val="22"/>
          <w:szCs w:val="22"/>
        </w:rPr>
        <w:t xml:space="preserve">assumptions are </w:t>
      </w:r>
      <w:r w:rsidR="00E73E8A">
        <w:rPr>
          <w:rFonts w:ascii="Times New Roman" w:hAnsi="Times New Roman"/>
          <w:sz w:val="22"/>
          <w:szCs w:val="22"/>
        </w:rPr>
        <w:t xml:space="preserve">necessary for completing the analysis but are </w:t>
      </w:r>
      <w:r w:rsidR="008F1285">
        <w:rPr>
          <w:rFonts w:ascii="Times New Roman" w:hAnsi="Times New Roman"/>
          <w:sz w:val="22"/>
          <w:szCs w:val="22"/>
        </w:rPr>
        <w:t xml:space="preserve">for illustrative purposes only; the Commission has made no decision on them yet.  </w:t>
      </w:r>
      <w:r w:rsidR="001B3986">
        <w:rPr>
          <w:rFonts w:ascii="Times New Roman" w:hAnsi="Times New Roman"/>
          <w:sz w:val="22"/>
          <w:szCs w:val="22"/>
        </w:rPr>
        <w:t>As discussed below, w</w:t>
      </w:r>
      <w:r w:rsidR="008F1285">
        <w:rPr>
          <w:rFonts w:ascii="Times New Roman" w:hAnsi="Times New Roman"/>
          <w:sz w:val="22"/>
          <w:szCs w:val="22"/>
        </w:rPr>
        <w:t xml:space="preserve">e anticipate that additional elements of the </w:t>
      </w:r>
      <w:r w:rsidR="00E73E8A">
        <w:rPr>
          <w:rFonts w:ascii="Times New Roman" w:hAnsi="Times New Roman"/>
          <w:sz w:val="22"/>
          <w:szCs w:val="22"/>
        </w:rPr>
        <w:t xml:space="preserve">incentive auction </w:t>
      </w:r>
      <w:r w:rsidR="008F1285">
        <w:rPr>
          <w:rFonts w:ascii="Times New Roman" w:hAnsi="Times New Roman"/>
          <w:sz w:val="22"/>
          <w:szCs w:val="22"/>
        </w:rPr>
        <w:t>repacking process, including details about h</w:t>
      </w:r>
      <w:r w:rsidR="00DC338F">
        <w:rPr>
          <w:rFonts w:ascii="Times New Roman" w:hAnsi="Times New Roman"/>
          <w:sz w:val="22"/>
          <w:szCs w:val="22"/>
        </w:rPr>
        <w:t xml:space="preserve">ow </w:t>
      </w:r>
      <w:r w:rsidR="008F1285">
        <w:rPr>
          <w:rFonts w:ascii="Times New Roman" w:hAnsi="Times New Roman"/>
          <w:sz w:val="22"/>
          <w:szCs w:val="22"/>
        </w:rPr>
        <w:t>bids</w:t>
      </w:r>
      <w:r w:rsidR="00DC338F">
        <w:rPr>
          <w:rFonts w:ascii="Times New Roman" w:hAnsi="Times New Roman"/>
          <w:sz w:val="22"/>
          <w:szCs w:val="22"/>
        </w:rPr>
        <w:t xml:space="preserve"> will be selected</w:t>
      </w:r>
      <w:r w:rsidR="008F1285">
        <w:rPr>
          <w:rFonts w:ascii="Times New Roman" w:hAnsi="Times New Roman"/>
          <w:sz w:val="22"/>
          <w:szCs w:val="22"/>
        </w:rPr>
        <w:t xml:space="preserve">, how </w:t>
      </w:r>
      <w:r w:rsidR="00DC338F">
        <w:rPr>
          <w:rFonts w:ascii="Times New Roman" w:hAnsi="Times New Roman"/>
          <w:sz w:val="22"/>
          <w:szCs w:val="22"/>
        </w:rPr>
        <w:t>channels</w:t>
      </w:r>
      <w:r w:rsidR="008F1285">
        <w:rPr>
          <w:rFonts w:ascii="Times New Roman" w:hAnsi="Times New Roman"/>
          <w:sz w:val="22"/>
          <w:szCs w:val="22"/>
        </w:rPr>
        <w:t xml:space="preserve"> will </w:t>
      </w:r>
      <w:r w:rsidR="00DC338F">
        <w:rPr>
          <w:rFonts w:ascii="Times New Roman" w:hAnsi="Times New Roman"/>
          <w:sz w:val="22"/>
          <w:szCs w:val="22"/>
        </w:rPr>
        <w:t xml:space="preserve">be </w:t>
      </w:r>
      <w:r w:rsidR="008F1285">
        <w:rPr>
          <w:rFonts w:ascii="Times New Roman" w:hAnsi="Times New Roman"/>
          <w:sz w:val="22"/>
          <w:szCs w:val="22"/>
        </w:rPr>
        <w:t>assign</w:t>
      </w:r>
      <w:r w:rsidR="00DC338F">
        <w:rPr>
          <w:rFonts w:ascii="Times New Roman" w:hAnsi="Times New Roman"/>
          <w:sz w:val="22"/>
          <w:szCs w:val="22"/>
        </w:rPr>
        <w:t>ed</w:t>
      </w:r>
      <w:r w:rsidR="008F1285">
        <w:rPr>
          <w:rFonts w:ascii="Times New Roman" w:hAnsi="Times New Roman"/>
          <w:sz w:val="22"/>
          <w:szCs w:val="22"/>
        </w:rPr>
        <w:t>, and algorithms for carrying out these and other elements of the repacking process, will be made public in the coming months.</w:t>
      </w:r>
      <w:r w:rsidR="00EE5C25">
        <w:rPr>
          <w:rFonts w:ascii="Times New Roman" w:hAnsi="Times New Roman"/>
          <w:sz w:val="22"/>
          <w:szCs w:val="22"/>
        </w:rPr>
        <w:t xml:space="preserve">  </w:t>
      </w:r>
      <w:r w:rsidR="00375689">
        <w:rPr>
          <w:rFonts w:ascii="Times New Roman" w:hAnsi="Times New Roman"/>
          <w:sz w:val="22"/>
          <w:szCs w:val="22"/>
        </w:rPr>
        <w:t xml:space="preserve">As is the case with the repacking component of the incentive auction, final decisions regarding these elements of the incentive auction will be made by the full Commission.  </w:t>
      </w:r>
      <w:r w:rsidR="00EE5C25" w:rsidRPr="00EE5C25">
        <w:rPr>
          <w:rFonts w:ascii="Times New Roman" w:hAnsi="Times New Roman"/>
          <w:sz w:val="22"/>
          <w:szCs w:val="22"/>
        </w:rPr>
        <w:t xml:space="preserve">We </w:t>
      </w:r>
      <w:r w:rsidR="00EE5C25">
        <w:rPr>
          <w:rFonts w:ascii="Times New Roman" w:hAnsi="Times New Roman"/>
          <w:sz w:val="22"/>
          <w:szCs w:val="22"/>
        </w:rPr>
        <w:t>believe our action today</w:t>
      </w:r>
      <w:r w:rsidR="00EE5C25" w:rsidRPr="00EE5C25">
        <w:rPr>
          <w:rFonts w:ascii="Times New Roman" w:hAnsi="Times New Roman"/>
          <w:sz w:val="22"/>
          <w:szCs w:val="22"/>
        </w:rPr>
        <w:t xml:space="preserve"> is an important step in the process of designing a successful incentive auction</w:t>
      </w:r>
      <w:r w:rsidR="00EE5C25">
        <w:rPr>
          <w:rFonts w:ascii="Times New Roman" w:hAnsi="Times New Roman"/>
          <w:sz w:val="22"/>
          <w:szCs w:val="22"/>
        </w:rPr>
        <w:t>.</w:t>
      </w:r>
    </w:p>
    <w:p w14:paraId="45E7823B" w14:textId="77777777" w:rsidR="006370DD" w:rsidRPr="00BC2DFB" w:rsidRDefault="006370DD" w:rsidP="006370DD">
      <w:pPr>
        <w:ind w:firstLine="720"/>
        <w:rPr>
          <w:rFonts w:ascii="Times New Roman" w:hAnsi="Times New Roman"/>
          <w:sz w:val="22"/>
          <w:szCs w:val="22"/>
        </w:rPr>
      </w:pPr>
    </w:p>
    <w:p w14:paraId="5D7BDFA8" w14:textId="77777777" w:rsidR="00E73D28" w:rsidRDefault="000E4D53" w:rsidP="000E4D53">
      <w:pPr>
        <w:rPr>
          <w:rFonts w:ascii="Times New Roman" w:hAnsi="Times New Roman"/>
          <w:sz w:val="22"/>
          <w:szCs w:val="22"/>
        </w:rPr>
      </w:pPr>
      <w:r>
        <w:rPr>
          <w:rFonts w:ascii="Times New Roman" w:hAnsi="Times New Roman"/>
          <w:sz w:val="22"/>
          <w:szCs w:val="22"/>
        </w:rPr>
        <w:t xml:space="preserve">     </w:t>
      </w:r>
      <w:r w:rsidR="00E73D28" w:rsidRPr="00BC2DFB">
        <w:rPr>
          <w:rFonts w:ascii="Times New Roman" w:hAnsi="Times New Roman"/>
          <w:sz w:val="22"/>
          <w:szCs w:val="22"/>
        </w:rPr>
        <w:t xml:space="preserve">In order to build a record on which Commission decisions can be based, and to improve the ability of </w:t>
      </w:r>
      <w:r w:rsidR="00E177C5">
        <w:rPr>
          <w:rFonts w:ascii="Times New Roman" w:hAnsi="Times New Roman"/>
          <w:sz w:val="22"/>
          <w:szCs w:val="22"/>
        </w:rPr>
        <w:t xml:space="preserve">interested parties </w:t>
      </w:r>
      <w:r w:rsidR="00E73D28" w:rsidRPr="00BC2DFB">
        <w:rPr>
          <w:rFonts w:ascii="Times New Roman" w:hAnsi="Times New Roman"/>
          <w:sz w:val="22"/>
          <w:szCs w:val="22"/>
        </w:rPr>
        <w:t xml:space="preserve">to analyze issues on which the Commission has sought comment, we </w:t>
      </w:r>
      <w:r w:rsidR="00DC338F">
        <w:rPr>
          <w:rFonts w:ascii="Times New Roman" w:hAnsi="Times New Roman"/>
          <w:sz w:val="22"/>
          <w:szCs w:val="22"/>
        </w:rPr>
        <w:t>will be</w:t>
      </w:r>
      <w:r w:rsidR="00E73D28" w:rsidRPr="00BC2DFB">
        <w:rPr>
          <w:rFonts w:ascii="Times New Roman" w:hAnsi="Times New Roman"/>
          <w:sz w:val="22"/>
          <w:szCs w:val="22"/>
        </w:rPr>
        <w:t xml:space="preserve"> releasing </w:t>
      </w:r>
      <w:r w:rsidR="00DC338F">
        <w:rPr>
          <w:rFonts w:ascii="Times New Roman" w:hAnsi="Times New Roman"/>
          <w:sz w:val="22"/>
          <w:szCs w:val="22"/>
        </w:rPr>
        <w:t xml:space="preserve">in connection with this Public Notice </w:t>
      </w:r>
      <w:r w:rsidR="004D5199">
        <w:rPr>
          <w:rFonts w:ascii="Times New Roman" w:hAnsi="Times New Roman"/>
          <w:sz w:val="22"/>
          <w:szCs w:val="22"/>
        </w:rPr>
        <w:t>updated software and two</w:t>
      </w:r>
      <w:r w:rsidR="004D5199" w:rsidRPr="00BC2DFB">
        <w:rPr>
          <w:rFonts w:ascii="Times New Roman" w:hAnsi="Times New Roman"/>
          <w:sz w:val="22"/>
          <w:szCs w:val="22"/>
        </w:rPr>
        <w:t xml:space="preserve"> </w:t>
      </w:r>
      <w:r w:rsidR="00E73D28" w:rsidRPr="00BC2DFB">
        <w:rPr>
          <w:rFonts w:ascii="Times New Roman" w:hAnsi="Times New Roman"/>
          <w:sz w:val="22"/>
          <w:szCs w:val="22"/>
        </w:rPr>
        <w:t>types of information related to repacking</w:t>
      </w:r>
      <w:r w:rsidR="00854F48">
        <w:rPr>
          <w:rFonts w:ascii="Times New Roman" w:hAnsi="Times New Roman"/>
          <w:sz w:val="22"/>
          <w:szCs w:val="22"/>
        </w:rPr>
        <w:t>:</w:t>
      </w:r>
      <w:r w:rsidR="00E73D28" w:rsidRPr="00BC2DFB">
        <w:rPr>
          <w:rFonts w:ascii="Times New Roman" w:hAnsi="Times New Roman"/>
          <w:sz w:val="22"/>
          <w:szCs w:val="22"/>
        </w:rPr>
        <w:t xml:space="preserve">  </w:t>
      </w:r>
    </w:p>
    <w:p w14:paraId="74402225" w14:textId="77777777" w:rsidR="00BE55D5" w:rsidRPr="00BC2DFB" w:rsidRDefault="00BE55D5" w:rsidP="006370DD">
      <w:pPr>
        <w:ind w:firstLine="720"/>
        <w:rPr>
          <w:rFonts w:ascii="Times New Roman" w:hAnsi="Times New Roman"/>
          <w:sz w:val="22"/>
          <w:szCs w:val="22"/>
        </w:rPr>
      </w:pPr>
    </w:p>
    <w:p w14:paraId="5B6AD7C8" w14:textId="77777777" w:rsidR="00E73D28" w:rsidRDefault="00E73D28" w:rsidP="006370DD">
      <w:pPr>
        <w:pStyle w:val="ListParagraph"/>
        <w:numPr>
          <w:ilvl w:val="0"/>
          <w:numId w:val="25"/>
        </w:numPr>
        <w:rPr>
          <w:sz w:val="22"/>
          <w:szCs w:val="22"/>
        </w:rPr>
      </w:pPr>
      <w:r w:rsidRPr="00854F48">
        <w:rPr>
          <w:sz w:val="22"/>
          <w:szCs w:val="22"/>
        </w:rPr>
        <w:t xml:space="preserve">Updated </w:t>
      </w:r>
      <w:r w:rsidR="004D5199">
        <w:rPr>
          <w:i/>
          <w:sz w:val="22"/>
          <w:szCs w:val="22"/>
        </w:rPr>
        <w:t xml:space="preserve">TVStudy </w:t>
      </w:r>
      <w:r w:rsidRPr="00854F48">
        <w:rPr>
          <w:sz w:val="22"/>
          <w:szCs w:val="22"/>
        </w:rPr>
        <w:t xml:space="preserve">computer software </w:t>
      </w:r>
      <w:r w:rsidR="000F60E1">
        <w:rPr>
          <w:sz w:val="22"/>
          <w:szCs w:val="22"/>
        </w:rPr>
        <w:t xml:space="preserve">and supporting data </w:t>
      </w:r>
      <w:r w:rsidRPr="00854F48">
        <w:rPr>
          <w:sz w:val="22"/>
          <w:szCs w:val="22"/>
        </w:rPr>
        <w:t xml:space="preserve">for </w:t>
      </w:r>
      <w:r w:rsidR="004D5199">
        <w:rPr>
          <w:sz w:val="22"/>
          <w:szCs w:val="22"/>
        </w:rPr>
        <w:t>determin</w:t>
      </w:r>
      <w:r w:rsidR="004D5199" w:rsidRPr="00854F48">
        <w:rPr>
          <w:sz w:val="22"/>
          <w:szCs w:val="22"/>
        </w:rPr>
        <w:t xml:space="preserve">ing </w:t>
      </w:r>
      <w:r w:rsidR="00854F48">
        <w:rPr>
          <w:sz w:val="22"/>
          <w:szCs w:val="22"/>
        </w:rPr>
        <w:t>the</w:t>
      </w:r>
      <w:r w:rsidR="00854F48" w:rsidRPr="00854F48">
        <w:rPr>
          <w:sz w:val="22"/>
          <w:szCs w:val="22"/>
        </w:rPr>
        <w:t xml:space="preserve"> </w:t>
      </w:r>
      <w:r w:rsidRPr="00854F48">
        <w:rPr>
          <w:sz w:val="22"/>
          <w:szCs w:val="22"/>
        </w:rPr>
        <w:t xml:space="preserve">coverage </w:t>
      </w:r>
      <w:r w:rsidR="00854F48">
        <w:rPr>
          <w:sz w:val="22"/>
          <w:szCs w:val="22"/>
        </w:rPr>
        <w:t xml:space="preserve">area </w:t>
      </w:r>
      <w:r w:rsidRPr="00854F48">
        <w:rPr>
          <w:sz w:val="22"/>
          <w:szCs w:val="22"/>
        </w:rPr>
        <w:t xml:space="preserve">and </w:t>
      </w:r>
      <w:r w:rsidR="00854F48">
        <w:rPr>
          <w:sz w:val="22"/>
          <w:szCs w:val="22"/>
        </w:rPr>
        <w:t>population served of each broadcast television station</w:t>
      </w:r>
      <w:r w:rsidR="00854F48" w:rsidRPr="00E73D28">
        <w:rPr>
          <w:sz w:val="22"/>
          <w:szCs w:val="22"/>
        </w:rPr>
        <w:t xml:space="preserve"> </w:t>
      </w:r>
      <w:r w:rsidR="004D5199">
        <w:rPr>
          <w:sz w:val="22"/>
          <w:szCs w:val="22"/>
        </w:rPr>
        <w:t>using the methodology described in OET Bulletin 69</w:t>
      </w:r>
      <w:r w:rsidR="00D70CB3">
        <w:rPr>
          <w:sz w:val="22"/>
          <w:szCs w:val="22"/>
        </w:rPr>
        <w:t>.</w:t>
      </w:r>
      <w:r w:rsidR="004D5199" w:rsidRPr="00611E75">
        <w:rPr>
          <w:rStyle w:val="FootnoteReference"/>
          <w:szCs w:val="22"/>
        </w:rPr>
        <w:footnoteReference w:id="3"/>
      </w:r>
      <w:r w:rsidRPr="00854F48">
        <w:rPr>
          <w:sz w:val="22"/>
          <w:szCs w:val="22"/>
        </w:rPr>
        <w:t xml:space="preserve">  </w:t>
      </w:r>
    </w:p>
    <w:p w14:paraId="2CE4F4B1" w14:textId="77777777" w:rsidR="00C50DF9" w:rsidRPr="00854F48" w:rsidRDefault="00C50DF9" w:rsidP="000B278C">
      <w:pPr>
        <w:pStyle w:val="ListParagraph"/>
        <w:rPr>
          <w:sz w:val="22"/>
          <w:szCs w:val="22"/>
        </w:rPr>
      </w:pPr>
    </w:p>
    <w:p w14:paraId="668BE664" w14:textId="77777777" w:rsidR="00E73D28" w:rsidRDefault="00E73D28" w:rsidP="006370DD">
      <w:pPr>
        <w:pStyle w:val="ListParagraph"/>
        <w:numPr>
          <w:ilvl w:val="0"/>
          <w:numId w:val="25"/>
        </w:numPr>
        <w:rPr>
          <w:sz w:val="22"/>
          <w:szCs w:val="22"/>
        </w:rPr>
      </w:pPr>
      <w:r w:rsidRPr="00854F48">
        <w:rPr>
          <w:sz w:val="22"/>
          <w:szCs w:val="22"/>
        </w:rPr>
        <w:t xml:space="preserve">Data about </w:t>
      </w:r>
      <w:r w:rsidR="00E73E8A" w:rsidRPr="00854F48">
        <w:rPr>
          <w:sz w:val="22"/>
          <w:szCs w:val="22"/>
        </w:rPr>
        <w:t xml:space="preserve">Canadian and Mexican </w:t>
      </w:r>
      <w:r w:rsidR="00E73E8A">
        <w:rPr>
          <w:sz w:val="22"/>
          <w:szCs w:val="22"/>
        </w:rPr>
        <w:t>television</w:t>
      </w:r>
      <w:r w:rsidR="00E73E8A" w:rsidRPr="00854F48">
        <w:rPr>
          <w:sz w:val="22"/>
          <w:szCs w:val="22"/>
        </w:rPr>
        <w:t xml:space="preserve"> allotments</w:t>
      </w:r>
      <w:r w:rsidR="00E73E8A">
        <w:rPr>
          <w:sz w:val="22"/>
          <w:szCs w:val="22"/>
        </w:rPr>
        <w:t xml:space="preserve"> as well as </w:t>
      </w:r>
      <w:r w:rsidR="007D30EF">
        <w:rPr>
          <w:sz w:val="22"/>
          <w:szCs w:val="22"/>
        </w:rPr>
        <w:t xml:space="preserve">domestic </w:t>
      </w:r>
      <w:r w:rsidRPr="00854F48">
        <w:rPr>
          <w:sz w:val="22"/>
          <w:szCs w:val="22"/>
        </w:rPr>
        <w:t>incumbent licensees in the broadcast television bands</w:t>
      </w:r>
      <w:r w:rsidR="00E73E8A">
        <w:rPr>
          <w:sz w:val="22"/>
          <w:szCs w:val="22"/>
        </w:rPr>
        <w:t>.</w:t>
      </w:r>
      <w:r w:rsidRPr="00854F48">
        <w:rPr>
          <w:sz w:val="22"/>
          <w:szCs w:val="22"/>
        </w:rPr>
        <w:t xml:space="preserve"> </w:t>
      </w:r>
      <w:r w:rsidR="000E4D53">
        <w:rPr>
          <w:sz w:val="22"/>
          <w:szCs w:val="22"/>
        </w:rPr>
        <w:t xml:space="preserve"> </w:t>
      </w:r>
      <w:r w:rsidRPr="00854F48">
        <w:rPr>
          <w:sz w:val="22"/>
          <w:szCs w:val="22"/>
        </w:rPr>
        <w:t>Th</w:t>
      </w:r>
      <w:r w:rsidR="00FA51BC">
        <w:rPr>
          <w:sz w:val="22"/>
          <w:szCs w:val="22"/>
        </w:rPr>
        <w:t>ese</w:t>
      </w:r>
      <w:r w:rsidRPr="00854F48">
        <w:rPr>
          <w:sz w:val="22"/>
          <w:szCs w:val="22"/>
        </w:rPr>
        <w:t xml:space="preserve"> data </w:t>
      </w:r>
      <w:r w:rsidR="00FA51BC">
        <w:rPr>
          <w:sz w:val="22"/>
          <w:szCs w:val="22"/>
        </w:rPr>
        <w:t>are already</w:t>
      </w:r>
      <w:r w:rsidR="00FA51BC" w:rsidRPr="00854F48">
        <w:rPr>
          <w:sz w:val="22"/>
          <w:szCs w:val="22"/>
        </w:rPr>
        <w:t xml:space="preserve"> </w:t>
      </w:r>
      <w:r w:rsidRPr="00854F48">
        <w:rPr>
          <w:sz w:val="22"/>
          <w:szCs w:val="22"/>
        </w:rPr>
        <w:t>publicly available, but not in a form that is easy to use</w:t>
      </w:r>
      <w:r w:rsidR="00321A51">
        <w:rPr>
          <w:sz w:val="22"/>
          <w:szCs w:val="22"/>
        </w:rPr>
        <w:t xml:space="preserve"> </w:t>
      </w:r>
      <w:r w:rsidR="00395410">
        <w:rPr>
          <w:sz w:val="22"/>
          <w:szCs w:val="22"/>
        </w:rPr>
        <w:lastRenderedPageBreak/>
        <w:t xml:space="preserve">for purposes of this analysis </w:t>
      </w:r>
      <w:r w:rsidR="00321A51">
        <w:rPr>
          <w:sz w:val="22"/>
          <w:szCs w:val="22"/>
        </w:rPr>
        <w:t>or that is limited to relevant information</w:t>
      </w:r>
      <w:r w:rsidRPr="00854F48">
        <w:rPr>
          <w:sz w:val="22"/>
          <w:szCs w:val="22"/>
        </w:rPr>
        <w:t xml:space="preserve">.  In order to facilitate analysis and comment by stakeholders, we have aggregated </w:t>
      </w:r>
      <w:r w:rsidR="00FA51BC">
        <w:rPr>
          <w:sz w:val="22"/>
          <w:szCs w:val="22"/>
        </w:rPr>
        <w:t>the data</w:t>
      </w:r>
      <w:r w:rsidR="00FA51BC" w:rsidRPr="00854F48">
        <w:rPr>
          <w:sz w:val="22"/>
          <w:szCs w:val="22"/>
        </w:rPr>
        <w:t xml:space="preserve"> </w:t>
      </w:r>
      <w:r w:rsidRPr="00854F48">
        <w:rPr>
          <w:sz w:val="22"/>
          <w:szCs w:val="22"/>
        </w:rPr>
        <w:t xml:space="preserve">in a format that can be used more easily with the </w:t>
      </w:r>
      <w:r w:rsidR="00321A51">
        <w:rPr>
          <w:sz w:val="22"/>
          <w:szCs w:val="22"/>
        </w:rPr>
        <w:t>updated</w:t>
      </w:r>
      <w:r w:rsidRPr="00854F48">
        <w:rPr>
          <w:sz w:val="22"/>
          <w:szCs w:val="22"/>
        </w:rPr>
        <w:t xml:space="preserve"> software.  </w:t>
      </w:r>
    </w:p>
    <w:p w14:paraId="20127E18" w14:textId="77777777" w:rsidR="00C50DF9" w:rsidRPr="00854F48" w:rsidRDefault="00C50DF9" w:rsidP="000B278C">
      <w:pPr>
        <w:pStyle w:val="ListParagraph"/>
        <w:rPr>
          <w:sz w:val="22"/>
          <w:szCs w:val="22"/>
        </w:rPr>
      </w:pPr>
    </w:p>
    <w:p w14:paraId="007C2A8D" w14:textId="77777777" w:rsidR="00E73D28" w:rsidRPr="00854F48" w:rsidRDefault="00E73E8A" w:rsidP="006370DD">
      <w:pPr>
        <w:pStyle w:val="ListParagraph"/>
        <w:numPr>
          <w:ilvl w:val="0"/>
          <w:numId w:val="25"/>
        </w:numPr>
        <w:rPr>
          <w:sz w:val="22"/>
          <w:szCs w:val="22"/>
        </w:rPr>
      </w:pPr>
      <w:r>
        <w:rPr>
          <w:sz w:val="22"/>
          <w:szCs w:val="22"/>
        </w:rPr>
        <w:t xml:space="preserve">Descriptions of how one could pre-calculate </w:t>
      </w:r>
      <w:r w:rsidR="00E73D28" w:rsidRPr="00854F48">
        <w:rPr>
          <w:sz w:val="22"/>
          <w:szCs w:val="22"/>
        </w:rPr>
        <w:t>which stations could be assigned to which channels</w:t>
      </w:r>
      <w:r w:rsidR="00854F48">
        <w:rPr>
          <w:sz w:val="22"/>
          <w:szCs w:val="22"/>
        </w:rPr>
        <w:t xml:space="preserve"> in the repacking process</w:t>
      </w:r>
      <w:r w:rsidR="00E73D28" w:rsidRPr="00854F48">
        <w:rPr>
          <w:sz w:val="22"/>
          <w:szCs w:val="22"/>
        </w:rPr>
        <w:t xml:space="preserve">, and which stations cannot operate on the same channels </w:t>
      </w:r>
      <w:r w:rsidR="00854F48">
        <w:rPr>
          <w:sz w:val="22"/>
          <w:szCs w:val="22"/>
        </w:rPr>
        <w:t xml:space="preserve">or adjacent channels </w:t>
      </w:r>
      <w:r w:rsidR="00E73D28" w:rsidRPr="00854F48">
        <w:rPr>
          <w:sz w:val="22"/>
          <w:szCs w:val="22"/>
        </w:rPr>
        <w:t>because of their geographic locations</w:t>
      </w:r>
      <w:r w:rsidR="00A668FC">
        <w:rPr>
          <w:sz w:val="22"/>
          <w:szCs w:val="22"/>
        </w:rPr>
        <w:t xml:space="preserve"> </w:t>
      </w:r>
      <w:r w:rsidR="00B71C5E">
        <w:rPr>
          <w:sz w:val="22"/>
          <w:szCs w:val="22"/>
        </w:rPr>
        <w:t>(</w:t>
      </w:r>
      <w:r w:rsidR="00A668FC">
        <w:rPr>
          <w:sz w:val="22"/>
          <w:szCs w:val="22"/>
        </w:rPr>
        <w:t>and links to data</w:t>
      </w:r>
      <w:r w:rsidR="00532FF4">
        <w:rPr>
          <w:sz w:val="22"/>
          <w:szCs w:val="22"/>
        </w:rPr>
        <w:t xml:space="preserve"> that were</w:t>
      </w:r>
      <w:r>
        <w:rPr>
          <w:sz w:val="22"/>
          <w:szCs w:val="22"/>
        </w:rPr>
        <w:t xml:space="preserve"> developed using certain preliminary assumptions</w:t>
      </w:r>
      <w:r w:rsidR="00A668FC">
        <w:rPr>
          <w:sz w:val="22"/>
          <w:szCs w:val="22"/>
        </w:rPr>
        <w:t>)</w:t>
      </w:r>
      <w:r w:rsidR="00E73D28" w:rsidRPr="00854F48">
        <w:rPr>
          <w:sz w:val="22"/>
          <w:szCs w:val="22"/>
        </w:rPr>
        <w:t>.</w:t>
      </w:r>
      <w:r w:rsidR="000B278C">
        <w:rPr>
          <w:rStyle w:val="FootnoteReference"/>
          <w:szCs w:val="22"/>
        </w:rPr>
        <w:footnoteReference w:id="4"/>
      </w:r>
      <w:r w:rsidR="00E73D28" w:rsidRPr="00854F48">
        <w:rPr>
          <w:sz w:val="22"/>
          <w:szCs w:val="22"/>
        </w:rPr>
        <w:t xml:space="preserve">  </w:t>
      </w:r>
    </w:p>
    <w:p w14:paraId="36790FCE" w14:textId="77777777" w:rsidR="00C54AE1" w:rsidRDefault="00C54AE1" w:rsidP="006370DD">
      <w:pPr>
        <w:rPr>
          <w:rFonts w:ascii="Times New Roman" w:hAnsi="Times New Roman"/>
          <w:sz w:val="22"/>
          <w:szCs w:val="22"/>
        </w:rPr>
      </w:pPr>
    </w:p>
    <w:p w14:paraId="5D602E99" w14:textId="735BE348" w:rsidR="00BB001E" w:rsidRDefault="000E4D53" w:rsidP="000E4D53">
      <w:pPr>
        <w:rPr>
          <w:rFonts w:ascii="Times New Roman" w:hAnsi="Times New Roman"/>
          <w:sz w:val="22"/>
          <w:szCs w:val="22"/>
        </w:rPr>
      </w:pPr>
      <w:r>
        <w:rPr>
          <w:rFonts w:ascii="Times New Roman" w:hAnsi="Times New Roman"/>
          <w:sz w:val="22"/>
          <w:szCs w:val="22"/>
        </w:rPr>
        <w:t xml:space="preserve">     </w:t>
      </w:r>
      <w:r w:rsidR="00BB001E">
        <w:rPr>
          <w:rFonts w:ascii="Times New Roman" w:hAnsi="Times New Roman"/>
          <w:sz w:val="22"/>
          <w:szCs w:val="22"/>
        </w:rPr>
        <w:t>The information described in this Public Notice</w:t>
      </w:r>
      <w:r w:rsidR="000E66B9">
        <w:rPr>
          <w:rFonts w:ascii="Times New Roman" w:hAnsi="Times New Roman"/>
          <w:sz w:val="22"/>
          <w:szCs w:val="22"/>
        </w:rPr>
        <w:t xml:space="preserve"> </w:t>
      </w:r>
      <w:r w:rsidR="0079075B">
        <w:rPr>
          <w:rFonts w:ascii="Times New Roman" w:hAnsi="Times New Roman"/>
          <w:sz w:val="22"/>
          <w:szCs w:val="22"/>
        </w:rPr>
        <w:t xml:space="preserve">and the attached Technical Appendix </w:t>
      </w:r>
      <w:r w:rsidR="000E66B9">
        <w:rPr>
          <w:rFonts w:ascii="Times New Roman" w:hAnsi="Times New Roman"/>
          <w:sz w:val="22"/>
          <w:szCs w:val="22"/>
        </w:rPr>
        <w:t>could be used for a number of purposes in the incentive auction.</w:t>
      </w:r>
      <w:r w:rsidR="00372A2D">
        <w:rPr>
          <w:rFonts w:ascii="Times New Roman" w:hAnsi="Times New Roman"/>
          <w:sz w:val="22"/>
          <w:szCs w:val="22"/>
        </w:rPr>
        <w:t xml:space="preserve">  </w:t>
      </w:r>
      <w:r w:rsidR="00D31CA7" w:rsidRPr="00D31CA7">
        <w:rPr>
          <w:rFonts w:ascii="Times New Roman" w:hAnsi="Times New Roman"/>
          <w:sz w:val="22"/>
          <w:szCs w:val="22"/>
        </w:rPr>
        <w:t>For example,</w:t>
      </w:r>
      <w:r w:rsidR="00CE47B3">
        <w:rPr>
          <w:rFonts w:ascii="Times New Roman" w:hAnsi="Times New Roman"/>
          <w:sz w:val="22"/>
          <w:szCs w:val="22"/>
        </w:rPr>
        <w:t xml:space="preserve"> </w:t>
      </w:r>
      <w:r w:rsidR="00BB001E">
        <w:rPr>
          <w:rFonts w:ascii="Times New Roman" w:hAnsi="Times New Roman"/>
          <w:sz w:val="22"/>
          <w:szCs w:val="22"/>
        </w:rPr>
        <w:t xml:space="preserve">during the bidding in a reverse auction </w:t>
      </w:r>
      <w:r w:rsidR="00CE47B3">
        <w:rPr>
          <w:rFonts w:ascii="Times New Roman" w:hAnsi="Times New Roman"/>
          <w:sz w:val="22"/>
          <w:szCs w:val="22"/>
        </w:rPr>
        <w:t xml:space="preserve">this </w:t>
      </w:r>
      <w:r w:rsidR="00BB001E">
        <w:rPr>
          <w:rFonts w:ascii="Times New Roman" w:hAnsi="Times New Roman"/>
          <w:sz w:val="22"/>
          <w:szCs w:val="22"/>
        </w:rPr>
        <w:t>material</w:t>
      </w:r>
      <w:r w:rsidR="00CE47B3">
        <w:rPr>
          <w:rFonts w:ascii="Times New Roman" w:hAnsi="Times New Roman"/>
          <w:sz w:val="22"/>
          <w:szCs w:val="22"/>
        </w:rPr>
        <w:t xml:space="preserve"> could be used to check the feasibility of</w:t>
      </w:r>
      <w:r w:rsidR="00C957CF">
        <w:rPr>
          <w:rFonts w:ascii="Times New Roman" w:hAnsi="Times New Roman"/>
          <w:sz w:val="22"/>
          <w:szCs w:val="22"/>
        </w:rPr>
        <w:t xml:space="preserve"> </w:t>
      </w:r>
      <w:r w:rsidR="00CE47B3">
        <w:rPr>
          <w:rFonts w:ascii="Times New Roman" w:hAnsi="Times New Roman"/>
          <w:sz w:val="22"/>
          <w:szCs w:val="22"/>
        </w:rPr>
        <w:t>assign</w:t>
      </w:r>
      <w:r w:rsidR="00C957CF">
        <w:rPr>
          <w:rFonts w:ascii="Times New Roman" w:hAnsi="Times New Roman"/>
          <w:sz w:val="22"/>
          <w:szCs w:val="22"/>
        </w:rPr>
        <w:t>ing</w:t>
      </w:r>
      <w:r w:rsidR="00CE47B3">
        <w:rPr>
          <w:rFonts w:ascii="Times New Roman" w:hAnsi="Times New Roman"/>
          <w:sz w:val="22"/>
          <w:szCs w:val="22"/>
        </w:rPr>
        <w:t xml:space="preserve"> channels to </w:t>
      </w:r>
      <w:r w:rsidR="00E73E8A">
        <w:rPr>
          <w:rFonts w:ascii="Times New Roman" w:hAnsi="Times New Roman"/>
          <w:sz w:val="22"/>
          <w:szCs w:val="22"/>
        </w:rPr>
        <w:t xml:space="preserve">a given set of </w:t>
      </w:r>
      <w:r w:rsidR="00CE47B3">
        <w:rPr>
          <w:rFonts w:ascii="Times New Roman" w:hAnsi="Times New Roman"/>
          <w:sz w:val="22"/>
          <w:szCs w:val="22"/>
        </w:rPr>
        <w:t>stations without violating any statut</w:t>
      </w:r>
      <w:r w:rsidR="00BB001E">
        <w:rPr>
          <w:rFonts w:ascii="Times New Roman" w:hAnsi="Times New Roman"/>
          <w:sz w:val="22"/>
          <w:szCs w:val="22"/>
        </w:rPr>
        <w:t>ory or other constraints</w:t>
      </w:r>
      <w:r w:rsidR="00D31CA7" w:rsidRPr="00D31CA7">
        <w:rPr>
          <w:rFonts w:ascii="Times New Roman" w:hAnsi="Times New Roman"/>
          <w:sz w:val="22"/>
          <w:szCs w:val="22"/>
        </w:rPr>
        <w:t xml:space="preserve">.  </w:t>
      </w:r>
      <w:r w:rsidR="00D31CA7">
        <w:rPr>
          <w:rFonts w:ascii="Times New Roman" w:hAnsi="Times New Roman"/>
          <w:sz w:val="22"/>
          <w:szCs w:val="22"/>
        </w:rPr>
        <w:t xml:space="preserve">That is, </w:t>
      </w:r>
      <w:r w:rsidR="00D31CA7" w:rsidRPr="00D31CA7">
        <w:rPr>
          <w:rFonts w:ascii="Times New Roman" w:hAnsi="Times New Roman"/>
          <w:sz w:val="22"/>
          <w:szCs w:val="22"/>
        </w:rPr>
        <w:t>the data could be used to determine</w:t>
      </w:r>
      <w:r w:rsidR="00CE47B3">
        <w:rPr>
          <w:rFonts w:ascii="Times New Roman" w:hAnsi="Times New Roman"/>
          <w:sz w:val="22"/>
          <w:szCs w:val="22"/>
        </w:rPr>
        <w:t xml:space="preserve"> whether</w:t>
      </w:r>
      <w:r w:rsidR="00D31CA7" w:rsidRPr="00D31CA7">
        <w:rPr>
          <w:rFonts w:ascii="Times New Roman" w:hAnsi="Times New Roman"/>
          <w:sz w:val="22"/>
          <w:szCs w:val="22"/>
        </w:rPr>
        <w:t xml:space="preserve"> channels </w:t>
      </w:r>
      <w:r w:rsidR="00CE47B3">
        <w:rPr>
          <w:rFonts w:ascii="Times New Roman" w:hAnsi="Times New Roman"/>
          <w:sz w:val="22"/>
          <w:szCs w:val="22"/>
        </w:rPr>
        <w:t>could</w:t>
      </w:r>
      <w:r w:rsidR="00D31CA7" w:rsidRPr="00D31CA7">
        <w:rPr>
          <w:rFonts w:ascii="Times New Roman" w:hAnsi="Times New Roman"/>
          <w:sz w:val="22"/>
          <w:szCs w:val="22"/>
        </w:rPr>
        <w:t xml:space="preserve"> be assigned to all broadcasters remaining on the air in a manner consistent with the </w:t>
      </w:r>
      <w:r w:rsidR="00BB001E">
        <w:rPr>
          <w:rFonts w:ascii="Times New Roman" w:hAnsi="Times New Roman"/>
          <w:sz w:val="22"/>
          <w:szCs w:val="22"/>
        </w:rPr>
        <w:t>applicable constraints</w:t>
      </w:r>
      <w:r w:rsidR="00BB001E" w:rsidRPr="00D31CA7">
        <w:rPr>
          <w:rFonts w:ascii="Times New Roman" w:hAnsi="Times New Roman"/>
          <w:sz w:val="22"/>
          <w:szCs w:val="22"/>
        </w:rPr>
        <w:t xml:space="preserve"> if a given set of </w:t>
      </w:r>
      <w:r w:rsidR="00BB001E">
        <w:rPr>
          <w:rFonts w:ascii="Times New Roman" w:hAnsi="Times New Roman"/>
          <w:sz w:val="22"/>
          <w:szCs w:val="22"/>
        </w:rPr>
        <w:t xml:space="preserve">reverse auction </w:t>
      </w:r>
      <w:r w:rsidR="00BB001E" w:rsidRPr="00D31CA7">
        <w:rPr>
          <w:rFonts w:ascii="Times New Roman" w:hAnsi="Times New Roman"/>
          <w:sz w:val="22"/>
          <w:szCs w:val="22"/>
        </w:rPr>
        <w:t>bids from b</w:t>
      </w:r>
      <w:r w:rsidR="00BB001E">
        <w:rPr>
          <w:rFonts w:ascii="Times New Roman" w:hAnsi="Times New Roman"/>
          <w:sz w:val="22"/>
          <w:szCs w:val="22"/>
        </w:rPr>
        <w:t>roadcasters were to be accepted</w:t>
      </w:r>
      <w:r w:rsidR="00D31CA7" w:rsidRPr="00D31CA7">
        <w:rPr>
          <w:rFonts w:ascii="Times New Roman" w:hAnsi="Times New Roman"/>
          <w:sz w:val="22"/>
          <w:szCs w:val="22"/>
        </w:rPr>
        <w:t xml:space="preserve">.  </w:t>
      </w:r>
      <w:r w:rsidR="00CE47B3">
        <w:rPr>
          <w:rFonts w:ascii="Times New Roman" w:hAnsi="Times New Roman"/>
          <w:sz w:val="22"/>
          <w:szCs w:val="22"/>
        </w:rPr>
        <w:t>Such a</w:t>
      </w:r>
      <w:r w:rsidR="00D31CA7" w:rsidRPr="00D31CA7">
        <w:rPr>
          <w:rFonts w:ascii="Times New Roman" w:hAnsi="Times New Roman"/>
          <w:sz w:val="22"/>
          <w:szCs w:val="22"/>
        </w:rPr>
        <w:t xml:space="preserve"> “feasibility check” </w:t>
      </w:r>
      <w:r w:rsidR="00BB001E">
        <w:rPr>
          <w:rFonts w:ascii="Times New Roman" w:hAnsi="Times New Roman"/>
          <w:sz w:val="22"/>
          <w:szCs w:val="22"/>
        </w:rPr>
        <w:t xml:space="preserve">could be conducted rapidly during the course of bidding in the reverse auction because it </w:t>
      </w:r>
      <w:r w:rsidR="00D31CA7" w:rsidRPr="00D31CA7">
        <w:rPr>
          <w:rFonts w:ascii="Times New Roman" w:hAnsi="Times New Roman"/>
          <w:sz w:val="22"/>
          <w:szCs w:val="22"/>
        </w:rPr>
        <w:t xml:space="preserve">would only require </w:t>
      </w:r>
      <w:r w:rsidR="00BB001E">
        <w:rPr>
          <w:rFonts w:ascii="Times New Roman" w:hAnsi="Times New Roman"/>
          <w:sz w:val="22"/>
          <w:szCs w:val="22"/>
        </w:rPr>
        <w:t>determining whether</w:t>
      </w:r>
      <w:r w:rsidR="00D31CA7" w:rsidRPr="00D31CA7">
        <w:rPr>
          <w:rFonts w:ascii="Times New Roman" w:hAnsi="Times New Roman"/>
          <w:sz w:val="22"/>
          <w:szCs w:val="22"/>
        </w:rPr>
        <w:t xml:space="preserve"> a channel assignment </w:t>
      </w:r>
      <w:r w:rsidR="00BB001E">
        <w:rPr>
          <w:rFonts w:ascii="Times New Roman" w:hAnsi="Times New Roman"/>
          <w:sz w:val="22"/>
          <w:szCs w:val="22"/>
        </w:rPr>
        <w:t>is feasible</w:t>
      </w:r>
      <w:r w:rsidR="00E73E8A">
        <w:rPr>
          <w:rFonts w:ascii="Times New Roman" w:hAnsi="Times New Roman"/>
          <w:sz w:val="22"/>
          <w:szCs w:val="22"/>
        </w:rPr>
        <w:t xml:space="preserve"> for a set of stations</w:t>
      </w:r>
      <w:r w:rsidR="00D31CA7" w:rsidRPr="00D31CA7">
        <w:rPr>
          <w:rFonts w:ascii="Times New Roman" w:hAnsi="Times New Roman"/>
          <w:sz w:val="22"/>
          <w:szCs w:val="22"/>
        </w:rPr>
        <w:t xml:space="preserve">, not </w:t>
      </w:r>
      <w:r w:rsidR="00BB001E">
        <w:rPr>
          <w:rFonts w:ascii="Times New Roman" w:hAnsi="Times New Roman"/>
          <w:sz w:val="22"/>
          <w:szCs w:val="22"/>
        </w:rPr>
        <w:t xml:space="preserve">that it represents the </w:t>
      </w:r>
      <w:r w:rsidR="00D31CA7" w:rsidRPr="00D31CA7">
        <w:rPr>
          <w:rFonts w:ascii="Times New Roman" w:hAnsi="Times New Roman"/>
          <w:sz w:val="22"/>
          <w:szCs w:val="22"/>
        </w:rPr>
        <w:t>optimal</w:t>
      </w:r>
      <w:r w:rsidR="00BB001E">
        <w:rPr>
          <w:rFonts w:ascii="Times New Roman" w:hAnsi="Times New Roman"/>
          <w:sz w:val="22"/>
          <w:szCs w:val="22"/>
        </w:rPr>
        <w:t xml:space="preserve"> channel assignment</w:t>
      </w:r>
      <w:r w:rsidR="00FB6313">
        <w:rPr>
          <w:rFonts w:ascii="Times New Roman" w:hAnsi="Times New Roman"/>
          <w:sz w:val="22"/>
          <w:szCs w:val="22"/>
        </w:rPr>
        <w:t xml:space="preserve">. </w:t>
      </w:r>
      <w:r w:rsidR="00D31CA7" w:rsidRPr="00D31CA7">
        <w:rPr>
          <w:rFonts w:ascii="Times New Roman" w:hAnsi="Times New Roman"/>
          <w:sz w:val="22"/>
          <w:szCs w:val="22"/>
        </w:rPr>
        <w:t xml:space="preserve">  </w:t>
      </w:r>
      <w:r w:rsidR="00BB001E">
        <w:rPr>
          <w:rFonts w:ascii="Times New Roman" w:hAnsi="Times New Roman"/>
          <w:sz w:val="22"/>
          <w:szCs w:val="22"/>
        </w:rPr>
        <w:t>Optimization analysis is time-consuming; conducting it during the course of bidding in the reverse auction would restrict the Commission’s auction design options.</w:t>
      </w:r>
      <w:r w:rsidR="00FB6313">
        <w:rPr>
          <w:rStyle w:val="FootnoteReference"/>
          <w:szCs w:val="22"/>
        </w:rPr>
        <w:footnoteReference w:id="5"/>
      </w:r>
      <w:r w:rsidR="00FB6313">
        <w:rPr>
          <w:rFonts w:ascii="Times New Roman" w:hAnsi="Times New Roman"/>
          <w:sz w:val="22"/>
          <w:szCs w:val="22"/>
        </w:rPr>
        <w:t xml:space="preserve">  </w:t>
      </w:r>
      <w:r w:rsidR="00BB001E">
        <w:rPr>
          <w:rFonts w:ascii="Times New Roman" w:hAnsi="Times New Roman"/>
          <w:sz w:val="22"/>
          <w:szCs w:val="22"/>
        </w:rPr>
        <w:t>T</w:t>
      </w:r>
      <w:r w:rsidR="00D31CA7" w:rsidRPr="00D31CA7">
        <w:rPr>
          <w:rFonts w:ascii="Times New Roman" w:hAnsi="Times New Roman"/>
          <w:sz w:val="22"/>
          <w:szCs w:val="22"/>
        </w:rPr>
        <w:t xml:space="preserve">he </w:t>
      </w:r>
      <w:r w:rsidR="00E73E8A">
        <w:rPr>
          <w:rFonts w:ascii="Times New Roman" w:hAnsi="Times New Roman"/>
          <w:sz w:val="22"/>
          <w:szCs w:val="22"/>
        </w:rPr>
        <w:t xml:space="preserve">same </w:t>
      </w:r>
      <w:r w:rsidR="00D31CA7" w:rsidRPr="00D31CA7">
        <w:rPr>
          <w:rFonts w:ascii="Times New Roman" w:hAnsi="Times New Roman"/>
          <w:sz w:val="22"/>
          <w:szCs w:val="22"/>
        </w:rPr>
        <w:t xml:space="preserve">data </w:t>
      </w:r>
      <w:r w:rsidR="00A8722F">
        <w:rPr>
          <w:rFonts w:ascii="Times New Roman" w:hAnsi="Times New Roman"/>
          <w:sz w:val="22"/>
          <w:szCs w:val="22"/>
        </w:rPr>
        <w:t xml:space="preserve">also </w:t>
      </w:r>
      <w:r w:rsidR="00D31CA7" w:rsidRPr="00D31CA7">
        <w:rPr>
          <w:rFonts w:ascii="Times New Roman" w:hAnsi="Times New Roman"/>
          <w:sz w:val="22"/>
          <w:szCs w:val="22"/>
        </w:rPr>
        <w:t xml:space="preserve">could be used to optimize channel assignments </w:t>
      </w:r>
      <w:r w:rsidR="00BB001E">
        <w:rPr>
          <w:rFonts w:ascii="Times New Roman" w:hAnsi="Times New Roman"/>
          <w:sz w:val="22"/>
          <w:szCs w:val="22"/>
        </w:rPr>
        <w:t>a</w:t>
      </w:r>
      <w:r w:rsidR="00BB001E" w:rsidRPr="00D31CA7">
        <w:rPr>
          <w:rFonts w:ascii="Times New Roman" w:hAnsi="Times New Roman"/>
          <w:sz w:val="22"/>
          <w:szCs w:val="22"/>
        </w:rPr>
        <w:t xml:space="preserve">fter the </w:t>
      </w:r>
      <w:r w:rsidR="00BB001E">
        <w:rPr>
          <w:rFonts w:ascii="Times New Roman" w:hAnsi="Times New Roman"/>
          <w:sz w:val="22"/>
          <w:szCs w:val="22"/>
        </w:rPr>
        <w:t>bidding</w:t>
      </w:r>
      <w:r w:rsidR="00BB001E" w:rsidRPr="00D31CA7">
        <w:rPr>
          <w:rFonts w:ascii="Times New Roman" w:hAnsi="Times New Roman"/>
          <w:sz w:val="22"/>
          <w:szCs w:val="22"/>
        </w:rPr>
        <w:t xml:space="preserve"> is completed, </w:t>
      </w:r>
      <w:r w:rsidR="00BB001E">
        <w:rPr>
          <w:rFonts w:ascii="Times New Roman" w:hAnsi="Times New Roman"/>
          <w:sz w:val="22"/>
          <w:szCs w:val="22"/>
        </w:rPr>
        <w:t xml:space="preserve">however, without slowing down the bidding process.  Such optimization analysis could consider, in addition to the applicable constraints, </w:t>
      </w:r>
      <w:r w:rsidR="00D31CA7" w:rsidRPr="00D31CA7">
        <w:rPr>
          <w:rFonts w:ascii="Times New Roman" w:hAnsi="Times New Roman"/>
          <w:sz w:val="22"/>
          <w:szCs w:val="22"/>
        </w:rPr>
        <w:t xml:space="preserve">additional factors such as minimizing the number of channel </w:t>
      </w:r>
      <w:r w:rsidR="00D31CA7">
        <w:rPr>
          <w:rFonts w:ascii="Times New Roman" w:hAnsi="Times New Roman"/>
          <w:sz w:val="22"/>
          <w:szCs w:val="22"/>
        </w:rPr>
        <w:t>changes</w:t>
      </w:r>
      <w:r w:rsidR="00AC7FBF">
        <w:rPr>
          <w:rFonts w:ascii="Times New Roman" w:hAnsi="Times New Roman"/>
          <w:sz w:val="22"/>
          <w:szCs w:val="22"/>
        </w:rPr>
        <w:t xml:space="preserve"> and minimizing the estimated costs of repacking</w:t>
      </w:r>
      <w:r w:rsidR="00D31CA7" w:rsidRPr="00D31CA7">
        <w:rPr>
          <w:rFonts w:ascii="Times New Roman" w:hAnsi="Times New Roman"/>
          <w:sz w:val="22"/>
          <w:szCs w:val="22"/>
        </w:rPr>
        <w:t>.</w:t>
      </w:r>
      <w:r w:rsidR="00B71C5E">
        <w:rPr>
          <w:rFonts w:ascii="Times New Roman" w:hAnsi="Times New Roman"/>
          <w:sz w:val="22"/>
          <w:szCs w:val="22"/>
        </w:rPr>
        <w:t xml:space="preserve">  </w:t>
      </w:r>
      <w:r w:rsidR="00B71C5E" w:rsidRPr="00B71C5E">
        <w:rPr>
          <w:rFonts w:ascii="Times New Roman" w:hAnsi="Times New Roman"/>
          <w:color w:val="000000"/>
          <w:sz w:val="22"/>
          <w:szCs w:val="22"/>
        </w:rPr>
        <w:t>Also, if the Commission chooses to use a sealed-bid auction design, then optimization could be used to determine which bids to accept in order to obtain a given amount of spectrum at minimum cost.</w:t>
      </w:r>
      <w:r w:rsidR="00D31CA7" w:rsidRPr="00D31CA7">
        <w:rPr>
          <w:rFonts w:ascii="Times New Roman" w:hAnsi="Times New Roman"/>
          <w:sz w:val="22"/>
          <w:szCs w:val="22"/>
        </w:rPr>
        <w:t xml:space="preserve">   </w:t>
      </w:r>
    </w:p>
    <w:p w14:paraId="4DE883F0" w14:textId="77777777" w:rsidR="00BB001E" w:rsidRDefault="00BB001E" w:rsidP="006370DD">
      <w:pPr>
        <w:ind w:firstLine="360"/>
        <w:rPr>
          <w:rFonts w:ascii="Times New Roman" w:hAnsi="Times New Roman"/>
          <w:sz w:val="22"/>
          <w:szCs w:val="22"/>
        </w:rPr>
      </w:pPr>
    </w:p>
    <w:p w14:paraId="6C1A7EA7" w14:textId="77777777" w:rsidR="00620D53" w:rsidRDefault="000E4D53" w:rsidP="000E4D53">
      <w:pPr>
        <w:rPr>
          <w:rFonts w:ascii="Times New Roman" w:hAnsi="Times New Roman"/>
          <w:sz w:val="22"/>
          <w:szCs w:val="22"/>
        </w:rPr>
      </w:pPr>
      <w:r>
        <w:rPr>
          <w:rFonts w:ascii="Times New Roman" w:hAnsi="Times New Roman"/>
          <w:sz w:val="22"/>
          <w:szCs w:val="22"/>
        </w:rPr>
        <w:t xml:space="preserve">     </w:t>
      </w:r>
      <w:r w:rsidR="00BB001E">
        <w:rPr>
          <w:rFonts w:ascii="Times New Roman" w:hAnsi="Times New Roman"/>
          <w:sz w:val="22"/>
          <w:szCs w:val="22"/>
        </w:rPr>
        <w:t xml:space="preserve">We are releasing the information described </w:t>
      </w:r>
      <w:r w:rsidR="0079075B">
        <w:rPr>
          <w:rFonts w:ascii="Times New Roman" w:hAnsi="Times New Roman"/>
          <w:sz w:val="22"/>
          <w:szCs w:val="22"/>
        </w:rPr>
        <w:t xml:space="preserve">here and in the attached Technical Appendix </w:t>
      </w:r>
      <w:r w:rsidR="00BB001E">
        <w:rPr>
          <w:rFonts w:ascii="Times New Roman" w:hAnsi="Times New Roman"/>
          <w:sz w:val="22"/>
          <w:szCs w:val="22"/>
        </w:rPr>
        <w:t xml:space="preserve">in the interest of transparency and to give interested parties the opportunity to provide input regarding aspects of the repacking process.  </w:t>
      </w:r>
      <w:r w:rsidR="00DC338F">
        <w:rPr>
          <w:rFonts w:ascii="Times New Roman" w:hAnsi="Times New Roman"/>
          <w:sz w:val="22"/>
          <w:szCs w:val="22"/>
        </w:rPr>
        <w:t>Releasing it at this time</w:t>
      </w:r>
      <w:r w:rsidR="00372A2D">
        <w:rPr>
          <w:rFonts w:ascii="Times New Roman" w:hAnsi="Times New Roman"/>
          <w:sz w:val="22"/>
          <w:szCs w:val="22"/>
        </w:rPr>
        <w:t xml:space="preserve"> w</w:t>
      </w:r>
      <w:r w:rsidR="000E66B9" w:rsidRPr="00611E75">
        <w:rPr>
          <w:rFonts w:ascii="Times New Roman" w:hAnsi="Times New Roman"/>
          <w:sz w:val="22"/>
          <w:szCs w:val="22"/>
        </w:rPr>
        <w:t xml:space="preserve">ill enable interested parties to provide input regarding how permissible channel assignments </w:t>
      </w:r>
      <w:r w:rsidR="00FA51BC">
        <w:rPr>
          <w:rFonts w:ascii="Times New Roman" w:hAnsi="Times New Roman"/>
          <w:sz w:val="22"/>
          <w:szCs w:val="22"/>
        </w:rPr>
        <w:t>might be</w:t>
      </w:r>
      <w:r w:rsidR="00FA51BC" w:rsidRPr="00611E75">
        <w:rPr>
          <w:rFonts w:ascii="Times New Roman" w:hAnsi="Times New Roman"/>
          <w:sz w:val="22"/>
          <w:szCs w:val="22"/>
        </w:rPr>
        <w:t xml:space="preserve"> </w:t>
      </w:r>
      <w:r w:rsidR="000E66B9" w:rsidRPr="00611E75">
        <w:rPr>
          <w:rFonts w:ascii="Times New Roman" w:hAnsi="Times New Roman"/>
          <w:sz w:val="22"/>
          <w:szCs w:val="22"/>
        </w:rPr>
        <w:t xml:space="preserve">determined and how </w:t>
      </w:r>
      <w:r w:rsidR="000E66B9">
        <w:rPr>
          <w:rFonts w:ascii="Times New Roman" w:hAnsi="Times New Roman"/>
          <w:sz w:val="22"/>
          <w:szCs w:val="22"/>
        </w:rPr>
        <w:t xml:space="preserve">that information </w:t>
      </w:r>
      <w:r w:rsidR="000E66B9" w:rsidRPr="00611E75">
        <w:rPr>
          <w:rFonts w:ascii="Times New Roman" w:hAnsi="Times New Roman"/>
          <w:sz w:val="22"/>
          <w:szCs w:val="22"/>
        </w:rPr>
        <w:t xml:space="preserve">might be </w:t>
      </w:r>
      <w:r w:rsidR="000E66B9">
        <w:rPr>
          <w:rFonts w:ascii="Times New Roman" w:hAnsi="Times New Roman"/>
          <w:sz w:val="22"/>
          <w:szCs w:val="22"/>
        </w:rPr>
        <w:t xml:space="preserve">used during </w:t>
      </w:r>
      <w:r w:rsidR="00321A51">
        <w:rPr>
          <w:rFonts w:ascii="Times New Roman" w:hAnsi="Times New Roman"/>
          <w:sz w:val="22"/>
          <w:szCs w:val="22"/>
        </w:rPr>
        <w:t>the incentive</w:t>
      </w:r>
      <w:r w:rsidR="000E66B9" w:rsidRPr="00611E75">
        <w:rPr>
          <w:rFonts w:ascii="Times New Roman" w:hAnsi="Times New Roman"/>
          <w:sz w:val="22"/>
          <w:szCs w:val="22"/>
        </w:rPr>
        <w:t xml:space="preserve"> auction.  </w:t>
      </w:r>
      <w:r w:rsidR="00372A2D">
        <w:rPr>
          <w:rFonts w:ascii="Times New Roman" w:hAnsi="Times New Roman"/>
          <w:sz w:val="22"/>
          <w:szCs w:val="22"/>
        </w:rPr>
        <w:t xml:space="preserve">In addition, </w:t>
      </w:r>
      <w:r w:rsidR="000E66B9" w:rsidRPr="00611E75">
        <w:rPr>
          <w:rFonts w:ascii="Times New Roman" w:hAnsi="Times New Roman"/>
          <w:sz w:val="22"/>
          <w:szCs w:val="22"/>
        </w:rPr>
        <w:t>interested parties</w:t>
      </w:r>
      <w:r w:rsidR="00372A2D">
        <w:rPr>
          <w:rFonts w:ascii="Times New Roman" w:hAnsi="Times New Roman"/>
          <w:sz w:val="22"/>
          <w:szCs w:val="22"/>
        </w:rPr>
        <w:t xml:space="preserve"> will be able</w:t>
      </w:r>
      <w:r w:rsidR="000E66B9" w:rsidRPr="00611E75">
        <w:rPr>
          <w:rFonts w:ascii="Times New Roman" w:hAnsi="Times New Roman"/>
          <w:sz w:val="22"/>
          <w:szCs w:val="22"/>
        </w:rPr>
        <w:t xml:space="preserve"> to validate that the Commission’s databases contain accurate information regarding their stations or facilities and that the staff has correctly identified all </w:t>
      </w:r>
      <w:r w:rsidR="000E66B9">
        <w:rPr>
          <w:rFonts w:ascii="Times New Roman" w:hAnsi="Times New Roman"/>
          <w:sz w:val="22"/>
          <w:szCs w:val="22"/>
        </w:rPr>
        <w:t>relevant</w:t>
      </w:r>
      <w:r w:rsidR="000E66B9" w:rsidRPr="00611E75">
        <w:rPr>
          <w:rFonts w:ascii="Times New Roman" w:hAnsi="Times New Roman"/>
          <w:sz w:val="22"/>
          <w:szCs w:val="22"/>
        </w:rPr>
        <w:t xml:space="preserve"> constraints on repacking.  </w:t>
      </w:r>
      <w:r w:rsidR="00DC338F">
        <w:rPr>
          <w:rFonts w:ascii="Times New Roman" w:hAnsi="Times New Roman"/>
          <w:sz w:val="22"/>
          <w:szCs w:val="22"/>
        </w:rPr>
        <w:t>Releasing this material</w:t>
      </w:r>
      <w:r w:rsidR="00A2320F">
        <w:rPr>
          <w:rFonts w:ascii="Times New Roman" w:hAnsi="Times New Roman"/>
          <w:sz w:val="22"/>
          <w:szCs w:val="22"/>
        </w:rPr>
        <w:t xml:space="preserve"> </w:t>
      </w:r>
      <w:r w:rsidR="00372A2D">
        <w:rPr>
          <w:rFonts w:ascii="Times New Roman" w:hAnsi="Times New Roman"/>
          <w:sz w:val="22"/>
          <w:szCs w:val="22"/>
        </w:rPr>
        <w:t xml:space="preserve">also provides </w:t>
      </w:r>
      <w:r w:rsidR="000E66B9" w:rsidRPr="00611E75">
        <w:rPr>
          <w:rFonts w:ascii="Times New Roman" w:hAnsi="Times New Roman"/>
          <w:sz w:val="22"/>
          <w:szCs w:val="22"/>
        </w:rPr>
        <w:t xml:space="preserve">a common set of input values that interested parties </w:t>
      </w:r>
      <w:r w:rsidR="00372A2D">
        <w:rPr>
          <w:rFonts w:ascii="Times New Roman" w:hAnsi="Times New Roman"/>
          <w:sz w:val="22"/>
          <w:szCs w:val="22"/>
        </w:rPr>
        <w:t>may</w:t>
      </w:r>
      <w:r w:rsidR="000E66B9" w:rsidRPr="00611E75">
        <w:rPr>
          <w:rFonts w:ascii="Times New Roman" w:hAnsi="Times New Roman"/>
          <w:sz w:val="22"/>
          <w:szCs w:val="22"/>
        </w:rPr>
        <w:t xml:space="preserve"> use to generate new </w:t>
      </w:r>
      <w:r w:rsidR="00372A2D">
        <w:rPr>
          <w:rFonts w:ascii="Times New Roman" w:hAnsi="Times New Roman"/>
          <w:sz w:val="22"/>
          <w:szCs w:val="22"/>
        </w:rPr>
        <w:t xml:space="preserve">analyses </w:t>
      </w:r>
      <w:r w:rsidR="000E66B9" w:rsidRPr="00611E75">
        <w:rPr>
          <w:rFonts w:ascii="Times New Roman" w:hAnsi="Times New Roman"/>
          <w:sz w:val="22"/>
          <w:szCs w:val="22"/>
        </w:rPr>
        <w:t>based on different assumptions</w:t>
      </w:r>
      <w:r w:rsidR="000E66B9">
        <w:rPr>
          <w:rFonts w:ascii="Times New Roman" w:hAnsi="Times New Roman"/>
          <w:sz w:val="22"/>
          <w:szCs w:val="22"/>
        </w:rPr>
        <w:t xml:space="preserve">, </w:t>
      </w:r>
      <w:r w:rsidR="000E66B9" w:rsidRPr="00611E75">
        <w:rPr>
          <w:rFonts w:ascii="Times New Roman" w:hAnsi="Times New Roman"/>
          <w:sz w:val="22"/>
          <w:szCs w:val="22"/>
        </w:rPr>
        <w:t>should they wish to do so.</w:t>
      </w:r>
      <w:r w:rsidR="000E66B9">
        <w:rPr>
          <w:rFonts w:ascii="Times New Roman" w:hAnsi="Times New Roman"/>
          <w:sz w:val="22"/>
          <w:szCs w:val="22"/>
        </w:rPr>
        <w:t xml:space="preserve">  </w:t>
      </w:r>
    </w:p>
    <w:p w14:paraId="4F79BF28" w14:textId="77777777" w:rsidR="006370DD" w:rsidRDefault="006370DD" w:rsidP="006370DD">
      <w:pPr>
        <w:ind w:firstLine="360"/>
        <w:rPr>
          <w:rFonts w:ascii="Times New Roman" w:hAnsi="Times New Roman"/>
          <w:sz w:val="22"/>
          <w:szCs w:val="22"/>
        </w:rPr>
      </w:pPr>
    </w:p>
    <w:p w14:paraId="0CA7505B" w14:textId="77777777" w:rsidR="00E177C5" w:rsidRDefault="000E4D53" w:rsidP="000E4D53">
      <w:pPr>
        <w:rPr>
          <w:rFonts w:ascii="Times New Roman" w:hAnsi="Times New Roman"/>
          <w:sz w:val="22"/>
          <w:szCs w:val="22"/>
        </w:rPr>
      </w:pPr>
      <w:r>
        <w:rPr>
          <w:rFonts w:ascii="Times New Roman" w:hAnsi="Times New Roman"/>
          <w:sz w:val="22"/>
          <w:szCs w:val="22"/>
        </w:rPr>
        <w:t xml:space="preserve">     </w:t>
      </w:r>
      <w:r w:rsidR="00321A51">
        <w:rPr>
          <w:rFonts w:ascii="Times New Roman" w:hAnsi="Times New Roman"/>
          <w:sz w:val="22"/>
          <w:szCs w:val="22"/>
        </w:rPr>
        <w:t>This Public Notice</w:t>
      </w:r>
      <w:r w:rsidR="00E177C5">
        <w:rPr>
          <w:rFonts w:ascii="Times New Roman" w:hAnsi="Times New Roman"/>
          <w:sz w:val="22"/>
          <w:szCs w:val="22"/>
        </w:rPr>
        <w:t xml:space="preserve"> </w:t>
      </w:r>
      <w:r w:rsidR="0079075B">
        <w:rPr>
          <w:rFonts w:ascii="Times New Roman" w:hAnsi="Times New Roman"/>
          <w:sz w:val="22"/>
          <w:szCs w:val="22"/>
        </w:rPr>
        <w:t xml:space="preserve">and the attached </w:t>
      </w:r>
      <w:r w:rsidR="000344D6">
        <w:rPr>
          <w:rFonts w:ascii="Times New Roman" w:hAnsi="Times New Roman"/>
          <w:sz w:val="22"/>
          <w:szCs w:val="22"/>
        </w:rPr>
        <w:t xml:space="preserve">Technical </w:t>
      </w:r>
      <w:r w:rsidR="0079075B">
        <w:rPr>
          <w:rFonts w:ascii="Times New Roman" w:hAnsi="Times New Roman"/>
          <w:sz w:val="22"/>
          <w:szCs w:val="22"/>
        </w:rPr>
        <w:t xml:space="preserve">Appendix </w:t>
      </w:r>
      <w:r w:rsidR="00E177C5">
        <w:rPr>
          <w:rFonts w:ascii="Times New Roman" w:hAnsi="Times New Roman"/>
          <w:sz w:val="22"/>
          <w:szCs w:val="22"/>
        </w:rPr>
        <w:t xml:space="preserve">relate to the technical aspects of </w:t>
      </w:r>
      <w:r w:rsidR="00321A51">
        <w:rPr>
          <w:rFonts w:ascii="Times New Roman" w:hAnsi="Times New Roman"/>
          <w:sz w:val="22"/>
          <w:szCs w:val="22"/>
        </w:rPr>
        <w:t xml:space="preserve">repacking and </w:t>
      </w:r>
      <w:r w:rsidR="00E177C5">
        <w:rPr>
          <w:rFonts w:ascii="Times New Roman" w:hAnsi="Times New Roman"/>
          <w:sz w:val="22"/>
          <w:szCs w:val="22"/>
        </w:rPr>
        <w:t>auction design</w:t>
      </w:r>
      <w:r w:rsidR="00321A51">
        <w:rPr>
          <w:rFonts w:ascii="Times New Roman" w:hAnsi="Times New Roman"/>
          <w:sz w:val="22"/>
          <w:szCs w:val="22"/>
        </w:rPr>
        <w:t>, and</w:t>
      </w:r>
      <w:r w:rsidR="0079075B">
        <w:rPr>
          <w:rFonts w:ascii="Times New Roman" w:hAnsi="Times New Roman"/>
          <w:sz w:val="22"/>
          <w:szCs w:val="22"/>
        </w:rPr>
        <w:t xml:space="preserve"> are</w:t>
      </w:r>
      <w:r w:rsidR="00E177C5">
        <w:rPr>
          <w:rFonts w:ascii="Times New Roman" w:hAnsi="Times New Roman"/>
          <w:sz w:val="22"/>
          <w:szCs w:val="22"/>
        </w:rPr>
        <w:t xml:space="preserve"> responsive to those commenters who have requested </w:t>
      </w:r>
      <w:r w:rsidR="00321A51">
        <w:rPr>
          <w:rFonts w:ascii="Times New Roman" w:hAnsi="Times New Roman"/>
          <w:sz w:val="22"/>
          <w:szCs w:val="22"/>
        </w:rPr>
        <w:t>the opportunity for comment on such</w:t>
      </w:r>
      <w:r w:rsidR="00E177C5">
        <w:rPr>
          <w:rFonts w:ascii="Times New Roman" w:hAnsi="Times New Roman"/>
          <w:sz w:val="22"/>
          <w:szCs w:val="22"/>
        </w:rPr>
        <w:t xml:space="preserve"> </w:t>
      </w:r>
      <w:r w:rsidR="00321A51">
        <w:rPr>
          <w:rFonts w:ascii="Times New Roman" w:hAnsi="Times New Roman"/>
          <w:sz w:val="22"/>
          <w:szCs w:val="22"/>
        </w:rPr>
        <w:t>details.</w:t>
      </w:r>
      <w:r w:rsidR="00E177C5">
        <w:rPr>
          <w:rFonts w:ascii="Times New Roman" w:hAnsi="Times New Roman"/>
          <w:sz w:val="22"/>
          <w:szCs w:val="22"/>
        </w:rPr>
        <w:t xml:space="preserve"> </w:t>
      </w:r>
      <w:r w:rsidR="00501061">
        <w:rPr>
          <w:rFonts w:ascii="Times New Roman" w:hAnsi="Times New Roman"/>
          <w:sz w:val="22"/>
          <w:szCs w:val="22"/>
        </w:rPr>
        <w:t xml:space="preserve"> </w:t>
      </w:r>
      <w:r w:rsidR="00D31CA7">
        <w:rPr>
          <w:rFonts w:ascii="Times New Roman" w:hAnsi="Times New Roman"/>
          <w:sz w:val="22"/>
          <w:szCs w:val="22"/>
        </w:rPr>
        <w:t>W</w:t>
      </w:r>
      <w:r w:rsidR="00321A51">
        <w:rPr>
          <w:rFonts w:ascii="Times New Roman" w:hAnsi="Times New Roman"/>
          <w:sz w:val="22"/>
          <w:szCs w:val="22"/>
        </w:rPr>
        <w:t xml:space="preserve">e emphasize that </w:t>
      </w:r>
      <w:r w:rsidR="00532FF4">
        <w:rPr>
          <w:rFonts w:ascii="Times New Roman" w:hAnsi="Times New Roman"/>
          <w:sz w:val="22"/>
          <w:szCs w:val="22"/>
        </w:rPr>
        <w:t xml:space="preserve">to participate in the reverse or forward auctions, bidders need not </w:t>
      </w:r>
      <w:r w:rsidR="00501061">
        <w:rPr>
          <w:rFonts w:ascii="Times New Roman" w:hAnsi="Times New Roman"/>
          <w:sz w:val="22"/>
          <w:szCs w:val="22"/>
        </w:rPr>
        <w:t xml:space="preserve">know or master the technical details discussed </w:t>
      </w:r>
      <w:r w:rsidR="000344D6">
        <w:rPr>
          <w:rFonts w:ascii="Times New Roman" w:hAnsi="Times New Roman"/>
          <w:sz w:val="22"/>
          <w:szCs w:val="22"/>
        </w:rPr>
        <w:t>herei</w:t>
      </w:r>
      <w:r w:rsidR="00501061">
        <w:rPr>
          <w:rFonts w:ascii="Times New Roman" w:hAnsi="Times New Roman"/>
          <w:sz w:val="22"/>
          <w:szCs w:val="22"/>
        </w:rPr>
        <w:t xml:space="preserve">n </w:t>
      </w:r>
      <w:r w:rsidR="000344D6">
        <w:rPr>
          <w:rFonts w:ascii="Times New Roman" w:hAnsi="Times New Roman"/>
          <w:sz w:val="22"/>
          <w:szCs w:val="22"/>
        </w:rPr>
        <w:t>or in</w:t>
      </w:r>
      <w:r w:rsidR="0079075B">
        <w:rPr>
          <w:rFonts w:ascii="Times New Roman" w:hAnsi="Times New Roman"/>
          <w:sz w:val="22"/>
          <w:szCs w:val="22"/>
        </w:rPr>
        <w:t xml:space="preserve"> the attached </w:t>
      </w:r>
      <w:r w:rsidR="000344D6">
        <w:rPr>
          <w:rFonts w:ascii="Times New Roman" w:hAnsi="Times New Roman"/>
          <w:sz w:val="22"/>
          <w:szCs w:val="22"/>
        </w:rPr>
        <w:t xml:space="preserve">Technical </w:t>
      </w:r>
      <w:r w:rsidR="0079075B">
        <w:rPr>
          <w:rFonts w:ascii="Times New Roman" w:hAnsi="Times New Roman"/>
          <w:sz w:val="22"/>
          <w:szCs w:val="22"/>
        </w:rPr>
        <w:t>Appendix</w:t>
      </w:r>
      <w:r w:rsidR="00CE26B5">
        <w:rPr>
          <w:rFonts w:ascii="Times New Roman" w:hAnsi="Times New Roman"/>
          <w:sz w:val="22"/>
          <w:szCs w:val="22"/>
        </w:rPr>
        <w:t xml:space="preserve"> or </w:t>
      </w:r>
      <w:r w:rsidR="00501061">
        <w:rPr>
          <w:rFonts w:ascii="Times New Roman" w:hAnsi="Times New Roman"/>
          <w:sz w:val="22"/>
          <w:szCs w:val="22"/>
        </w:rPr>
        <w:t>in subseq</w:t>
      </w:r>
      <w:r w:rsidR="00354A11">
        <w:rPr>
          <w:rFonts w:ascii="Times New Roman" w:hAnsi="Times New Roman"/>
          <w:sz w:val="22"/>
          <w:szCs w:val="22"/>
        </w:rPr>
        <w:t xml:space="preserve">uent </w:t>
      </w:r>
      <w:r w:rsidR="00501061">
        <w:rPr>
          <w:rFonts w:ascii="Times New Roman" w:hAnsi="Times New Roman"/>
          <w:sz w:val="22"/>
          <w:szCs w:val="22"/>
        </w:rPr>
        <w:t>s</w:t>
      </w:r>
      <w:r w:rsidR="00354A11">
        <w:rPr>
          <w:rFonts w:ascii="Times New Roman" w:hAnsi="Times New Roman"/>
          <w:sz w:val="22"/>
          <w:szCs w:val="22"/>
        </w:rPr>
        <w:t xml:space="preserve">imilar </w:t>
      </w:r>
      <w:r w:rsidR="00501061">
        <w:rPr>
          <w:rFonts w:ascii="Times New Roman" w:hAnsi="Times New Roman"/>
          <w:sz w:val="22"/>
          <w:szCs w:val="22"/>
        </w:rPr>
        <w:t xml:space="preserve">releases. </w:t>
      </w:r>
      <w:r w:rsidR="007B4773">
        <w:rPr>
          <w:rFonts w:ascii="Times New Roman" w:hAnsi="Times New Roman"/>
          <w:sz w:val="22"/>
          <w:szCs w:val="22"/>
        </w:rPr>
        <w:t xml:space="preserve"> </w:t>
      </w:r>
      <w:r w:rsidR="0079075B">
        <w:rPr>
          <w:rFonts w:ascii="Times New Roman" w:hAnsi="Times New Roman"/>
          <w:sz w:val="22"/>
          <w:szCs w:val="22"/>
        </w:rPr>
        <w:t>Th</w:t>
      </w:r>
      <w:r w:rsidR="00501061">
        <w:rPr>
          <w:rFonts w:ascii="Times New Roman" w:hAnsi="Times New Roman"/>
          <w:sz w:val="22"/>
          <w:szCs w:val="22"/>
        </w:rPr>
        <w:t>e</w:t>
      </w:r>
      <w:r w:rsidR="0079075B">
        <w:rPr>
          <w:rFonts w:ascii="Times New Roman" w:hAnsi="Times New Roman"/>
          <w:sz w:val="22"/>
          <w:szCs w:val="22"/>
        </w:rPr>
        <w:t xml:space="preserve"> Commission</w:t>
      </w:r>
      <w:r w:rsidR="000344D6">
        <w:rPr>
          <w:rFonts w:ascii="Times New Roman" w:hAnsi="Times New Roman"/>
          <w:sz w:val="22"/>
          <w:szCs w:val="22"/>
        </w:rPr>
        <w:t xml:space="preserve"> has announced the </w:t>
      </w:r>
      <w:r w:rsidR="007B4773">
        <w:rPr>
          <w:rFonts w:ascii="Times New Roman" w:hAnsi="Times New Roman"/>
          <w:sz w:val="22"/>
          <w:szCs w:val="22"/>
        </w:rPr>
        <w:t>principle</w:t>
      </w:r>
      <w:r w:rsidR="00501061">
        <w:rPr>
          <w:rFonts w:ascii="Times New Roman" w:hAnsi="Times New Roman"/>
          <w:sz w:val="22"/>
          <w:szCs w:val="22"/>
        </w:rPr>
        <w:t xml:space="preserve"> that </w:t>
      </w:r>
      <w:r w:rsidR="0079075B">
        <w:rPr>
          <w:rFonts w:ascii="Times New Roman" w:hAnsi="Times New Roman"/>
          <w:sz w:val="22"/>
          <w:szCs w:val="22"/>
        </w:rPr>
        <w:t xml:space="preserve">incentive auction </w:t>
      </w:r>
      <w:r w:rsidR="00501061">
        <w:rPr>
          <w:rFonts w:ascii="Times New Roman" w:hAnsi="Times New Roman"/>
          <w:sz w:val="22"/>
          <w:szCs w:val="22"/>
        </w:rPr>
        <w:t>participation</w:t>
      </w:r>
      <w:r w:rsidR="00354A11">
        <w:rPr>
          <w:rFonts w:ascii="Times New Roman" w:hAnsi="Times New Roman"/>
          <w:sz w:val="22"/>
          <w:szCs w:val="22"/>
        </w:rPr>
        <w:t>, particularly for broadcasters,</w:t>
      </w:r>
      <w:r w:rsidR="00321A51">
        <w:rPr>
          <w:rFonts w:ascii="Times New Roman" w:hAnsi="Times New Roman"/>
          <w:sz w:val="22"/>
          <w:szCs w:val="22"/>
        </w:rPr>
        <w:t xml:space="preserve"> should</w:t>
      </w:r>
      <w:r w:rsidR="00354A11">
        <w:rPr>
          <w:rFonts w:ascii="Times New Roman" w:hAnsi="Times New Roman"/>
          <w:sz w:val="22"/>
          <w:szCs w:val="22"/>
        </w:rPr>
        <w:t xml:space="preserve"> </w:t>
      </w:r>
      <w:r w:rsidR="00501061">
        <w:rPr>
          <w:rFonts w:ascii="Times New Roman" w:hAnsi="Times New Roman"/>
          <w:sz w:val="22"/>
          <w:szCs w:val="22"/>
        </w:rPr>
        <w:t>be</w:t>
      </w:r>
      <w:r w:rsidR="00354A11">
        <w:rPr>
          <w:rFonts w:ascii="Times New Roman" w:hAnsi="Times New Roman"/>
          <w:sz w:val="22"/>
          <w:szCs w:val="22"/>
        </w:rPr>
        <w:t xml:space="preserve"> as simple as possible.</w:t>
      </w:r>
      <w:r w:rsidR="007B4773">
        <w:rPr>
          <w:rStyle w:val="FootnoteReference"/>
          <w:szCs w:val="22"/>
        </w:rPr>
        <w:footnoteReference w:id="6"/>
      </w:r>
      <w:r w:rsidR="007B4773">
        <w:rPr>
          <w:rFonts w:ascii="Times New Roman" w:hAnsi="Times New Roman"/>
          <w:sz w:val="22"/>
          <w:szCs w:val="22"/>
        </w:rPr>
        <w:t xml:space="preserve"> </w:t>
      </w:r>
    </w:p>
    <w:p w14:paraId="09C258FA" w14:textId="77777777" w:rsidR="0079075B" w:rsidRDefault="0079075B" w:rsidP="006370DD">
      <w:pPr>
        <w:ind w:firstLine="360"/>
        <w:rPr>
          <w:rFonts w:ascii="Times New Roman" w:hAnsi="Times New Roman"/>
          <w:sz w:val="22"/>
          <w:szCs w:val="22"/>
        </w:rPr>
      </w:pPr>
    </w:p>
    <w:p w14:paraId="7FDC1ED9" w14:textId="4A46D0B5" w:rsidR="00375689" w:rsidRDefault="000E4D53" w:rsidP="000E4D53">
      <w:pPr>
        <w:rPr>
          <w:rFonts w:ascii="Times New Roman" w:hAnsi="Times New Roman"/>
          <w:sz w:val="22"/>
          <w:szCs w:val="22"/>
        </w:rPr>
      </w:pPr>
      <w:r>
        <w:rPr>
          <w:rFonts w:ascii="Times New Roman" w:hAnsi="Times New Roman"/>
          <w:sz w:val="22"/>
          <w:szCs w:val="22"/>
        </w:rPr>
        <w:t xml:space="preserve">     </w:t>
      </w:r>
      <w:r w:rsidR="00797470">
        <w:rPr>
          <w:rFonts w:ascii="Times New Roman" w:hAnsi="Times New Roman"/>
          <w:sz w:val="22"/>
          <w:szCs w:val="22"/>
        </w:rPr>
        <w:t>T</w:t>
      </w:r>
      <w:r w:rsidR="00797470" w:rsidRPr="00611E75">
        <w:rPr>
          <w:rFonts w:ascii="Times New Roman" w:hAnsi="Times New Roman"/>
          <w:sz w:val="22"/>
          <w:szCs w:val="22"/>
        </w:rPr>
        <w:t xml:space="preserve">he NPRM explained that </w:t>
      </w:r>
      <w:r w:rsidR="00797470">
        <w:rPr>
          <w:rFonts w:ascii="Times New Roman" w:hAnsi="Times New Roman"/>
          <w:sz w:val="22"/>
          <w:szCs w:val="22"/>
        </w:rPr>
        <w:t>information about the feasibility of channel assignments</w:t>
      </w:r>
      <w:r w:rsidR="00797470" w:rsidRPr="00611E75">
        <w:rPr>
          <w:rFonts w:ascii="Times New Roman" w:hAnsi="Times New Roman"/>
          <w:sz w:val="22"/>
          <w:szCs w:val="22"/>
        </w:rPr>
        <w:t xml:space="preserve"> will play a direct role in the reverse auction </w:t>
      </w:r>
      <w:r w:rsidR="00797470">
        <w:rPr>
          <w:rFonts w:ascii="Times New Roman" w:hAnsi="Times New Roman"/>
          <w:sz w:val="22"/>
          <w:szCs w:val="22"/>
        </w:rPr>
        <w:t xml:space="preserve">as part of the determination of </w:t>
      </w:r>
      <w:r w:rsidR="00797470" w:rsidRPr="00611E75">
        <w:rPr>
          <w:rFonts w:ascii="Times New Roman" w:hAnsi="Times New Roman"/>
          <w:sz w:val="22"/>
          <w:szCs w:val="22"/>
        </w:rPr>
        <w:t>which bids to accept.</w:t>
      </w:r>
      <w:r w:rsidR="00797470" w:rsidRPr="00611E75">
        <w:rPr>
          <w:rStyle w:val="FootnoteReference"/>
          <w:szCs w:val="22"/>
        </w:rPr>
        <w:footnoteReference w:id="7"/>
      </w:r>
      <w:r w:rsidR="00797470" w:rsidRPr="00611E75">
        <w:rPr>
          <w:rFonts w:ascii="Times New Roman" w:hAnsi="Times New Roman"/>
          <w:sz w:val="22"/>
          <w:szCs w:val="22"/>
        </w:rPr>
        <w:t xml:space="preserve">  </w:t>
      </w:r>
      <w:r w:rsidR="00A63F8F">
        <w:rPr>
          <w:rFonts w:ascii="Times New Roman" w:hAnsi="Times New Roman"/>
          <w:sz w:val="22"/>
          <w:szCs w:val="22"/>
        </w:rPr>
        <w:t>Although</w:t>
      </w:r>
      <w:r w:rsidR="00797470">
        <w:rPr>
          <w:rFonts w:ascii="Times New Roman" w:hAnsi="Times New Roman"/>
          <w:sz w:val="22"/>
          <w:szCs w:val="22"/>
        </w:rPr>
        <w:t xml:space="preserve"> </w:t>
      </w:r>
      <w:r w:rsidR="00DC338F">
        <w:rPr>
          <w:rFonts w:ascii="Times New Roman" w:hAnsi="Times New Roman"/>
          <w:sz w:val="22"/>
          <w:szCs w:val="22"/>
        </w:rPr>
        <w:t xml:space="preserve">the information </w:t>
      </w:r>
      <w:r w:rsidR="00797470" w:rsidRPr="00611E75">
        <w:rPr>
          <w:rFonts w:ascii="Times New Roman" w:hAnsi="Times New Roman"/>
          <w:sz w:val="22"/>
          <w:szCs w:val="22"/>
        </w:rPr>
        <w:t xml:space="preserve">we are releasing </w:t>
      </w:r>
      <w:r w:rsidR="00DC338F">
        <w:rPr>
          <w:rFonts w:ascii="Times New Roman" w:hAnsi="Times New Roman"/>
          <w:sz w:val="22"/>
          <w:szCs w:val="22"/>
        </w:rPr>
        <w:t xml:space="preserve">in connection with this Public Notice does not reflect </w:t>
      </w:r>
      <w:r w:rsidR="00797470">
        <w:rPr>
          <w:rFonts w:ascii="Times New Roman" w:hAnsi="Times New Roman"/>
          <w:sz w:val="22"/>
          <w:szCs w:val="22"/>
        </w:rPr>
        <w:t xml:space="preserve">how the Commission will select bids in the reverse auction or </w:t>
      </w:r>
      <w:r w:rsidR="00DC338F">
        <w:rPr>
          <w:rFonts w:ascii="Times New Roman" w:hAnsi="Times New Roman"/>
          <w:sz w:val="22"/>
          <w:szCs w:val="22"/>
        </w:rPr>
        <w:t>assign</w:t>
      </w:r>
      <w:r w:rsidR="00797470">
        <w:rPr>
          <w:rFonts w:ascii="Times New Roman" w:hAnsi="Times New Roman"/>
          <w:sz w:val="22"/>
          <w:szCs w:val="22"/>
        </w:rPr>
        <w:t xml:space="preserve"> broadcast television licensees to specific channels in the repacking process</w:t>
      </w:r>
      <w:r w:rsidR="00A63F8F">
        <w:rPr>
          <w:rFonts w:ascii="Times New Roman" w:hAnsi="Times New Roman"/>
          <w:sz w:val="22"/>
          <w:szCs w:val="22"/>
        </w:rPr>
        <w:t xml:space="preserve">, </w:t>
      </w:r>
      <w:r w:rsidR="00DC338F">
        <w:rPr>
          <w:rFonts w:ascii="Times New Roman" w:hAnsi="Times New Roman"/>
          <w:sz w:val="22"/>
          <w:szCs w:val="22"/>
        </w:rPr>
        <w:t xml:space="preserve">it </w:t>
      </w:r>
      <w:r w:rsidR="00A63F8F">
        <w:rPr>
          <w:rFonts w:ascii="Times New Roman" w:hAnsi="Times New Roman"/>
          <w:sz w:val="22"/>
          <w:szCs w:val="22"/>
        </w:rPr>
        <w:t>is a critical element in the auction design process</w:t>
      </w:r>
      <w:r w:rsidR="00797470">
        <w:rPr>
          <w:rFonts w:ascii="Times New Roman" w:hAnsi="Times New Roman"/>
          <w:sz w:val="22"/>
          <w:szCs w:val="22"/>
        </w:rPr>
        <w:t xml:space="preserve">.  We anticipate that additional elements of the repacking process, including details about how </w:t>
      </w:r>
      <w:r w:rsidR="00DC338F">
        <w:rPr>
          <w:rFonts w:ascii="Times New Roman" w:hAnsi="Times New Roman"/>
          <w:sz w:val="22"/>
          <w:szCs w:val="22"/>
        </w:rPr>
        <w:t>the Commission</w:t>
      </w:r>
      <w:r w:rsidR="00797470">
        <w:rPr>
          <w:rFonts w:ascii="Times New Roman" w:hAnsi="Times New Roman"/>
          <w:sz w:val="22"/>
          <w:szCs w:val="22"/>
        </w:rPr>
        <w:t xml:space="preserve"> will select bids, how </w:t>
      </w:r>
      <w:r w:rsidR="00DC338F">
        <w:rPr>
          <w:rFonts w:ascii="Times New Roman" w:hAnsi="Times New Roman"/>
          <w:sz w:val="22"/>
          <w:szCs w:val="22"/>
        </w:rPr>
        <w:t>it</w:t>
      </w:r>
      <w:r w:rsidR="00797470">
        <w:rPr>
          <w:rFonts w:ascii="Times New Roman" w:hAnsi="Times New Roman"/>
          <w:sz w:val="22"/>
          <w:szCs w:val="22"/>
        </w:rPr>
        <w:t xml:space="preserve"> will assign channels, and algorithms for carrying out these and other elements of the repacking process, will be made public in the coming months.  Consistent with the Commission’s expectation in the NPRM, we also anticipate that interested parties will have an opportunity to provide input on these elements before the Commission reaches a final decision on a repacking methodology.</w:t>
      </w:r>
      <w:r w:rsidR="00797470" w:rsidRPr="00611E75">
        <w:rPr>
          <w:rStyle w:val="FootnoteReference"/>
          <w:szCs w:val="22"/>
        </w:rPr>
        <w:footnoteReference w:id="8"/>
      </w:r>
      <w:r w:rsidR="00A63F8F">
        <w:rPr>
          <w:rFonts w:ascii="Times New Roman" w:hAnsi="Times New Roman"/>
          <w:sz w:val="22"/>
          <w:szCs w:val="22"/>
        </w:rPr>
        <w:t xml:space="preserve"> </w:t>
      </w:r>
    </w:p>
    <w:p w14:paraId="3A98553B" w14:textId="77777777" w:rsidR="000325D9" w:rsidRDefault="000325D9" w:rsidP="006370DD">
      <w:pPr>
        <w:ind w:firstLine="360"/>
        <w:rPr>
          <w:rFonts w:ascii="Times New Roman" w:hAnsi="Times New Roman"/>
          <w:sz w:val="22"/>
          <w:szCs w:val="22"/>
        </w:rPr>
      </w:pPr>
    </w:p>
    <w:p w14:paraId="010A8F94" w14:textId="77777777" w:rsidR="00620D53" w:rsidRDefault="00620D53" w:rsidP="006370DD">
      <w:pPr>
        <w:ind w:firstLine="720"/>
        <w:rPr>
          <w:rFonts w:ascii="Times New Roman" w:hAnsi="Times New Roman"/>
          <w:sz w:val="22"/>
          <w:szCs w:val="22"/>
        </w:rPr>
      </w:pPr>
      <w:r>
        <w:rPr>
          <w:rFonts w:ascii="Times New Roman" w:hAnsi="Times New Roman"/>
          <w:sz w:val="22"/>
          <w:szCs w:val="22"/>
          <w:u w:val="single"/>
        </w:rPr>
        <w:t xml:space="preserve">Updated Computer Software </w:t>
      </w:r>
      <w:r>
        <w:rPr>
          <w:rFonts w:ascii="Times New Roman" w:hAnsi="Times New Roman"/>
          <w:sz w:val="22"/>
          <w:szCs w:val="22"/>
        </w:rPr>
        <w:t xml:space="preserve"> </w:t>
      </w:r>
    </w:p>
    <w:p w14:paraId="0D32DDC3" w14:textId="77777777" w:rsidR="00BE55D5" w:rsidRDefault="00BE55D5" w:rsidP="006370DD">
      <w:pPr>
        <w:ind w:firstLine="720"/>
        <w:rPr>
          <w:rFonts w:ascii="Times New Roman" w:hAnsi="Times New Roman"/>
          <w:sz w:val="22"/>
          <w:szCs w:val="22"/>
        </w:rPr>
      </w:pPr>
    </w:p>
    <w:p w14:paraId="73722FC5" w14:textId="77777777" w:rsidR="00620D53" w:rsidRDefault="000E4D53" w:rsidP="000E4D53">
      <w:pPr>
        <w:rPr>
          <w:rFonts w:ascii="Times New Roman" w:hAnsi="Times New Roman"/>
          <w:sz w:val="22"/>
          <w:szCs w:val="22"/>
        </w:rPr>
      </w:pPr>
      <w:r>
        <w:rPr>
          <w:rFonts w:ascii="Times New Roman" w:hAnsi="Times New Roman"/>
          <w:sz w:val="22"/>
          <w:szCs w:val="22"/>
        </w:rPr>
        <w:t xml:space="preserve">     </w:t>
      </w:r>
      <w:r w:rsidR="00620D53">
        <w:rPr>
          <w:rFonts w:ascii="Times New Roman" w:hAnsi="Times New Roman"/>
          <w:sz w:val="22"/>
          <w:szCs w:val="22"/>
        </w:rPr>
        <w:t>The updated computer</w:t>
      </w:r>
      <w:r w:rsidR="00620D53" w:rsidRPr="00611E75">
        <w:rPr>
          <w:rFonts w:ascii="Times New Roman" w:hAnsi="Times New Roman"/>
          <w:sz w:val="22"/>
          <w:szCs w:val="22"/>
        </w:rPr>
        <w:t xml:space="preserve"> software </w:t>
      </w:r>
      <w:r w:rsidR="00854F48">
        <w:rPr>
          <w:rFonts w:ascii="Times New Roman" w:hAnsi="Times New Roman"/>
          <w:sz w:val="22"/>
          <w:szCs w:val="22"/>
        </w:rPr>
        <w:t xml:space="preserve">we </w:t>
      </w:r>
      <w:r w:rsidR="00DC338F">
        <w:rPr>
          <w:rFonts w:ascii="Times New Roman" w:hAnsi="Times New Roman"/>
          <w:sz w:val="22"/>
          <w:szCs w:val="22"/>
        </w:rPr>
        <w:t xml:space="preserve">are </w:t>
      </w:r>
      <w:r w:rsidR="00854F48">
        <w:rPr>
          <w:rFonts w:ascii="Times New Roman" w:hAnsi="Times New Roman"/>
          <w:sz w:val="22"/>
          <w:szCs w:val="22"/>
        </w:rPr>
        <w:t>releas</w:t>
      </w:r>
      <w:r w:rsidR="00DC338F">
        <w:rPr>
          <w:rFonts w:ascii="Times New Roman" w:hAnsi="Times New Roman"/>
          <w:sz w:val="22"/>
          <w:szCs w:val="22"/>
        </w:rPr>
        <w:t xml:space="preserve">ing </w:t>
      </w:r>
      <w:r w:rsidR="00620D53" w:rsidRPr="00611E75">
        <w:rPr>
          <w:rFonts w:ascii="Times New Roman" w:hAnsi="Times New Roman"/>
          <w:sz w:val="22"/>
          <w:szCs w:val="22"/>
        </w:rPr>
        <w:t xml:space="preserve">for </w:t>
      </w:r>
      <w:r w:rsidR="00321A51">
        <w:rPr>
          <w:rFonts w:ascii="Times New Roman" w:hAnsi="Times New Roman"/>
          <w:sz w:val="22"/>
          <w:szCs w:val="22"/>
        </w:rPr>
        <w:t>determin</w:t>
      </w:r>
      <w:r w:rsidR="00321A51" w:rsidRPr="00611E75">
        <w:rPr>
          <w:rFonts w:ascii="Times New Roman" w:hAnsi="Times New Roman"/>
          <w:sz w:val="22"/>
          <w:szCs w:val="22"/>
        </w:rPr>
        <w:t xml:space="preserve">ing </w:t>
      </w:r>
      <w:r w:rsidR="00854F48">
        <w:rPr>
          <w:rFonts w:ascii="Times New Roman" w:hAnsi="Times New Roman"/>
          <w:sz w:val="22"/>
          <w:szCs w:val="22"/>
        </w:rPr>
        <w:t>the</w:t>
      </w:r>
      <w:r w:rsidR="00854F48" w:rsidRPr="00611E75">
        <w:rPr>
          <w:rFonts w:ascii="Times New Roman" w:hAnsi="Times New Roman"/>
          <w:sz w:val="22"/>
          <w:szCs w:val="22"/>
        </w:rPr>
        <w:t xml:space="preserve"> </w:t>
      </w:r>
      <w:r w:rsidR="00620D53" w:rsidRPr="00611E75">
        <w:rPr>
          <w:rFonts w:ascii="Times New Roman" w:hAnsi="Times New Roman"/>
          <w:sz w:val="22"/>
          <w:szCs w:val="22"/>
        </w:rPr>
        <w:t xml:space="preserve">coverage </w:t>
      </w:r>
      <w:r w:rsidR="00854F48">
        <w:rPr>
          <w:rFonts w:ascii="Times New Roman" w:hAnsi="Times New Roman"/>
          <w:sz w:val="22"/>
          <w:szCs w:val="22"/>
        </w:rPr>
        <w:t xml:space="preserve">area </w:t>
      </w:r>
      <w:r w:rsidR="00620D53" w:rsidRPr="00611E75">
        <w:rPr>
          <w:rFonts w:ascii="Times New Roman" w:hAnsi="Times New Roman"/>
          <w:sz w:val="22"/>
          <w:szCs w:val="22"/>
        </w:rPr>
        <w:t xml:space="preserve">and </w:t>
      </w:r>
      <w:r w:rsidR="00854F48">
        <w:rPr>
          <w:rFonts w:ascii="Times New Roman" w:hAnsi="Times New Roman"/>
          <w:sz w:val="22"/>
          <w:szCs w:val="22"/>
        </w:rPr>
        <w:t>population served of each broadcast television station using the methodology described in</w:t>
      </w:r>
      <w:r w:rsidR="00620D53" w:rsidRPr="00611E75">
        <w:rPr>
          <w:rFonts w:ascii="Times New Roman" w:hAnsi="Times New Roman"/>
          <w:sz w:val="22"/>
          <w:szCs w:val="22"/>
        </w:rPr>
        <w:t xml:space="preserve"> OET-69</w:t>
      </w:r>
      <w:r w:rsidR="00620D53">
        <w:rPr>
          <w:rFonts w:ascii="Times New Roman" w:hAnsi="Times New Roman"/>
          <w:sz w:val="22"/>
          <w:szCs w:val="22"/>
        </w:rPr>
        <w:t xml:space="preserve"> will allow parties to analyze </w:t>
      </w:r>
      <w:r w:rsidR="00854F48">
        <w:rPr>
          <w:rFonts w:ascii="Times New Roman" w:hAnsi="Times New Roman"/>
          <w:sz w:val="22"/>
          <w:szCs w:val="22"/>
        </w:rPr>
        <w:t xml:space="preserve">potential </w:t>
      </w:r>
      <w:r w:rsidR="00620D53">
        <w:rPr>
          <w:rFonts w:ascii="Times New Roman" w:hAnsi="Times New Roman"/>
          <w:sz w:val="22"/>
          <w:szCs w:val="22"/>
        </w:rPr>
        <w:t>interference on a station-to-station, or</w:t>
      </w:r>
      <w:r w:rsidR="00620D53" w:rsidRPr="00611E75">
        <w:rPr>
          <w:rFonts w:ascii="Times New Roman" w:hAnsi="Times New Roman"/>
          <w:sz w:val="22"/>
          <w:szCs w:val="22"/>
        </w:rPr>
        <w:t xml:space="preserve"> “pairwise</w:t>
      </w:r>
      <w:r w:rsidR="00620D53">
        <w:rPr>
          <w:rFonts w:ascii="Times New Roman" w:hAnsi="Times New Roman"/>
          <w:sz w:val="22"/>
          <w:szCs w:val="22"/>
        </w:rPr>
        <w:t>,</w:t>
      </w:r>
      <w:r w:rsidR="00620D53" w:rsidRPr="00611E75">
        <w:rPr>
          <w:rFonts w:ascii="Times New Roman" w:hAnsi="Times New Roman"/>
          <w:sz w:val="22"/>
          <w:szCs w:val="22"/>
        </w:rPr>
        <w:t xml:space="preserve">” </w:t>
      </w:r>
      <w:r w:rsidR="00620D53">
        <w:rPr>
          <w:rFonts w:ascii="Times New Roman" w:hAnsi="Times New Roman"/>
          <w:sz w:val="22"/>
          <w:szCs w:val="22"/>
        </w:rPr>
        <w:t>basis</w:t>
      </w:r>
      <w:r w:rsidR="00620D53" w:rsidRPr="00611E75">
        <w:rPr>
          <w:rFonts w:ascii="Times New Roman" w:hAnsi="Times New Roman"/>
          <w:sz w:val="22"/>
          <w:szCs w:val="22"/>
        </w:rPr>
        <w:t>.</w:t>
      </w:r>
      <w:r w:rsidR="00620D53" w:rsidRPr="00611E75">
        <w:rPr>
          <w:rStyle w:val="FootnoteReference"/>
          <w:szCs w:val="22"/>
        </w:rPr>
        <w:footnoteReference w:id="9"/>
      </w:r>
      <w:r w:rsidR="00620D53">
        <w:rPr>
          <w:rFonts w:ascii="Times New Roman" w:hAnsi="Times New Roman"/>
          <w:sz w:val="22"/>
          <w:szCs w:val="22"/>
        </w:rPr>
        <w:t xml:space="preserve">  </w:t>
      </w:r>
      <w:r w:rsidR="00BF0DA1">
        <w:rPr>
          <w:rFonts w:ascii="Times New Roman" w:hAnsi="Times New Roman"/>
          <w:sz w:val="22"/>
          <w:szCs w:val="22"/>
        </w:rPr>
        <w:t>OET released an earlier version of this software on February 4, 2013.</w:t>
      </w:r>
      <w:r w:rsidR="00BF0DA1" w:rsidRPr="00611E75">
        <w:rPr>
          <w:rStyle w:val="FootnoteReference"/>
          <w:szCs w:val="22"/>
        </w:rPr>
        <w:footnoteReference w:id="10"/>
      </w:r>
      <w:r w:rsidR="00BF0DA1">
        <w:rPr>
          <w:rFonts w:ascii="Times New Roman" w:hAnsi="Times New Roman"/>
          <w:sz w:val="22"/>
          <w:szCs w:val="22"/>
        </w:rPr>
        <w:t xml:space="preserve">  </w:t>
      </w:r>
      <w:r w:rsidR="00620D53">
        <w:rPr>
          <w:rFonts w:ascii="Times New Roman" w:hAnsi="Times New Roman"/>
          <w:sz w:val="22"/>
          <w:szCs w:val="22"/>
        </w:rPr>
        <w:t>Th</w:t>
      </w:r>
      <w:r w:rsidR="00321A51">
        <w:rPr>
          <w:rFonts w:ascii="Times New Roman" w:hAnsi="Times New Roman"/>
          <w:sz w:val="22"/>
          <w:szCs w:val="22"/>
        </w:rPr>
        <w:t>e</w:t>
      </w:r>
      <w:r w:rsidR="00620D53">
        <w:rPr>
          <w:rFonts w:ascii="Times New Roman" w:hAnsi="Times New Roman"/>
          <w:sz w:val="22"/>
          <w:szCs w:val="22"/>
        </w:rPr>
        <w:t xml:space="preserve"> </w:t>
      </w:r>
      <w:r w:rsidR="00854F48">
        <w:rPr>
          <w:rFonts w:ascii="Times New Roman" w:hAnsi="Times New Roman"/>
          <w:sz w:val="22"/>
          <w:szCs w:val="22"/>
        </w:rPr>
        <w:t xml:space="preserve">version </w:t>
      </w:r>
      <w:r w:rsidR="00620D53">
        <w:rPr>
          <w:rFonts w:ascii="Times New Roman" w:hAnsi="Times New Roman"/>
          <w:sz w:val="22"/>
          <w:szCs w:val="22"/>
        </w:rPr>
        <w:t>of the software</w:t>
      </w:r>
      <w:r w:rsidR="00321A51">
        <w:rPr>
          <w:rFonts w:ascii="Times New Roman" w:hAnsi="Times New Roman"/>
          <w:sz w:val="22"/>
          <w:szCs w:val="22"/>
        </w:rPr>
        <w:t xml:space="preserve"> being released </w:t>
      </w:r>
      <w:r w:rsidR="00DC338F">
        <w:rPr>
          <w:rFonts w:ascii="Times New Roman" w:hAnsi="Times New Roman"/>
          <w:sz w:val="22"/>
          <w:szCs w:val="22"/>
        </w:rPr>
        <w:t xml:space="preserve">at this time </w:t>
      </w:r>
      <w:r w:rsidR="00620D53">
        <w:rPr>
          <w:rFonts w:ascii="Times New Roman" w:hAnsi="Times New Roman"/>
          <w:sz w:val="22"/>
          <w:szCs w:val="22"/>
        </w:rPr>
        <w:t>(</w:t>
      </w:r>
      <w:r w:rsidR="00620D53" w:rsidRPr="0079075B">
        <w:rPr>
          <w:rFonts w:ascii="Times New Roman" w:hAnsi="Times New Roman"/>
          <w:i/>
          <w:sz w:val="22"/>
          <w:szCs w:val="22"/>
        </w:rPr>
        <w:t>TVStudy</w:t>
      </w:r>
      <w:r w:rsidR="00620D53">
        <w:rPr>
          <w:rFonts w:ascii="Times New Roman" w:hAnsi="Times New Roman"/>
          <w:sz w:val="22"/>
          <w:szCs w:val="22"/>
        </w:rPr>
        <w:t xml:space="preserve"> v.1.2) </w:t>
      </w:r>
      <w:r w:rsidR="00BF0DA1">
        <w:rPr>
          <w:rFonts w:ascii="Times New Roman" w:hAnsi="Times New Roman"/>
          <w:sz w:val="22"/>
          <w:szCs w:val="22"/>
        </w:rPr>
        <w:t>operates</w:t>
      </w:r>
      <w:r w:rsidR="00620D53">
        <w:rPr>
          <w:rFonts w:ascii="Times New Roman" w:hAnsi="Times New Roman"/>
          <w:sz w:val="22"/>
          <w:szCs w:val="22"/>
        </w:rPr>
        <w:t xml:space="preserve"> in the same way as the earlier </w:t>
      </w:r>
      <w:r w:rsidR="00BF0DA1">
        <w:rPr>
          <w:rFonts w:ascii="Times New Roman" w:hAnsi="Times New Roman"/>
          <w:sz w:val="22"/>
          <w:szCs w:val="22"/>
        </w:rPr>
        <w:t xml:space="preserve">version </w:t>
      </w:r>
      <w:r w:rsidR="00620D53">
        <w:rPr>
          <w:rFonts w:ascii="Times New Roman" w:hAnsi="Times New Roman"/>
          <w:sz w:val="22"/>
          <w:szCs w:val="22"/>
        </w:rPr>
        <w:t>(</w:t>
      </w:r>
      <w:r w:rsidR="00620D53" w:rsidRPr="0079075B">
        <w:rPr>
          <w:rFonts w:ascii="Times New Roman" w:hAnsi="Times New Roman"/>
          <w:i/>
          <w:sz w:val="22"/>
          <w:szCs w:val="22"/>
        </w:rPr>
        <w:t>TVStudy</w:t>
      </w:r>
      <w:r w:rsidR="00620D53">
        <w:rPr>
          <w:rFonts w:ascii="Times New Roman" w:hAnsi="Times New Roman"/>
          <w:sz w:val="22"/>
          <w:szCs w:val="22"/>
        </w:rPr>
        <w:t xml:space="preserve"> v.1.1.2</w:t>
      </w:r>
      <w:r w:rsidR="00A668FC">
        <w:rPr>
          <w:rFonts w:ascii="Times New Roman" w:hAnsi="Times New Roman"/>
          <w:sz w:val="22"/>
          <w:szCs w:val="22"/>
        </w:rPr>
        <w:t>)</w:t>
      </w:r>
      <w:r w:rsidR="00620D53">
        <w:rPr>
          <w:rFonts w:ascii="Times New Roman" w:hAnsi="Times New Roman"/>
          <w:sz w:val="22"/>
          <w:szCs w:val="22"/>
        </w:rPr>
        <w:t xml:space="preserve">, but has </w:t>
      </w:r>
      <w:r w:rsidR="00E029ED">
        <w:rPr>
          <w:rFonts w:ascii="Times New Roman" w:hAnsi="Times New Roman"/>
          <w:sz w:val="22"/>
          <w:szCs w:val="22"/>
        </w:rPr>
        <w:t xml:space="preserve">an improved user interface and </w:t>
      </w:r>
      <w:r w:rsidR="00620D53">
        <w:rPr>
          <w:rFonts w:ascii="Times New Roman" w:hAnsi="Times New Roman"/>
          <w:sz w:val="22"/>
          <w:szCs w:val="22"/>
        </w:rPr>
        <w:t>enhanced capabilities for pairwise analysis.</w:t>
      </w:r>
      <w:r w:rsidR="00C8044B">
        <w:rPr>
          <w:rStyle w:val="FootnoteReference"/>
          <w:szCs w:val="22"/>
        </w:rPr>
        <w:footnoteReference w:id="11"/>
      </w:r>
      <w:r w:rsidR="00BF0DA1">
        <w:rPr>
          <w:rFonts w:ascii="Times New Roman" w:hAnsi="Times New Roman"/>
          <w:sz w:val="22"/>
          <w:szCs w:val="22"/>
        </w:rPr>
        <w:t xml:space="preserve">  </w:t>
      </w:r>
      <w:r w:rsidR="00A668FC">
        <w:rPr>
          <w:rFonts w:ascii="Times New Roman" w:hAnsi="Times New Roman"/>
          <w:sz w:val="22"/>
          <w:szCs w:val="22"/>
        </w:rPr>
        <w:t xml:space="preserve">In using </w:t>
      </w:r>
      <w:r w:rsidR="00E029ED">
        <w:rPr>
          <w:rFonts w:ascii="Times New Roman" w:hAnsi="Times New Roman"/>
          <w:sz w:val="22"/>
          <w:szCs w:val="22"/>
        </w:rPr>
        <w:t>this software</w:t>
      </w:r>
      <w:r w:rsidR="00A668FC">
        <w:rPr>
          <w:rFonts w:ascii="Times New Roman" w:hAnsi="Times New Roman"/>
          <w:sz w:val="22"/>
          <w:szCs w:val="22"/>
        </w:rPr>
        <w:t xml:space="preserve"> to generate </w:t>
      </w:r>
      <w:r w:rsidR="00042A5C">
        <w:rPr>
          <w:rFonts w:ascii="Times New Roman" w:hAnsi="Times New Roman"/>
          <w:sz w:val="22"/>
          <w:szCs w:val="22"/>
        </w:rPr>
        <w:t xml:space="preserve">preliminary </w:t>
      </w:r>
      <w:r w:rsidR="00A668FC">
        <w:rPr>
          <w:rFonts w:ascii="Times New Roman" w:hAnsi="Times New Roman"/>
          <w:sz w:val="22"/>
          <w:szCs w:val="22"/>
        </w:rPr>
        <w:t xml:space="preserve">data for the restrictions on channel assignments discussed </w:t>
      </w:r>
      <w:r w:rsidR="00A2320F">
        <w:rPr>
          <w:rFonts w:ascii="Times New Roman" w:hAnsi="Times New Roman"/>
          <w:sz w:val="22"/>
          <w:szCs w:val="22"/>
        </w:rPr>
        <w:t>below,</w:t>
      </w:r>
      <w:r w:rsidR="00A668FC">
        <w:rPr>
          <w:rFonts w:ascii="Times New Roman" w:hAnsi="Times New Roman"/>
          <w:sz w:val="22"/>
          <w:szCs w:val="22"/>
        </w:rPr>
        <w:t xml:space="preserve"> w</w:t>
      </w:r>
      <w:r w:rsidR="00BF0DA1">
        <w:rPr>
          <w:rFonts w:ascii="Times New Roman" w:hAnsi="Times New Roman"/>
          <w:sz w:val="22"/>
          <w:szCs w:val="22"/>
        </w:rPr>
        <w:t>e</w:t>
      </w:r>
      <w:r w:rsidR="009F4E9B">
        <w:rPr>
          <w:rFonts w:ascii="Times New Roman" w:hAnsi="Times New Roman"/>
          <w:sz w:val="22"/>
          <w:szCs w:val="22"/>
        </w:rPr>
        <w:t xml:space="preserve"> set various parameters</w:t>
      </w:r>
      <w:r w:rsidR="00BF0DA1" w:rsidRPr="00611E75">
        <w:rPr>
          <w:rFonts w:ascii="Times New Roman" w:hAnsi="Times New Roman"/>
          <w:sz w:val="22"/>
          <w:szCs w:val="22"/>
        </w:rPr>
        <w:t xml:space="preserve"> incorporated </w:t>
      </w:r>
      <w:r w:rsidR="0046280B">
        <w:rPr>
          <w:rFonts w:ascii="Times New Roman" w:hAnsi="Times New Roman"/>
          <w:sz w:val="22"/>
          <w:szCs w:val="22"/>
        </w:rPr>
        <w:t xml:space="preserve">in the </w:t>
      </w:r>
      <w:r w:rsidR="00A668FC">
        <w:rPr>
          <w:rFonts w:ascii="Times New Roman" w:hAnsi="Times New Roman"/>
          <w:sz w:val="22"/>
          <w:szCs w:val="22"/>
        </w:rPr>
        <w:t>software</w:t>
      </w:r>
      <w:r w:rsidR="00BF0DA1" w:rsidRPr="00611E75">
        <w:rPr>
          <w:rFonts w:ascii="Times New Roman" w:hAnsi="Times New Roman"/>
          <w:sz w:val="22"/>
          <w:szCs w:val="22"/>
        </w:rPr>
        <w:t xml:space="preserve"> to implement the updates on which OET sought comment in </w:t>
      </w:r>
      <w:r w:rsidR="00BF0DA1">
        <w:rPr>
          <w:rFonts w:ascii="Times New Roman" w:hAnsi="Times New Roman"/>
          <w:sz w:val="22"/>
          <w:szCs w:val="22"/>
        </w:rPr>
        <w:t xml:space="preserve">its </w:t>
      </w:r>
      <w:r w:rsidR="00BF0DA1" w:rsidRPr="00611E75">
        <w:rPr>
          <w:rFonts w:ascii="Times New Roman" w:hAnsi="Times New Roman"/>
          <w:sz w:val="22"/>
          <w:szCs w:val="22"/>
        </w:rPr>
        <w:t xml:space="preserve">Public Notice, with the exception of a proposed change in the default assumption of signal coverage for </w:t>
      </w:r>
      <w:r w:rsidR="00E029ED">
        <w:rPr>
          <w:rFonts w:ascii="Times New Roman" w:hAnsi="Times New Roman"/>
          <w:sz w:val="22"/>
          <w:szCs w:val="22"/>
        </w:rPr>
        <w:t xml:space="preserve">certain </w:t>
      </w:r>
      <w:r w:rsidR="00BF0DA1" w:rsidRPr="00611E75">
        <w:rPr>
          <w:rFonts w:ascii="Times New Roman" w:hAnsi="Times New Roman"/>
          <w:sz w:val="22"/>
          <w:szCs w:val="22"/>
        </w:rPr>
        <w:t>areas.</w:t>
      </w:r>
      <w:r w:rsidR="00BF0DA1" w:rsidRPr="00611E75">
        <w:rPr>
          <w:rStyle w:val="FootnoteReference"/>
          <w:szCs w:val="22"/>
        </w:rPr>
        <w:footnoteReference w:id="12"/>
      </w:r>
      <w:r w:rsidR="00BF0DA1">
        <w:rPr>
          <w:rFonts w:ascii="Times New Roman" w:hAnsi="Times New Roman"/>
          <w:sz w:val="22"/>
          <w:szCs w:val="22"/>
        </w:rPr>
        <w:t xml:space="preserve">  </w:t>
      </w:r>
      <w:r w:rsidR="00BF0DA1" w:rsidRPr="008415FA">
        <w:rPr>
          <w:rFonts w:ascii="Times New Roman" w:hAnsi="Times New Roman"/>
          <w:sz w:val="22"/>
          <w:szCs w:val="22"/>
        </w:rPr>
        <w:t xml:space="preserve">We emphasize that the Commission has made no decision on </w:t>
      </w:r>
      <w:r w:rsidR="00BF0DA1">
        <w:rPr>
          <w:rFonts w:ascii="Times New Roman" w:hAnsi="Times New Roman"/>
          <w:sz w:val="22"/>
          <w:szCs w:val="22"/>
        </w:rPr>
        <w:t>the proposed updates</w:t>
      </w:r>
      <w:r w:rsidR="000A34EE">
        <w:rPr>
          <w:rFonts w:ascii="Times New Roman" w:hAnsi="Times New Roman"/>
          <w:sz w:val="22"/>
          <w:szCs w:val="22"/>
        </w:rPr>
        <w:t>, and that whether to implement them in the repacking is subject to a final Commission decision</w:t>
      </w:r>
      <w:r w:rsidR="00BF0DA1">
        <w:rPr>
          <w:rFonts w:ascii="Times New Roman" w:hAnsi="Times New Roman"/>
          <w:sz w:val="22"/>
          <w:szCs w:val="22"/>
        </w:rPr>
        <w:t>.  T</w:t>
      </w:r>
      <w:r w:rsidR="000A34EE">
        <w:rPr>
          <w:rFonts w:ascii="Times New Roman" w:hAnsi="Times New Roman"/>
          <w:sz w:val="22"/>
          <w:szCs w:val="22"/>
        </w:rPr>
        <w:t xml:space="preserve">he setting of the switches is for illustrative purposes only, </w:t>
      </w:r>
      <w:r w:rsidR="00E029ED">
        <w:rPr>
          <w:rFonts w:ascii="Times New Roman" w:hAnsi="Times New Roman"/>
          <w:sz w:val="22"/>
          <w:szCs w:val="22"/>
        </w:rPr>
        <w:t>but</w:t>
      </w:r>
      <w:r w:rsidR="000A34EE">
        <w:rPr>
          <w:rFonts w:ascii="Times New Roman" w:hAnsi="Times New Roman"/>
          <w:sz w:val="22"/>
          <w:szCs w:val="22"/>
        </w:rPr>
        <w:t xml:space="preserve"> will help to ensure that interested parties are working with the same software </w:t>
      </w:r>
      <w:r w:rsidR="00901AD3">
        <w:rPr>
          <w:rFonts w:ascii="Times New Roman" w:hAnsi="Times New Roman"/>
          <w:sz w:val="22"/>
          <w:szCs w:val="22"/>
        </w:rPr>
        <w:t xml:space="preserve">settings </w:t>
      </w:r>
      <w:r w:rsidR="000A34EE">
        <w:rPr>
          <w:rFonts w:ascii="Times New Roman" w:hAnsi="Times New Roman"/>
          <w:sz w:val="22"/>
          <w:szCs w:val="22"/>
        </w:rPr>
        <w:t>and input values in analyzing</w:t>
      </w:r>
      <w:r w:rsidR="00DC338F">
        <w:rPr>
          <w:rFonts w:ascii="Times New Roman" w:hAnsi="Times New Roman"/>
          <w:sz w:val="22"/>
          <w:szCs w:val="22"/>
        </w:rPr>
        <w:t xml:space="preserve"> the information we release in connection with this Public Notice</w:t>
      </w:r>
      <w:r w:rsidR="00BF0DA1" w:rsidRPr="008415FA">
        <w:rPr>
          <w:rFonts w:ascii="Times New Roman" w:hAnsi="Times New Roman"/>
          <w:sz w:val="22"/>
          <w:szCs w:val="22"/>
        </w:rPr>
        <w:t>.</w:t>
      </w:r>
      <w:r w:rsidR="00620D53">
        <w:rPr>
          <w:rFonts w:ascii="Times New Roman" w:hAnsi="Times New Roman"/>
          <w:sz w:val="22"/>
          <w:szCs w:val="22"/>
        </w:rPr>
        <w:t xml:space="preserve">  </w:t>
      </w:r>
    </w:p>
    <w:p w14:paraId="7E9F8B2A" w14:textId="77777777" w:rsidR="006370DD" w:rsidRDefault="006370DD" w:rsidP="006370DD">
      <w:pPr>
        <w:ind w:firstLine="720"/>
        <w:rPr>
          <w:rFonts w:ascii="Times New Roman" w:hAnsi="Times New Roman"/>
          <w:sz w:val="22"/>
          <w:szCs w:val="22"/>
        </w:rPr>
      </w:pPr>
    </w:p>
    <w:p w14:paraId="19C19150" w14:textId="77777777" w:rsidR="00410DAE" w:rsidRDefault="00410DAE" w:rsidP="006370DD">
      <w:pPr>
        <w:ind w:firstLine="720"/>
        <w:rPr>
          <w:rFonts w:ascii="Times New Roman" w:hAnsi="Times New Roman"/>
          <w:sz w:val="22"/>
          <w:szCs w:val="22"/>
        </w:rPr>
      </w:pPr>
    </w:p>
    <w:p w14:paraId="31F07092" w14:textId="77777777" w:rsidR="00410DAE" w:rsidRDefault="00410DAE" w:rsidP="006370DD">
      <w:pPr>
        <w:ind w:firstLine="720"/>
        <w:rPr>
          <w:rFonts w:ascii="Times New Roman" w:hAnsi="Times New Roman"/>
          <w:sz w:val="22"/>
          <w:szCs w:val="22"/>
        </w:rPr>
      </w:pPr>
    </w:p>
    <w:p w14:paraId="49AAD6C0" w14:textId="77777777" w:rsidR="00620D53" w:rsidRDefault="00620D53" w:rsidP="00410DAE">
      <w:pPr>
        <w:keepNext/>
        <w:ind w:firstLine="720"/>
        <w:rPr>
          <w:rFonts w:ascii="Times New Roman" w:hAnsi="Times New Roman"/>
          <w:sz w:val="22"/>
          <w:szCs w:val="22"/>
          <w:u w:val="single"/>
        </w:rPr>
      </w:pPr>
      <w:r w:rsidRPr="00854F48">
        <w:rPr>
          <w:rFonts w:ascii="Times New Roman" w:hAnsi="Times New Roman"/>
          <w:sz w:val="22"/>
          <w:szCs w:val="22"/>
          <w:u w:val="single"/>
        </w:rPr>
        <w:t>Data about incumbent licensees in the broadcast television bands</w:t>
      </w:r>
    </w:p>
    <w:p w14:paraId="39FD4D68" w14:textId="77777777" w:rsidR="00BE55D5" w:rsidRPr="00854F48" w:rsidRDefault="00BE55D5" w:rsidP="006370DD">
      <w:pPr>
        <w:ind w:firstLine="720"/>
        <w:rPr>
          <w:rFonts w:ascii="Times New Roman" w:hAnsi="Times New Roman"/>
          <w:sz w:val="22"/>
          <w:szCs w:val="22"/>
          <w:u w:val="single"/>
        </w:rPr>
      </w:pPr>
    </w:p>
    <w:p w14:paraId="458F5776" w14:textId="77777777" w:rsidR="00620D53" w:rsidRPr="00891460" w:rsidRDefault="00620D53" w:rsidP="00891460">
      <w:pPr>
        <w:rPr>
          <w:rFonts w:ascii="Times New Roman" w:hAnsi="Times New Roman"/>
        </w:rPr>
      </w:pPr>
      <w:r>
        <w:rPr>
          <w:rFonts w:ascii="Times New Roman" w:hAnsi="Times New Roman"/>
          <w:sz w:val="22"/>
          <w:szCs w:val="22"/>
        </w:rPr>
        <w:t xml:space="preserve"> </w:t>
      </w:r>
      <w:r w:rsidR="000E4D53">
        <w:rPr>
          <w:rFonts w:ascii="Times New Roman" w:hAnsi="Times New Roman"/>
          <w:sz w:val="22"/>
          <w:szCs w:val="22"/>
        </w:rPr>
        <w:t xml:space="preserve">     </w:t>
      </w:r>
      <w:r w:rsidR="00A2320F">
        <w:rPr>
          <w:rFonts w:ascii="Times New Roman" w:hAnsi="Times New Roman"/>
          <w:sz w:val="22"/>
          <w:szCs w:val="22"/>
        </w:rPr>
        <w:t>W</w:t>
      </w:r>
      <w:r w:rsidRPr="00611E75">
        <w:rPr>
          <w:rFonts w:ascii="Times New Roman" w:hAnsi="Times New Roman"/>
          <w:sz w:val="22"/>
          <w:szCs w:val="22"/>
        </w:rPr>
        <w:t xml:space="preserve">e </w:t>
      </w:r>
      <w:r>
        <w:rPr>
          <w:rFonts w:ascii="Times New Roman" w:hAnsi="Times New Roman"/>
          <w:sz w:val="22"/>
          <w:szCs w:val="22"/>
        </w:rPr>
        <w:t>have culled</w:t>
      </w:r>
      <w:r w:rsidRPr="00611E75">
        <w:rPr>
          <w:rFonts w:ascii="Times New Roman" w:hAnsi="Times New Roman"/>
          <w:sz w:val="22"/>
          <w:szCs w:val="22"/>
        </w:rPr>
        <w:t xml:space="preserve"> relevant data from FCC databases </w:t>
      </w:r>
      <w:r>
        <w:rPr>
          <w:rFonts w:ascii="Times New Roman" w:hAnsi="Times New Roman"/>
          <w:sz w:val="22"/>
          <w:szCs w:val="22"/>
        </w:rPr>
        <w:t xml:space="preserve">and aggregated it in a format </w:t>
      </w:r>
      <w:r w:rsidRPr="00611E75">
        <w:rPr>
          <w:rFonts w:ascii="Times New Roman" w:hAnsi="Times New Roman"/>
          <w:sz w:val="22"/>
          <w:szCs w:val="22"/>
        </w:rPr>
        <w:t>that can be used to run</w:t>
      </w:r>
      <w:r w:rsidR="00E029ED">
        <w:rPr>
          <w:rFonts w:ascii="Times New Roman" w:hAnsi="Times New Roman"/>
          <w:sz w:val="22"/>
          <w:szCs w:val="22"/>
        </w:rPr>
        <w:t xml:space="preserve"> on</w:t>
      </w:r>
      <w:r w:rsidRPr="00611E75">
        <w:rPr>
          <w:rFonts w:ascii="Times New Roman" w:hAnsi="Times New Roman"/>
          <w:sz w:val="22"/>
          <w:szCs w:val="22"/>
        </w:rPr>
        <w:t xml:space="preserve"> </w:t>
      </w:r>
      <w:r>
        <w:rPr>
          <w:rFonts w:ascii="Times New Roman" w:hAnsi="Times New Roman"/>
          <w:sz w:val="22"/>
          <w:szCs w:val="22"/>
        </w:rPr>
        <w:t xml:space="preserve">the </w:t>
      </w:r>
      <w:r w:rsidR="00E029ED">
        <w:rPr>
          <w:rFonts w:ascii="Times New Roman" w:hAnsi="Times New Roman"/>
          <w:sz w:val="22"/>
          <w:szCs w:val="22"/>
        </w:rPr>
        <w:t>updated computer</w:t>
      </w:r>
      <w:r>
        <w:rPr>
          <w:rFonts w:ascii="Times New Roman" w:hAnsi="Times New Roman"/>
          <w:sz w:val="22"/>
          <w:szCs w:val="22"/>
        </w:rPr>
        <w:t xml:space="preserve"> software</w:t>
      </w:r>
      <w:r w:rsidR="00532FF4">
        <w:rPr>
          <w:rFonts w:ascii="Times New Roman" w:hAnsi="Times New Roman"/>
          <w:sz w:val="22"/>
          <w:szCs w:val="22"/>
        </w:rPr>
        <w:t>.  The data include</w:t>
      </w:r>
      <w:r w:rsidRPr="00611E75">
        <w:rPr>
          <w:rFonts w:ascii="Times New Roman" w:hAnsi="Times New Roman"/>
          <w:sz w:val="22"/>
          <w:szCs w:val="22"/>
        </w:rPr>
        <w:t xml:space="preserve"> information about domestic</w:t>
      </w:r>
      <w:r w:rsidR="002F38FD">
        <w:rPr>
          <w:rFonts w:ascii="Times New Roman" w:hAnsi="Times New Roman"/>
          <w:sz w:val="22"/>
          <w:szCs w:val="22"/>
        </w:rPr>
        <w:t xml:space="preserve"> broadcast television stations and</w:t>
      </w:r>
      <w:r w:rsidR="00D34D7B">
        <w:rPr>
          <w:rFonts w:ascii="Times New Roman" w:hAnsi="Times New Roman"/>
          <w:sz w:val="22"/>
          <w:szCs w:val="22"/>
        </w:rPr>
        <w:t xml:space="preserve"> </w:t>
      </w:r>
      <w:r w:rsidR="00C00B6B">
        <w:rPr>
          <w:rFonts w:ascii="Times New Roman" w:hAnsi="Times New Roman"/>
          <w:sz w:val="22"/>
          <w:szCs w:val="22"/>
        </w:rPr>
        <w:t xml:space="preserve">Canadian </w:t>
      </w:r>
      <w:r w:rsidR="00181BBC">
        <w:rPr>
          <w:rFonts w:ascii="Times New Roman" w:hAnsi="Times New Roman"/>
          <w:sz w:val="22"/>
          <w:szCs w:val="22"/>
        </w:rPr>
        <w:t xml:space="preserve">and Mexican </w:t>
      </w:r>
      <w:r w:rsidR="00E029ED">
        <w:rPr>
          <w:rFonts w:ascii="Times New Roman" w:hAnsi="Times New Roman"/>
          <w:sz w:val="22"/>
          <w:szCs w:val="22"/>
        </w:rPr>
        <w:t>allotments</w:t>
      </w:r>
      <w:r w:rsidR="0025318E">
        <w:rPr>
          <w:rFonts w:ascii="Times New Roman" w:hAnsi="Times New Roman"/>
          <w:sz w:val="22"/>
          <w:szCs w:val="22"/>
        </w:rPr>
        <w:t>.</w:t>
      </w:r>
      <w:r w:rsidR="000A34EE">
        <w:rPr>
          <w:rFonts w:ascii="Times New Roman" w:hAnsi="Times New Roman"/>
          <w:sz w:val="22"/>
          <w:szCs w:val="22"/>
        </w:rPr>
        <w:t xml:space="preserve">  </w:t>
      </w:r>
      <w:r w:rsidR="00891460" w:rsidRPr="00891460">
        <w:rPr>
          <w:rFonts w:ascii="Times New Roman" w:hAnsi="Times New Roman"/>
          <w:sz w:val="22"/>
          <w:szCs w:val="22"/>
        </w:rPr>
        <w:t>Again, the information reflects assumptions that are intended for illustrative purposes only so that interested parties can conduct an analysis of the technical aspects of repacking an</w:t>
      </w:r>
      <w:r w:rsidR="00532FF4">
        <w:rPr>
          <w:rFonts w:ascii="Times New Roman" w:hAnsi="Times New Roman"/>
          <w:sz w:val="22"/>
          <w:szCs w:val="22"/>
        </w:rPr>
        <w:t>d auction design.  As such, the</w:t>
      </w:r>
      <w:r w:rsidR="00891460" w:rsidRPr="00891460">
        <w:rPr>
          <w:rFonts w:ascii="Times New Roman" w:hAnsi="Times New Roman"/>
          <w:sz w:val="22"/>
          <w:szCs w:val="22"/>
        </w:rPr>
        <w:t xml:space="preserve"> data </w:t>
      </w:r>
      <w:r w:rsidR="00532FF4">
        <w:rPr>
          <w:rFonts w:ascii="Times New Roman" w:hAnsi="Times New Roman"/>
          <w:sz w:val="22"/>
          <w:szCs w:val="22"/>
        </w:rPr>
        <w:t>are</w:t>
      </w:r>
      <w:r w:rsidR="00891460" w:rsidRPr="00891460">
        <w:rPr>
          <w:rFonts w:ascii="Times New Roman" w:hAnsi="Times New Roman"/>
          <w:sz w:val="22"/>
          <w:szCs w:val="22"/>
        </w:rPr>
        <w:t xml:space="preserve"> subject to a final decision by the Commission.  In particular, the inclusion or exclusion of certain domestic broadcast facilities does not indicate which facilities the Commission will ultimately make all reasonable efforts</w:t>
      </w:r>
      <w:r w:rsidR="00891460">
        <w:rPr>
          <w:rFonts w:ascii="Times New Roman" w:hAnsi="Times New Roman"/>
          <w:sz w:val="22"/>
          <w:szCs w:val="22"/>
        </w:rPr>
        <w:t xml:space="preserve"> </w:t>
      </w:r>
      <w:r w:rsidR="00891460" w:rsidRPr="00891460">
        <w:rPr>
          <w:rFonts w:ascii="Times New Roman" w:hAnsi="Times New Roman"/>
          <w:sz w:val="22"/>
          <w:szCs w:val="22"/>
        </w:rPr>
        <w:t>to preserve in the repacking.</w:t>
      </w:r>
      <w:r w:rsidR="007D4A11" w:rsidRPr="00611E75">
        <w:rPr>
          <w:rStyle w:val="FootnoteReference"/>
          <w:szCs w:val="22"/>
        </w:rPr>
        <w:footnoteReference w:id="13"/>
      </w:r>
      <w:r w:rsidR="00F45437">
        <w:rPr>
          <w:rFonts w:ascii="Times New Roman" w:hAnsi="Times New Roman"/>
          <w:sz w:val="22"/>
          <w:szCs w:val="22"/>
        </w:rPr>
        <w:t xml:space="preserve">  Interested parties </w:t>
      </w:r>
      <w:r w:rsidR="00861749">
        <w:rPr>
          <w:rFonts w:ascii="Times New Roman" w:hAnsi="Times New Roman"/>
          <w:sz w:val="22"/>
          <w:szCs w:val="22"/>
        </w:rPr>
        <w:t xml:space="preserve">may add facilities to, or subtract facilities from, the data we are releasing </w:t>
      </w:r>
      <w:r w:rsidR="000E4D53">
        <w:rPr>
          <w:rFonts w:ascii="Times New Roman" w:hAnsi="Times New Roman"/>
          <w:sz w:val="22"/>
          <w:szCs w:val="22"/>
        </w:rPr>
        <w:t>to</w:t>
      </w:r>
      <w:r w:rsidR="00861749">
        <w:rPr>
          <w:rFonts w:ascii="Times New Roman" w:hAnsi="Times New Roman"/>
          <w:sz w:val="22"/>
          <w:szCs w:val="22"/>
        </w:rPr>
        <w:t xml:space="preserve"> analy</w:t>
      </w:r>
      <w:r w:rsidR="000E4D53">
        <w:rPr>
          <w:rFonts w:ascii="Times New Roman" w:hAnsi="Times New Roman"/>
          <w:sz w:val="22"/>
          <w:szCs w:val="22"/>
        </w:rPr>
        <w:t>z</w:t>
      </w:r>
      <w:r w:rsidR="00861749">
        <w:rPr>
          <w:rFonts w:ascii="Times New Roman" w:hAnsi="Times New Roman"/>
          <w:sz w:val="22"/>
          <w:szCs w:val="22"/>
        </w:rPr>
        <w:t>e</w:t>
      </w:r>
      <w:r w:rsidR="000E4D53">
        <w:rPr>
          <w:rFonts w:ascii="Times New Roman" w:hAnsi="Times New Roman"/>
          <w:sz w:val="22"/>
          <w:szCs w:val="22"/>
        </w:rPr>
        <w:t xml:space="preserve"> different preservation assumptions</w:t>
      </w:r>
      <w:r w:rsidR="00861749">
        <w:rPr>
          <w:rFonts w:ascii="Times New Roman" w:hAnsi="Times New Roman"/>
          <w:sz w:val="22"/>
          <w:szCs w:val="22"/>
        </w:rPr>
        <w:t xml:space="preserve"> using the process </w:t>
      </w:r>
      <w:r w:rsidR="000E4D53">
        <w:rPr>
          <w:rFonts w:ascii="Times New Roman" w:hAnsi="Times New Roman"/>
          <w:sz w:val="22"/>
          <w:szCs w:val="22"/>
        </w:rPr>
        <w:t>described</w:t>
      </w:r>
      <w:r w:rsidR="00861749">
        <w:rPr>
          <w:rFonts w:ascii="Times New Roman" w:hAnsi="Times New Roman"/>
          <w:sz w:val="22"/>
          <w:szCs w:val="22"/>
        </w:rPr>
        <w:t xml:space="preserve"> in the attached Technical Appendix</w:t>
      </w:r>
      <w:r w:rsidR="000E4D53">
        <w:rPr>
          <w:rFonts w:ascii="Times New Roman" w:hAnsi="Times New Roman"/>
          <w:sz w:val="22"/>
          <w:szCs w:val="22"/>
        </w:rPr>
        <w:t>, and we invite submissions based on such analyses</w:t>
      </w:r>
      <w:r w:rsidR="00861749">
        <w:rPr>
          <w:rFonts w:ascii="Times New Roman" w:hAnsi="Times New Roman"/>
          <w:sz w:val="22"/>
          <w:szCs w:val="22"/>
        </w:rPr>
        <w:t>.</w:t>
      </w:r>
    </w:p>
    <w:p w14:paraId="271B2B0D" w14:textId="77777777" w:rsidR="006370DD" w:rsidRDefault="006370DD" w:rsidP="006370DD">
      <w:pPr>
        <w:ind w:firstLine="720"/>
        <w:rPr>
          <w:rFonts w:ascii="Times New Roman" w:hAnsi="Times New Roman"/>
          <w:sz w:val="22"/>
          <w:szCs w:val="22"/>
        </w:rPr>
      </w:pPr>
    </w:p>
    <w:p w14:paraId="584F5BC0" w14:textId="77777777" w:rsidR="00620D53" w:rsidRDefault="00FA5E49" w:rsidP="006370DD">
      <w:pPr>
        <w:ind w:firstLine="720"/>
        <w:rPr>
          <w:rFonts w:ascii="Times New Roman" w:hAnsi="Times New Roman"/>
          <w:sz w:val="22"/>
          <w:szCs w:val="22"/>
          <w:u w:val="single"/>
        </w:rPr>
      </w:pPr>
      <w:r w:rsidRPr="00854F48">
        <w:rPr>
          <w:rFonts w:ascii="Times New Roman" w:hAnsi="Times New Roman"/>
          <w:sz w:val="22"/>
          <w:szCs w:val="22"/>
          <w:u w:val="single"/>
        </w:rPr>
        <w:t xml:space="preserve">Restrictions on channel assignments </w:t>
      </w:r>
    </w:p>
    <w:p w14:paraId="777FC045" w14:textId="77777777" w:rsidR="00BE55D5" w:rsidRPr="00854F48" w:rsidRDefault="00BE55D5" w:rsidP="006370DD">
      <w:pPr>
        <w:ind w:firstLine="720"/>
        <w:rPr>
          <w:rFonts w:ascii="Times New Roman" w:hAnsi="Times New Roman"/>
          <w:sz w:val="22"/>
          <w:szCs w:val="22"/>
          <w:u w:val="single"/>
        </w:rPr>
      </w:pPr>
    </w:p>
    <w:p w14:paraId="7B000A01" w14:textId="77777777" w:rsidR="0000216D" w:rsidRDefault="000E4D53" w:rsidP="000E4D53">
      <w:pPr>
        <w:rPr>
          <w:rFonts w:ascii="Times New Roman" w:hAnsi="Times New Roman"/>
          <w:sz w:val="22"/>
          <w:szCs w:val="22"/>
        </w:rPr>
      </w:pPr>
      <w:r>
        <w:rPr>
          <w:rFonts w:ascii="Times New Roman" w:hAnsi="Times New Roman"/>
          <w:sz w:val="22"/>
          <w:szCs w:val="22"/>
        </w:rPr>
        <w:t xml:space="preserve">     </w:t>
      </w:r>
      <w:r w:rsidR="00FA5E49">
        <w:rPr>
          <w:rFonts w:ascii="Times New Roman" w:hAnsi="Times New Roman"/>
          <w:sz w:val="22"/>
          <w:szCs w:val="22"/>
        </w:rPr>
        <w:t xml:space="preserve">The repacking process </w:t>
      </w:r>
      <w:r w:rsidR="007D4A11">
        <w:rPr>
          <w:rFonts w:ascii="Times New Roman" w:hAnsi="Times New Roman"/>
          <w:sz w:val="22"/>
          <w:szCs w:val="22"/>
        </w:rPr>
        <w:t xml:space="preserve">will </w:t>
      </w:r>
      <w:r w:rsidR="00FA5E49">
        <w:rPr>
          <w:rFonts w:ascii="Times New Roman" w:hAnsi="Times New Roman"/>
          <w:sz w:val="22"/>
          <w:szCs w:val="22"/>
        </w:rPr>
        <w:t>involve assigning channels to broadcasters who will remain on the air following the voluntary incentive auction.</w:t>
      </w:r>
      <w:r w:rsidR="00FA5E49">
        <w:rPr>
          <w:rStyle w:val="FootnoteReference"/>
          <w:szCs w:val="22"/>
        </w:rPr>
        <w:footnoteReference w:id="14"/>
      </w:r>
      <w:r w:rsidR="00520712">
        <w:rPr>
          <w:rFonts w:ascii="Times New Roman" w:hAnsi="Times New Roman"/>
          <w:sz w:val="22"/>
          <w:szCs w:val="22"/>
        </w:rPr>
        <w:t xml:space="preserve">  </w:t>
      </w:r>
      <w:r w:rsidR="00B618C6">
        <w:rPr>
          <w:rFonts w:ascii="Times New Roman" w:hAnsi="Times New Roman"/>
          <w:sz w:val="22"/>
          <w:szCs w:val="22"/>
        </w:rPr>
        <w:t xml:space="preserve">The permissibility of channel assignments in the repacking process will be constrained by statutory and other requirements.  </w:t>
      </w:r>
      <w:r w:rsidR="00520712">
        <w:rPr>
          <w:rFonts w:ascii="Times New Roman" w:hAnsi="Times New Roman"/>
          <w:sz w:val="22"/>
          <w:szCs w:val="22"/>
        </w:rPr>
        <w:t>The assignment of channels must take into account all incumbents in the TV band:</w:t>
      </w:r>
      <w:r w:rsidR="003C26AE">
        <w:rPr>
          <w:rFonts w:ascii="Times New Roman" w:hAnsi="Times New Roman"/>
          <w:sz w:val="22"/>
          <w:szCs w:val="22"/>
        </w:rPr>
        <w:t xml:space="preserve"> </w:t>
      </w:r>
      <w:r w:rsidR="00520712">
        <w:rPr>
          <w:rFonts w:ascii="Times New Roman" w:hAnsi="Times New Roman"/>
          <w:sz w:val="22"/>
          <w:szCs w:val="22"/>
        </w:rPr>
        <w:t xml:space="preserve"> domestic </w:t>
      </w:r>
      <w:r w:rsidR="00B83635">
        <w:rPr>
          <w:rFonts w:ascii="Times New Roman" w:hAnsi="Times New Roman"/>
          <w:sz w:val="22"/>
          <w:szCs w:val="22"/>
        </w:rPr>
        <w:t xml:space="preserve">full power and Class A </w:t>
      </w:r>
      <w:r w:rsidR="00520712">
        <w:rPr>
          <w:rFonts w:ascii="Times New Roman" w:hAnsi="Times New Roman"/>
          <w:sz w:val="22"/>
          <w:szCs w:val="22"/>
        </w:rPr>
        <w:t>television stations, Canadian and Mexican television allotments protected by treaty</w:t>
      </w:r>
      <w:r w:rsidR="00D34D7B">
        <w:rPr>
          <w:rFonts w:ascii="Times New Roman" w:hAnsi="Times New Roman"/>
          <w:sz w:val="22"/>
          <w:szCs w:val="22"/>
        </w:rPr>
        <w:t xml:space="preserve">, </w:t>
      </w:r>
      <w:r w:rsidR="00520712">
        <w:rPr>
          <w:rFonts w:ascii="Times New Roman" w:hAnsi="Times New Roman"/>
          <w:sz w:val="22"/>
          <w:szCs w:val="22"/>
        </w:rPr>
        <w:t>certain land mobile</w:t>
      </w:r>
      <w:r w:rsidR="00B618C6">
        <w:rPr>
          <w:rFonts w:ascii="Times New Roman" w:hAnsi="Times New Roman"/>
          <w:sz w:val="22"/>
          <w:szCs w:val="22"/>
        </w:rPr>
        <w:t xml:space="preserve"> and</w:t>
      </w:r>
      <w:r w:rsidR="00520712">
        <w:rPr>
          <w:rFonts w:ascii="Times New Roman" w:hAnsi="Times New Roman"/>
          <w:sz w:val="22"/>
          <w:szCs w:val="22"/>
        </w:rPr>
        <w:t xml:space="preserve"> radio astronomy </w:t>
      </w:r>
      <w:r w:rsidR="00B618C6">
        <w:rPr>
          <w:rFonts w:ascii="Times New Roman" w:hAnsi="Times New Roman"/>
          <w:sz w:val="22"/>
          <w:szCs w:val="22"/>
        </w:rPr>
        <w:t xml:space="preserve">facilities, </w:t>
      </w:r>
      <w:r w:rsidR="00520712">
        <w:rPr>
          <w:rFonts w:ascii="Times New Roman" w:hAnsi="Times New Roman"/>
          <w:sz w:val="22"/>
          <w:szCs w:val="22"/>
        </w:rPr>
        <w:t xml:space="preserve">and wireless medical telemetry devices.  </w:t>
      </w:r>
      <w:r w:rsidR="007D4A11">
        <w:rPr>
          <w:rFonts w:ascii="Times New Roman" w:hAnsi="Times New Roman"/>
          <w:sz w:val="22"/>
          <w:szCs w:val="22"/>
        </w:rPr>
        <w:t xml:space="preserve">The assignment of channels is subject to the statutory mandate to </w:t>
      </w:r>
      <w:r w:rsidR="00D83928">
        <w:rPr>
          <w:rFonts w:ascii="Times New Roman" w:hAnsi="Times New Roman"/>
          <w:sz w:val="22"/>
          <w:szCs w:val="22"/>
        </w:rPr>
        <w:t>“</w:t>
      </w:r>
      <w:r w:rsidR="00B618C6">
        <w:rPr>
          <w:rFonts w:ascii="Times New Roman" w:hAnsi="Times New Roman"/>
          <w:sz w:val="22"/>
          <w:szCs w:val="22"/>
        </w:rPr>
        <w:t xml:space="preserve">make all reasonable efforts </w:t>
      </w:r>
      <w:r w:rsidR="007D4A11">
        <w:rPr>
          <w:rFonts w:ascii="Times New Roman" w:hAnsi="Times New Roman"/>
          <w:sz w:val="22"/>
          <w:szCs w:val="22"/>
        </w:rPr>
        <w:t>to preserve</w:t>
      </w:r>
      <w:r w:rsidR="00D83928">
        <w:rPr>
          <w:rFonts w:ascii="Times New Roman" w:hAnsi="Times New Roman"/>
          <w:sz w:val="22"/>
          <w:szCs w:val="22"/>
        </w:rPr>
        <w:t xml:space="preserve">, </w:t>
      </w:r>
      <w:r w:rsidR="007D4A11">
        <w:rPr>
          <w:rFonts w:ascii="Times New Roman" w:hAnsi="Times New Roman"/>
          <w:sz w:val="22"/>
          <w:szCs w:val="22"/>
        </w:rPr>
        <w:t xml:space="preserve">as of </w:t>
      </w:r>
      <w:r w:rsidR="00D83928">
        <w:rPr>
          <w:rFonts w:ascii="Times New Roman" w:hAnsi="Times New Roman"/>
          <w:sz w:val="22"/>
          <w:szCs w:val="22"/>
        </w:rPr>
        <w:t>the date of the enactment of this Act [</w:t>
      </w:r>
      <w:r w:rsidR="007D4A11">
        <w:rPr>
          <w:rFonts w:ascii="Times New Roman" w:hAnsi="Times New Roman"/>
          <w:sz w:val="22"/>
          <w:szCs w:val="22"/>
        </w:rPr>
        <w:t>February 22, 2012</w:t>
      </w:r>
      <w:r w:rsidR="00D83928">
        <w:rPr>
          <w:rFonts w:ascii="Times New Roman" w:hAnsi="Times New Roman"/>
          <w:sz w:val="22"/>
          <w:szCs w:val="22"/>
        </w:rPr>
        <w:t>]</w:t>
      </w:r>
      <w:r w:rsidR="007D4A11">
        <w:rPr>
          <w:rFonts w:ascii="Times New Roman" w:hAnsi="Times New Roman"/>
          <w:sz w:val="22"/>
          <w:szCs w:val="22"/>
        </w:rPr>
        <w:t>,</w:t>
      </w:r>
      <w:r w:rsidR="00D83928">
        <w:rPr>
          <w:rFonts w:ascii="Times New Roman" w:hAnsi="Times New Roman"/>
          <w:sz w:val="22"/>
          <w:szCs w:val="22"/>
        </w:rPr>
        <w:t xml:space="preserve"> the coverage area and population served </w:t>
      </w:r>
      <w:r w:rsidR="007D4A11">
        <w:rPr>
          <w:rFonts w:ascii="Times New Roman" w:hAnsi="Times New Roman"/>
          <w:sz w:val="22"/>
          <w:szCs w:val="22"/>
        </w:rPr>
        <w:t>of each broadcast television licensee</w:t>
      </w:r>
      <w:r w:rsidR="00D83928">
        <w:rPr>
          <w:rFonts w:ascii="Times New Roman" w:hAnsi="Times New Roman"/>
          <w:sz w:val="22"/>
          <w:szCs w:val="22"/>
        </w:rPr>
        <w:t>, as determined using the methodology described in OET Bulletin 69.”</w:t>
      </w:r>
      <w:r w:rsidR="00D83928" w:rsidRPr="00611E75">
        <w:rPr>
          <w:rStyle w:val="FootnoteReference"/>
          <w:szCs w:val="22"/>
        </w:rPr>
        <w:footnoteReference w:id="15"/>
      </w:r>
      <w:r w:rsidR="007D4A11">
        <w:rPr>
          <w:rFonts w:ascii="Times New Roman" w:hAnsi="Times New Roman"/>
          <w:sz w:val="22"/>
          <w:szCs w:val="22"/>
        </w:rPr>
        <w:t xml:space="preserve">  T</w:t>
      </w:r>
      <w:r w:rsidR="007D4A11" w:rsidRPr="00611E75">
        <w:rPr>
          <w:rFonts w:ascii="Times New Roman" w:hAnsi="Times New Roman"/>
          <w:sz w:val="22"/>
          <w:szCs w:val="22"/>
        </w:rPr>
        <w:t>o illustrate how</w:t>
      </w:r>
      <w:r w:rsidR="00F92CE9">
        <w:rPr>
          <w:rFonts w:ascii="Times New Roman" w:hAnsi="Times New Roman"/>
          <w:sz w:val="22"/>
          <w:szCs w:val="22"/>
        </w:rPr>
        <w:t xml:space="preserve"> the FCC could determine what channel assignments are permissible for every domestic television station in the repacking process, we used</w:t>
      </w:r>
      <w:r w:rsidR="007D4A11" w:rsidRPr="00611E75">
        <w:rPr>
          <w:rFonts w:ascii="Times New Roman" w:hAnsi="Times New Roman"/>
          <w:sz w:val="22"/>
          <w:szCs w:val="22"/>
        </w:rPr>
        <w:t xml:space="preserve"> </w:t>
      </w:r>
      <w:r w:rsidR="007D4A11">
        <w:rPr>
          <w:rFonts w:ascii="Times New Roman" w:hAnsi="Times New Roman"/>
          <w:sz w:val="22"/>
          <w:szCs w:val="22"/>
        </w:rPr>
        <w:t xml:space="preserve">the </w:t>
      </w:r>
      <w:r w:rsidR="00811E1C">
        <w:rPr>
          <w:rFonts w:ascii="Times New Roman" w:hAnsi="Times New Roman"/>
          <w:sz w:val="22"/>
          <w:szCs w:val="22"/>
        </w:rPr>
        <w:t>updated</w:t>
      </w:r>
      <w:r w:rsidR="007D4A11">
        <w:rPr>
          <w:rFonts w:ascii="Times New Roman" w:hAnsi="Times New Roman"/>
          <w:sz w:val="22"/>
          <w:szCs w:val="22"/>
        </w:rPr>
        <w:t xml:space="preserve"> software and </w:t>
      </w:r>
      <w:r w:rsidR="00A2320F">
        <w:rPr>
          <w:rFonts w:ascii="Times New Roman" w:hAnsi="Times New Roman"/>
          <w:sz w:val="22"/>
          <w:szCs w:val="22"/>
        </w:rPr>
        <w:t xml:space="preserve">the </w:t>
      </w:r>
      <w:r w:rsidR="007D4A11">
        <w:rPr>
          <w:rFonts w:ascii="Times New Roman" w:hAnsi="Times New Roman"/>
          <w:sz w:val="22"/>
          <w:szCs w:val="22"/>
        </w:rPr>
        <w:t xml:space="preserve">incumbent data from FCC databases </w:t>
      </w:r>
      <w:r w:rsidR="00C30828">
        <w:rPr>
          <w:rFonts w:ascii="Times New Roman" w:hAnsi="Times New Roman"/>
          <w:sz w:val="22"/>
          <w:szCs w:val="22"/>
        </w:rPr>
        <w:t xml:space="preserve">identified above </w:t>
      </w:r>
      <w:r w:rsidR="00520712">
        <w:rPr>
          <w:rFonts w:ascii="Times New Roman" w:hAnsi="Times New Roman"/>
          <w:sz w:val="22"/>
          <w:szCs w:val="22"/>
        </w:rPr>
        <w:t xml:space="preserve">to create </w:t>
      </w:r>
      <w:r w:rsidR="00CE47B3">
        <w:rPr>
          <w:rFonts w:ascii="Times New Roman" w:hAnsi="Times New Roman"/>
          <w:sz w:val="22"/>
          <w:szCs w:val="22"/>
        </w:rPr>
        <w:t xml:space="preserve">a </w:t>
      </w:r>
      <w:r w:rsidR="00520712">
        <w:rPr>
          <w:rFonts w:ascii="Times New Roman" w:hAnsi="Times New Roman"/>
          <w:sz w:val="22"/>
          <w:szCs w:val="22"/>
        </w:rPr>
        <w:t xml:space="preserve">data </w:t>
      </w:r>
      <w:r w:rsidR="00F92CE9">
        <w:rPr>
          <w:rFonts w:ascii="Times New Roman" w:hAnsi="Times New Roman"/>
          <w:sz w:val="22"/>
          <w:szCs w:val="22"/>
        </w:rPr>
        <w:t xml:space="preserve">set or </w:t>
      </w:r>
      <w:r w:rsidR="00B83635">
        <w:rPr>
          <w:rFonts w:ascii="Times New Roman" w:hAnsi="Times New Roman"/>
          <w:sz w:val="22"/>
          <w:szCs w:val="22"/>
        </w:rPr>
        <w:t xml:space="preserve">“constraint </w:t>
      </w:r>
      <w:r w:rsidR="00520712">
        <w:rPr>
          <w:rFonts w:ascii="Times New Roman" w:hAnsi="Times New Roman"/>
          <w:sz w:val="22"/>
          <w:szCs w:val="22"/>
        </w:rPr>
        <w:t>file</w:t>
      </w:r>
      <w:r w:rsidR="00B71C5E">
        <w:rPr>
          <w:rFonts w:ascii="Times New Roman" w:hAnsi="Times New Roman"/>
          <w:sz w:val="22"/>
          <w:szCs w:val="22"/>
        </w:rPr>
        <w:t>s</w:t>
      </w:r>
      <w:r w:rsidR="00B83635">
        <w:rPr>
          <w:rFonts w:ascii="Times New Roman" w:hAnsi="Times New Roman"/>
          <w:sz w:val="22"/>
          <w:szCs w:val="22"/>
        </w:rPr>
        <w:t>”</w:t>
      </w:r>
      <w:r w:rsidR="00CE47B3">
        <w:rPr>
          <w:rFonts w:ascii="Times New Roman" w:hAnsi="Times New Roman"/>
          <w:sz w:val="22"/>
          <w:szCs w:val="22"/>
        </w:rPr>
        <w:t xml:space="preserve"> for each station, comprised of what we call a </w:t>
      </w:r>
      <w:r w:rsidR="00F92CE9">
        <w:rPr>
          <w:rFonts w:ascii="Times New Roman" w:hAnsi="Times New Roman"/>
          <w:sz w:val="22"/>
          <w:szCs w:val="22"/>
        </w:rPr>
        <w:t xml:space="preserve">“domain file” and </w:t>
      </w:r>
      <w:r w:rsidR="00A61902">
        <w:rPr>
          <w:rFonts w:ascii="Times New Roman" w:hAnsi="Times New Roman"/>
          <w:sz w:val="22"/>
          <w:szCs w:val="22"/>
        </w:rPr>
        <w:t>a</w:t>
      </w:r>
      <w:r w:rsidR="00B83635">
        <w:rPr>
          <w:rFonts w:ascii="Times New Roman" w:hAnsi="Times New Roman"/>
          <w:sz w:val="22"/>
          <w:szCs w:val="22"/>
        </w:rPr>
        <w:t>n</w:t>
      </w:r>
      <w:r w:rsidR="00A61902">
        <w:rPr>
          <w:rFonts w:ascii="Times New Roman" w:hAnsi="Times New Roman"/>
          <w:sz w:val="22"/>
          <w:szCs w:val="22"/>
        </w:rPr>
        <w:t xml:space="preserve"> </w:t>
      </w:r>
      <w:r w:rsidR="00F92CE9">
        <w:rPr>
          <w:rFonts w:ascii="Times New Roman" w:hAnsi="Times New Roman"/>
          <w:sz w:val="22"/>
          <w:szCs w:val="22"/>
        </w:rPr>
        <w:t>“</w:t>
      </w:r>
      <w:r w:rsidR="00B83635">
        <w:rPr>
          <w:rFonts w:ascii="Times New Roman" w:hAnsi="Times New Roman"/>
          <w:sz w:val="22"/>
          <w:szCs w:val="22"/>
        </w:rPr>
        <w:t>interference</w:t>
      </w:r>
      <w:r w:rsidR="00B71C5E">
        <w:rPr>
          <w:rFonts w:ascii="Times New Roman" w:hAnsi="Times New Roman"/>
          <w:sz w:val="22"/>
          <w:szCs w:val="22"/>
        </w:rPr>
        <w:t>_paired</w:t>
      </w:r>
      <w:r w:rsidR="00B83635">
        <w:rPr>
          <w:rFonts w:ascii="Times New Roman" w:hAnsi="Times New Roman"/>
          <w:sz w:val="22"/>
          <w:szCs w:val="22"/>
        </w:rPr>
        <w:t xml:space="preserve"> </w:t>
      </w:r>
      <w:r w:rsidR="00F92CE9">
        <w:rPr>
          <w:rFonts w:ascii="Times New Roman" w:hAnsi="Times New Roman"/>
          <w:sz w:val="22"/>
          <w:szCs w:val="22"/>
        </w:rPr>
        <w:t xml:space="preserve">file.”  </w:t>
      </w:r>
      <w:r w:rsidR="0000216D">
        <w:rPr>
          <w:rFonts w:ascii="Times New Roman" w:hAnsi="Times New Roman"/>
          <w:sz w:val="22"/>
          <w:szCs w:val="22"/>
        </w:rPr>
        <w:t>A</w:t>
      </w:r>
      <w:r w:rsidR="00F92CE9">
        <w:rPr>
          <w:rFonts w:ascii="Times New Roman" w:hAnsi="Times New Roman"/>
          <w:sz w:val="22"/>
          <w:szCs w:val="22"/>
        </w:rPr>
        <w:t xml:space="preserve"> </w:t>
      </w:r>
      <w:r w:rsidR="0000216D">
        <w:rPr>
          <w:rFonts w:ascii="Times New Roman" w:hAnsi="Times New Roman"/>
          <w:sz w:val="22"/>
          <w:szCs w:val="22"/>
        </w:rPr>
        <w:t>“</w:t>
      </w:r>
      <w:r w:rsidR="00F92CE9">
        <w:rPr>
          <w:rFonts w:ascii="Times New Roman" w:hAnsi="Times New Roman"/>
          <w:sz w:val="22"/>
          <w:szCs w:val="22"/>
        </w:rPr>
        <w:t>domain file</w:t>
      </w:r>
      <w:r w:rsidR="0000216D">
        <w:rPr>
          <w:rFonts w:ascii="Times New Roman" w:hAnsi="Times New Roman"/>
          <w:sz w:val="22"/>
          <w:szCs w:val="22"/>
        </w:rPr>
        <w:t>”</w:t>
      </w:r>
      <w:r w:rsidR="00F92CE9">
        <w:rPr>
          <w:rFonts w:ascii="Times New Roman" w:hAnsi="Times New Roman"/>
          <w:sz w:val="22"/>
          <w:szCs w:val="22"/>
        </w:rPr>
        <w:t xml:space="preserve"> is </w:t>
      </w:r>
      <w:r w:rsidR="00E54A04" w:rsidRPr="00611E75">
        <w:rPr>
          <w:rFonts w:ascii="Times New Roman" w:hAnsi="Times New Roman"/>
          <w:sz w:val="22"/>
          <w:szCs w:val="22"/>
        </w:rPr>
        <w:t xml:space="preserve">a list of the television channels to which a given station could be assigned in each of three bands—low and </w:t>
      </w:r>
      <w:r w:rsidR="00B32655">
        <w:rPr>
          <w:rFonts w:ascii="Times New Roman" w:hAnsi="Times New Roman"/>
          <w:sz w:val="22"/>
          <w:szCs w:val="22"/>
        </w:rPr>
        <w:t>high</w:t>
      </w:r>
      <w:r w:rsidR="00B32655" w:rsidRPr="00611E75">
        <w:rPr>
          <w:rFonts w:ascii="Times New Roman" w:hAnsi="Times New Roman"/>
          <w:sz w:val="22"/>
          <w:szCs w:val="22"/>
        </w:rPr>
        <w:t xml:space="preserve"> </w:t>
      </w:r>
      <w:r w:rsidR="00E54A04" w:rsidRPr="00611E75">
        <w:rPr>
          <w:rFonts w:ascii="Times New Roman" w:hAnsi="Times New Roman"/>
          <w:sz w:val="22"/>
          <w:szCs w:val="22"/>
        </w:rPr>
        <w:t>VHF</w:t>
      </w:r>
      <w:r w:rsidR="00E54A04">
        <w:rPr>
          <w:rFonts w:ascii="Times New Roman" w:hAnsi="Times New Roman"/>
          <w:sz w:val="22"/>
          <w:szCs w:val="22"/>
        </w:rPr>
        <w:t xml:space="preserve"> and UHF—considering </w:t>
      </w:r>
      <w:r w:rsidR="00F92CE9">
        <w:rPr>
          <w:rFonts w:ascii="Times New Roman" w:hAnsi="Times New Roman"/>
          <w:sz w:val="22"/>
          <w:szCs w:val="22"/>
        </w:rPr>
        <w:t xml:space="preserve">fixed constraints, that is, </w:t>
      </w:r>
      <w:r w:rsidR="00E54A04" w:rsidRPr="00611E75">
        <w:rPr>
          <w:rFonts w:ascii="Times New Roman" w:hAnsi="Times New Roman"/>
          <w:sz w:val="22"/>
          <w:szCs w:val="22"/>
        </w:rPr>
        <w:t>incumbents</w:t>
      </w:r>
      <w:r w:rsidR="00E54A04">
        <w:rPr>
          <w:rFonts w:ascii="Times New Roman" w:hAnsi="Times New Roman"/>
          <w:sz w:val="22"/>
          <w:szCs w:val="22"/>
        </w:rPr>
        <w:t xml:space="preserve"> </w:t>
      </w:r>
      <w:r w:rsidR="00F92CE9">
        <w:rPr>
          <w:rFonts w:ascii="Times New Roman" w:hAnsi="Times New Roman"/>
          <w:sz w:val="22"/>
          <w:szCs w:val="22"/>
        </w:rPr>
        <w:t xml:space="preserve">in the band that are entitled to protection </w:t>
      </w:r>
      <w:r w:rsidR="00E54A04">
        <w:rPr>
          <w:rFonts w:ascii="Times New Roman" w:hAnsi="Times New Roman"/>
          <w:sz w:val="22"/>
          <w:szCs w:val="22"/>
        </w:rPr>
        <w:t>other than domestic television stations</w:t>
      </w:r>
      <w:r w:rsidR="0025318E">
        <w:rPr>
          <w:rFonts w:ascii="Times New Roman" w:hAnsi="Times New Roman"/>
          <w:sz w:val="22"/>
          <w:szCs w:val="22"/>
        </w:rPr>
        <w:t>.</w:t>
      </w:r>
      <w:r w:rsidR="002B0EA7">
        <w:rPr>
          <w:rStyle w:val="FootnoteReference"/>
          <w:szCs w:val="22"/>
        </w:rPr>
        <w:footnoteReference w:id="16"/>
      </w:r>
      <w:r w:rsidR="00F92CE9">
        <w:rPr>
          <w:rFonts w:ascii="Times New Roman" w:hAnsi="Times New Roman"/>
          <w:sz w:val="22"/>
          <w:szCs w:val="22"/>
        </w:rPr>
        <w:t xml:space="preserve">  For example, the domain file for </w:t>
      </w:r>
      <w:r w:rsidR="00A63F8F">
        <w:rPr>
          <w:rFonts w:ascii="Times New Roman" w:hAnsi="Times New Roman"/>
          <w:sz w:val="22"/>
          <w:szCs w:val="22"/>
        </w:rPr>
        <w:t>a specific s</w:t>
      </w:r>
      <w:r w:rsidR="00F92CE9">
        <w:rPr>
          <w:rFonts w:ascii="Times New Roman" w:hAnsi="Times New Roman"/>
          <w:sz w:val="22"/>
          <w:szCs w:val="22"/>
        </w:rPr>
        <w:t xml:space="preserve">tation </w:t>
      </w:r>
      <w:r w:rsidR="0000216D">
        <w:rPr>
          <w:rFonts w:ascii="Times New Roman" w:hAnsi="Times New Roman"/>
          <w:sz w:val="22"/>
          <w:szCs w:val="22"/>
        </w:rPr>
        <w:t>might reflect that</w:t>
      </w:r>
      <w:r w:rsidR="00F92CE9">
        <w:rPr>
          <w:rFonts w:ascii="Times New Roman" w:hAnsi="Times New Roman"/>
          <w:sz w:val="22"/>
          <w:szCs w:val="22"/>
        </w:rPr>
        <w:t xml:space="preserve"> C</w:t>
      </w:r>
      <w:r w:rsidR="002F38FD">
        <w:rPr>
          <w:rFonts w:ascii="Times New Roman" w:hAnsi="Times New Roman"/>
          <w:sz w:val="22"/>
          <w:szCs w:val="22"/>
        </w:rPr>
        <w:t>hannels 2, 3, and 4 in the low</w:t>
      </w:r>
      <w:r w:rsidR="00F92CE9">
        <w:rPr>
          <w:rFonts w:ascii="Times New Roman" w:hAnsi="Times New Roman"/>
          <w:sz w:val="22"/>
          <w:szCs w:val="22"/>
        </w:rPr>
        <w:t xml:space="preserve"> VHF band, Channels 7, 8, and 9 in the upper VHF band, and Channels 21 through 3</w:t>
      </w:r>
      <w:r w:rsidR="00B32655">
        <w:rPr>
          <w:rFonts w:ascii="Times New Roman" w:hAnsi="Times New Roman"/>
          <w:sz w:val="22"/>
          <w:szCs w:val="22"/>
        </w:rPr>
        <w:t>0</w:t>
      </w:r>
      <w:r w:rsidR="00F92CE9">
        <w:rPr>
          <w:rFonts w:ascii="Times New Roman" w:hAnsi="Times New Roman"/>
          <w:sz w:val="22"/>
          <w:szCs w:val="22"/>
        </w:rPr>
        <w:t xml:space="preserve"> in the UHF band</w:t>
      </w:r>
      <w:r w:rsidR="0000216D">
        <w:rPr>
          <w:rFonts w:ascii="Times New Roman" w:hAnsi="Times New Roman"/>
          <w:sz w:val="22"/>
          <w:szCs w:val="22"/>
        </w:rPr>
        <w:t xml:space="preserve"> are permissible </w:t>
      </w:r>
      <w:r w:rsidR="003144FE">
        <w:rPr>
          <w:rFonts w:ascii="Times New Roman" w:hAnsi="Times New Roman"/>
          <w:sz w:val="22"/>
          <w:szCs w:val="22"/>
        </w:rPr>
        <w:t xml:space="preserve">channel assignments for </w:t>
      </w:r>
      <w:r w:rsidR="00A63F8F">
        <w:rPr>
          <w:rFonts w:ascii="Times New Roman" w:hAnsi="Times New Roman"/>
          <w:sz w:val="22"/>
          <w:szCs w:val="22"/>
        </w:rPr>
        <w:t>the station</w:t>
      </w:r>
      <w:r w:rsidR="0000216D">
        <w:rPr>
          <w:rFonts w:ascii="Times New Roman" w:hAnsi="Times New Roman"/>
          <w:sz w:val="22"/>
          <w:szCs w:val="22"/>
        </w:rPr>
        <w:t>, not considering where other domestic television stations are assigned</w:t>
      </w:r>
      <w:r w:rsidR="00F92CE9">
        <w:rPr>
          <w:rFonts w:ascii="Times New Roman" w:hAnsi="Times New Roman"/>
          <w:sz w:val="22"/>
          <w:szCs w:val="22"/>
        </w:rPr>
        <w:t>.</w:t>
      </w:r>
      <w:r w:rsidR="0000216D">
        <w:rPr>
          <w:rFonts w:ascii="Times New Roman" w:hAnsi="Times New Roman"/>
          <w:sz w:val="22"/>
          <w:szCs w:val="22"/>
        </w:rPr>
        <w:t xml:space="preserve">  A</w:t>
      </w:r>
      <w:r w:rsidR="00B83635">
        <w:rPr>
          <w:rFonts w:ascii="Times New Roman" w:hAnsi="Times New Roman"/>
          <w:sz w:val="22"/>
          <w:szCs w:val="22"/>
        </w:rPr>
        <w:t>n</w:t>
      </w:r>
      <w:r w:rsidR="0000216D">
        <w:rPr>
          <w:rFonts w:ascii="Times New Roman" w:hAnsi="Times New Roman"/>
          <w:sz w:val="22"/>
          <w:szCs w:val="22"/>
        </w:rPr>
        <w:t xml:space="preserve"> “</w:t>
      </w:r>
      <w:r w:rsidR="00B83635">
        <w:rPr>
          <w:rFonts w:ascii="Times New Roman" w:hAnsi="Times New Roman"/>
          <w:sz w:val="22"/>
          <w:szCs w:val="22"/>
        </w:rPr>
        <w:t>interference</w:t>
      </w:r>
      <w:r w:rsidR="00B71C5E">
        <w:rPr>
          <w:rFonts w:ascii="Times New Roman" w:hAnsi="Times New Roman"/>
          <w:sz w:val="22"/>
          <w:szCs w:val="22"/>
        </w:rPr>
        <w:t>_paired</w:t>
      </w:r>
      <w:r w:rsidR="00B83635">
        <w:rPr>
          <w:rFonts w:ascii="Times New Roman" w:hAnsi="Times New Roman"/>
          <w:sz w:val="22"/>
          <w:szCs w:val="22"/>
        </w:rPr>
        <w:t xml:space="preserve"> </w:t>
      </w:r>
      <w:r w:rsidR="0000216D">
        <w:rPr>
          <w:rFonts w:ascii="Times New Roman" w:hAnsi="Times New Roman"/>
          <w:sz w:val="22"/>
          <w:szCs w:val="22"/>
        </w:rPr>
        <w:t>file”</w:t>
      </w:r>
      <w:r w:rsidR="00F92CE9">
        <w:rPr>
          <w:rFonts w:ascii="Times New Roman" w:hAnsi="Times New Roman"/>
          <w:sz w:val="22"/>
          <w:szCs w:val="22"/>
        </w:rPr>
        <w:t xml:space="preserve"> </w:t>
      </w:r>
      <w:r w:rsidR="0000216D">
        <w:rPr>
          <w:rFonts w:ascii="Times New Roman" w:hAnsi="Times New Roman"/>
          <w:sz w:val="22"/>
          <w:szCs w:val="22"/>
        </w:rPr>
        <w:t>is</w:t>
      </w:r>
      <w:r w:rsidR="00E54A04" w:rsidRPr="00611E75">
        <w:rPr>
          <w:rFonts w:ascii="Times New Roman" w:hAnsi="Times New Roman"/>
          <w:sz w:val="22"/>
          <w:szCs w:val="22"/>
        </w:rPr>
        <w:t xml:space="preserve"> a list of the </w:t>
      </w:r>
      <w:r w:rsidR="00E54A04">
        <w:rPr>
          <w:rFonts w:ascii="Times New Roman" w:hAnsi="Times New Roman"/>
          <w:sz w:val="22"/>
          <w:szCs w:val="22"/>
        </w:rPr>
        <w:t>domestic</w:t>
      </w:r>
      <w:r w:rsidR="0000216D">
        <w:rPr>
          <w:rFonts w:ascii="Times New Roman" w:hAnsi="Times New Roman"/>
          <w:sz w:val="22"/>
          <w:szCs w:val="22"/>
        </w:rPr>
        <w:t xml:space="preserve"> </w:t>
      </w:r>
      <w:r w:rsidR="00B83635">
        <w:rPr>
          <w:rFonts w:ascii="Times New Roman" w:hAnsi="Times New Roman"/>
          <w:sz w:val="22"/>
          <w:szCs w:val="22"/>
        </w:rPr>
        <w:t xml:space="preserve">full power and Class A </w:t>
      </w:r>
      <w:r w:rsidR="0000216D">
        <w:rPr>
          <w:rFonts w:ascii="Times New Roman" w:hAnsi="Times New Roman"/>
          <w:sz w:val="22"/>
          <w:szCs w:val="22"/>
        </w:rPr>
        <w:t>television</w:t>
      </w:r>
      <w:r w:rsidR="00E54A04">
        <w:rPr>
          <w:rFonts w:ascii="Times New Roman" w:hAnsi="Times New Roman"/>
          <w:sz w:val="22"/>
          <w:szCs w:val="22"/>
        </w:rPr>
        <w:t xml:space="preserve"> </w:t>
      </w:r>
      <w:r w:rsidR="00E54A04" w:rsidRPr="00611E75">
        <w:rPr>
          <w:rFonts w:ascii="Times New Roman" w:hAnsi="Times New Roman"/>
          <w:sz w:val="22"/>
          <w:szCs w:val="22"/>
        </w:rPr>
        <w:t>stations that c</w:t>
      </w:r>
      <w:r w:rsidR="0000216D">
        <w:rPr>
          <w:rFonts w:ascii="Times New Roman" w:hAnsi="Times New Roman"/>
          <w:sz w:val="22"/>
          <w:szCs w:val="22"/>
        </w:rPr>
        <w:t xml:space="preserve">ould </w:t>
      </w:r>
      <w:r w:rsidR="00E54A04" w:rsidRPr="008415FA">
        <w:rPr>
          <w:rFonts w:ascii="Times New Roman" w:hAnsi="Times New Roman"/>
          <w:sz w:val="22"/>
          <w:szCs w:val="22"/>
          <w:u w:val="single"/>
        </w:rPr>
        <w:t>not</w:t>
      </w:r>
      <w:r w:rsidR="00E54A04" w:rsidRPr="00611E75">
        <w:rPr>
          <w:rFonts w:ascii="Times New Roman" w:hAnsi="Times New Roman"/>
          <w:sz w:val="22"/>
          <w:szCs w:val="22"/>
        </w:rPr>
        <w:t xml:space="preserve"> be assigned to operate on the same channel or on an adjacent channel</w:t>
      </w:r>
      <w:r w:rsidR="00B32655">
        <w:rPr>
          <w:rStyle w:val="FootnoteReference"/>
          <w:szCs w:val="22"/>
        </w:rPr>
        <w:footnoteReference w:id="17"/>
      </w:r>
      <w:r w:rsidR="00E54A04" w:rsidRPr="00611E75">
        <w:rPr>
          <w:rFonts w:ascii="Times New Roman" w:hAnsi="Times New Roman"/>
          <w:sz w:val="22"/>
          <w:szCs w:val="22"/>
        </w:rPr>
        <w:t xml:space="preserve"> </w:t>
      </w:r>
      <w:r w:rsidR="0000216D">
        <w:rPr>
          <w:rFonts w:ascii="Times New Roman" w:hAnsi="Times New Roman"/>
          <w:sz w:val="22"/>
          <w:szCs w:val="22"/>
        </w:rPr>
        <w:t xml:space="preserve">to the station in question </w:t>
      </w:r>
      <w:r w:rsidR="00E54A04" w:rsidRPr="00611E75">
        <w:rPr>
          <w:rFonts w:ascii="Times New Roman" w:hAnsi="Times New Roman"/>
          <w:sz w:val="22"/>
          <w:szCs w:val="22"/>
        </w:rPr>
        <w:t>in each of the</w:t>
      </w:r>
      <w:r w:rsidR="0000216D">
        <w:rPr>
          <w:rFonts w:ascii="Times New Roman" w:hAnsi="Times New Roman"/>
          <w:sz w:val="22"/>
          <w:szCs w:val="22"/>
        </w:rPr>
        <w:t xml:space="preserve"> three</w:t>
      </w:r>
      <w:r w:rsidR="00E54A04" w:rsidRPr="00611E75">
        <w:rPr>
          <w:rFonts w:ascii="Times New Roman" w:hAnsi="Times New Roman"/>
          <w:sz w:val="22"/>
          <w:szCs w:val="22"/>
        </w:rPr>
        <w:t xml:space="preserve"> bands</w:t>
      </w:r>
      <w:r w:rsidR="00144957">
        <w:rPr>
          <w:rFonts w:ascii="Times New Roman" w:hAnsi="Times New Roman"/>
          <w:sz w:val="22"/>
          <w:szCs w:val="22"/>
        </w:rPr>
        <w:t xml:space="preserve">, based on </w:t>
      </w:r>
      <w:r w:rsidR="00560022">
        <w:rPr>
          <w:rFonts w:ascii="Times New Roman" w:hAnsi="Times New Roman"/>
          <w:sz w:val="22"/>
          <w:szCs w:val="22"/>
        </w:rPr>
        <w:t xml:space="preserve">the </w:t>
      </w:r>
      <w:r w:rsidR="00560022" w:rsidRPr="00611E75">
        <w:rPr>
          <w:rFonts w:ascii="Times New Roman" w:hAnsi="Times New Roman"/>
          <w:sz w:val="22"/>
          <w:szCs w:val="22"/>
        </w:rPr>
        <w:t xml:space="preserve">second of three </w:t>
      </w:r>
      <w:r w:rsidR="00560022">
        <w:rPr>
          <w:rFonts w:ascii="Times New Roman" w:hAnsi="Times New Roman"/>
          <w:sz w:val="22"/>
          <w:szCs w:val="22"/>
        </w:rPr>
        <w:t>proposals</w:t>
      </w:r>
      <w:r w:rsidR="00560022" w:rsidRPr="00611E75">
        <w:rPr>
          <w:rFonts w:ascii="Times New Roman" w:hAnsi="Times New Roman"/>
          <w:sz w:val="22"/>
          <w:szCs w:val="22"/>
        </w:rPr>
        <w:t xml:space="preserve"> in the NPRM for making all reasonable efforts to preserve population served in the repacking.</w:t>
      </w:r>
      <w:r w:rsidR="00560022" w:rsidRPr="00611E75">
        <w:rPr>
          <w:rStyle w:val="FootnoteReference"/>
          <w:szCs w:val="22"/>
        </w:rPr>
        <w:footnoteReference w:id="18"/>
      </w:r>
      <w:r w:rsidR="0000216D">
        <w:rPr>
          <w:rFonts w:ascii="Times New Roman" w:hAnsi="Times New Roman"/>
          <w:sz w:val="22"/>
          <w:szCs w:val="22"/>
        </w:rPr>
        <w:t xml:space="preserve">  </w:t>
      </w:r>
      <w:r w:rsidR="00B83635">
        <w:rPr>
          <w:rFonts w:ascii="Times New Roman" w:hAnsi="Times New Roman"/>
          <w:sz w:val="22"/>
          <w:szCs w:val="22"/>
        </w:rPr>
        <w:t>So</w:t>
      </w:r>
      <w:r w:rsidR="0000216D">
        <w:rPr>
          <w:rFonts w:ascii="Times New Roman" w:hAnsi="Times New Roman"/>
          <w:sz w:val="22"/>
          <w:szCs w:val="22"/>
        </w:rPr>
        <w:t xml:space="preserve">, the </w:t>
      </w:r>
      <w:r w:rsidR="00CE47B3">
        <w:rPr>
          <w:rFonts w:ascii="Times New Roman" w:hAnsi="Times New Roman"/>
          <w:sz w:val="22"/>
          <w:szCs w:val="22"/>
        </w:rPr>
        <w:t>interference</w:t>
      </w:r>
      <w:r w:rsidR="0000216D">
        <w:rPr>
          <w:rFonts w:ascii="Times New Roman" w:hAnsi="Times New Roman"/>
          <w:sz w:val="22"/>
          <w:szCs w:val="22"/>
        </w:rPr>
        <w:t xml:space="preserve"> file for </w:t>
      </w:r>
      <w:r w:rsidR="00A63F8F">
        <w:rPr>
          <w:rFonts w:ascii="Times New Roman" w:hAnsi="Times New Roman"/>
          <w:sz w:val="22"/>
          <w:szCs w:val="22"/>
        </w:rPr>
        <w:t>that same s</w:t>
      </w:r>
      <w:r w:rsidR="0000216D">
        <w:rPr>
          <w:rFonts w:ascii="Times New Roman" w:hAnsi="Times New Roman"/>
          <w:sz w:val="22"/>
          <w:szCs w:val="22"/>
        </w:rPr>
        <w:t xml:space="preserve">tation would list any and all stations that could not be on the same channel as </w:t>
      </w:r>
      <w:r w:rsidR="00A63F8F">
        <w:rPr>
          <w:rFonts w:ascii="Times New Roman" w:hAnsi="Times New Roman"/>
          <w:sz w:val="22"/>
          <w:szCs w:val="22"/>
        </w:rPr>
        <w:t xml:space="preserve">the station </w:t>
      </w:r>
      <w:r w:rsidR="0000216D">
        <w:rPr>
          <w:rFonts w:ascii="Times New Roman" w:hAnsi="Times New Roman"/>
          <w:sz w:val="22"/>
          <w:szCs w:val="22"/>
        </w:rPr>
        <w:t xml:space="preserve">or on an adjacent channel to </w:t>
      </w:r>
      <w:r w:rsidR="00A63F8F">
        <w:rPr>
          <w:rFonts w:ascii="Times New Roman" w:hAnsi="Times New Roman"/>
          <w:sz w:val="22"/>
          <w:szCs w:val="22"/>
        </w:rPr>
        <w:t>the s</w:t>
      </w:r>
      <w:r w:rsidR="002F38FD">
        <w:rPr>
          <w:rFonts w:ascii="Times New Roman" w:hAnsi="Times New Roman"/>
          <w:sz w:val="22"/>
          <w:szCs w:val="22"/>
        </w:rPr>
        <w:t>tation in the low</w:t>
      </w:r>
      <w:r w:rsidR="0000216D">
        <w:rPr>
          <w:rFonts w:ascii="Times New Roman" w:hAnsi="Times New Roman"/>
          <w:sz w:val="22"/>
          <w:szCs w:val="22"/>
        </w:rPr>
        <w:t xml:space="preserve"> VHF band, in the upper VHF band, and in the UHF band</w:t>
      </w:r>
      <w:r w:rsidR="00B83635">
        <w:rPr>
          <w:rFonts w:ascii="Times New Roman" w:hAnsi="Times New Roman"/>
          <w:sz w:val="22"/>
          <w:szCs w:val="22"/>
        </w:rPr>
        <w:t>, based on given interference protection criteria</w:t>
      </w:r>
      <w:r w:rsidR="0000216D">
        <w:rPr>
          <w:rFonts w:ascii="Times New Roman" w:hAnsi="Times New Roman"/>
          <w:sz w:val="22"/>
          <w:szCs w:val="22"/>
        </w:rPr>
        <w:t xml:space="preserve">.  </w:t>
      </w:r>
    </w:p>
    <w:p w14:paraId="4B8CBAC7" w14:textId="77777777" w:rsidR="006370DD" w:rsidRDefault="006370DD" w:rsidP="006370DD">
      <w:pPr>
        <w:ind w:firstLine="720"/>
        <w:rPr>
          <w:rFonts w:ascii="Times New Roman" w:hAnsi="Times New Roman"/>
          <w:sz w:val="22"/>
          <w:szCs w:val="22"/>
        </w:rPr>
      </w:pPr>
    </w:p>
    <w:p w14:paraId="70E64C37" w14:textId="77777777" w:rsidR="001F69F4" w:rsidRDefault="000E4D53" w:rsidP="000E4D53">
      <w:pPr>
        <w:rPr>
          <w:rFonts w:ascii="Times New Roman" w:hAnsi="Times New Roman"/>
          <w:sz w:val="22"/>
          <w:szCs w:val="22"/>
        </w:rPr>
      </w:pPr>
      <w:r>
        <w:rPr>
          <w:rFonts w:ascii="Times New Roman" w:hAnsi="Times New Roman"/>
          <w:sz w:val="22"/>
          <w:szCs w:val="22"/>
        </w:rPr>
        <w:t xml:space="preserve">     </w:t>
      </w:r>
      <w:r w:rsidR="0000216D">
        <w:rPr>
          <w:rFonts w:ascii="Times New Roman" w:hAnsi="Times New Roman"/>
          <w:sz w:val="22"/>
          <w:szCs w:val="22"/>
        </w:rPr>
        <w:t xml:space="preserve">We are releasing </w:t>
      </w:r>
      <w:r w:rsidR="00DC338F">
        <w:rPr>
          <w:rFonts w:ascii="Times New Roman" w:hAnsi="Times New Roman"/>
          <w:sz w:val="22"/>
          <w:szCs w:val="22"/>
        </w:rPr>
        <w:t>at this time</w:t>
      </w:r>
      <w:r w:rsidR="0000216D">
        <w:rPr>
          <w:rFonts w:ascii="Times New Roman" w:hAnsi="Times New Roman"/>
          <w:sz w:val="22"/>
          <w:szCs w:val="22"/>
        </w:rPr>
        <w:t xml:space="preserve"> </w:t>
      </w:r>
      <w:r w:rsidR="00042A5C">
        <w:rPr>
          <w:rFonts w:ascii="Times New Roman" w:hAnsi="Times New Roman"/>
          <w:sz w:val="22"/>
          <w:szCs w:val="22"/>
        </w:rPr>
        <w:t xml:space="preserve">preliminary </w:t>
      </w:r>
      <w:r w:rsidR="00CE47B3">
        <w:rPr>
          <w:rFonts w:ascii="Times New Roman" w:hAnsi="Times New Roman"/>
          <w:sz w:val="22"/>
          <w:szCs w:val="22"/>
        </w:rPr>
        <w:t xml:space="preserve">data </w:t>
      </w:r>
      <w:r w:rsidR="0000216D">
        <w:rPr>
          <w:rFonts w:ascii="Times New Roman" w:hAnsi="Times New Roman"/>
          <w:sz w:val="22"/>
          <w:szCs w:val="22"/>
        </w:rPr>
        <w:t>set</w:t>
      </w:r>
      <w:r w:rsidR="00CE47B3">
        <w:rPr>
          <w:rFonts w:ascii="Times New Roman" w:hAnsi="Times New Roman"/>
          <w:sz w:val="22"/>
          <w:szCs w:val="22"/>
        </w:rPr>
        <w:t>s</w:t>
      </w:r>
      <w:r w:rsidR="0000216D">
        <w:rPr>
          <w:rFonts w:ascii="Times New Roman" w:hAnsi="Times New Roman"/>
          <w:sz w:val="22"/>
          <w:szCs w:val="22"/>
        </w:rPr>
        <w:t xml:space="preserve"> o</w:t>
      </w:r>
      <w:r w:rsidR="00CE47B3">
        <w:rPr>
          <w:rFonts w:ascii="Times New Roman" w:hAnsi="Times New Roman"/>
          <w:sz w:val="22"/>
          <w:szCs w:val="22"/>
        </w:rPr>
        <w:t xml:space="preserve">r </w:t>
      </w:r>
      <w:r w:rsidR="0000216D">
        <w:rPr>
          <w:rFonts w:ascii="Times New Roman" w:hAnsi="Times New Roman"/>
          <w:sz w:val="22"/>
          <w:szCs w:val="22"/>
        </w:rPr>
        <w:t xml:space="preserve">constraint files for domestic </w:t>
      </w:r>
      <w:r w:rsidR="00B618C6">
        <w:rPr>
          <w:rFonts w:ascii="Times New Roman" w:hAnsi="Times New Roman"/>
          <w:sz w:val="22"/>
          <w:szCs w:val="22"/>
        </w:rPr>
        <w:t xml:space="preserve">broadcast </w:t>
      </w:r>
      <w:r w:rsidR="0000216D">
        <w:rPr>
          <w:rFonts w:ascii="Times New Roman" w:hAnsi="Times New Roman"/>
          <w:sz w:val="22"/>
          <w:szCs w:val="22"/>
        </w:rPr>
        <w:t xml:space="preserve">television </w:t>
      </w:r>
      <w:r w:rsidR="00B618C6">
        <w:rPr>
          <w:rFonts w:ascii="Times New Roman" w:hAnsi="Times New Roman"/>
          <w:sz w:val="22"/>
          <w:szCs w:val="22"/>
        </w:rPr>
        <w:t>licensee</w:t>
      </w:r>
      <w:r w:rsidR="00F45437">
        <w:rPr>
          <w:rFonts w:ascii="Times New Roman" w:hAnsi="Times New Roman"/>
          <w:sz w:val="22"/>
          <w:szCs w:val="22"/>
        </w:rPr>
        <w:t>s</w:t>
      </w:r>
      <w:r w:rsidR="00B618C6">
        <w:rPr>
          <w:rFonts w:ascii="Times New Roman" w:hAnsi="Times New Roman"/>
          <w:sz w:val="22"/>
          <w:szCs w:val="22"/>
        </w:rPr>
        <w:t xml:space="preserve"> </w:t>
      </w:r>
      <w:r w:rsidR="0000216D">
        <w:rPr>
          <w:rFonts w:ascii="Times New Roman" w:hAnsi="Times New Roman"/>
          <w:sz w:val="22"/>
          <w:szCs w:val="22"/>
        </w:rPr>
        <w:t xml:space="preserve">that may be protected in the repacking process.  Again, the constraint files we release </w:t>
      </w:r>
      <w:r w:rsidR="00DC338F">
        <w:rPr>
          <w:rFonts w:ascii="Times New Roman" w:hAnsi="Times New Roman"/>
          <w:sz w:val="22"/>
          <w:szCs w:val="22"/>
        </w:rPr>
        <w:t xml:space="preserve">at this time </w:t>
      </w:r>
      <w:r w:rsidR="0000216D">
        <w:rPr>
          <w:rFonts w:ascii="Times New Roman" w:hAnsi="Times New Roman"/>
          <w:sz w:val="22"/>
          <w:szCs w:val="22"/>
        </w:rPr>
        <w:t xml:space="preserve">are </w:t>
      </w:r>
      <w:r w:rsidR="0000216D" w:rsidRPr="0093535E">
        <w:rPr>
          <w:rFonts w:ascii="Times New Roman" w:hAnsi="Times New Roman"/>
          <w:b/>
          <w:i/>
          <w:sz w:val="22"/>
          <w:szCs w:val="22"/>
        </w:rPr>
        <w:t>for illustrative purposes only</w:t>
      </w:r>
      <w:r w:rsidR="0000216D">
        <w:rPr>
          <w:rFonts w:ascii="Times New Roman" w:hAnsi="Times New Roman"/>
          <w:sz w:val="22"/>
          <w:szCs w:val="22"/>
        </w:rPr>
        <w:t xml:space="preserve">, and necessarily reflect certain assumptions that are subject to a final decision by the Commission.  In particular, </w:t>
      </w:r>
      <w:r w:rsidR="00560022">
        <w:rPr>
          <w:rFonts w:ascii="Times New Roman" w:hAnsi="Times New Roman"/>
          <w:sz w:val="22"/>
          <w:szCs w:val="22"/>
        </w:rPr>
        <w:t xml:space="preserve">as stated above, </w:t>
      </w:r>
      <w:r w:rsidR="001F69F4" w:rsidRPr="00611E75">
        <w:rPr>
          <w:rFonts w:ascii="Times New Roman" w:hAnsi="Times New Roman"/>
          <w:sz w:val="22"/>
          <w:szCs w:val="22"/>
        </w:rPr>
        <w:t xml:space="preserve">the </w:t>
      </w:r>
      <w:r w:rsidR="00CE47B3">
        <w:rPr>
          <w:rFonts w:ascii="Times New Roman" w:hAnsi="Times New Roman"/>
          <w:sz w:val="22"/>
          <w:szCs w:val="22"/>
        </w:rPr>
        <w:t xml:space="preserve">constraint </w:t>
      </w:r>
      <w:r w:rsidR="001F69F4">
        <w:rPr>
          <w:rFonts w:ascii="Times New Roman" w:hAnsi="Times New Roman"/>
          <w:sz w:val="22"/>
          <w:szCs w:val="22"/>
        </w:rPr>
        <w:t xml:space="preserve">files reflect </w:t>
      </w:r>
      <w:r w:rsidR="001F69F4" w:rsidRPr="00611E75">
        <w:rPr>
          <w:rFonts w:ascii="Times New Roman" w:hAnsi="Times New Roman"/>
          <w:sz w:val="22"/>
          <w:szCs w:val="22"/>
        </w:rPr>
        <w:t>staff appli</w:t>
      </w:r>
      <w:r w:rsidR="001F69F4">
        <w:rPr>
          <w:rFonts w:ascii="Times New Roman" w:hAnsi="Times New Roman"/>
          <w:sz w:val="22"/>
          <w:szCs w:val="22"/>
        </w:rPr>
        <w:t xml:space="preserve">cation of </w:t>
      </w:r>
      <w:r w:rsidR="001F69F4" w:rsidRPr="00611E75">
        <w:rPr>
          <w:rFonts w:ascii="Times New Roman" w:hAnsi="Times New Roman"/>
          <w:sz w:val="22"/>
          <w:szCs w:val="22"/>
        </w:rPr>
        <w:t xml:space="preserve">the second of three </w:t>
      </w:r>
      <w:r w:rsidR="001F69F4">
        <w:rPr>
          <w:rFonts w:ascii="Times New Roman" w:hAnsi="Times New Roman"/>
          <w:sz w:val="22"/>
          <w:szCs w:val="22"/>
        </w:rPr>
        <w:t>proposals</w:t>
      </w:r>
      <w:r w:rsidR="001F69F4" w:rsidRPr="00611E75">
        <w:rPr>
          <w:rFonts w:ascii="Times New Roman" w:hAnsi="Times New Roman"/>
          <w:sz w:val="22"/>
          <w:szCs w:val="22"/>
        </w:rPr>
        <w:t xml:space="preserve"> in the NPRM for making all reasonable efforts to preserve population served in the repacking process.</w:t>
      </w:r>
      <w:r w:rsidR="0000216D">
        <w:rPr>
          <w:rFonts w:ascii="Times New Roman" w:hAnsi="Times New Roman"/>
          <w:sz w:val="22"/>
          <w:szCs w:val="22"/>
        </w:rPr>
        <w:t xml:space="preserve">  </w:t>
      </w:r>
      <w:r w:rsidR="001F69F4">
        <w:rPr>
          <w:rFonts w:ascii="Times New Roman" w:hAnsi="Times New Roman"/>
          <w:sz w:val="22"/>
          <w:szCs w:val="22"/>
        </w:rPr>
        <w:t>W</w:t>
      </w:r>
      <w:r w:rsidR="001F69F4" w:rsidRPr="00611E75">
        <w:rPr>
          <w:rFonts w:ascii="Times New Roman" w:hAnsi="Times New Roman"/>
          <w:sz w:val="22"/>
          <w:szCs w:val="22"/>
        </w:rPr>
        <w:t xml:space="preserve">e </w:t>
      </w:r>
      <w:r w:rsidR="001F69F4">
        <w:rPr>
          <w:rFonts w:ascii="Times New Roman" w:hAnsi="Times New Roman"/>
          <w:sz w:val="22"/>
          <w:szCs w:val="22"/>
        </w:rPr>
        <w:t>also are</w:t>
      </w:r>
      <w:r w:rsidR="002B0EA7">
        <w:rPr>
          <w:rFonts w:ascii="Times New Roman" w:hAnsi="Times New Roman"/>
          <w:sz w:val="22"/>
          <w:szCs w:val="22"/>
        </w:rPr>
        <w:t xml:space="preserve"> including </w:t>
      </w:r>
      <w:r w:rsidR="001F69F4">
        <w:rPr>
          <w:rFonts w:ascii="Times New Roman" w:hAnsi="Times New Roman"/>
          <w:sz w:val="22"/>
          <w:szCs w:val="22"/>
        </w:rPr>
        <w:t xml:space="preserve">a detailed </w:t>
      </w:r>
      <w:r w:rsidR="001F69F4" w:rsidRPr="00611E75">
        <w:rPr>
          <w:rFonts w:ascii="Times New Roman" w:hAnsi="Times New Roman"/>
          <w:sz w:val="22"/>
          <w:szCs w:val="22"/>
        </w:rPr>
        <w:t>descri</w:t>
      </w:r>
      <w:r w:rsidR="001F69F4">
        <w:rPr>
          <w:rFonts w:ascii="Times New Roman" w:hAnsi="Times New Roman"/>
          <w:sz w:val="22"/>
          <w:szCs w:val="22"/>
        </w:rPr>
        <w:t xml:space="preserve">ption of </w:t>
      </w:r>
      <w:r w:rsidR="001F69F4" w:rsidRPr="00611E75">
        <w:rPr>
          <w:rFonts w:ascii="Times New Roman" w:hAnsi="Times New Roman"/>
          <w:sz w:val="22"/>
          <w:szCs w:val="22"/>
        </w:rPr>
        <w:t xml:space="preserve">how </w:t>
      </w:r>
      <w:r w:rsidR="001F69F4">
        <w:rPr>
          <w:rFonts w:ascii="Times New Roman" w:hAnsi="Times New Roman"/>
          <w:sz w:val="22"/>
          <w:szCs w:val="22"/>
        </w:rPr>
        <w:t>the staff generated the constraint files</w:t>
      </w:r>
      <w:r w:rsidR="002B0EA7">
        <w:rPr>
          <w:rFonts w:ascii="Times New Roman" w:hAnsi="Times New Roman"/>
          <w:sz w:val="22"/>
          <w:szCs w:val="22"/>
        </w:rPr>
        <w:t xml:space="preserve">.  </w:t>
      </w:r>
    </w:p>
    <w:p w14:paraId="4E06D7B6" w14:textId="77777777" w:rsidR="00D64A7A" w:rsidRPr="00611E75" w:rsidRDefault="00D64A7A" w:rsidP="0093535E">
      <w:pPr>
        <w:rPr>
          <w:rFonts w:ascii="Times New Roman" w:hAnsi="Times New Roman"/>
          <w:sz w:val="22"/>
          <w:szCs w:val="22"/>
        </w:rPr>
      </w:pPr>
    </w:p>
    <w:p w14:paraId="778E3329" w14:textId="77777777" w:rsidR="001C3090" w:rsidRPr="00611E75" w:rsidRDefault="001C3090" w:rsidP="006370DD">
      <w:pPr>
        <w:pStyle w:val="Paranum0"/>
        <w:widowControl/>
        <w:ind w:firstLine="0"/>
        <w:jc w:val="center"/>
      </w:pPr>
      <w:r w:rsidRPr="00611E75">
        <w:t>***</w:t>
      </w:r>
    </w:p>
    <w:p w14:paraId="254DA821" w14:textId="611059C7" w:rsidR="00011773" w:rsidRPr="00410DAE" w:rsidRDefault="000E4D53" w:rsidP="000E4D53">
      <w:pPr>
        <w:rPr>
          <w:rFonts w:ascii="Times New Roman" w:hAnsi="Times New Roman"/>
          <w:sz w:val="22"/>
          <w:szCs w:val="22"/>
        </w:rPr>
      </w:pPr>
      <w:r>
        <w:rPr>
          <w:rFonts w:ascii="Times New Roman" w:hAnsi="Times New Roman"/>
          <w:sz w:val="22"/>
          <w:szCs w:val="22"/>
        </w:rPr>
        <w:t xml:space="preserve">     </w:t>
      </w:r>
      <w:r w:rsidR="00011773" w:rsidRPr="00862BEA">
        <w:rPr>
          <w:rFonts w:ascii="Times New Roman" w:hAnsi="Times New Roman"/>
          <w:sz w:val="22"/>
          <w:szCs w:val="22"/>
        </w:rPr>
        <w:t>This Public Notice is being issued pursuant to sections 0.31, 0.51, 0.61, and 0.131 of the Commission’s rules by the Office of Engineering and Technology and the International, Media, and Wireless Telecommunications Bureaus, members of the Incentive Auction Task Force.</w:t>
      </w:r>
      <w:r w:rsidR="00011773" w:rsidRPr="00862BEA">
        <w:rPr>
          <w:rStyle w:val="FootnoteReference"/>
          <w:szCs w:val="22"/>
        </w:rPr>
        <w:footnoteReference w:id="19"/>
      </w:r>
      <w:r w:rsidR="00011773" w:rsidRPr="00862BEA">
        <w:rPr>
          <w:rFonts w:ascii="Times New Roman" w:hAnsi="Times New Roman"/>
          <w:sz w:val="22"/>
          <w:szCs w:val="22"/>
        </w:rPr>
        <w:t xml:space="preserve">  Comments may be filed using the procedures for </w:t>
      </w:r>
      <w:r w:rsidR="00011773" w:rsidRPr="00862BEA">
        <w:rPr>
          <w:rFonts w:ascii="Times New Roman" w:hAnsi="Times New Roman"/>
          <w:i/>
          <w:iCs/>
          <w:sz w:val="22"/>
          <w:szCs w:val="22"/>
        </w:rPr>
        <w:t xml:space="preserve">ex parte </w:t>
      </w:r>
      <w:r w:rsidR="00011773" w:rsidRPr="00862BEA">
        <w:rPr>
          <w:rFonts w:ascii="Times New Roman" w:hAnsi="Times New Roman"/>
          <w:sz w:val="22"/>
          <w:szCs w:val="22"/>
        </w:rPr>
        <w:t>submissions in permit-but-disclose proceedings set forth in section 1.1206 of the Commission’s rules.</w:t>
      </w:r>
      <w:r w:rsidR="00011773" w:rsidRPr="00862BEA">
        <w:rPr>
          <w:rStyle w:val="FootnoteReference"/>
          <w:szCs w:val="22"/>
        </w:rPr>
        <w:footnoteReference w:id="20"/>
      </w:r>
      <w:r w:rsidR="00011773" w:rsidRPr="00862BEA">
        <w:rPr>
          <w:rFonts w:ascii="Times New Roman" w:hAnsi="Times New Roman"/>
          <w:sz w:val="22"/>
          <w:szCs w:val="22"/>
        </w:rPr>
        <w:t>  When filing comments, please reference GN Docket No. 12-268.</w:t>
      </w:r>
      <w:r w:rsidR="00410DAE">
        <w:rPr>
          <w:rFonts w:ascii="Times New Roman" w:hAnsi="Times New Roman"/>
          <w:sz w:val="22"/>
          <w:szCs w:val="22"/>
        </w:rPr>
        <w:t xml:space="preserve">  </w:t>
      </w:r>
      <w:r w:rsidR="00410DAE" w:rsidRPr="00410DAE">
        <w:rPr>
          <w:rFonts w:ascii="Times New Roman" w:hAnsi="Times New Roman"/>
          <w:sz w:val="22"/>
          <w:szCs w:val="22"/>
        </w:rPr>
        <w:t xml:space="preserve">The constraint files will be accessible via a link on the FCC’s LEARN website under the Repacking Section, which can be found at </w:t>
      </w:r>
      <w:hyperlink r:id="rId8" w:history="1">
        <w:r w:rsidR="00410DAE" w:rsidRPr="00410DAE">
          <w:rPr>
            <w:rStyle w:val="Hyperlink"/>
            <w:rFonts w:ascii="Times New Roman" w:eastAsia="MS Gothic" w:hAnsi="Times New Roman"/>
            <w:sz w:val="22"/>
            <w:szCs w:val="22"/>
          </w:rPr>
          <w:t>http://wireless.fcc.gov/incentiveauctions/learn-program/repacking.html</w:t>
        </w:r>
      </w:hyperlink>
      <w:r w:rsidR="00410DAE" w:rsidRPr="00410DAE">
        <w:rPr>
          <w:rFonts w:ascii="Times New Roman" w:hAnsi="Times New Roman"/>
          <w:sz w:val="22"/>
          <w:szCs w:val="22"/>
        </w:rPr>
        <w:t>.</w:t>
      </w:r>
    </w:p>
    <w:p w14:paraId="2F37B3C2" w14:textId="77777777" w:rsidR="00D46F89" w:rsidRPr="00862BEA" w:rsidRDefault="00011773" w:rsidP="0093535E">
      <w:r w:rsidRPr="00862BEA">
        <w:t xml:space="preserve"> </w:t>
      </w:r>
    </w:p>
    <w:p w14:paraId="06F7F50B" w14:textId="0D7A79C3" w:rsidR="00D46F89" w:rsidRPr="00611E75" w:rsidRDefault="000E4D53" w:rsidP="000E4D53">
      <w:pPr>
        <w:pStyle w:val="Paranum0"/>
        <w:widowControl/>
        <w:ind w:firstLine="0"/>
      </w:pPr>
      <w:r>
        <w:t xml:space="preserve">     </w:t>
      </w:r>
      <w:r w:rsidR="00D46F89" w:rsidRPr="00611E75">
        <w:t xml:space="preserve">For further </w:t>
      </w:r>
      <w:r w:rsidR="00A12149" w:rsidRPr="00611E75">
        <w:t>information, contact Sasha Javid at 202-418-2392</w:t>
      </w:r>
      <w:r w:rsidR="00D46F89" w:rsidRPr="00611E75">
        <w:t xml:space="preserve">, or via e-mail at </w:t>
      </w:r>
      <w:hyperlink r:id="rId9" w:history="1">
        <w:r w:rsidR="00410DAE" w:rsidRPr="00410DAE">
          <w:rPr>
            <w:rStyle w:val="Hyperlink"/>
          </w:rPr>
          <w:t>Sasha.Javid@fcc.gov</w:t>
        </w:r>
      </w:hyperlink>
      <w:r w:rsidR="00D46F89" w:rsidRPr="00611E75">
        <w:t>.</w:t>
      </w:r>
      <w:r w:rsidR="00641213">
        <w:t xml:space="preserve">  For further information regarding data about domestic broadcast television licensees, please contact Hossein Hashemzadeh at 202-418-1658, or via e-mail at </w:t>
      </w:r>
      <w:hyperlink r:id="rId10" w:history="1">
        <w:r w:rsidR="00641213" w:rsidRPr="008A3EEF">
          <w:rPr>
            <w:rStyle w:val="Hyperlink"/>
          </w:rPr>
          <w:t>Hossein.Hashemzadeh@fcc.gov</w:t>
        </w:r>
      </w:hyperlink>
      <w:r w:rsidR="00641213">
        <w:t xml:space="preserve">, or Kevin Harding at 202-418-7077, or </w:t>
      </w:r>
      <w:hyperlink r:id="rId11" w:history="1">
        <w:r w:rsidR="00641213" w:rsidRPr="008A3EEF">
          <w:rPr>
            <w:rStyle w:val="Hyperlink"/>
          </w:rPr>
          <w:t>Kevin.Harding@fcc.gov</w:t>
        </w:r>
      </w:hyperlink>
      <w:r w:rsidR="00641213">
        <w:t xml:space="preserve">.   </w:t>
      </w:r>
    </w:p>
    <w:p w14:paraId="7180591F" w14:textId="77777777" w:rsidR="00E80BB7" w:rsidRPr="00611E75" w:rsidRDefault="00E80BB7" w:rsidP="006370DD">
      <w:pPr>
        <w:pStyle w:val="Paranum0"/>
        <w:widowControl/>
      </w:pPr>
    </w:p>
    <w:p w14:paraId="63E7E7F4" w14:textId="77777777" w:rsidR="00201369" w:rsidRPr="0079075B" w:rsidRDefault="00614DD1" w:rsidP="0079075B">
      <w:pPr>
        <w:tabs>
          <w:tab w:val="left" w:pos="6960"/>
        </w:tabs>
        <w:spacing w:after="120"/>
        <w:ind w:left="792"/>
        <w:jc w:val="center"/>
        <w:rPr>
          <w:rFonts w:ascii="Times New Roman" w:hAnsi="Times New Roman"/>
          <w:b/>
          <w:sz w:val="22"/>
          <w:szCs w:val="22"/>
        </w:rPr>
      </w:pPr>
      <w:r w:rsidRPr="00611E75">
        <w:rPr>
          <w:rFonts w:ascii="Times New Roman" w:hAnsi="Times New Roman"/>
          <w:b/>
          <w:sz w:val="22"/>
          <w:szCs w:val="22"/>
        </w:rPr>
        <w:t>-FCC-</w:t>
      </w:r>
    </w:p>
    <w:p w14:paraId="52BA78D8" w14:textId="77777777" w:rsidR="004507E1" w:rsidRPr="00201369" w:rsidRDefault="004507E1" w:rsidP="006370DD">
      <w:pPr>
        <w:rPr>
          <w:rFonts w:ascii="Times New Roman" w:hAnsi="Times New Roman"/>
          <w:b/>
          <w:sz w:val="22"/>
          <w:szCs w:val="22"/>
        </w:rPr>
      </w:pPr>
    </w:p>
    <w:sectPr w:rsidR="004507E1" w:rsidRPr="00201369" w:rsidSect="00F0605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3627E" w14:textId="77777777" w:rsidR="009733DD" w:rsidRDefault="009733DD">
      <w:r>
        <w:separator/>
      </w:r>
    </w:p>
  </w:endnote>
  <w:endnote w:type="continuationSeparator" w:id="0">
    <w:p w14:paraId="63BEF33D" w14:textId="77777777" w:rsidR="009733DD" w:rsidRDefault="009733DD">
      <w:r>
        <w:continuationSeparator/>
      </w:r>
    </w:p>
  </w:endnote>
  <w:endnote w:type="continuationNotice" w:id="1">
    <w:p w14:paraId="509E39CE" w14:textId="77777777" w:rsidR="009733DD" w:rsidRDefault="00973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86327" w14:textId="77777777" w:rsidR="00631D16" w:rsidRDefault="00631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B6E93" w14:textId="77777777" w:rsidR="00B32655" w:rsidRPr="00A02D3B" w:rsidRDefault="00B32655">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410DAE">
      <w:rPr>
        <w:rFonts w:ascii="Times New Roman" w:hAnsi="Times New Roman"/>
        <w:noProof/>
        <w:sz w:val="20"/>
      </w:rPr>
      <w:t>2</w:t>
    </w:r>
    <w:r w:rsidRPr="00A02D3B">
      <w:rPr>
        <w:rFonts w:ascii="Times New Roman" w:hAnsi="Times New Roman"/>
        <w:sz w:val="20"/>
      </w:rPr>
      <w:fldChar w:fldCharType="end"/>
    </w:r>
  </w:p>
  <w:p w14:paraId="124DE03C" w14:textId="77777777" w:rsidR="00B32655" w:rsidRDefault="00B326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FF677" w14:textId="77777777" w:rsidR="00631D16" w:rsidRDefault="00631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0554D" w14:textId="77777777" w:rsidR="009733DD" w:rsidRDefault="009733DD">
      <w:r>
        <w:separator/>
      </w:r>
    </w:p>
  </w:footnote>
  <w:footnote w:type="continuationSeparator" w:id="0">
    <w:p w14:paraId="7109A718" w14:textId="77777777" w:rsidR="009733DD" w:rsidRDefault="009733DD">
      <w:r>
        <w:continuationSeparator/>
      </w:r>
    </w:p>
  </w:footnote>
  <w:footnote w:type="continuationNotice" w:id="1">
    <w:p w14:paraId="5C3159E6" w14:textId="77777777" w:rsidR="009733DD" w:rsidRDefault="009733DD"/>
  </w:footnote>
  <w:footnote w:id="2">
    <w:p w14:paraId="56BAE450" w14:textId="77777777" w:rsidR="00B32655" w:rsidRDefault="00B32655" w:rsidP="009A287C">
      <w:pPr>
        <w:pStyle w:val="FootnoteText"/>
        <w:spacing w:before="120" w:after="120"/>
      </w:pPr>
      <w:r w:rsidRPr="00FA0083">
        <w:rPr>
          <w:rStyle w:val="FootnoteReference"/>
          <w:sz w:val="20"/>
        </w:rPr>
        <w:footnoteRef/>
      </w:r>
      <w:r w:rsidRPr="00FA0083">
        <w:t xml:space="preserve"> </w:t>
      </w:r>
      <w:r w:rsidRPr="00FA0083">
        <w:rPr>
          <w:spacing w:val="-2"/>
        </w:rPr>
        <w:t xml:space="preserve">Expanding the Economic and Innovation Opportunities of Spectrum Through Incentive Auctions, </w:t>
      </w:r>
      <w:r w:rsidRPr="00FA0083">
        <w:rPr>
          <w:i/>
          <w:spacing w:val="-2"/>
        </w:rPr>
        <w:t>Notice of Proposed Rulemaking</w:t>
      </w:r>
      <w:r w:rsidRPr="00FA0083">
        <w:rPr>
          <w:spacing w:val="-2"/>
        </w:rPr>
        <w:t>, 27 FCC Rcd 12357</w:t>
      </w:r>
      <w:r>
        <w:rPr>
          <w:spacing w:val="-2"/>
        </w:rPr>
        <w:t>, 12359 ¶ 5</w:t>
      </w:r>
      <w:r w:rsidRPr="00FA0083">
        <w:rPr>
          <w:spacing w:val="-2"/>
        </w:rPr>
        <w:t xml:space="preserve"> (2012) (</w:t>
      </w:r>
      <w:r w:rsidRPr="004507E1">
        <w:rPr>
          <w:spacing w:val="-2"/>
        </w:rPr>
        <w:t>NPRM</w:t>
      </w:r>
      <w:r w:rsidRPr="00FA0083">
        <w:rPr>
          <w:spacing w:val="-2"/>
        </w:rPr>
        <w:t>).</w:t>
      </w:r>
    </w:p>
  </w:footnote>
  <w:footnote w:id="3">
    <w:p w14:paraId="5AD5B5D7" w14:textId="4F5813CF" w:rsidR="004D5199" w:rsidRPr="00843685" w:rsidRDefault="004D5199" w:rsidP="004D5199">
      <w:pPr>
        <w:pStyle w:val="FootnoteText"/>
        <w:spacing w:after="120"/>
        <w:rPr>
          <w:color w:val="000000"/>
        </w:rPr>
      </w:pPr>
      <w:r>
        <w:rPr>
          <w:rStyle w:val="FootnoteReference"/>
        </w:rPr>
        <w:footnoteRef/>
      </w:r>
      <w:r w:rsidRPr="00D70CB3">
        <w:t xml:space="preserve"> </w:t>
      </w:r>
      <w:r w:rsidR="00D70CB3">
        <w:t>The Commission is required by statute to m</w:t>
      </w:r>
      <w:r w:rsidR="00D70CB3" w:rsidRPr="00D70CB3">
        <w:rPr>
          <w:color w:val="000000"/>
        </w:rPr>
        <w:t>ake “all reasonable efforts to preserve, as of February 22, 2012, the coverage area and population served of each broadcast television licensee, as determined using the methodology described in OET Bulletin 69 of the Office of Engineering and Technology.”</w:t>
      </w:r>
      <w:r w:rsidR="00BB001E">
        <w:rPr>
          <w:color w:val="000000"/>
        </w:rPr>
        <w:t xml:space="preserve">  </w:t>
      </w:r>
      <w:r w:rsidRPr="004507E1">
        <w:rPr>
          <w:color w:val="000000"/>
        </w:rPr>
        <w:t>Middle Class Tax Relief and Job Creation Act of 2012</w:t>
      </w:r>
      <w:r>
        <w:rPr>
          <w:color w:val="000000"/>
        </w:rPr>
        <w:t xml:space="preserve"> (Spectrum Act)</w:t>
      </w:r>
      <w:r w:rsidRPr="004507E1">
        <w:rPr>
          <w:color w:val="000000"/>
        </w:rPr>
        <w:t>,</w:t>
      </w:r>
      <w:r>
        <w:rPr>
          <w:color w:val="000000"/>
        </w:rPr>
        <w:t xml:space="preserve"> Pub. L. No. 112-96</w:t>
      </w:r>
      <w:r w:rsidRPr="004507E1">
        <w:rPr>
          <w:color w:val="000000"/>
        </w:rPr>
        <w:t>, § 6403</w:t>
      </w:r>
      <w:r>
        <w:rPr>
          <w:color w:val="000000"/>
        </w:rPr>
        <w:t>(b)(2)</w:t>
      </w:r>
      <w:r w:rsidRPr="004507E1">
        <w:rPr>
          <w:color w:val="000000"/>
        </w:rPr>
        <w:t>, 125 Stat. 156 (2012).</w:t>
      </w:r>
      <w:r>
        <w:rPr>
          <w:color w:val="000000"/>
        </w:rPr>
        <w:t xml:space="preserve">  OET Bulletin </w:t>
      </w:r>
      <w:r w:rsidRPr="004507E1">
        <w:rPr>
          <w:color w:val="000000"/>
        </w:rPr>
        <w:t>69</w:t>
      </w:r>
      <w:r>
        <w:rPr>
          <w:color w:val="000000"/>
        </w:rPr>
        <w:t xml:space="preserve"> is available at </w:t>
      </w:r>
      <w:hyperlink r:id="rId1" w:history="1">
        <w:r w:rsidR="000F60E1" w:rsidRPr="000F60E1">
          <w:rPr>
            <w:rStyle w:val="Hyperlink"/>
          </w:rPr>
          <w:t>http://transition.fcc.gov/Bureaus/Engineering_Technology/Documents/bulletins/oet69/oet69.pdf</w:t>
        </w:r>
      </w:hyperlink>
      <w:r>
        <w:rPr>
          <w:color w:val="000000"/>
        </w:rPr>
        <w:t xml:space="preserve">.  </w:t>
      </w:r>
    </w:p>
  </w:footnote>
  <w:footnote w:id="4">
    <w:p w14:paraId="53ADDEB5" w14:textId="77777777" w:rsidR="000B278C" w:rsidRDefault="000B278C" w:rsidP="00144957">
      <w:pPr>
        <w:pStyle w:val="FootnoteText"/>
        <w:spacing w:after="120"/>
      </w:pPr>
      <w:r>
        <w:rPr>
          <w:rStyle w:val="FootnoteReference"/>
        </w:rPr>
        <w:footnoteRef/>
      </w:r>
      <w:r>
        <w:t xml:space="preserve"> </w:t>
      </w:r>
      <w:r w:rsidRPr="000B278C">
        <w:t xml:space="preserve">Although some stations may be reassigned to </w:t>
      </w:r>
      <w:r w:rsidR="00FF6472">
        <w:t xml:space="preserve">a </w:t>
      </w:r>
      <w:r w:rsidRPr="000B278C">
        <w:t>new channel as a result of the repacking process, the Commission has not proposed to require any station to change the location of its transmission facilities.</w:t>
      </w:r>
    </w:p>
  </w:footnote>
  <w:footnote w:id="5">
    <w:p w14:paraId="5045AB48" w14:textId="77777777" w:rsidR="00FB6313" w:rsidRDefault="00FB6313" w:rsidP="00AC7FBF">
      <w:pPr>
        <w:pStyle w:val="FootnoteText"/>
        <w:spacing w:after="120"/>
      </w:pPr>
      <w:r>
        <w:rPr>
          <w:rStyle w:val="FootnoteReference"/>
        </w:rPr>
        <w:footnoteRef/>
      </w:r>
      <w:r>
        <w:t xml:space="preserve"> Given that the Commission has not yet decided on an auction design, it is possible that the Commission will pick a design that would allow for the use of optimization analysis during the auction.  </w:t>
      </w:r>
    </w:p>
  </w:footnote>
  <w:footnote w:id="6">
    <w:p w14:paraId="1BC8C7B8" w14:textId="77777777" w:rsidR="007B4773" w:rsidRPr="007B4773" w:rsidRDefault="007B4773" w:rsidP="006370DD">
      <w:pPr>
        <w:pStyle w:val="FootnoteText"/>
        <w:spacing w:after="120"/>
      </w:pPr>
      <w:r>
        <w:rPr>
          <w:rStyle w:val="FootnoteReference"/>
        </w:rPr>
        <w:footnoteRef/>
      </w:r>
      <w:r>
        <w:t xml:space="preserve"> </w:t>
      </w:r>
      <w:r>
        <w:rPr>
          <w:i/>
        </w:rPr>
        <w:t xml:space="preserve">See </w:t>
      </w:r>
      <w:r>
        <w:t>NPRM, 27 FCC Rcd at 12361-62 para. 10.</w:t>
      </w:r>
    </w:p>
  </w:footnote>
  <w:footnote w:id="7">
    <w:p w14:paraId="00A29A2A" w14:textId="77777777" w:rsidR="00797470" w:rsidRPr="004507E1" w:rsidRDefault="00797470" w:rsidP="00797470">
      <w:pPr>
        <w:pStyle w:val="FootnoteText"/>
        <w:spacing w:after="120"/>
      </w:pPr>
      <w:r>
        <w:rPr>
          <w:rStyle w:val="FootnoteReference"/>
        </w:rPr>
        <w:footnoteRef/>
      </w:r>
      <w:r>
        <w:t xml:space="preserve"> </w:t>
      </w:r>
      <w:r>
        <w:rPr>
          <w:i/>
        </w:rPr>
        <w:t xml:space="preserve">See </w:t>
      </w:r>
      <w:r>
        <w:t xml:space="preserve">NPRM, 27 FCC Rcd at 12390 ¶ 98, 12397 ¶ 113.  </w:t>
      </w:r>
    </w:p>
  </w:footnote>
  <w:footnote w:id="8">
    <w:p w14:paraId="7900F933" w14:textId="77777777" w:rsidR="00797470" w:rsidRPr="004507E1" w:rsidRDefault="00797470" w:rsidP="00797470">
      <w:pPr>
        <w:pStyle w:val="FootnoteText"/>
        <w:spacing w:after="120"/>
      </w:pPr>
      <w:r>
        <w:rPr>
          <w:rStyle w:val="FootnoteReference"/>
        </w:rPr>
        <w:footnoteRef/>
      </w:r>
      <w:r>
        <w:t xml:space="preserve"> </w:t>
      </w:r>
      <w:r>
        <w:rPr>
          <w:i/>
        </w:rPr>
        <w:t xml:space="preserve">See </w:t>
      </w:r>
      <w:r>
        <w:t>NPRM, 27 FCC Rcd at 12376 ¶ 50.</w:t>
      </w:r>
    </w:p>
  </w:footnote>
  <w:footnote w:id="9">
    <w:p w14:paraId="3564FF5B" w14:textId="77777777" w:rsidR="00B32655" w:rsidRPr="00843685" w:rsidRDefault="00B32655" w:rsidP="00620D53">
      <w:pPr>
        <w:pStyle w:val="FootnoteText"/>
        <w:spacing w:after="120"/>
        <w:rPr>
          <w:color w:val="000000"/>
        </w:rPr>
      </w:pPr>
      <w:r>
        <w:rPr>
          <w:rStyle w:val="FootnoteReference"/>
        </w:rPr>
        <w:footnoteRef/>
      </w:r>
      <w:r>
        <w:t xml:space="preserve"> </w:t>
      </w:r>
      <w:r>
        <w:rPr>
          <w:color w:val="000000"/>
        </w:rPr>
        <w:t xml:space="preserve">The </w:t>
      </w:r>
      <w:r w:rsidR="0079075B">
        <w:t xml:space="preserve">second and third of the </w:t>
      </w:r>
      <w:r>
        <w:t xml:space="preserve">approaches proposed in the NPRM for making all reasonable efforts to preserve population served in the repacking process are based on “pairwise” analysis of data.  </w:t>
      </w:r>
      <w:r>
        <w:rPr>
          <w:i/>
        </w:rPr>
        <w:t xml:space="preserve">See </w:t>
      </w:r>
      <w:r>
        <w:t>NPRM, 27 FCC Rcd at 12394 ¶¶ 106-107.</w:t>
      </w:r>
    </w:p>
  </w:footnote>
  <w:footnote w:id="10">
    <w:p w14:paraId="7EA525BD" w14:textId="77777777" w:rsidR="00B32655" w:rsidRPr="000325D9" w:rsidRDefault="00B32655" w:rsidP="00BF0DA1">
      <w:pPr>
        <w:pStyle w:val="FootnoteText"/>
        <w:spacing w:after="120"/>
        <w:rPr>
          <w:i/>
        </w:rPr>
      </w:pPr>
      <w:r>
        <w:rPr>
          <w:rStyle w:val="FootnoteReference"/>
        </w:rPr>
        <w:footnoteRef/>
      </w:r>
      <w:r>
        <w:t xml:space="preserve"> Office of Engineering and Technology Releases and Seeks Comment on Updated OET-69 Software, </w:t>
      </w:r>
      <w:r>
        <w:rPr>
          <w:i/>
        </w:rPr>
        <w:t>Public Notice</w:t>
      </w:r>
      <w:r>
        <w:t xml:space="preserve">, 28 </w:t>
      </w:r>
      <w:r w:rsidR="000325D9">
        <w:t xml:space="preserve">FCC Rcd 950 (rel. Feb. 4, 2013).  </w:t>
      </w:r>
      <w:r w:rsidR="00321A51">
        <w:t xml:space="preserve">OET also released a minor update of the software on April 26, 2013.  </w:t>
      </w:r>
      <w:r w:rsidR="000325D9">
        <w:rPr>
          <w:i/>
        </w:rPr>
        <w:t xml:space="preserve">See </w:t>
      </w:r>
      <w:r w:rsidR="000325D9">
        <w:t xml:space="preserve">Office of Engineering and Technology Releases Updated TVStudy Software, </w:t>
      </w:r>
      <w:r w:rsidR="000325D9">
        <w:rPr>
          <w:i/>
        </w:rPr>
        <w:t>Public Notice</w:t>
      </w:r>
      <w:r w:rsidR="000325D9">
        <w:t>, DA 13-865 (rel. Apr. 26, 2013).</w:t>
      </w:r>
    </w:p>
  </w:footnote>
  <w:footnote w:id="11">
    <w:p w14:paraId="20A5C224" w14:textId="77777777" w:rsidR="00C8044B" w:rsidRDefault="00C8044B" w:rsidP="00D31CA7">
      <w:pPr>
        <w:pStyle w:val="FootnoteText"/>
        <w:spacing w:after="120"/>
      </w:pPr>
      <w:r>
        <w:rPr>
          <w:rStyle w:val="FootnoteReference"/>
        </w:rPr>
        <w:footnoteRef/>
      </w:r>
      <w:r>
        <w:t xml:space="preserve"> </w:t>
      </w:r>
      <w:r w:rsidR="006A0752">
        <w:t xml:space="preserve">Among other things, </w:t>
      </w:r>
      <w:r w:rsidR="006A0752" w:rsidRPr="0079075B">
        <w:rPr>
          <w:i/>
        </w:rPr>
        <w:t>TVStudy</w:t>
      </w:r>
      <w:r w:rsidR="006A0752">
        <w:t xml:space="preserve"> </w:t>
      </w:r>
      <w:r w:rsidR="00D31CA7">
        <w:t>v.1.2</w:t>
      </w:r>
      <w:r w:rsidR="00B83635">
        <w:t xml:space="preserve"> make</w:t>
      </w:r>
      <w:r w:rsidR="006A0752">
        <w:t>s</w:t>
      </w:r>
      <w:r w:rsidR="00D31CA7">
        <w:t xml:space="preserve"> it possible to</w:t>
      </w:r>
      <w:r w:rsidR="00B83635">
        <w:t xml:space="preserve"> c</w:t>
      </w:r>
      <w:r w:rsidR="00D31CA7">
        <w:t>onduct pair</w:t>
      </w:r>
      <w:r w:rsidR="00B71C5E">
        <w:t>wise</w:t>
      </w:r>
      <w:r w:rsidR="00D31CA7">
        <w:t xml:space="preserve"> studies</w:t>
      </w:r>
      <w:r w:rsidR="006A0752">
        <w:t xml:space="preserve"> more easily, a</w:t>
      </w:r>
      <w:r w:rsidR="00D31CA7">
        <w:t xml:space="preserve">dd </w:t>
      </w:r>
      <w:r w:rsidR="00B71C5E">
        <w:t>or remove</w:t>
      </w:r>
      <w:r w:rsidR="00D31CA7">
        <w:t xml:space="preserve"> stations to a </w:t>
      </w:r>
      <w:r w:rsidR="006A0752">
        <w:t xml:space="preserve">repacking </w:t>
      </w:r>
      <w:r w:rsidR="00D31CA7">
        <w:t xml:space="preserve">scenario at </w:t>
      </w:r>
      <w:r w:rsidR="000F60E1">
        <w:t xml:space="preserve">runtime </w:t>
      </w:r>
      <w:r w:rsidR="006A0752">
        <w:t>, r</w:t>
      </w:r>
      <w:r w:rsidR="00D31CA7">
        <w:t xml:space="preserve">un </w:t>
      </w:r>
      <w:r w:rsidR="00B83635">
        <w:t xml:space="preserve">the software </w:t>
      </w:r>
      <w:r w:rsidR="00D31CA7">
        <w:t>without a command line</w:t>
      </w:r>
      <w:r w:rsidR="006A0752">
        <w:t>, c</w:t>
      </w:r>
      <w:r w:rsidR="00D31CA7">
        <w:t>hoose which output files to create, including a new “summary” that condenses the outputs of multiple scenarios into a single file</w:t>
      </w:r>
      <w:r w:rsidR="006A0752">
        <w:t xml:space="preserve">, and </w:t>
      </w:r>
      <w:r w:rsidR="00752306">
        <w:t>add</w:t>
      </w:r>
      <w:r w:rsidR="003C26AE">
        <w:t xml:space="preserve"> </w:t>
      </w:r>
      <w:r w:rsidR="00D31CA7">
        <w:t xml:space="preserve">additional information </w:t>
      </w:r>
      <w:r w:rsidR="003C26AE">
        <w:t xml:space="preserve">to </w:t>
      </w:r>
      <w:r w:rsidR="00D31CA7">
        <w:t>the output cel</w:t>
      </w:r>
      <w:r w:rsidR="006A0752">
        <w:t>l</w:t>
      </w:r>
      <w:r w:rsidR="00D31CA7">
        <w:t xml:space="preserve"> file, such as the coordinates of the study point in a cell</w:t>
      </w:r>
      <w:r w:rsidR="00B83635">
        <w:t>.</w:t>
      </w:r>
    </w:p>
  </w:footnote>
  <w:footnote w:id="12">
    <w:p w14:paraId="1215A9EF" w14:textId="77777777" w:rsidR="00B32655" w:rsidRPr="004507E1" w:rsidRDefault="00B32655" w:rsidP="00BF0DA1">
      <w:pPr>
        <w:pStyle w:val="FootnoteText"/>
        <w:spacing w:after="120"/>
      </w:pPr>
      <w:r>
        <w:rPr>
          <w:rStyle w:val="FootnoteReference"/>
        </w:rPr>
        <w:footnoteRef/>
      </w:r>
      <w:r>
        <w:t xml:space="preserve"> </w:t>
      </w:r>
      <w:r>
        <w:rPr>
          <w:i/>
        </w:rPr>
        <w:t xml:space="preserve">See </w:t>
      </w:r>
      <w:r w:rsidR="00B541A1">
        <w:rPr>
          <w:i/>
        </w:rPr>
        <w:t>Public Notice</w:t>
      </w:r>
      <w:r w:rsidR="00B541A1" w:rsidRPr="0093535E">
        <w:t>,</w:t>
      </w:r>
      <w:r w:rsidR="00B541A1">
        <w:rPr>
          <w:i/>
        </w:rPr>
        <w:t xml:space="preserve"> </w:t>
      </w:r>
      <w:r w:rsidR="00B541A1">
        <w:t>28 FCC Rcd</w:t>
      </w:r>
      <w:r>
        <w:t xml:space="preserve"> at 952 (“</w:t>
      </w:r>
      <w:r w:rsidRPr="008415FA">
        <w:rPr>
          <w:color w:val="000000"/>
        </w:rPr>
        <w:t xml:space="preserve">In developing the </w:t>
      </w:r>
      <w:r w:rsidRPr="008415FA">
        <w:rPr>
          <w:i/>
          <w:iCs/>
          <w:color w:val="000000"/>
        </w:rPr>
        <w:t>TVStudy</w:t>
      </w:r>
      <w:r w:rsidRPr="008415FA">
        <w:rPr>
          <w:color w:val="000000"/>
        </w:rPr>
        <w:t xml:space="preserve"> software, we have identified various parameter choices consistent with but not specified in OET-69 that we believe are necessary for improved accuracy in our modeling and analysis. </w:t>
      </w:r>
      <w:r>
        <w:rPr>
          <w:color w:val="000000"/>
        </w:rPr>
        <w:t xml:space="preserve"> </w:t>
      </w:r>
      <w:r w:rsidRPr="008415FA">
        <w:rPr>
          <w:color w:val="000000"/>
        </w:rPr>
        <w:t xml:space="preserve">We incorporated “soft-switches” into the </w:t>
      </w:r>
      <w:r w:rsidRPr="008415FA">
        <w:rPr>
          <w:i/>
          <w:iCs/>
          <w:color w:val="000000"/>
        </w:rPr>
        <w:t>TVStudy</w:t>
      </w:r>
      <w:r w:rsidR="006827E3">
        <w:rPr>
          <w:i/>
          <w:iCs/>
          <w:color w:val="000000"/>
        </w:rPr>
        <w:t xml:space="preserve"> </w:t>
      </w:r>
      <w:r w:rsidRPr="008415FA">
        <w:rPr>
          <w:color w:val="000000"/>
        </w:rPr>
        <w:t xml:space="preserve">software to permit the user to evaluate the effects of the different choices. </w:t>
      </w:r>
      <w:r>
        <w:rPr>
          <w:color w:val="000000"/>
        </w:rPr>
        <w:t xml:space="preserve"> </w:t>
      </w:r>
      <w:r w:rsidRPr="008415FA">
        <w:rPr>
          <w:color w:val="000000"/>
        </w:rPr>
        <w:t>We note that the different parameter choices may yield results for both coverage and interference different from legacy versions of software that have been used in the past.</w:t>
      </w:r>
      <w:r>
        <w:t>”).</w:t>
      </w:r>
      <w:r w:rsidR="00901AD3">
        <w:t xml:space="preserve">  </w:t>
      </w:r>
      <w:r w:rsidR="00C00B6B">
        <w:t xml:space="preserve">A list of the settings we used </w:t>
      </w:r>
      <w:r w:rsidR="003C26AE">
        <w:t xml:space="preserve">to create </w:t>
      </w:r>
      <w:r w:rsidR="00C00B6B">
        <w:t xml:space="preserve">the preliminary data files is included in </w:t>
      </w:r>
      <w:r w:rsidR="000344D6">
        <w:t>the attached Technical Appendix.</w:t>
      </w:r>
      <w:r w:rsidR="006827E3">
        <w:t xml:space="preserve">  As with the previous version of the software, this version of the software allows users to set the switches in various ways to evaluate the effects of the different parameter choices.  </w:t>
      </w:r>
    </w:p>
  </w:footnote>
  <w:footnote w:id="13">
    <w:p w14:paraId="6424FAE8" w14:textId="77777777" w:rsidR="00B32655" w:rsidRPr="004507E1" w:rsidRDefault="00B32655" w:rsidP="007D4A11">
      <w:pPr>
        <w:pStyle w:val="FootnoteText"/>
        <w:spacing w:after="120"/>
      </w:pPr>
      <w:r>
        <w:rPr>
          <w:rStyle w:val="FootnoteReference"/>
        </w:rPr>
        <w:footnoteRef/>
      </w:r>
      <w:r>
        <w:t xml:space="preserve"> </w:t>
      </w:r>
      <w:r>
        <w:rPr>
          <w:i/>
        </w:rPr>
        <w:t xml:space="preserve">See </w:t>
      </w:r>
      <w:r>
        <w:t>NPRM, 27 FCC Rcd at 123</w:t>
      </w:r>
      <w:r w:rsidR="00E029ED">
        <w:t>97</w:t>
      </w:r>
      <w:r>
        <w:t xml:space="preserve"> ¶</w:t>
      </w:r>
      <w:r w:rsidR="00E029ED">
        <w:t xml:space="preserve"> 113 (proposing to interpret the statutory mandate to seek to preserve coverage area and population served “as of the date of the enactment of this Act” to require preservation only with regard to facilities that were licensed, or for which an application for license to cover authorized facilities already was on file with the Commission, as of February 22, 2012, but not to prohibit the Commission from granting protection to additional facilities where appropriate)</w:t>
      </w:r>
      <w:r>
        <w:t>.</w:t>
      </w:r>
      <w:r w:rsidR="00C957CF">
        <w:t xml:space="preserve"> </w:t>
      </w:r>
      <w:r w:rsidR="0003176F" w:rsidRPr="0093535E">
        <w:t>  </w:t>
      </w:r>
      <w:r w:rsidR="00FF6472">
        <w:t>Specific</w:t>
      </w:r>
      <w:r w:rsidRPr="0093535E">
        <w:t xml:space="preserve"> assumptions that the staff </w:t>
      </w:r>
      <w:r>
        <w:t xml:space="preserve">applied in conducting the analysis </w:t>
      </w:r>
      <w:r w:rsidR="0079075B">
        <w:t xml:space="preserve">are set forth in the </w:t>
      </w:r>
      <w:r w:rsidR="000344D6">
        <w:t>Technical</w:t>
      </w:r>
      <w:r w:rsidR="0079075B">
        <w:t xml:space="preserve"> A</w:t>
      </w:r>
      <w:r>
        <w:t>ppendi</w:t>
      </w:r>
      <w:r w:rsidR="0079075B">
        <w:t>x</w:t>
      </w:r>
      <w:r>
        <w:t xml:space="preserve">. </w:t>
      </w:r>
    </w:p>
  </w:footnote>
  <w:footnote w:id="14">
    <w:p w14:paraId="79BA8240" w14:textId="77777777" w:rsidR="00B32655" w:rsidRDefault="00B32655" w:rsidP="00FA5E49">
      <w:pPr>
        <w:pStyle w:val="FootnoteText"/>
        <w:spacing w:after="120"/>
      </w:pPr>
      <w:r>
        <w:rPr>
          <w:rStyle w:val="FootnoteReference"/>
        </w:rPr>
        <w:footnoteRef/>
      </w:r>
      <w:r>
        <w:t xml:space="preserve"> Non-participating stations and stations whose bids are ultimately rejected will be assigned channels in their pre-auction bands – Low VHF, High VHF or UHF.  A participating station may be </w:t>
      </w:r>
      <w:r w:rsidR="00144957">
        <w:t>re</w:t>
      </w:r>
      <w:r>
        <w:t xml:space="preserve">assigned from a UHF to a VHF channel in the repacking only if it </w:t>
      </w:r>
      <w:r w:rsidR="00D34D7B" w:rsidRPr="00D34D7B">
        <w:t>prevails in its reverse auction bid to voluntarily relinquish UHF spectrum usage rights in exchange for assignment to a VHF channel and</w:t>
      </w:r>
      <w:r>
        <w:t xml:space="preserve"> a share of the incentive auction proceeds.  </w:t>
      </w:r>
      <w:r>
        <w:rPr>
          <w:i/>
        </w:rPr>
        <w:t xml:space="preserve">See </w:t>
      </w:r>
      <w:r>
        <w:t xml:space="preserve">Spectrum Act § 6403(b)(3) (prohibiting involuntary reassignment from a UHF to a VHF channel). </w:t>
      </w:r>
    </w:p>
  </w:footnote>
  <w:footnote w:id="15">
    <w:p w14:paraId="0323C7A4" w14:textId="77777777" w:rsidR="00D83928" w:rsidRPr="00843685" w:rsidRDefault="00D83928" w:rsidP="00D83928">
      <w:pPr>
        <w:pStyle w:val="FootnoteText"/>
        <w:spacing w:after="120"/>
        <w:rPr>
          <w:color w:val="000000"/>
        </w:rPr>
      </w:pPr>
      <w:r>
        <w:rPr>
          <w:rStyle w:val="FootnoteReference"/>
        </w:rPr>
        <w:footnoteRef/>
      </w:r>
      <w:r w:rsidRPr="00D70CB3">
        <w:t xml:space="preserve"> </w:t>
      </w:r>
      <w:r>
        <w:t>Spectrum Act § 6403(b)(2)</w:t>
      </w:r>
      <w:r>
        <w:rPr>
          <w:color w:val="000000"/>
        </w:rPr>
        <w:t xml:space="preserve">.  </w:t>
      </w:r>
    </w:p>
  </w:footnote>
  <w:footnote w:id="16">
    <w:p w14:paraId="0EAE91C2" w14:textId="77777777" w:rsidR="002B0EA7" w:rsidRDefault="002B0EA7" w:rsidP="000325D9">
      <w:pPr>
        <w:pStyle w:val="FootnoteText"/>
        <w:spacing w:after="120"/>
      </w:pPr>
      <w:r>
        <w:rPr>
          <w:rStyle w:val="FootnoteReference"/>
        </w:rPr>
        <w:footnoteRef/>
      </w:r>
      <w:r>
        <w:t xml:space="preserve"> These incumbents are Canadian and Mexican TV stations</w:t>
      </w:r>
      <w:r w:rsidR="00C30828">
        <w:t xml:space="preserve"> and</w:t>
      </w:r>
      <w:r>
        <w:t xml:space="preserve"> certain land mobile, radio astronomy and wireless telemetry devices.  The assumptions regarding Canadian and Mexican TV stations are </w:t>
      </w:r>
      <w:r w:rsidR="0079075B">
        <w:t xml:space="preserve">generally </w:t>
      </w:r>
      <w:r>
        <w:t>conservative</w:t>
      </w:r>
      <w:r w:rsidR="0079075B">
        <w:t xml:space="preserve"> with respect to interference potential</w:t>
      </w:r>
      <w:r w:rsidR="00C30828">
        <w:t xml:space="preserve">, as explained in more detail in the </w:t>
      </w:r>
      <w:r w:rsidR="0079075B">
        <w:t>attached A</w:t>
      </w:r>
      <w:r w:rsidR="00C30828">
        <w:t xml:space="preserve">ppendix, </w:t>
      </w:r>
      <w:r>
        <w:t xml:space="preserve">and we may </w:t>
      </w:r>
      <w:r w:rsidR="00C30828">
        <w:t>be able to use</w:t>
      </w:r>
      <w:r>
        <w:t xml:space="preserve"> </w:t>
      </w:r>
      <w:r w:rsidR="00C30828">
        <w:t>different assumptions</w:t>
      </w:r>
      <w:r>
        <w:t xml:space="preserve"> in the future based on negotiations with Canada and Mexico.  </w:t>
      </w:r>
    </w:p>
  </w:footnote>
  <w:footnote w:id="17">
    <w:p w14:paraId="5A1A7547" w14:textId="77777777" w:rsidR="00B32655" w:rsidRDefault="00B32655" w:rsidP="000325D9">
      <w:pPr>
        <w:pStyle w:val="FootnoteText"/>
        <w:spacing w:after="120"/>
      </w:pPr>
      <w:r>
        <w:rPr>
          <w:rStyle w:val="FootnoteReference"/>
        </w:rPr>
        <w:footnoteRef/>
      </w:r>
      <w:r w:rsidR="00532FF4">
        <w:t xml:space="preserve"> We list the</w:t>
      </w:r>
      <w:r w:rsidR="0079075B">
        <w:t xml:space="preserve"> </w:t>
      </w:r>
      <w:r>
        <w:t>adjacent channel</w:t>
      </w:r>
      <w:r w:rsidR="0079075B">
        <w:t>s</w:t>
      </w:r>
      <w:r>
        <w:t xml:space="preserve"> </w:t>
      </w:r>
      <w:r w:rsidR="00532FF4">
        <w:t>above and below the station in question (</w:t>
      </w:r>
      <w:r w:rsidR="0079075B">
        <w:t>N</w:t>
      </w:r>
      <w:r>
        <w:t xml:space="preserve">+1 and </w:t>
      </w:r>
      <w:r w:rsidR="0079075B">
        <w:t>N-1</w:t>
      </w:r>
      <w:r w:rsidR="00532FF4">
        <w:t>)</w:t>
      </w:r>
      <w:r w:rsidR="0079075B">
        <w:t xml:space="preserve"> separately because the</w:t>
      </w:r>
      <w:r w:rsidR="00532FF4">
        <w:t xml:space="preserve"> interference relationships </w:t>
      </w:r>
      <w:r w:rsidR="0079075B">
        <w:t>are different.</w:t>
      </w:r>
      <w:r>
        <w:t xml:space="preserve">  </w:t>
      </w:r>
    </w:p>
  </w:footnote>
  <w:footnote w:id="18">
    <w:p w14:paraId="4411FF4E" w14:textId="77777777" w:rsidR="00560022" w:rsidRDefault="00560022" w:rsidP="00560022">
      <w:pPr>
        <w:pStyle w:val="FootnoteText"/>
        <w:spacing w:after="120"/>
      </w:pPr>
      <w:r>
        <w:rPr>
          <w:rStyle w:val="FootnoteReference"/>
        </w:rPr>
        <w:footnoteRef/>
      </w:r>
      <w:r>
        <w:t xml:space="preserve"> NPRM, 27 FCC Rcd at 12394 ¶ 106 (“Under this approach, no individual channel assignment, considered alone, could reduce another station’s specific population served on February 22, 2012 by more than 0.5 percent.”).</w:t>
      </w:r>
    </w:p>
  </w:footnote>
  <w:footnote w:id="19">
    <w:p w14:paraId="017C3D5D" w14:textId="77777777" w:rsidR="00011773" w:rsidRPr="00AC1D48" w:rsidRDefault="00011773" w:rsidP="0093535E">
      <w:pPr>
        <w:pStyle w:val="FootnoteText"/>
        <w:spacing w:after="120"/>
      </w:pPr>
      <w:r w:rsidRPr="00AC1D48">
        <w:rPr>
          <w:rStyle w:val="FootnoteReference"/>
          <w:sz w:val="20"/>
        </w:rPr>
        <w:footnoteRef/>
      </w:r>
      <w:r w:rsidRPr="00AC1D48">
        <w:t xml:space="preserve"> 47 CFR §§ 0.31, 0.51, 0.61, 0.131.</w:t>
      </w:r>
    </w:p>
  </w:footnote>
  <w:footnote w:id="20">
    <w:p w14:paraId="164ACD17" w14:textId="77777777" w:rsidR="00011773" w:rsidRDefault="00011773" w:rsidP="0093535E">
      <w:pPr>
        <w:pStyle w:val="FootnoteText"/>
        <w:spacing w:after="120"/>
      </w:pPr>
      <w:r w:rsidRPr="00AC1D48">
        <w:rPr>
          <w:rStyle w:val="FootnoteReference"/>
          <w:sz w:val="20"/>
        </w:rPr>
        <w:footnoteRef/>
      </w:r>
      <w:r w:rsidRPr="00AC1D48">
        <w:t xml:space="preserve"> </w:t>
      </w:r>
      <w:r w:rsidRPr="00AC1D48">
        <w:rPr>
          <w:i/>
        </w:rPr>
        <w:t xml:space="preserve">See </w:t>
      </w:r>
      <w:r w:rsidRPr="00AC1D48">
        <w:t>47 CFR § 1.1206(b)(2).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CF6E5" w14:textId="77777777" w:rsidR="00631D16" w:rsidRDefault="00631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9A456" w14:textId="77777777" w:rsidR="00631D16" w:rsidRDefault="00631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EF56F" w14:textId="77777777" w:rsidR="00B32655" w:rsidRPr="006370DD" w:rsidRDefault="00B32655">
    <w:pPr>
      <w:pStyle w:val="Header"/>
      <w:tabs>
        <w:tab w:val="clear" w:pos="4320"/>
        <w:tab w:val="clear" w:pos="8640"/>
      </w:tabs>
      <w:spacing w:before="40"/>
      <w:ind w:firstLine="1080"/>
      <w:rPr>
        <w:rFonts w:ascii="Times New Roman" w:hAnsi="Times New Roman"/>
        <w:b/>
        <w:kern w:val="28"/>
        <w:sz w:val="96"/>
      </w:rPr>
    </w:pPr>
    <w:r w:rsidRPr="006370DD">
      <w:rPr>
        <w:rFonts w:ascii="Times New Roman" w:hAnsi="Times New Roman"/>
        <w:noProof/>
      </w:rPr>
      <w:drawing>
        <wp:anchor distT="0" distB="0" distL="114300" distR="114300" simplePos="0" relativeHeight="251658752" behindDoc="0" locked="0" layoutInCell="0" allowOverlap="1" wp14:anchorId="4E33552E" wp14:editId="2257B5CE">
          <wp:simplePos x="0" y="0"/>
          <wp:positionH relativeFrom="column">
            <wp:posOffset>30480</wp:posOffset>
          </wp:positionH>
          <wp:positionV relativeFrom="paragraph">
            <wp:posOffset>107950</wp:posOffset>
          </wp:positionV>
          <wp:extent cx="530225" cy="530225"/>
          <wp:effectExtent l="0" t="0" r="3175" b="3175"/>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6370DD">
      <w:rPr>
        <w:rFonts w:ascii="Times New Roman" w:hAnsi="Times New Roman"/>
        <w:b/>
        <w:kern w:val="28"/>
        <w:sz w:val="96"/>
      </w:rPr>
      <w:t>PUBLIC NOTICE</w:t>
    </w:r>
  </w:p>
  <w:p w14:paraId="5DBA7824" w14:textId="77777777" w:rsidR="00B32655" w:rsidRDefault="00B32655">
    <w:pPr>
      <w:pStyle w:val="Header"/>
      <w:tabs>
        <w:tab w:val="clear" w:pos="4320"/>
        <w:tab w:val="clear" w:pos="8640"/>
        <w:tab w:val="left" w:pos="1080"/>
      </w:tabs>
      <w:spacing w:line="1120" w:lineRule="exact"/>
      <w:ind w:left="720"/>
      <w:rPr>
        <w:b/>
        <w:sz w:val="28"/>
      </w:rPr>
    </w:pPr>
    <w:r>
      <w:rPr>
        <w:noProof/>
      </w:rPr>
      <mc:AlternateContent>
        <mc:Choice Requires="wps">
          <w:drawing>
            <wp:anchor distT="0" distB="0" distL="114300" distR="114300" simplePos="0" relativeHeight="251657728" behindDoc="0" locked="0" layoutInCell="0" allowOverlap="1" wp14:anchorId="19E66F7D" wp14:editId="384FC51C">
              <wp:simplePos x="0" y="0"/>
              <wp:positionH relativeFrom="column">
                <wp:posOffset>3733165</wp:posOffset>
              </wp:positionH>
              <wp:positionV relativeFrom="paragraph">
                <wp:posOffset>96520</wp:posOffset>
              </wp:positionV>
              <wp:extent cx="2640965" cy="548640"/>
              <wp:effectExtent l="0" t="0" r="698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A9697" w14:textId="77777777" w:rsidR="00B32655" w:rsidRDefault="00B32655">
                          <w:pPr>
                            <w:spacing w:before="40"/>
                            <w:jc w:val="right"/>
                            <w:rPr>
                              <w:b/>
                              <w:sz w:val="16"/>
                            </w:rPr>
                          </w:pPr>
                          <w:r>
                            <w:rPr>
                              <w:b/>
                              <w:sz w:val="16"/>
                            </w:rPr>
                            <w:t>News Media Information 202 / 418-0500</w:t>
                          </w:r>
                        </w:p>
                        <w:p w14:paraId="015FFCC8" w14:textId="77777777" w:rsidR="00B32655" w:rsidRDefault="00B32655">
                          <w:pPr>
                            <w:jc w:val="right"/>
                            <w:rPr>
                              <w:b/>
                              <w:sz w:val="16"/>
                            </w:rPr>
                          </w:pPr>
                          <w:r>
                            <w:rPr>
                              <w:b/>
                              <w:sz w:val="16"/>
                            </w:rPr>
                            <w:tab/>
                            <w:t xml:space="preserve">Internet: </w:t>
                          </w:r>
                          <w:bookmarkStart w:id="1" w:name="_Hlt233824"/>
                          <w:r>
                            <w:rPr>
                              <w:b/>
                              <w:sz w:val="16"/>
                            </w:rPr>
                            <w:t>h</w:t>
                          </w:r>
                          <w:bookmarkEnd w:id="1"/>
                          <w:r>
                            <w:rPr>
                              <w:b/>
                              <w:sz w:val="16"/>
                            </w:rPr>
                            <w:t>ttp://www.fcc.gov</w:t>
                          </w:r>
                        </w:p>
                        <w:p w14:paraId="5A713F40" w14:textId="77777777" w:rsidR="00B32655" w:rsidRDefault="00B32655">
                          <w:pPr>
                            <w:jc w:val="right"/>
                            <w:rPr>
                              <w:b/>
                              <w:sz w:val="16"/>
                            </w:rPr>
                          </w:pPr>
                          <w:r>
                            <w:rPr>
                              <w:b/>
                              <w:sz w:val="16"/>
                            </w:rPr>
                            <w:t>TTY: 1-888-835-5322</w:t>
                          </w:r>
                        </w:p>
                        <w:p w14:paraId="459455BD" w14:textId="77777777" w:rsidR="00B32655" w:rsidRDefault="00B3265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95pt;margin-top:7.6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I/fgIAAAc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V9h&#10;pEgHFD3wwaOVHlAe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" o:allowincell="f" stroked="f">
              <v:textbox inset=",0,,0">
                <w:txbxContent>
                  <w:p w14:paraId="4EAA9697" w14:textId="77777777" w:rsidR="00B32655" w:rsidRDefault="00B32655">
                    <w:pPr>
                      <w:spacing w:before="40"/>
                      <w:jc w:val="right"/>
                      <w:rPr>
                        <w:b/>
                        <w:sz w:val="16"/>
                      </w:rPr>
                    </w:pPr>
                    <w:r>
                      <w:rPr>
                        <w:b/>
                        <w:sz w:val="16"/>
                      </w:rPr>
                      <w:t>News Media Information 202 / 418-0500</w:t>
                    </w:r>
                  </w:p>
                  <w:p w14:paraId="015FFCC8" w14:textId="77777777" w:rsidR="00B32655" w:rsidRDefault="00B32655">
                    <w:pPr>
                      <w:jc w:val="right"/>
                      <w:rPr>
                        <w:b/>
                        <w:sz w:val="16"/>
                      </w:rPr>
                    </w:pPr>
                    <w:r>
                      <w:rPr>
                        <w:b/>
                        <w:sz w:val="16"/>
                      </w:rPr>
                      <w:tab/>
                      <w:t xml:space="preserve">Internet: </w:t>
                    </w:r>
                    <w:bookmarkStart w:id="35" w:name="_Hlt233824"/>
                    <w:r>
                      <w:rPr>
                        <w:b/>
                        <w:sz w:val="16"/>
                      </w:rPr>
                      <w:t>h</w:t>
                    </w:r>
                    <w:bookmarkEnd w:id="35"/>
                    <w:r>
                      <w:rPr>
                        <w:b/>
                        <w:sz w:val="16"/>
                      </w:rPr>
                      <w:t>ttp://www.fcc.gov</w:t>
                    </w:r>
                  </w:p>
                  <w:p w14:paraId="5A713F40" w14:textId="77777777" w:rsidR="00B32655" w:rsidRDefault="00B32655">
                    <w:pPr>
                      <w:jc w:val="right"/>
                      <w:rPr>
                        <w:b/>
                        <w:sz w:val="16"/>
                      </w:rPr>
                    </w:pPr>
                    <w:r>
                      <w:rPr>
                        <w:b/>
                        <w:sz w:val="16"/>
                      </w:rPr>
                      <w:t>TTY: 1-888-835-5322</w:t>
                    </w:r>
                  </w:p>
                  <w:p w14:paraId="459455BD" w14:textId="77777777" w:rsidR="00B32655" w:rsidRDefault="00B32655">
                    <w:pPr>
                      <w:jc w:val="right"/>
                    </w:pPr>
                  </w:p>
                </w:txbxContent>
              </v:textbox>
            </v:shape>
          </w:pict>
        </mc:Fallback>
      </mc:AlternateContent>
    </w:r>
    <w:r>
      <w:rPr>
        <w:noProof/>
      </w:rPr>
      <mc:AlternateContent>
        <mc:Choice Requires="wps">
          <w:drawing>
            <wp:anchor distT="0" distB="0" distL="114300" distR="114300" simplePos="0" relativeHeight="251655680" behindDoc="0" locked="0" layoutInCell="0" allowOverlap="1" wp14:anchorId="67498D93" wp14:editId="0BC92868">
              <wp:simplePos x="0" y="0"/>
              <wp:positionH relativeFrom="column">
                <wp:posOffset>0</wp:posOffset>
              </wp:positionH>
              <wp:positionV relativeFrom="paragraph">
                <wp:posOffset>5080</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D73BE" w14:textId="77777777" w:rsidR="00B32655" w:rsidRDefault="00B32655">
                          <w:pPr>
                            <w:jc w:val="both"/>
                            <w:rPr>
                              <w:b/>
                            </w:rPr>
                          </w:pPr>
                          <w:r>
                            <w:rPr>
                              <w:b/>
                            </w:rPr>
                            <w:t>Federal Communications Commission</w:t>
                          </w:r>
                        </w:p>
                        <w:p w14:paraId="275E05C9" w14:textId="77777777" w:rsidR="00B32655" w:rsidRDefault="00B32655">
                          <w:pPr>
                            <w:rPr>
                              <w:b/>
                            </w:rPr>
                          </w:pPr>
                          <w:r>
                            <w:rPr>
                              <w:b/>
                            </w:rPr>
                            <w:t>445 12</w:t>
                          </w:r>
                          <w:r>
                            <w:rPr>
                              <w:b/>
                              <w:vertAlign w:val="superscript"/>
                            </w:rPr>
                            <w:t>th</w:t>
                          </w:r>
                          <w:r>
                            <w:rPr>
                              <w:b/>
                            </w:rPr>
                            <w:t xml:space="preserve"> St., S.W.</w:t>
                          </w:r>
                        </w:p>
                        <w:p w14:paraId="5D10A79D" w14:textId="77777777" w:rsidR="00B32655" w:rsidRDefault="00B32655">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" o:allowincell="f" stroked="f">
              <v:textbox>
                <w:txbxContent>
                  <w:p w14:paraId="254D73BE" w14:textId="77777777" w:rsidR="00B32655" w:rsidRDefault="00B32655">
                    <w:pPr>
                      <w:jc w:val="both"/>
                      <w:rPr>
                        <w:b/>
                      </w:rPr>
                    </w:pPr>
                    <w:r>
                      <w:rPr>
                        <w:b/>
                      </w:rPr>
                      <w:t>Federal Communications Commission</w:t>
                    </w:r>
                  </w:p>
                  <w:p w14:paraId="275E05C9" w14:textId="77777777" w:rsidR="00B32655" w:rsidRDefault="00B32655">
                    <w:pPr>
                      <w:rPr>
                        <w:b/>
                      </w:rPr>
                    </w:pPr>
                    <w:r>
                      <w:rPr>
                        <w:b/>
                      </w:rPr>
                      <w:t>445 12</w:t>
                    </w:r>
                    <w:r>
                      <w:rPr>
                        <w:b/>
                        <w:vertAlign w:val="superscript"/>
                      </w:rPr>
                      <w:t>th</w:t>
                    </w:r>
                    <w:r>
                      <w:rPr>
                        <w:b/>
                      </w:rPr>
                      <w:t xml:space="preserve"> St., S.W.</w:t>
                    </w:r>
                  </w:p>
                  <w:p w14:paraId="5D10A79D" w14:textId="77777777" w:rsidR="00B32655" w:rsidRDefault="00B32655">
                    <w:r>
                      <w:rPr>
                        <w:b/>
                      </w:rPr>
                      <w:t>Washington, D.C. 20554</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3F1FD5C1" wp14:editId="43581AE4">
              <wp:simplePos x="0" y="0"/>
              <wp:positionH relativeFrom="column">
                <wp:posOffset>0</wp:posOffset>
              </wp:positionH>
              <wp:positionV relativeFrom="paragraph">
                <wp:posOffset>697865</wp:posOffset>
              </wp:positionV>
              <wp:extent cx="6858000" cy="2540"/>
              <wp:effectExtent l="0" t="0" r="19050" b="355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6jFgIAACs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MF2bqMWAgAAKwQAAA4AAAAAAAAAAAAAAAAALgIAAGRycy9lMm9Eb2MueG1sUEsBAi0AFAAGAAgA&#10;AAAhAPWnG6TdAAAACQEAAA8AAAAAAAAAAAAAAAAAcAQAAGRycy9kb3ducmV2LnhtbFBLBQYAAAAA&#10;BAAEAPMAAAB6BQAAAAA=&#10;" o:allowincell="f"/>
          </w:pict>
        </mc:Fallback>
      </mc:AlternateContent>
    </w:r>
  </w:p>
  <w:p w14:paraId="559FEE98" w14:textId="77777777" w:rsidR="00B32655" w:rsidRDefault="00B32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A3DB7"/>
    <w:multiLevelType w:val="hybridMultilevel"/>
    <w:tmpl w:val="190E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6">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105064"/>
    <w:multiLevelType w:val="hybridMultilevel"/>
    <w:tmpl w:val="B2E8F3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9">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3">
    <w:nsid w:val="4B694A0B"/>
    <w:multiLevelType w:val="hybridMultilevel"/>
    <w:tmpl w:val="A1944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41756E"/>
    <w:multiLevelType w:val="hybridMultilevel"/>
    <w:tmpl w:val="AC0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18F50F5"/>
    <w:multiLevelType w:val="hybridMultilevel"/>
    <w:tmpl w:val="534CF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6"/>
  </w:num>
  <w:num w:numId="2">
    <w:abstractNumId w:val="11"/>
  </w:num>
  <w:num w:numId="3">
    <w:abstractNumId w:val="2"/>
  </w:num>
  <w:num w:numId="4">
    <w:abstractNumId w:val="15"/>
  </w:num>
  <w:num w:numId="5">
    <w:abstractNumId w:val="19"/>
  </w:num>
  <w:num w:numId="6">
    <w:abstractNumId w:val="8"/>
  </w:num>
  <w:num w:numId="7">
    <w:abstractNumId w:val="20"/>
  </w:num>
  <w:num w:numId="8">
    <w:abstractNumId w:val="23"/>
  </w:num>
  <w:num w:numId="9">
    <w:abstractNumId w:val="1"/>
  </w:num>
  <w:num w:numId="10">
    <w:abstractNumId w:val="16"/>
  </w:num>
  <w:num w:numId="11">
    <w:abstractNumId w:val="9"/>
  </w:num>
  <w:num w:numId="12">
    <w:abstractNumId w:val="4"/>
  </w:num>
  <w:num w:numId="13">
    <w:abstractNumId w:val="17"/>
  </w:num>
  <w:num w:numId="14">
    <w:abstractNumId w:val="5"/>
  </w:num>
  <w:num w:numId="15">
    <w:abstractNumId w:val="12"/>
  </w:num>
  <w:num w:numId="16">
    <w:abstractNumId w:val="0"/>
  </w:num>
  <w:num w:numId="17">
    <w:abstractNumId w:val="22"/>
  </w:num>
  <w:num w:numId="18">
    <w:abstractNumId w:val="10"/>
  </w:num>
  <w:num w:numId="19">
    <w:abstractNumId w:val="14"/>
  </w:num>
  <w:num w:numId="20">
    <w:abstractNumId w:val="24"/>
  </w:num>
  <w:num w:numId="21">
    <w:abstractNumId w:val="7"/>
  </w:num>
  <w:num w:numId="22">
    <w:abstractNumId w:val="21"/>
  </w:num>
  <w:num w:numId="23">
    <w:abstractNumId w:val="13"/>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216D"/>
    <w:rsid w:val="00003158"/>
    <w:rsid w:val="00003A72"/>
    <w:rsid w:val="000041F5"/>
    <w:rsid w:val="00011365"/>
    <w:rsid w:val="00011773"/>
    <w:rsid w:val="00013B42"/>
    <w:rsid w:val="0001536F"/>
    <w:rsid w:val="00016159"/>
    <w:rsid w:val="00025824"/>
    <w:rsid w:val="00025AF3"/>
    <w:rsid w:val="00026CA9"/>
    <w:rsid w:val="00031498"/>
    <w:rsid w:val="0003176F"/>
    <w:rsid w:val="000325D9"/>
    <w:rsid w:val="0003261B"/>
    <w:rsid w:val="000330A7"/>
    <w:rsid w:val="000344D6"/>
    <w:rsid w:val="00035098"/>
    <w:rsid w:val="00036DBA"/>
    <w:rsid w:val="00037533"/>
    <w:rsid w:val="0004084B"/>
    <w:rsid w:val="00041901"/>
    <w:rsid w:val="00041C63"/>
    <w:rsid w:val="00041F17"/>
    <w:rsid w:val="00042A5C"/>
    <w:rsid w:val="000441B3"/>
    <w:rsid w:val="0004476F"/>
    <w:rsid w:val="000451E7"/>
    <w:rsid w:val="000635BF"/>
    <w:rsid w:val="00066C6E"/>
    <w:rsid w:val="00070524"/>
    <w:rsid w:val="00071A7F"/>
    <w:rsid w:val="00074270"/>
    <w:rsid w:val="000766C8"/>
    <w:rsid w:val="0007681E"/>
    <w:rsid w:val="000801DC"/>
    <w:rsid w:val="0008210D"/>
    <w:rsid w:val="000831F2"/>
    <w:rsid w:val="00084433"/>
    <w:rsid w:val="00085A50"/>
    <w:rsid w:val="00086AB6"/>
    <w:rsid w:val="00091A13"/>
    <w:rsid w:val="000929FA"/>
    <w:rsid w:val="000944A3"/>
    <w:rsid w:val="000946B6"/>
    <w:rsid w:val="000A0166"/>
    <w:rsid w:val="000A273B"/>
    <w:rsid w:val="000A2EB5"/>
    <w:rsid w:val="000A34EE"/>
    <w:rsid w:val="000A3EB1"/>
    <w:rsid w:val="000A51AC"/>
    <w:rsid w:val="000A54E2"/>
    <w:rsid w:val="000B25D6"/>
    <w:rsid w:val="000B278C"/>
    <w:rsid w:val="000B50F4"/>
    <w:rsid w:val="000C3692"/>
    <w:rsid w:val="000C5403"/>
    <w:rsid w:val="000D14CF"/>
    <w:rsid w:val="000D188A"/>
    <w:rsid w:val="000D460F"/>
    <w:rsid w:val="000D76C0"/>
    <w:rsid w:val="000D79D8"/>
    <w:rsid w:val="000E0284"/>
    <w:rsid w:val="000E286A"/>
    <w:rsid w:val="000E43C8"/>
    <w:rsid w:val="000E4D53"/>
    <w:rsid w:val="000E66B9"/>
    <w:rsid w:val="000E68B9"/>
    <w:rsid w:val="000E704B"/>
    <w:rsid w:val="000F13BD"/>
    <w:rsid w:val="000F2420"/>
    <w:rsid w:val="000F242E"/>
    <w:rsid w:val="000F5922"/>
    <w:rsid w:val="000F60E1"/>
    <w:rsid w:val="000F6277"/>
    <w:rsid w:val="000F7944"/>
    <w:rsid w:val="00105CFE"/>
    <w:rsid w:val="00107E01"/>
    <w:rsid w:val="00113662"/>
    <w:rsid w:val="00114F70"/>
    <w:rsid w:val="0011556C"/>
    <w:rsid w:val="00121770"/>
    <w:rsid w:val="00124B75"/>
    <w:rsid w:val="00124F35"/>
    <w:rsid w:val="001261E6"/>
    <w:rsid w:val="001308DC"/>
    <w:rsid w:val="001322EC"/>
    <w:rsid w:val="00134E84"/>
    <w:rsid w:val="001355B9"/>
    <w:rsid w:val="0013636D"/>
    <w:rsid w:val="00137776"/>
    <w:rsid w:val="00140F89"/>
    <w:rsid w:val="001437E8"/>
    <w:rsid w:val="00143921"/>
    <w:rsid w:val="00143C03"/>
    <w:rsid w:val="00143D89"/>
    <w:rsid w:val="00144957"/>
    <w:rsid w:val="00145785"/>
    <w:rsid w:val="00155061"/>
    <w:rsid w:val="00156357"/>
    <w:rsid w:val="001573F1"/>
    <w:rsid w:val="00160CB0"/>
    <w:rsid w:val="001628A9"/>
    <w:rsid w:val="00172317"/>
    <w:rsid w:val="00173094"/>
    <w:rsid w:val="001746D3"/>
    <w:rsid w:val="00175F74"/>
    <w:rsid w:val="00181189"/>
    <w:rsid w:val="00181BBC"/>
    <w:rsid w:val="0018236C"/>
    <w:rsid w:val="0018414C"/>
    <w:rsid w:val="00186497"/>
    <w:rsid w:val="00186B77"/>
    <w:rsid w:val="00186CAE"/>
    <w:rsid w:val="00191D2C"/>
    <w:rsid w:val="00196686"/>
    <w:rsid w:val="001A092A"/>
    <w:rsid w:val="001A0FEC"/>
    <w:rsid w:val="001A1700"/>
    <w:rsid w:val="001A4406"/>
    <w:rsid w:val="001A4A1B"/>
    <w:rsid w:val="001A74F1"/>
    <w:rsid w:val="001B306C"/>
    <w:rsid w:val="001B3986"/>
    <w:rsid w:val="001B5A36"/>
    <w:rsid w:val="001C1965"/>
    <w:rsid w:val="001C3090"/>
    <w:rsid w:val="001C3905"/>
    <w:rsid w:val="001D0885"/>
    <w:rsid w:val="001D1661"/>
    <w:rsid w:val="001D338E"/>
    <w:rsid w:val="001D560D"/>
    <w:rsid w:val="001D5D85"/>
    <w:rsid w:val="001D6963"/>
    <w:rsid w:val="001E0F5D"/>
    <w:rsid w:val="001E3E4A"/>
    <w:rsid w:val="001E49D2"/>
    <w:rsid w:val="001E4B94"/>
    <w:rsid w:val="001E4F50"/>
    <w:rsid w:val="001E60AE"/>
    <w:rsid w:val="001F1E45"/>
    <w:rsid w:val="001F41A4"/>
    <w:rsid w:val="001F4A48"/>
    <w:rsid w:val="001F4AEA"/>
    <w:rsid w:val="001F4B3D"/>
    <w:rsid w:val="001F5306"/>
    <w:rsid w:val="001F69F4"/>
    <w:rsid w:val="001F7585"/>
    <w:rsid w:val="00200661"/>
    <w:rsid w:val="00200875"/>
    <w:rsid w:val="002011B7"/>
    <w:rsid w:val="00201369"/>
    <w:rsid w:val="00204C42"/>
    <w:rsid w:val="00210F28"/>
    <w:rsid w:val="002117A9"/>
    <w:rsid w:val="0021528B"/>
    <w:rsid w:val="00222AE8"/>
    <w:rsid w:val="002245AC"/>
    <w:rsid w:val="00226041"/>
    <w:rsid w:val="0023022E"/>
    <w:rsid w:val="002341CB"/>
    <w:rsid w:val="00235831"/>
    <w:rsid w:val="00242F63"/>
    <w:rsid w:val="002465CE"/>
    <w:rsid w:val="00247FBF"/>
    <w:rsid w:val="0025221D"/>
    <w:rsid w:val="0025318E"/>
    <w:rsid w:val="00253C66"/>
    <w:rsid w:val="00255763"/>
    <w:rsid w:val="00255CB7"/>
    <w:rsid w:val="00257602"/>
    <w:rsid w:val="002626F1"/>
    <w:rsid w:val="00264590"/>
    <w:rsid w:val="00264D39"/>
    <w:rsid w:val="00266FA9"/>
    <w:rsid w:val="00270ADD"/>
    <w:rsid w:val="00270B94"/>
    <w:rsid w:val="00271176"/>
    <w:rsid w:val="00274D43"/>
    <w:rsid w:val="00275C4A"/>
    <w:rsid w:val="00276182"/>
    <w:rsid w:val="0027718C"/>
    <w:rsid w:val="00277437"/>
    <w:rsid w:val="002805A5"/>
    <w:rsid w:val="0028557E"/>
    <w:rsid w:val="00286E98"/>
    <w:rsid w:val="00290E8E"/>
    <w:rsid w:val="002910F0"/>
    <w:rsid w:val="00292C7D"/>
    <w:rsid w:val="00292F02"/>
    <w:rsid w:val="00293E9B"/>
    <w:rsid w:val="00293F9A"/>
    <w:rsid w:val="002949E7"/>
    <w:rsid w:val="002961A3"/>
    <w:rsid w:val="00296220"/>
    <w:rsid w:val="00296818"/>
    <w:rsid w:val="00296D88"/>
    <w:rsid w:val="00296EF9"/>
    <w:rsid w:val="002A16BF"/>
    <w:rsid w:val="002A1A4B"/>
    <w:rsid w:val="002A21FA"/>
    <w:rsid w:val="002A2D63"/>
    <w:rsid w:val="002A31CD"/>
    <w:rsid w:val="002A47EF"/>
    <w:rsid w:val="002A6CFE"/>
    <w:rsid w:val="002A781F"/>
    <w:rsid w:val="002B031C"/>
    <w:rsid w:val="002B0EA7"/>
    <w:rsid w:val="002B1ED3"/>
    <w:rsid w:val="002B22D1"/>
    <w:rsid w:val="002B308B"/>
    <w:rsid w:val="002B7F0D"/>
    <w:rsid w:val="002C0548"/>
    <w:rsid w:val="002C09DC"/>
    <w:rsid w:val="002C32C6"/>
    <w:rsid w:val="002C7052"/>
    <w:rsid w:val="002D05AD"/>
    <w:rsid w:val="002D1FC0"/>
    <w:rsid w:val="002D4C20"/>
    <w:rsid w:val="002D77B5"/>
    <w:rsid w:val="002E0131"/>
    <w:rsid w:val="002E074D"/>
    <w:rsid w:val="002E1F85"/>
    <w:rsid w:val="002E4911"/>
    <w:rsid w:val="002E4CBF"/>
    <w:rsid w:val="002E6A4A"/>
    <w:rsid w:val="002F1CE2"/>
    <w:rsid w:val="002F2BAA"/>
    <w:rsid w:val="002F38FD"/>
    <w:rsid w:val="002F440E"/>
    <w:rsid w:val="002F48F5"/>
    <w:rsid w:val="0030080E"/>
    <w:rsid w:val="003016C5"/>
    <w:rsid w:val="00303828"/>
    <w:rsid w:val="00305010"/>
    <w:rsid w:val="0030540C"/>
    <w:rsid w:val="0030683C"/>
    <w:rsid w:val="00310320"/>
    <w:rsid w:val="00313A4C"/>
    <w:rsid w:val="003144FE"/>
    <w:rsid w:val="00315B02"/>
    <w:rsid w:val="00320581"/>
    <w:rsid w:val="0032146B"/>
    <w:rsid w:val="00321A51"/>
    <w:rsid w:val="00323079"/>
    <w:rsid w:val="003230BA"/>
    <w:rsid w:val="00323B64"/>
    <w:rsid w:val="00324832"/>
    <w:rsid w:val="00324D28"/>
    <w:rsid w:val="00324FF7"/>
    <w:rsid w:val="00325022"/>
    <w:rsid w:val="00330CF7"/>
    <w:rsid w:val="00332DC1"/>
    <w:rsid w:val="00333B46"/>
    <w:rsid w:val="00334128"/>
    <w:rsid w:val="0033431A"/>
    <w:rsid w:val="0033450F"/>
    <w:rsid w:val="00334919"/>
    <w:rsid w:val="00335FFE"/>
    <w:rsid w:val="00336008"/>
    <w:rsid w:val="003405F3"/>
    <w:rsid w:val="0034232B"/>
    <w:rsid w:val="003477AE"/>
    <w:rsid w:val="0035031B"/>
    <w:rsid w:val="00351187"/>
    <w:rsid w:val="00353874"/>
    <w:rsid w:val="0035389A"/>
    <w:rsid w:val="00354A11"/>
    <w:rsid w:val="00355D3D"/>
    <w:rsid w:val="00360A3E"/>
    <w:rsid w:val="0036713E"/>
    <w:rsid w:val="00370335"/>
    <w:rsid w:val="0037227F"/>
    <w:rsid w:val="00372A2D"/>
    <w:rsid w:val="00375689"/>
    <w:rsid w:val="003761F2"/>
    <w:rsid w:val="003804E4"/>
    <w:rsid w:val="003807F8"/>
    <w:rsid w:val="00380AB7"/>
    <w:rsid w:val="00380C17"/>
    <w:rsid w:val="00381A78"/>
    <w:rsid w:val="00381EE8"/>
    <w:rsid w:val="0038321D"/>
    <w:rsid w:val="003833A5"/>
    <w:rsid w:val="00383D30"/>
    <w:rsid w:val="00384B70"/>
    <w:rsid w:val="00385FAD"/>
    <w:rsid w:val="00392222"/>
    <w:rsid w:val="0039240A"/>
    <w:rsid w:val="00393004"/>
    <w:rsid w:val="003936CE"/>
    <w:rsid w:val="00394BF1"/>
    <w:rsid w:val="00395410"/>
    <w:rsid w:val="003A1F53"/>
    <w:rsid w:val="003A68F7"/>
    <w:rsid w:val="003A6FDB"/>
    <w:rsid w:val="003B3536"/>
    <w:rsid w:val="003B361A"/>
    <w:rsid w:val="003B53F4"/>
    <w:rsid w:val="003C1606"/>
    <w:rsid w:val="003C16D9"/>
    <w:rsid w:val="003C26AE"/>
    <w:rsid w:val="003C4698"/>
    <w:rsid w:val="003C4BB4"/>
    <w:rsid w:val="003C5358"/>
    <w:rsid w:val="003C677F"/>
    <w:rsid w:val="003C7D95"/>
    <w:rsid w:val="003D093B"/>
    <w:rsid w:val="003D498B"/>
    <w:rsid w:val="003D60E8"/>
    <w:rsid w:val="003D7B57"/>
    <w:rsid w:val="003E0713"/>
    <w:rsid w:val="003E107D"/>
    <w:rsid w:val="003E2733"/>
    <w:rsid w:val="003E324E"/>
    <w:rsid w:val="003E37BA"/>
    <w:rsid w:val="003E43B0"/>
    <w:rsid w:val="003E512C"/>
    <w:rsid w:val="003E5352"/>
    <w:rsid w:val="003E7889"/>
    <w:rsid w:val="003F3B4E"/>
    <w:rsid w:val="003F62A7"/>
    <w:rsid w:val="003F6D83"/>
    <w:rsid w:val="004001B1"/>
    <w:rsid w:val="00400812"/>
    <w:rsid w:val="00401DFE"/>
    <w:rsid w:val="0040278C"/>
    <w:rsid w:val="0040331F"/>
    <w:rsid w:val="0040654B"/>
    <w:rsid w:val="00406B5A"/>
    <w:rsid w:val="00407090"/>
    <w:rsid w:val="00410DAE"/>
    <w:rsid w:val="004115D6"/>
    <w:rsid w:val="00412004"/>
    <w:rsid w:val="00412769"/>
    <w:rsid w:val="00412D52"/>
    <w:rsid w:val="00413FE1"/>
    <w:rsid w:val="00415315"/>
    <w:rsid w:val="00416F32"/>
    <w:rsid w:val="00417FD8"/>
    <w:rsid w:val="00420DE2"/>
    <w:rsid w:val="00420EAB"/>
    <w:rsid w:val="004210EF"/>
    <w:rsid w:val="00423E75"/>
    <w:rsid w:val="00424B03"/>
    <w:rsid w:val="00425AE7"/>
    <w:rsid w:val="00426E49"/>
    <w:rsid w:val="00427485"/>
    <w:rsid w:val="00427E75"/>
    <w:rsid w:val="00431EF3"/>
    <w:rsid w:val="004348F0"/>
    <w:rsid w:val="00435030"/>
    <w:rsid w:val="004362EA"/>
    <w:rsid w:val="00436DEC"/>
    <w:rsid w:val="00442B7D"/>
    <w:rsid w:val="00444625"/>
    <w:rsid w:val="00444ECE"/>
    <w:rsid w:val="00445F85"/>
    <w:rsid w:val="004466DC"/>
    <w:rsid w:val="00446BB9"/>
    <w:rsid w:val="00447210"/>
    <w:rsid w:val="004475AD"/>
    <w:rsid w:val="00447D79"/>
    <w:rsid w:val="004507CE"/>
    <w:rsid w:val="004507E1"/>
    <w:rsid w:val="00450A12"/>
    <w:rsid w:val="00460FFD"/>
    <w:rsid w:val="0046213E"/>
    <w:rsid w:val="0046280B"/>
    <w:rsid w:val="00463AE3"/>
    <w:rsid w:val="00463F08"/>
    <w:rsid w:val="0046737F"/>
    <w:rsid w:val="00467411"/>
    <w:rsid w:val="0047122E"/>
    <w:rsid w:val="00472F8D"/>
    <w:rsid w:val="00474EFA"/>
    <w:rsid w:val="00476E3D"/>
    <w:rsid w:val="00477396"/>
    <w:rsid w:val="00480667"/>
    <w:rsid w:val="00480FF4"/>
    <w:rsid w:val="00481437"/>
    <w:rsid w:val="0048161F"/>
    <w:rsid w:val="0048379D"/>
    <w:rsid w:val="004839D9"/>
    <w:rsid w:val="004866DF"/>
    <w:rsid w:val="00486CBB"/>
    <w:rsid w:val="004873D4"/>
    <w:rsid w:val="00487F3F"/>
    <w:rsid w:val="00490AE3"/>
    <w:rsid w:val="004930E7"/>
    <w:rsid w:val="0049554F"/>
    <w:rsid w:val="00496938"/>
    <w:rsid w:val="004A0B8F"/>
    <w:rsid w:val="004A364F"/>
    <w:rsid w:val="004A7370"/>
    <w:rsid w:val="004B004D"/>
    <w:rsid w:val="004B01B1"/>
    <w:rsid w:val="004B11A0"/>
    <w:rsid w:val="004B24E2"/>
    <w:rsid w:val="004B4C8B"/>
    <w:rsid w:val="004B5E07"/>
    <w:rsid w:val="004C06CE"/>
    <w:rsid w:val="004C34D2"/>
    <w:rsid w:val="004C5A3D"/>
    <w:rsid w:val="004C617D"/>
    <w:rsid w:val="004D2D20"/>
    <w:rsid w:val="004D349D"/>
    <w:rsid w:val="004D3725"/>
    <w:rsid w:val="004D4C56"/>
    <w:rsid w:val="004D5199"/>
    <w:rsid w:val="004D5890"/>
    <w:rsid w:val="004D6635"/>
    <w:rsid w:val="004E05B6"/>
    <w:rsid w:val="004E21BB"/>
    <w:rsid w:val="004E479B"/>
    <w:rsid w:val="004E5BC8"/>
    <w:rsid w:val="004F5554"/>
    <w:rsid w:val="004F5997"/>
    <w:rsid w:val="004F5FC0"/>
    <w:rsid w:val="004F74C7"/>
    <w:rsid w:val="00501061"/>
    <w:rsid w:val="00501650"/>
    <w:rsid w:val="00501A46"/>
    <w:rsid w:val="00501D29"/>
    <w:rsid w:val="005021BD"/>
    <w:rsid w:val="00504DD4"/>
    <w:rsid w:val="005064BC"/>
    <w:rsid w:val="00506B3D"/>
    <w:rsid w:val="005071A8"/>
    <w:rsid w:val="005102D6"/>
    <w:rsid w:val="005157DC"/>
    <w:rsid w:val="00520712"/>
    <w:rsid w:val="00521B9B"/>
    <w:rsid w:val="00532D9F"/>
    <w:rsid w:val="00532F06"/>
    <w:rsid w:val="00532F1B"/>
    <w:rsid w:val="00532FF4"/>
    <w:rsid w:val="005424BA"/>
    <w:rsid w:val="00545045"/>
    <w:rsid w:val="005462A6"/>
    <w:rsid w:val="00546E3A"/>
    <w:rsid w:val="005473A6"/>
    <w:rsid w:val="005510A6"/>
    <w:rsid w:val="00551537"/>
    <w:rsid w:val="00552E6D"/>
    <w:rsid w:val="00554214"/>
    <w:rsid w:val="0055576A"/>
    <w:rsid w:val="00557439"/>
    <w:rsid w:val="00560022"/>
    <w:rsid w:val="005611DC"/>
    <w:rsid w:val="00567A8B"/>
    <w:rsid w:val="005739BC"/>
    <w:rsid w:val="0057589D"/>
    <w:rsid w:val="00576FEE"/>
    <w:rsid w:val="005779AD"/>
    <w:rsid w:val="005817AC"/>
    <w:rsid w:val="005836DB"/>
    <w:rsid w:val="00585733"/>
    <w:rsid w:val="00590D69"/>
    <w:rsid w:val="00591F65"/>
    <w:rsid w:val="005923B1"/>
    <w:rsid w:val="00593748"/>
    <w:rsid w:val="005A0B7E"/>
    <w:rsid w:val="005A0DE8"/>
    <w:rsid w:val="005A1DFB"/>
    <w:rsid w:val="005A1FCF"/>
    <w:rsid w:val="005A2264"/>
    <w:rsid w:val="005A2686"/>
    <w:rsid w:val="005A2F0B"/>
    <w:rsid w:val="005A3F35"/>
    <w:rsid w:val="005B0002"/>
    <w:rsid w:val="005B176D"/>
    <w:rsid w:val="005C00AE"/>
    <w:rsid w:val="005C314F"/>
    <w:rsid w:val="005C38B0"/>
    <w:rsid w:val="005C3ED1"/>
    <w:rsid w:val="005C51C8"/>
    <w:rsid w:val="005C554B"/>
    <w:rsid w:val="005C77CA"/>
    <w:rsid w:val="005D04C2"/>
    <w:rsid w:val="005D3B94"/>
    <w:rsid w:val="005D4A5E"/>
    <w:rsid w:val="005D4F17"/>
    <w:rsid w:val="005D6ECC"/>
    <w:rsid w:val="005D6FE6"/>
    <w:rsid w:val="005D74F6"/>
    <w:rsid w:val="005D783B"/>
    <w:rsid w:val="005E066C"/>
    <w:rsid w:val="005E1008"/>
    <w:rsid w:val="005E2F8D"/>
    <w:rsid w:val="005E37FF"/>
    <w:rsid w:val="005E417A"/>
    <w:rsid w:val="005E4D02"/>
    <w:rsid w:val="005E63B9"/>
    <w:rsid w:val="005E775D"/>
    <w:rsid w:val="005F1184"/>
    <w:rsid w:val="005F1515"/>
    <w:rsid w:val="005F1E3D"/>
    <w:rsid w:val="005F260F"/>
    <w:rsid w:val="005F49D0"/>
    <w:rsid w:val="006022B6"/>
    <w:rsid w:val="00603755"/>
    <w:rsid w:val="006037EF"/>
    <w:rsid w:val="006052CB"/>
    <w:rsid w:val="00611E75"/>
    <w:rsid w:val="00613C4A"/>
    <w:rsid w:val="00614153"/>
    <w:rsid w:val="00614CAB"/>
    <w:rsid w:val="00614DD1"/>
    <w:rsid w:val="0062080B"/>
    <w:rsid w:val="00620A97"/>
    <w:rsid w:val="00620D53"/>
    <w:rsid w:val="00621103"/>
    <w:rsid w:val="006217DC"/>
    <w:rsid w:val="0062678C"/>
    <w:rsid w:val="0063038D"/>
    <w:rsid w:val="00630A5B"/>
    <w:rsid w:val="00631D16"/>
    <w:rsid w:val="00634472"/>
    <w:rsid w:val="006370DD"/>
    <w:rsid w:val="00637AE4"/>
    <w:rsid w:val="00641213"/>
    <w:rsid w:val="00643A3C"/>
    <w:rsid w:val="00647A61"/>
    <w:rsid w:val="00647FE4"/>
    <w:rsid w:val="0065535C"/>
    <w:rsid w:val="00656004"/>
    <w:rsid w:val="006578B7"/>
    <w:rsid w:val="00660029"/>
    <w:rsid w:val="00660286"/>
    <w:rsid w:val="00661E3B"/>
    <w:rsid w:val="00662837"/>
    <w:rsid w:val="006650F6"/>
    <w:rsid w:val="006679CB"/>
    <w:rsid w:val="00670DB8"/>
    <w:rsid w:val="006744D4"/>
    <w:rsid w:val="00675DB1"/>
    <w:rsid w:val="00676ABA"/>
    <w:rsid w:val="006776FB"/>
    <w:rsid w:val="0068038A"/>
    <w:rsid w:val="00680991"/>
    <w:rsid w:val="006827E3"/>
    <w:rsid w:val="00683D95"/>
    <w:rsid w:val="00685C07"/>
    <w:rsid w:val="0068703E"/>
    <w:rsid w:val="00690749"/>
    <w:rsid w:val="00691526"/>
    <w:rsid w:val="00691FD0"/>
    <w:rsid w:val="00692A9D"/>
    <w:rsid w:val="00696EB1"/>
    <w:rsid w:val="006A0752"/>
    <w:rsid w:val="006A1230"/>
    <w:rsid w:val="006A2468"/>
    <w:rsid w:val="006A2C04"/>
    <w:rsid w:val="006A2FEC"/>
    <w:rsid w:val="006A3793"/>
    <w:rsid w:val="006A646D"/>
    <w:rsid w:val="006A74BA"/>
    <w:rsid w:val="006B0E1B"/>
    <w:rsid w:val="006B58A7"/>
    <w:rsid w:val="006B65D5"/>
    <w:rsid w:val="006C027B"/>
    <w:rsid w:val="006C09F1"/>
    <w:rsid w:val="006C0DCC"/>
    <w:rsid w:val="006C20F2"/>
    <w:rsid w:val="006C5D49"/>
    <w:rsid w:val="006C691D"/>
    <w:rsid w:val="006D051F"/>
    <w:rsid w:val="006D2030"/>
    <w:rsid w:val="006D39D5"/>
    <w:rsid w:val="006D466A"/>
    <w:rsid w:val="006D561D"/>
    <w:rsid w:val="006D5C36"/>
    <w:rsid w:val="006D7601"/>
    <w:rsid w:val="006E16AF"/>
    <w:rsid w:val="006E4171"/>
    <w:rsid w:val="006E51F6"/>
    <w:rsid w:val="006F0692"/>
    <w:rsid w:val="006F2E10"/>
    <w:rsid w:val="006F3DC5"/>
    <w:rsid w:val="00703178"/>
    <w:rsid w:val="0070601F"/>
    <w:rsid w:val="00714578"/>
    <w:rsid w:val="00717924"/>
    <w:rsid w:val="0072016E"/>
    <w:rsid w:val="00721640"/>
    <w:rsid w:val="00722CB4"/>
    <w:rsid w:val="007249FA"/>
    <w:rsid w:val="00724C1B"/>
    <w:rsid w:val="00730AB6"/>
    <w:rsid w:val="00730BC7"/>
    <w:rsid w:val="00731079"/>
    <w:rsid w:val="00732169"/>
    <w:rsid w:val="007326A0"/>
    <w:rsid w:val="00732B7E"/>
    <w:rsid w:val="00734F44"/>
    <w:rsid w:val="007352ED"/>
    <w:rsid w:val="00735B9C"/>
    <w:rsid w:val="00737CA6"/>
    <w:rsid w:val="0074224D"/>
    <w:rsid w:val="00743DFD"/>
    <w:rsid w:val="007474F3"/>
    <w:rsid w:val="00747913"/>
    <w:rsid w:val="00750D01"/>
    <w:rsid w:val="00752306"/>
    <w:rsid w:val="00754CE5"/>
    <w:rsid w:val="00755A2C"/>
    <w:rsid w:val="007602C0"/>
    <w:rsid w:val="00762B52"/>
    <w:rsid w:val="00763898"/>
    <w:rsid w:val="00765C73"/>
    <w:rsid w:val="00770870"/>
    <w:rsid w:val="00770D71"/>
    <w:rsid w:val="00771A70"/>
    <w:rsid w:val="00772899"/>
    <w:rsid w:val="00772D86"/>
    <w:rsid w:val="00774B52"/>
    <w:rsid w:val="00774E49"/>
    <w:rsid w:val="007763A5"/>
    <w:rsid w:val="00777905"/>
    <w:rsid w:val="007779B5"/>
    <w:rsid w:val="00780692"/>
    <w:rsid w:val="00780898"/>
    <w:rsid w:val="00780BA7"/>
    <w:rsid w:val="00783133"/>
    <w:rsid w:val="007860E9"/>
    <w:rsid w:val="0078627B"/>
    <w:rsid w:val="0079075B"/>
    <w:rsid w:val="00795227"/>
    <w:rsid w:val="00795614"/>
    <w:rsid w:val="00795CCF"/>
    <w:rsid w:val="00796E4C"/>
    <w:rsid w:val="00796EE8"/>
    <w:rsid w:val="00797470"/>
    <w:rsid w:val="007A16FD"/>
    <w:rsid w:val="007A728B"/>
    <w:rsid w:val="007A7764"/>
    <w:rsid w:val="007B210C"/>
    <w:rsid w:val="007B2DFB"/>
    <w:rsid w:val="007B3170"/>
    <w:rsid w:val="007B44F8"/>
    <w:rsid w:val="007B4773"/>
    <w:rsid w:val="007B4C6F"/>
    <w:rsid w:val="007B79CD"/>
    <w:rsid w:val="007B7EFE"/>
    <w:rsid w:val="007C11D4"/>
    <w:rsid w:val="007C202C"/>
    <w:rsid w:val="007C4525"/>
    <w:rsid w:val="007C7C80"/>
    <w:rsid w:val="007D30EF"/>
    <w:rsid w:val="007D4A11"/>
    <w:rsid w:val="007D52CD"/>
    <w:rsid w:val="007D562C"/>
    <w:rsid w:val="007E0B23"/>
    <w:rsid w:val="007E4068"/>
    <w:rsid w:val="007E6EA4"/>
    <w:rsid w:val="007E6FEE"/>
    <w:rsid w:val="007E7DA0"/>
    <w:rsid w:val="007F1435"/>
    <w:rsid w:val="007F18D4"/>
    <w:rsid w:val="007F363D"/>
    <w:rsid w:val="007F42AE"/>
    <w:rsid w:val="007F527B"/>
    <w:rsid w:val="007F6835"/>
    <w:rsid w:val="007F6C83"/>
    <w:rsid w:val="007F728D"/>
    <w:rsid w:val="007F7307"/>
    <w:rsid w:val="008033BA"/>
    <w:rsid w:val="00811AEE"/>
    <w:rsid w:val="00811E1C"/>
    <w:rsid w:val="008139F5"/>
    <w:rsid w:val="00814A14"/>
    <w:rsid w:val="00814FFC"/>
    <w:rsid w:val="008155BD"/>
    <w:rsid w:val="008230E8"/>
    <w:rsid w:val="00827D04"/>
    <w:rsid w:val="00833509"/>
    <w:rsid w:val="00834494"/>
    <w:rsid w:val="00834C4E"/>
    <w:rsid w:val="0083578E"/>
    <w:rsid w:val="00837CA5"/>
    <w:rsid w:val="008415FA"/>
    <w:rsid w:val="008420CB"/>
    <w:rsid w:val="00842E5C"/>
    <w:rsid w:val="00843685"/>
    <w:rsid w:val="008439C5"/>
    <w:rsid w:val="00844D3C"/>
    <w:rsid w:val="00851564"/>
    <w:rsid w:val="0085356C"/>
    <w:rsid w:val="00854F48"/>
    <w:rsid w:val="00857D1F"/>
    <w:rsid w:val="00861749"/>
    <w:rsid w:val="008617A7"/>
    <w:rsid w:val="00862BEA"/>
    <w:rsid w:val="0086605D"/>
    <w:rsid w:val="008679B4"/>
    <w:rsid w:val="00870971"/>
    <w:rsid w:val="008723BF"/>
    <w:rsid w:val="00873EE7"/>
    <w:rsid w:val="00874F52"/>
    <w:rsid w:val="0087638F"/>
    <w:rsid w:val="008809C6"/>
    <w:rsid w:val="00880FD0"/>
    <w:rsid w:val="0088348D"/>
    <w:rsid w:val="008855D0"/>
    <w:rsid w:val="00886330"/>
    <w:rsid w:val="008868B7"/>
    <w:rsid w:val="0089039B"/>
    <w:rsid w:val="00891460"/>
    <w:rsid w:val="00894C8C"/>
    <w:rsid w:val="008964D8"/>
    <w:rsid w:val="008969AB"/>
    <w:rsid w:val="0089750B"/>
    <w:rsid w:val="008A04F3"/>
    <w:rsid w:val="008A2B26"/>
    <w:rsid w:val="008A3680"/>
    <w:rsid w:val="008A3F04"/>
    <w:rsid w:val="008A4581"/>
    <w:rsid w:val="008A6BAD"/>
    <w:rsid w:val="008B1DFF"/>
    <w:rsid w:val="008B1EB3"/>
    <w:rsid w:val="008B3205"/>
    <w:rsid w:val="008C02D6"/>
    <w:rsid w:val="008D0F0F"/>
    <w:rsid w:val="008D29DF"/>
    <w:rsid w:val="008D4177"/>
    <w:rsid w:val="008D64E0"/>
    <w:rsid w:val="008D6EF1"/>
    <w:rsid w:val="008E2D61"/>
    <w:rsid w:val="008E5A44"/>
    <w:rsid w:val="008E6A79"/>
    <w:rsid w:val="008F1285"/>
    <w:rsid w:val="008F351D"/>
    <w:rsid w:val="008F39A2"/>
    <w:rsid w:val="008F5AD1"/>
    <w:rsid w:val="008F78EB"/>
    <w:rsid w:val="0090019F"/>
    <w:rsid w:val="00901AD3"/>
    <w:rsid w:val="00901E61"/>
    <w:rsid w:val="009059C0"/>
    <w:rsid w:val="009069EF"/>
    <w:rsid w:val="009100A2"/>
    <w:rsid w:val="00912BDE"/>
    <w:rsid w:val="00915ADA"/>
    <w:rsid w:val="00916148"/>
    <w:rsid w:val="00916DCE"/>
    <w:rsid w:val="00924F33"/>
    <w:rsid w:val="009269DA"/>
    <w:rsid w:val="00933EE6"/>
    <w:rsid w:val="00935050"/>
    <w:rsid w:val="0093535E"/>
    <w:rsid w:val="0093572E"/>
    <w:rsid w:val="00937BAD"/>
    <w:rsid w:val="0094095C"/>
    <w:rsid w:val="00941D5D"/>
    <w:rsid w:val="00942B6D"/>
    <w:rsid w:val="0094347C"/>
    <w:rsid w:val="0094501A"/>
    <w:rsid w:val="00945BD9"/>
    <w:rsid w:val="00947B90"/>
    <w:rsid w:val="00950CA5"/>
    <w:rsid w:val="00951053"/>
    <w:rsid w:val="00954CA4"/>
    <w:rsid w:val="009552FF"/>
    <w:rsid w:val="009621A7"/>
    <w:rsid w:val="00964C90"/>
    <w:rsid w:val="00965138"/>
    <w:rsid w:val="00965C32"/>
    <w:rsid w:val="009661C2"/>
    <w:rsid w:val="009733DD"/>
    <w:rsid w:val="00974C3C"/>
    <w:rsid w:val="00975733"/>
    <w:rsid w:val="00975812"/>
    <w:rsid w:val="009808E7"/>
    <w:rsid w:val="009819E8"/>
    <w:rsid w:val="00981E4E"/>
    <w:rsid w:val="00982105"/>
    <w:rsid w:val="00982274"/>
    <w:rsid w:val="00984869"/>
    <w:rsid w:val="0098792D"/>
    <w:rsid w:val="00987F7B"/>
    <w:rsid w:val="00992F93"/>
    <w:rsid w:val="0099347D"/>
    <w:rsid w:val="009956BE"/>
    <w:rsid w:val="00996ED9"/>
    <w:rsid w:val="009970C7"/>
    <w:rsid w:val="00997B25"/>
    <w:rsid w:val="009A1089"/>
    <w:rsid w:val="009A287C"/>
    <w:rsid w:val="009A3223"/>
    <w:rsid w:val="009B01AD"/>
    <w:rsid w:val="009B0A68"/>
    <w:rsid w:val="009B1E7F"/>
    <w:rsid w:val="009B48FA"/>
    <w:rsid w:val="009B7462"/>
    <w:rsid w:val="009C0FC1"/>
    <w:rsid w:val="009C5C25"/>
    <w:rsid w:val="009C6E6A"/>
    <w:rsid w:val="009D0C12"/>
    <w:rsid w:val="009D4A1C"/>
    <w:rsid w:val="009D5984"/>
    <w:rsid w:val="009E06E4"/>
    <w:rsid w:val="009E070A"/>
    <w:rsid w:val="009E3265"/>
    <w:rsid w:val="009E4EFE"/>
    <w:rsid w:val="009E5507"/>
    <w:rsid w:val="009F3D8F"/>
    <w:rsid w:val="009F41C1"/>
    <w:rsid w:val="009F4E9B"/>
    <w:rsid w:val="009F5972"/>
    <w:rsid w:val="009F7C1D"/>
    <w:rsid w:val="00A02A00"/>
    <w:rsid w:val="00A02D3B"/>
    <w:rsid w:val="00A03B72"/>
    <w:rsid w:val="00A047A9"/>
    <w:rsid w:val="00A10B24"/>
    <w:rsid w:val="00A12149"/>
    <w:rsid w:val="00A12338"/>
    <w:rsid w:val="00A13C2D"/>
    <w:rsid w:val="00A16598"/>
    <w:rsid w:val="00A2320F"/>
    <w:rsid w:val="00A2738B"/>
    <w:rsid w:val="00A30238"/>
    <w:rsid w:val="00A319BD"/>
    <w:rsid w:val="00A33059"/>
    <w:rsid w:val="00A416BE"/>
    <w:rsid w:val="00A437B6"/>
    <w:rsid w:val="00A47FD3"/>
    <w:rsid w:val="00A537D5"/>
    <w:rsid w:val="00A55A93"/>
    <w:rsid w:val="00A55F35"/>
    <w:rsid w:val="00A566C8"/>
    <w:rsid w:val="00A6184A"/>
    <w:rsid w:val="00A61902"/>
    <w:rsid w:val="00A63F8F"/>
    <w:rsid w:val="00A6451A"/>
    <w:rsid w:val="00A65D2A"/>
    <w:rsid w:val="00A668FC"/>
    <w:rsid w:val="00A70888"/>
    <w:rsid w:val="00A70CBA"/>
    <w:rsid w:val="00A7286C"/>
    <w:rsid w:val="00A72D78"/>
    <w:rsid w:val="00A72DEF"/>
    <w:rsid w:val="00A72F4F"/>
    <w:rsid w:val="00A73498"/>
    <w:rsid w:val="00A75414"/>
    <w:rsid w:val="00A7670A"/>
    <w:rsid w:val="00A77484"/>
    <w:rsid w:val="00A82464"/>
    <w:rsid w:val="00A83F5C"/>
    <w:rsid w:val="00A85A0A"/>
    <w:rsid w:val="00A8722F"/>
    <w:rsid w:val="00A903FB"/>
    <w:rsid w:val="00A909DA"/>
    <w:rsid w:val="00A91CE4"/>
    <w:rsid w:val="00A93BC2"/>
    <w:rsid w:val="00A953DD"/>
    <w:rsid w:val="00A95C00"/>
    <w:rsid w:val="00A966F6"/>
    <w:rsid w:val="00AA23AA"/>
    <w:rsid w:val="00AA4A14"/>
    <w:rsid w:val="00AA5119"/>
    <w:rsid w:val="00AA5B80"/>
    <w:rsid w:val="00AA66D6"/>
    <w:rsid w:val="00AB179B"/>
    <w:rsid w:val="00AB2BB0"/>
    <w:rsid w:val="00AB4E76"/>
    <w:rsid w:val="00AB567E"/>
    <w:rsid w:val="00AB69A8"/>
    <w:rsid w:val="00AB74B3"/>
    <w:rsid w:val="00AC100E"/>
    <w:rsid w:val="00AC1C79"/>
    <w:rsid w:val="00AC1D48"/>
    <w:rsid w:val="00AC1F9A"/>
    <w:rsid w:val="00AC20CB"/>
    <w:rsid w:val="00AC32FD"/>
    <w:rsid w:val="00AC6B75"/>
    <w:rsid w:val="00AC7FBF"/>
    <w:rsid w:val="00AD0BCB"/>
    <w:rsid w:val="00AD29F4"/>
    <w:rsid w:val="00AD2DBC"/>
    <w:rsid w:val="00AD5637"/>
    <w:rsid w:val="00AD5832"/>
    <w:rsid w:val="00AD7C24"/>
    <w:rsid w:val="00AE07AC"/>
    <w:rsid w:val="00AE0BEB"/>
    <w:rsid w:val="00AE1C48"/>
    <w:rsid w:val="00AE59F2"/>
    <w:rsid w:val="00AF3575"/>
    <w:rsid w:val="00AF37D5"/>
    <w:rsid w:val="00AF4843"/>
    <w:rsid w:val="00AF77AA"/>
    <w:rsid w:val="00B00052"/>
    <w:rsid w:val="00B03C3F"/>
    <w:rsid w:val="00B04C0A"/>
    <w:rsid w:val="00B05202"/>
    <w:rsid w:val="00B05DE5"/>
    <w:rsid w:val="00B102D3"/>
    <w:rsid w:val="00B113B1"/>
    <w:rsid w:val="00B12E98"/>
    <w:rsid w:val="00B144E2"/>
    <w:rsid w:val="00B14B02"/>
    <w:rsid w:val="00B1514C"/>
    <w:rsid w:val="00B22144"/>
    <w:rsid w:val="00B228B8"/>
    <w:rsid w:val="00B30D5B"/>
    <w:rsid w:val="00B32655"/>
    <w:rsid w:val="00B41381"/>
    <w:rsid w:val="00B42902"/>
    <w:rsid w:val="00B43CEC"/>
    <w:rsid w:val="00B4410F"/>
    <w:rsid w:val="00B45725"/>
    <w:rsid w:val="00B50277"/>
    <w:rsid w:val="00B50968"/>
    <w:rsid w:val="00B541A1"/>
    <w:rsid w:val="00B55D96"/>
    <w:rsid w:val="00B57AA6"/>
    <w:rsid w:val="00B618C6"/>
    <w:rsid w:val="00B643B3"/>
    <w:rsid w:val="00B71C5E"/>
    <w:rsid w:val="00B73159"/>
    <w:rsid w:val="00B74580"/>
    <w:rsid w:val="00B771E1"/>
    <w:rsid w:val="00B77BD1"/>
    <w:rsid w:val="00B81340"/>
    <w:rsid w:val="00B817C6"/>
    <w:rsid w:val="00B83635"/>
    <w:rsid w:val="00B854D8"/>
    <w:rsid w:val="00B85AD6"/>
    <w:rsid w:val="00B872FB"/>
    <w:rsid w:val="00B87F5B"/>
    <w:rsid w:val="00B90EFA"/>
    <w:rsid w:val="00B917CC"/>
    <w:rsid w:val="00B930F6"/>
    <w:rsid w:val="00B9424E"/>
    <w:rsid w:val="00B94297"/>
    <w:rsid w:val="00B943AB"/>
    <w:rsid w:val="00B94ED7"/>
    <w:rsid w:val="00B95539"/>
    <w:rsid w:val="00BA1C7D"/>
    <w:rsid w:val="00BA247E"/>
    <w:rsid w:val="00BA3B75"/>
    <w:rsid w:val="00BA4735"/>
    <w:rsid w:val="00BA74D0"/>
    <w:rsid w:val="00BB001E"/>
    <w:rsid w:val="00BB26E8"/>
    <w:rsid w:val="00BC2CAF"/>
    <w:rsid w:val="00BC4B05"/>
    <w:rsid w:val="00BC5607"/>
    <w:rsid w:val="00BD11AD"/>
    <w:rsid w:val="00BD2747"/>
    <w:rsid w:val="00BD290E"/>
    <w:rsid w:val="00BD4815"/>
    <w:rsid w:val="00BD5202"/>
    <w:rsid w:val="00BD5A7B"/>
    <w:rsid w:val="00BD6178"/>
    <w:rsid w:val="00BE0A4B"/>
    <w:rsid w:val="00BE0C32"/>
    <w:rsid w:val="00BE0FA0"/>
    <w:rsid w:val="00BE158B"/>
    <w:rsid w:val="00BE352B"/>
    <w:rsid w:val="00BE4725"/>
    <w:rsid w:val="00BE55D5"/>
    <w:rsid w:val="00BE6E84"/>
    <w:rsid w:val="00BF0557"/>
    <w:rsid w:val="00BF0DA1"/>
    <w:rsid w:val="00BF5790"/>
    <w:rsid w:val="00BF68B2"/>
    <w:rsid w:val="00C00B6B"/>
    <w:rsid w:val="00C010F4"/>
    <w:rsid w:val="00C02EFC"/>
    <w:rsid w:val="00C05DBF"/>
    <w:rsid w:val="00C07926"/>
    <w:rsid w:val="00C07960"/>
    <w:rsid w:val="00C07D04"/>
    <w:rsid w:val="00C13781"/>
    <w:rsid w:val="00C14E99"/>
    <w:rsid w:val="00C157ED"/>
    <w:rsid w:val="00C174E9"/>
    <w:rsid w:val="00C17A9D"/>
    <w:rsid w:val="00C2129D"/>
    <w:rsid w:val="00C217F1"/>
    <w:rsid w:val="00C225EC"/>
    <w:rsid w:val="00C23422"/>
    <w:rsid w:val="00C25497"/>
    <w:rsid w:val="00C30828"/>
    <w:rsid w:val="00C33A05"/>
    <w:rsid w:val="00C36766"/>
    <w:rsid w:val="00C36D27"/>
    <w:rsid w:val="00C42B1F"/>
    <w:rsid w:val="00C44FCA"/>
    <w:rsid w:val="00C45782"/>
    <w:rsid w:val="00C50BA2"/>
    <w:rsid w:val="00C50DF9"/>
    <w:rsid w:val="00C51710"/>
    <w:rsid w:val="00C53524"/>
    <w:rsid w:val="00C548D8"/>
    <w:rsid w:val="00C5496A"/>
    <w:rsid w:val="00C54AE1"/>
    <w:rsid w:val="00C55B49"/>
    <w:rsid w:val="00C56313"/>
    <w:rsid w:val="00C67311"/>
    <w:rsid w:val="00C701A3"/>
    <w:rsid w:val="00C761E6"/>
    <w:rsid w:val="00C76546"/>
    <w:rsid w:val="00C768DA"/>
    <w:rsid w:val="00C8044B"/>
    <w:rsid w:val="00C80BD4"/>
    <w:rsid w:val="00C81D79"/>
    <w:rsid w:val="00C81EA2"/>
    <w:rsid w:val="00C8338D"/>
    <w:rsid w:val="00C835C5"/>
    <w:rsid w:val="00C846DD"/>
    <w:rsid w:val="00C865A8"/>
    <w:rsid w:val="00C904C0"/>
    <w:rsid w:val="00C93770"/>
    <w:rsid w:val="00C957CF"/>
    <w:rsid w:val="00C964D1"/>
    <w:rsid w:val="00C96A3B"/>
    <w:rsid w:val="00C9759D"/>
    <w:rsid w:val="00CA10A1"/>
    <w:rsid w:val="00CA1EA3"/>
    <w:rsid w:val="00CA2372"/>
    <w:rsid w:val="00CA2EAF"/>
    <w:rsid w:val="00CA5487"/>
    <w:rsid w:val="00CB06CC"/>
    <w:rsid w:val="00CB0B35"/>
    <w:rsid w:val="00CB1239"/>
    <w:rsid w:val="00CB229E"/>
    <w:rsid w:val="00CB3690"/>
    <w:rsid w:val="00CB63C0"/>
    <w:rsid w:val="00CB74DF"/>
    <w:rsid w:val="00CC3165"/>
    <w:rsid w:val="00CC4B18"/>
    <w:rsid w:val="00CC5D24"/>
    <w:rsid w:val="00CD1024"/>
    <w:rsid w:val="00CD2381"/>
    <w:rsid w:val="00CD5AA8"/>
    <w:rsid w:val="00CD6D8A"/>
    <w:rsid w:val="00CE0976"/>
    <w:rsid w:val="00CE26B5"/>
    <w:rsid w:val="00CE47B3"/>
    <w:rsid w:val="00CE4A83"/>
    <w:rsid w:val="00CF0DD8"/>
    <w:rsid w:val="00CF14EC"/>
    <w:rsid w:val="00CF209E"/>
    <w:rsid w:val="00CF49A5"/>
    <w:rsid w:val="00CF5407"/>
    <w:rsid w:val="00CF65D0"/>
    <w:rsid w:val="00CF69D7"/>
    <w:rsid w:val="00D00784"/>
    <w:rsid w:val="00D01FA8"/>
    <w:rsid w:val="00D024B1"/>
    <w:rsid w:val="00D060B2"/>
    <w:rsid w:val="00D064DF"/>
    <w:rsid w:val="00D10154"/>
    <w:rsid w:val="00D12EAC"/>
    <w:rsid w:val="00D15231"/>
    <w:rsid w:val="00D15D46"/>
    <w:rsid w:val="00D16150"/>
    <w:rsid w:val="00D21A60"/>
    <w:rsid w:val="00D2402C"/>
    <w:rsid w:val="00D30D4A"/>
    <w:rsid w:val="00D31CA7"/>
    <w:rsid w:val="00D34D7B"/>
    <w:rsid w:val="00D4065D"/>
    <w:rsid w:val="00D46F89"/>
    <w:rsid w:val="00D517FB"/>
    <w:rsid w:val="00D52C3B"/>
    <w:rsid w:val="00D54BC6"/>
    <w:rsid w:val="00D54D67"/>
    <w:rsid w:val="00D557E9"/>
    <w:rsid w:val="00D55DDA"/>
    <w:rsid w:val="00D55DDE"/>
    <w:rsid w:val="00D57BC5"/>
    <w:rsid w:val="00D57D17"/>
    <w:rsid w:val="00D60CB8"/>
    <w:rsid w:val="00D6148F"/>
    <w:rsid w:val="00D61C1C"/>
    <w:rsid w:val="00D61C42"/>
    <w:rsid w:val="00D62475"/>
    <w:rsid w:val="00D64A7A"/>
    <w:rsid w:val="00D66CBA"/>
    <w:rsid w:val="00D70CB3"/>
    <w:rsid w:val="00D72DDF"/>
    <w:rsid w:val="00D73609"/>
    <w:rsid w:val="00D74D0E"/>
    <w:rsid w:val="00D7543E"/>
    <w:rsid w:val="00D77CF6"/>
    <w:rsid w:val="00D83928"/>
    <w:rsid w:val="00D86562"/>
    <w:rsid w:val="00D8760C"/>
    <w:rsid w:val="00D920E1"/>
    <w:rsid w:val="00D933A3"/>
    <w:rsid w:val="00D938C0"/>
    <w:rsid w:val="00DA577E"/>
    <w:rsid w:val="00DB12E9"/>
    <w:rsid w:val="00DB1EB4"/>
    <w:rsid w:val="00DB1EFF"/>
    <w:rsid w:val="00DB3B52"/>
    <w:rsid w:val="00DB48CA"/>
    <w:rsid w:val="00DB62A8"/>
    <w:rsid w:val="00DC0779"/>
    <w:rsid w:val="00DC338F"/>
    <w:rsid w:val="00DC5749"/>
    <w:rsid w:val="00DC688D"/>
    <w:rsid w:val="00DC6C3F"/>
    <w:rsid w:val="00DC780B"/>
    <w:rsid w:val="00DC7818"/>
    <w:rsid w:val="00DD0345"/>
    <w:rsid w:val="00DD44D7"/>
    <w:rsid w:val="00DD52A5"/>
    <w:rsid w:val="00DD7675"/>
    <w:rsid w:val="00DE7878"/>
    <w:rsid w:val="00DF351E"/>
    <w:rsid w:val="00DF6259"/>
    <w:rsid w:val="00DF7302"/>
    <w:rsid w:val="00DF7D59"/>
    <w:rsid w:val="00E00406"/>
    <w:rsid w:val="00E029ED"/>
    <w:rsid w:val="00E046BA"/>
    <w:rsid w:val="00E05B8F"/>
    <w:rsid w:val="00E05C0B"/>
    <w:rsid w:val="00E063EB"/>
    <w:rsid w:val="00E065AB"/>
    <w:rsid w:val="00E06A89"/>
    <w:rsid w:val="00E11631"/>
    <w:rsid w:val="00E15D11"/>
    <w:rsid w:val="00E16AD8"/>
    <w:rsid w:val="00E177C5"/>
    <w:rsid w:val="00E212BD"/>
    <w:rsid w:val="00E23161"/>
    <w:rsid w:val="00E239BC"/>
    <w:rsid w:val="00E23FF7"/>
    <w:rsid w:val="00E24AA3"/>
    <w:rsid w:val="00E257C2"/>
    <w:rsid w:val="00E31A41"/>
    <w:rsid w:val="00E3303E"/>
    <w:rsid w:val="00E34348"/>
    <w:rsid w:val="00E36A1C"/>
    <w:rsid w:val="00E36F1E"/>
    <w:rsid w:val="00E4023A"/>
    <w:rsid w:val="00E411C3"/>
    <w:rsid w:val="00E46CED"/>
    <w:rsid w:val="00E50681"/>
    <w:rsid w:val="00E51DBB"/>
    <w:rsid w:val="00E52D66"/>
    <w:rsid w:val="00E54A04"/>
    <w:rsid w:val="00E54C13"/>
    <w:rsid w:val="00E5741D"/>
    <w:rsid w:val="00E61933"/>
    <w:rsid w:val="00E64964"/>
    <w:rsid w:val="00E6599A"/>
    <w:rsid w:val="00E67890"/>
    <w:rsid w:val="00E713E4"/>
    <w:rsid w:val="00E71EA3"/>
    <w:rsid w:val="00E73D28"/>
    <w:rsid w:val="00E73E8A"/>
    <w:rsid w:val="00E7400E"/>
    <w:rsid w:val="00E758C9"/>
    <w:rsid w:val="00E80BB7"/>
    <w:rsid w:val="00E80C74"/>
    <w:rsid w:val="00E812C2"/>
    <w:rsid w:val="00E814C9"/>
    <w:rsid w:val="00E82F52"/>
    <w:rsid w:val="00E83A29"/>
    <w:rsid w:val="00E859B4"/>
    <w:rsid w:val="00E878C4"/>
    <w:rsid w:val="00E87DBB"/>
    <w:rsid w:val="00E95334"/>
    <w:rsid w:val="00E96DDF"/>
    <w:rsid w:val="00E97995"/>
    <w:rsid w:val="00E97D92"/>
    <w:rsid w:val="00EA003C"/>
    <w:rsid w:val="00EA08CF"/>
    <w:rsid w:val="00EA093A"/>
    <w:rsid w:val="00EA1333"/>
    <w:rsid w:val="00EA3AE7"/>
    <w:rsid w:val="00EA481C"/>
    <w:rsid w:val="00EA4C21"/>
    <w:rsid w:val="00EA5794"/>
    <w:rsid w:val="00EA5DB4"/>
    <w:rsid w:val="00EA6188"/>
    <w:rsid w:val="00EA6AC0"/>
    <w:rsid w:val="00EB43B1"/>
    <w:rsid w:val="00EB4AD1"/>
    <w:rsid w:val="00EB4C17"/>
    <w:rsid w:val="00EB4E80"/>
    <w:rsid w:val="00EB559B"/>
    <w:rsid w:val="00EC3CDE"/>
    <w:rsid w:val="00EC48B8"/>
    <w:rsid w:val="00ED7A06"/>
    <w:rsid w:val="00ED7ADC"/>
    <w:rsid w:val="00EE051B"/>
    <w:rsid w:val="00EE073D"/>
    <w:rsid w:val="00EE44A8"/>
    <w:rsid w:val="00EE454F"/>
    <w:rsid w:val="00EE5167"/>
    <w:rsid w:val="00EE5B62"/>
    <w:rsid w:val="00EE5C25"/>
    <w:rsid w:val="00EE7106"/>
    <w:rsid w:val="00EF0A78"/>
    <w:rsid w:val="00EF56F6"/>
    <w:rsid w:val="00EF6CC4"/>
    <w:rsid w:val="00EF7FF2"/>
    <w:rsid w:val="00F00BFC"/>
    <w:rsid w:val="00F01890"/>
    <w:rsid w:val="00F033F8"/>
    <w:rsid w:val="00F03712"/>
    <w:rsid w:val="00F03A22"/>
    <w:rsid w:val="00F03E93"/>
    <w:rsid w:val="00F06052"/>
    <w:rsid w:val="00F07015"/>
    <w:rsid w:val="00F071BE"/>
    <w:rsid w:val="00F11523"/>
    <w:rsid w:val="00F126D2"/>
    <w:rsid w:val="00F12DC5"/>
    <w:rsid w:val="00F135D0"/>
    <w:rsid w:val="00F13A0D"/>
    <w:rsid w:val="00F1456F"/>
    <w:rsid w:val="00F1558A"/>
    <w:rsid w:val="00F173F8"/>
    <w:rsid w:val="00F17647"/>
    <w:rsid w:val="00F206C5"/>
    <w:rsid w:val="00F31EB0"/>
    <w:rsid w:val="00F3390D"/>
    <w:rsid w:val="00F34D0B"/>
    <w:rsid w:val="00F366D2"/>
    <w:rsid w:val="00F36925"/>
    <w:rsid w:val="00F37144"/>
    <w:rsid w:val="00F40243"/>
    <w:rsid w:val="00F4457E"/>
    <w:rsid w:val="00F45437"/>
    <w:rsid w:val="00F46C29"/>
    <w:rsid w:val="00F46FF1"/>
    <w:rsid w:val="00F476FA"/>
    <w:rsid w:val="00F47AEE"/>
    <w:rsid w:val="00F531EB"/>
    <w:rsid w:val="00F54E03"/>
    <w:rsid w:val="00F55FD2"/>
    <w:rsid w:val="00F56B45"/>
    <w:rsid w:val="00F62212"/>
    <w:rsid w:val="00F6418B"/>
    <w:rsid w:val="00F64D0B"/>
    <w:rsid w:val="00F6627D"/>
    <w:rsid w:val="00F66DFC"/>
    <w:rsid w:val="00F71852"/>
    <w:rsid w:val="00F743CC"/>
    <w:rsid w:val="00F74496"/>
    <w:rsid w:val="00F7539D"/>
    <w:rsid w:val="00F8037F"/>
    <w:rsid w:val="00F8329A"/>
    <w:rsid w:val="00F839CD"/>
    <w:rsid w:val="00F8754C"/>
    <w:rsid w:val="00F87686"/>
    <w:rsid w:val="00F8781D"/>
    <w:rsid w:val="00F9060F"/>
    <w:rsid w:val="00F92B65"/>
    <w:rsid w:val="00F92BBC"/>
    <w:rsid w:val="00F92CE9"/>
    <w:rsid w:val="00F97D59"/>
    <w:rsid w:val="00FA0083"/>
    <w:rsid w:val="00FA1234"/>
    <w:rsid w:val="00FA1586"/>
    <w:rsid w:val="00FA2D49"/>
    <w:rsid w:val="00FA3C26"/>
    <w:rsid w:val="00FA4518"/>
    <w:rsid w:val="00FA51BC"/>
    <w:rsid w:val="00FA5E49"/>
    <w:rsid w:val="00FA6909"/>
    <w:rsid w:val="00FA6935"/>
    <w:rsid w:val="00FA6E06"/>
    <w:rsid w:val="00FA75D8"/>
    <w:rsid w:val="00FB049E"/>
    <w:rsid w:val="00FB1A1C"/>
    <w:rsid w:val="00FB6313"/>
    <w:rsid w:val="00FB6CC1"/>
    <w:rsid w:val="00FC1FF7"/>
    <w:rsid w:val="00FC2B91"/>
    <w:rsid w:val="00FC2B99"/>
    <w:rsid w:val="00FC339B"/>
    <w:rsid w:val="00FC48A0"/>
    <w:rsid w:val="00FC48B4"/>
    <w:rsid w:val="00FC5DDF"/>
    <w:rsid w:val="00FC7220"/>
    <w:rsid w:val="00FC75FD"/>
    <w:rsid w:val="00FD46D8"/>
    <w:rsid w:val="00FE04FF"/>
    <w:rsid w:val="00FE0D48"/>
    <w:rsid w:val="00FE2E30"/>
    <w:rsid w:val="00FE432E"/>
    <w:rsid w:val="00FF257C"/>
    <w:rsid w:val="00FF647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1C3090"/>
    <w:pPr>
      <w:widowControl w:val="0"/>
      <w:spacing w:after="220"/>
      <w:ind w:firstLine="720"/>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571">
      <w:bodyDiv w:val="1"/>
      <w:marLeft w:val="0"/>
      <w:marRight w:val="0"/>
      <w:marTop w:val="0"/>
      <w:marBottom w:val="0"/>
      <w:divBdr>
        <w:top w:val="none" w:sz="0" w:space="0" w:color="auto"/>
        <w:left w:val="none" w:sz="0" w:space="0" w:color="auto"/>
        <w:bottom w:val="none" w:sz="0" w:space="0" w:color="auto"/>
        <w:right w:val="none" w:sz="0" w:space="0" w:color="auto"/>
      </w:divBdr>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404570139">
      <w:bodyDiv w:val="1"/>
      <w:marLeft w:val="0"/>
      <w:marRight w:val="0"/>
      <w:marTop w:val="0"/>
      <w:marBottom w:val="0"/>
      <w:divBdr>
        <w:top w:val="none" w:sz="0" w:space="0" w:color="auto"/>
        <w:left w:val="none" w:sz="0" w:space="0" w:color="auto"/>
        <w:bottom w:val="none" w:sz="0" w:space="0" w:color="auto"/>
        <w:right w:val="none" w:sz="0" w:space="0" w:color="auto"/>
      </w:divBdr>
    </w:div>
    <w:div w:id="652567376">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2043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incentiveauctions/learn-program/repacking.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vin.Harding@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ossein.Hashemzadeh@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sha.Javid@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Bureaus/Engineering_Technology/Documents/bulletins/oet69/oet6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2095</Words>
  <Characters>11536</Characters>
  <Application>Microsoft Office Word</Application>
  <DocSecurity>0</DocSecurity>
  <Lines>162</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13748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2013-06-21T16:10:00Z</cp:lastPrinted>
  <dcterms:created xsi:type="dcterms:W3CDTF">2013-07-22T19:21:00Z</dcterms:created>
  <dcterms:modified xsi:type="dcterms:W3CDTF">2013-07-22T19:21:00Z</dcterms:modified>
  <cp:category> </cp:category>
  <cp:contentStatus> </cp:contentStatus>
</cp:coreProperties>
</file>