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Pr="00282AFD" w:rsidRDefault="00B24E27" w:rsidP="00282AFD">
      <w:pPr>
        <w:pStyle w:val="Header"/>
        <w:tabs>
          <w:tab w:val="clear" w:pos="4320"/>
          <w:tab w:val="clear" w:pos="8640"/>
        </w:tabs>
        <w:contextualSpacing/>
        <w:jc w:val="center"/>
        <w:rPr>
          <w:b/>
          <w:sz w:val="28"/>
          <w:szCs w:val="28"/>
        </w:rPr>
        <w:sectPr w:rsidR="00B24E27" w:rsidRPr="00282A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5510DF" w:rsidRDefault="00B24E27" w:rsidP="00B24E27">
      <w:pPr>
        <w:contextualSpacing/>
        <w:jc w:val="right"/>
        <w:rPr>
          <w:rFonts w:eastAsia="Calibri"/>
          <w:b/>
          <w:szCs w:val="22"/>
        </w:rPr>
      </w:pPr>
      <w:r w:rsidRPr="005510DF">
        <w:rPr>
          <w:rFonts w:eastAsia="Calibri"/>
          <w:b/>
          <w:szCs w:val="22"/>
        </w:rPr>
        <w:lastRenderedPageBreak/>
        <w:t>DA 13-</w:t>
      </w:r>
      <w:r w:rsidR="004E2DBC">
        <w:rPr>
          <w:rFonts w:eastAsia="Calibri"/>
          <w:b/>
          <w:szCs w:val="22"/>
        </w:rPr>
        <w:t>1617</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7E38AD">
        <w:rPr>
          <w:rFonts w:eastAsia="Calibri"/>
          <w:b/>
          <w:szCs w:val="22"/>
        </w:rPr>
        <w:t xml:space="preserve"> </w:t>
      </w:r>
      <w:r w:rsidR="00D03DDF">
        <w:rPr>
          <w:rFonts w:eastAsia="Calibri"/>
          <w:b/>
          <w:szCs w:val="22"/>
        </w:rPr>
        <w:t>Ju</w:t>
      </w:r>
      <w:r w:rsidR="00482514">
        <w:rPr>
          <w:rFonts w:eastAsia="Calibri"/>
          <w:b/>
          <w:szCs w:val="22"/>
        </w:rPr>
        <w:t>ly</w:t>
      </w:r>
      <w:r w:rsidR="0087171C">
        <w:rPr>
          <w:rFonts w:eastAsia="Calibri"/>
          <w:b/>
          <w:szCs w:val="22"/>
        </w:rPr>
        <w:t xml:space="preserve"> </w:t>
      </w:r>
      <w:r w:rsidR="00F42022">
        <w:rPr>
          <w:rFonts w:eastAsia="Calibri"/>
          <w:b/>
          <w:szCs w:val="22"/>
        </w:rPr>
        <w:t>23</w:t>
      </w:r>
      <w:r w:rsidRPr="005510DF">
        <w:rPr>
          <w:rFonts w:eastAsia="Calibri"/>
          <w:b/>
          <w:szCs w:val="22"/>
        </w:rPr>
        <w:t>, 2013</w:t>
      </w:r>
    </w:p>
    <w:p w:rsidR="00B24E27" w:rsidRPr="005510DF" w:rsidRDefault="00B24E27" w:rsidP="00B24E27">
      <w:pPr>
        <w:contextualSpacing/>
        <w:jc w:val="right"/>
        <w:rPr>
          <w:rFonts w:eastAsia="Calibri"/>
          <w:b/>
          <w:szCs w:val="22"/>
        </w:rPr>
      </w:pPr>
    </w:p>
    <w:p w:rsidR="00D03DDF" w:rsidRDefault="00D03DDF" w:rsidP="00D03DDF">
      <w:pPr>
        <w:jc w:val="center"/>
        <w:rPr>
          <w:rFonts w:eastAsia="Calibri"/>
          <w:b/>
          <w:szCs w:val="22"/>
        </w:rPr>
      </w:pPr>
    </w:p>
    <w:p w:rsidR="00D539CE" w:rsidRDefault="00D539CE" w:rsidP="00D03DDF">
      <w:pPr>
        <w:jc w:val="center"/>
        <w:rPr>
          <w:rFonts w:eastAsia="Calibri"/>
          <w:b/>
          <w:szCs w:val="22"/>
        </w:rPr>
      </w:pPr>
      <w:r>
        <w:rPr>
          <w:rFonts w:eastAsia="Calibri"/>
          <w:b/>
          <w:szCs w:val="22"/>
        </w:rPr>
        <w:t xml:space="preserve">PARTIES ASKED </w:t>
      </w:r>
      <w:r w:rsidR="00D03DDF">
        <w:rPr>
          <w:rFonts w:eastAsia="Calibri"/>
          <w:b/>
          <w:szCs w:val="22"/>
        </w:rPr>
        <w:t>TO REFRESH THE RECORD</w:t>
      </w:r>
    </w:p>
    <w:p w:rsidR="00D03DDF" w:rsidRDefault="0043712E" w:rsidP="00D03DDF">
      <w:pPr>
        <w:jc w:val="center"/>
        <w:rPr>
          <w:rFonts w:eastAsia="Calibri"/>
          <w:b/>
          <w:szCs w:val="22"/>
        </w:rPr>
      </w:pPr>
      <w:r>
        <w:rPr>
          <w:rFonts w:eastAsia="Calibri"/>
          <w:b/>
          <w:szCs w:val="22"/>
        </w:rPr>
        <w:t xml:space="preserve"> RE</w:t>
      </w:r>
      <w:r w:rsidR="00D03DDF">
        <w:rPr>
          <w:rFonts w:eastAsia="Calibri"/>
          <w:b/>
          <w:szCs w:val="22"/>
        </w:rPr>
        <w:t>GARDING PROPERTY RECORDS FOR RATE-OF-RETURN CARRIERS</w:t>
      </w:r>
    </w:p>
    <w:p w:rsidR="00D03DDF" w:rsidRDefault="00D03DDF" w:rsidP="00D03DDF">
      <w:pPr>
        <w:jc w:val="center"/>
        <w:rPr>
          <w:rFonts w:eastAsia="Calibri"/>
          <w:b/>
          <w:szCs w:val="22"/>
        </w:rPr>
      </w:pPr>
    </w:p>
    <w:p w:rsidR="00B82EB1" w:rsidRDefault="00B82EB1" w:rsidP="00D03DDF">
      <w:pPr>
        <w:jc w:val="center"/>
        <w:rPr>
          <w:rFonts w:eastAsia="Calibri"/>
          <w:b/>
          <w:szCs w:val="22"/>
        </w:rPr>
      </w:pPr>
      <w:r>
        <w:rPr>
          <w:rFonts w:eastAsia="Calibri"/>
          <w:b/>
          <w:szCs w:val="22"/>
        </w:rPr>
        <w:t>CC Docket Nos. 00-199</w:t>
      </w:r>
      <w:r w:rsidR="00D03DDF">
        <w:rPr>
          <w:rFonts w:eastAsia="Calibri"/>
          <w:b/>
          <w:szCs w:val="22"/>
        </w:rPr>
        <w:t>, 9</w:t>
      </w:r>
      <w:r>
        <w:rPr>
          <w:rFonts w:eastAsia="Calibri"/>
          <w:b/>
          <w:szCs w:val="22"/>
        </w:rPr>
        <w:t>9-301</w:t>
      </w:r>
    </w:p>
    <w:p w:rsidR="00D03DDF" w:rsidRDefault="00D03DDF" w:rsidP="00D03DDF">
      <w:pPr>
        <w:jc w:val="center"/>
        <w:rPr>
          <w:rFonts w:eastAsia="Calibri"/>
          <w:b/>
          <w:szCs w:val="22"/>
        </w:rPr>
      </w:pPr>
    </w:p>
    <w:p w:rsidR="00D03DDF" w:rsidRDefault="00D03DDF" w:rsidP="00D03DDF">
      <w:pPr>
        <w:rPr>
          <w:rFonts w:eastAsia="Calibri"/>
          <w:b/>
          <w:szCs w:val="22"/>
        </w:rPr>
      </w:pPr>
      <w:r>
        <w:rPr>
          <w:rFonts w:eastAsia="Calibri"/>
          <w:b/>
          <w:szCs w:val="22"/>
        </w:rPr>
        <w:t>Comment D</w:t>
      </w:r>
      <w:r w:rsidR="00B82EB1">
        <w:rPr>
          <w:rFonts w:eastAsia="Calibri"/>
          <w:b/>
          <w:szCs w:val="22"/>
        </w:rPr>
        <w:t>ate</w:t>
      </w:r>
      <w:r>
        <w:rPr>
          <w:rFonts w:eastAsia="Calibri"/>
          <w:b/>
          <w:szCs w:val="22"/>
        </w:rPr>
        <w:t xml:space="preserve">:  </w:t>
      </w:r>
      <w:r w:rsidR="00663B7F" w:rsidRPr="00413271">
        <w:rPr>
          <w:rFonts w:eastAsia="Calibri"/>
          <w:b/>
          <w:szCs w:val="22"/>
        </w:rPr>
        <w:t>[</w:t>
      </w:r>
      <w:r w:rsidRPr="00413271">
        <w:rPr>
          <w:rFonts w:eastAsia="Calibri"/>
          <w:b/>
          <w:szCs w:val="22"/>
        </w:rPr>
        <w:t xml:space="preserve">30 days after </w:t>
      </w:r>
      <w:r w:rsidR="00413271">
        <w:rPr>
          <w:rFonts w:eastAsia="Calibri"/>
          <w:b/>
          <w:szCs w:val="22"/>
        </w:rPr>
        <w:t xml:space="preserve">Federal Register </w:t>
      </w:r>
      <w:r w:rsidR="00EB222E" w:rsidRPr="00413271">
        <w:rPr>
          <w:rFonts w:eastAsia="Calibri"/>
          <w:b/>
          <w:szCs w:val="22"/>
        </w:rPr>
        <w:t>publication</w:t>
      </w:r>
      <w:r w:rsidR="00663B7F" w:rsidRPr="00413271">
        <w:rPr>
          <w:rFonts w:eastAsia="Calibri"/>
          <w:b/>
          <w:szCs w:val="22"/>
        </w:rPr>
        <w:t>]</w:t>
      </w:r>
    </w:p>
    <w:p w:rsidR="00D03DDF" w:rsidRDefault="004E1D35" w:rsidP="00D03DDF">
      <w:pPr>
        <w:rPr>
          <w:rFonts w:eastAsia="Calibri"/>
          <w:b/>
          <w:szCs w:val="22"/>
        </w:rPr>
      </w:pPr>
      <w:r>
        <w:rPr>
          <w:rFonts w:eastAsia="Calibri"/>
          <w:b/>
          <w:szCs w:val="22"/>
        </w:rPr>
        <w:t>Reply Comment</w:t>
      </w:r>
      <w:r w:rsidR="00D539CE">
        <w:rPr>
          <w:rFonts w:eastAsia="Calibri"/>
          <w:b/>
          <w:szCs w:val="22"/>
        </w:rPr>
        <w:t xml:space="preserve"> Date</w:t>
      </w:r>
      <w:r w:rsidR="00D03DDF">
        <w:rPr>
          <w:rFonts w:eastAsia="Calibri"/>
          <w:b/>
          <w:szCs w:val="22"/>
        </w:rPr>
        <w:t xml:space="preserve">:  </w:t>
      </w:r>
      <w:r w:rsidR="00663B7F" w:rsidRPr="00413271">
        <w:rPr>
          <w:rFonts w:eastAsia="Calibri"/>
          <w:b/>
          <w:szCs w:val="22"/>
        </w:rPr>
        <w:t>[</w:t>
      </w:r>
      <w:r w:rsidR="00D03DDF" w:rsidRPr="00413271">
        <w:rPr>
          <w:rFonts w:eastAsia="Calibri"/>
          <w:b/>
          <w:szCs w:val="22"/>
        </w:rPr>
        <w:t>45 days after</w:t>
      </w:r>
      <w:r w:rsidR="003275B5" w:rsidRPr="00413271">
        <w:rPr>
          <w:rFonts w:eastAsia="Calibri"/>
          <w:b/>
          <w:szCs w:val="22"/>
        </w:rPr>
        <w:t xml:space="preserve"> </w:t>
      </w:r>
      <w:r w:rsidR="00413271">
        <w:rPr>
          <w:rFonts w:eastAsia="Calibri"/>
          <w:b/>
          <w:szCs w:val="22"/>
        </w:rPr>
        <w:t xml:space="preserve">Federal Register </w:t>
      </w:r>
      <w:r w:rsidR="003275B5" w:rsidRPr="00413271">
        <w:rPr>
          <w:rFonts w:eastAsia="Calibri"/>
          <w:b/>
          <w:szCs w:val="22"/>
        </w:rPr>
        <w:t>publication</w:t>
      </w:r>
      <w:r w:rsidR="00663B7F" w:rsidRPr="00413271">
        <w:rPr>
          <w:rFonts w:eastAsia="Calibri"/>
          <w:b/>
          <w:szCs w:val="22"/>
        </w:rPr>
        <w:t>]</w:t>
      </w:r>
    </w:p>
    <w:p w:rsidR="00B24E27" w:rsidRPr="005510DF" w:rsidRDefault="00B24E27" w:rsidP="00936B3C">
      <w:pPr>
        <w:contextualSpacing/>
        <w:rPr>
          <w:rFonts w:eastAsia="Calibri"/>
          <w:b/>
          <w:szCs w:val="22"/>
        </w:rPr>
      </w:pPr>
    </w:p>
    <w:p w:rsidR="009B2670" w:rsidRDefault="00691939" w:rsidP="00200DFF">
      <w:pPr>
        <w:spacing w:after="120"/>
        <w:ind w:firstLine="720"/>
      </w:pPr>
      <w:r>
        <w:rPr>
          <w:szCs w:val="22"/>
        </w:rPr>
        <w:t xml:space="preserve">On </w:t>
      </w:r>
      <w:r w:rsidR="00A21883">
        <w:rPr>
          <w:szCs w:val="22"/>
        </w:rPr>
        <w:t>May 10, 2013</w:t>
      </w:r>
      <w:r>
        <w:rPr>
          <w:szCs w:val="22"/>
        </w:rPr>
        <w:t xml:space="preserve">, the Commission adopted the </w:t>
      </w:r>
      <w:r w:rsidRPr="00455183">
        <w:rPr>
          <w:i/>
          <w:szCs w:val="22"/>
        </w:rPr>
        <w:t xml:space="preserve">USTelecom </w:t>
      </w:r>
      <w:r w:rsidR="00A21883">
        <w:rPr>
          <w:i/>
          <w:szCs w:val="22"/>
        </w:rPr>
        <w:t xml:space="preserve">Forbearance </w:t>
      </w:r>
      <w:r w:rsidR="001C79BA">
        <w:rPr>
          <w:i/>
          <w:szCs w:val="22"/>
        </w:rPr>
        <w:t xml:space="preserve">Long </w:t>
      </w:r>
      <w:r w:rsidRPr="00455183">
        <w:rPr>
          <w:i/>
          <w:szCs w:val="22"/>
        </w:rPr>
        <w:t>Order</w:t>
      </w:r>
      <w:r>
        <w:rPr>
          <w:szCs w:val="22"/>
        </w:rPr>
        <w:t xml:space="preserve">, which </w:t>
      </w:r>
      <w:r w:rsidR="001F38A6">
        <w:rPr>
          <w:szCs w:val="22"/>
        </w:rPr>
        <w:t xml:space="preserve">granted conditional </w:t>
      </w:r>
      <w:r w:rsidR="009A1ED4">
        <w:rPr>
          <w:szCs w:val="22"/>
        </w:rPr>
        <w:t>forbearance</w:t>
      </w:r>
      <w:r w:rsidR="001F38A6">
        <w:rPr>
          <w:szCs w:val="22"/>
        </w:rPr>
        <w:t xml:space="preserve"> </w:t>
      </w:r>
      <w:r w:rsidR="009A1ED4">
        <w:rPr>
          <w:szCs w:val="22"/>
        </w:rPr>
        <w:t>from section 32.2000(e) and (f) (the “property record rules”) to price cap carriers.</w:t>
      </w:r>
      <w:r w:rsidR="009A1ED4">
        <w:rPr>
          <w:rStyle w:val="FootnoteReference"/>
          <w:szCs w:val="22"/>
        </w:rPr>
        <w:footnoteReference w:id="2"/>
      </w:r>
      <w:r w:rsidR="00EB222E">
        <w:rPr>
          <w:szCs w:val="22"/>
        </w:rPr>
        <w:t xml:space="preserve">  T</w:t>
      </w:r>
      <w:r w:rsidR="009A1ED4">
        <w:rPr>
          <w:szCs w:val="22"/>
        </w:rPr>
        <w:t>he Commission denied forbearance from those same rules to</w:t>
      </w:r>
      <w:r w:rsidR="001F38A6">
        <w:rPr>
          <w:szCs w:val="22"/>
        </w:rPr>
        <w:t xml:space="preserve"> rate-of-return carriers</w:t>
      </w:r>
      <w:r w:rsidR="009A1ED4">
        <w:rPr>
          <w:szCs w:val="22"/>
        </w:rPr>
        <w:t xml:space="preserve"> because, among other things, it concluded that property records enable the Commission to verify the accuracy of such carriers’ costs, which impacts the reasonable</w:t>
      </w:r>
      <w:r w:rsidR="00070C77">
        <w:rPr>
          <w:szCs w:val="22"/>
        </w:rPr>
        <w:t>ness</w:t>
      </w:r>
      <w:r w:rsidR="009A1ED4">
        <w:rPr>
          <w:szCs w:val="22"/>
        </w:rPr>
        <w:t xml:space="preserve"> of their rates.</w:t>
      </w:r>
      <w:r w:rsidR="009A1ED4">
        <w:rPr>
          <w:rStyle w:val="FootnoteReference"/>
          <w:szCs w:val="22"/>
        </w:rPr>
        <w:footnoteReference w:id="3"/>
      </w:r>
      <w:r w:rsidR="009A1ED4">
        <w:rPr>
          <w:szCs w:val="22"/>
        </w:rPr>
        <w:t xml:space="preserve">  </w:t>
      </w:r>
      <w:r w:rsidR="00EB222E">
        <w:rPr>
          <w:szCs w:val="22"/>
        </w:rPr>
        <w:t xml:space="preserve">However, in an effort to obtain a record sufficient to assess whether further </w:t>
      </w:r>
      <w:r w:rsidR="00C03F2D">
        <w:rPr>
          <w:szCs w:val="22"/>
        </w:rPr>
        <w:t xml:space="preserve">Commission action </w:t>
      </w:r>
      <w:r w:rsidR="00EB222E">
        <w:rPr>
          <w:szCs w:val="22"/>
        </w:rPr>
        <w:t xml:space="preserve">on property records was proper, it </w:t>
      </w:r>
      <w:r w:rsidR="008362DE">
        <w:rPr>
          <w:szCs w:val="22"/>
        </w:rPr>
        <w:t xml:space="preserve">sought </w:t>
      </w:r>
      <w:r w:rsidR="00527E0A">
        <w:rPr>
          <w:szCs w:val="22"/>
        </w:rPr>
        <w:t xml:space="preserve">to update the record received </w:t>
      </w:r>
      <w:r w:rsidR="00070C77">
        <w:rPr>
          <w:szCs w:val="22"/>
        </w:rPr>
        <w:t xml:space="preserve">on </w:t>
      </w:r>
      <w:r w:rsidR="00EB222E">
        <w:rPr>
          <w:szCs w:val="22"/>
        </w:rPr>
        <w:t>those</w:t>
      </w:r>
      <w:r w:rsidR="004A2E36">
        <w:rPr>
          <w:szCs w:val="22"/>
        </w:rPr>
        <w:t xml:space="preserve"> issues</w:t>
      </w:r>
      <w:r w:rsidR="00070C77">
        <w:rPr>
          <w:szCs w:val="22"/>
        </w:rPr>
        <w:t xml:space="preserve"> </w:t>
      </w:r>
      <w:r w:rsidR="003F00EB">
        <w:rPr>
          <w:szCs w:val="22"/>
        </w:rPr>
        <w:t>in an earlier, pending</w:t>
      </w:r>
      <w:r w:rsidR="0054081D">
        <w:rPr>
          <w:szCs w:val="22"/>
        </w:rPr>
        <w:t xml:space="preserve"> rulemaking</w:t>
      </w:r>
      <w:r w:rsidR="008362DE">
        <w:rPr>
          <w:szCs w:val="22"/>
        </w:rPr>
        <w:t xml:space="preserve"> </w:t>
      </w:r>
      <w:r w:rsidR="00FA3418">
        <w:rPr>
          <w:szCs w:val="22"/>
        </w:rPr>
        <w:t>on</w:t>
      </w:r>
      <w:r w:rsidR="00070C77" w:rsidRPr="00070C77">
        <w:rPr>
          <w:szCs w:val="22"/>
        </w:rPr>
        <w:t xml:space="preserve"> </w:t>
      </w:r>
      <w:r w:rsidR="00070C77">
        <w:rPr>
          <w:szCs w:val="22"/>
        </w:rPr>
        <w:t>accounting and reporting matters</w:t>
      </w:r>
      <w:r>
        <w:rPr>
          <w:szCs w:val="22"/>
        </w:rPr>
        <w:t>.</w:t>
      </w:r>
      <w:r w:rsidR="00A21883">
        <w:rPr>
          <w:rStyle w:val="FootnoteReference"/>
          <w:szCs w:val="22"/>
        </w:rPr>
        <w:footnoteReference w:id="4"/>
      </w:r>
      <w:r w:rsidR="003F00EB">
        <w:rPr>
          <w:szCs w:val="22"/>
        </w:rPr>
        <w:t xml:space="preserve"> </w:t>
      </w:r>
      <w:r w:rsidR="009B2670">
        <w:t xml:space="preserve"> </w:t>
      </w:r>
    </w:p>
    <w:p w:rsidR="00BB16C8" w:rsidRDefault="001C3BA3" w:rsidP="00200DFF">
      <w:pPr>
        <w:spacing w:after="120"/>
        <w:ind w:firstLine="720"/>
        <w:rPr>
          <w:szCs w:val="22"/>
        </w:rPr>
      </w:pPr>
      <w:r w:rsidRPr="001C3BA3">
        <w:t xml:space="preserve">Specifically, in the </w:t>
      </w:r>
      <w:r w:rsidRPr="001C3BA3">
        <w:rPr>
          <w:i/>
        </w:rPr>
        <w:t xml:space="preserve">USTelecom Forbearance </w:t>
      </w:r>
      <w:r w:rsidR="001C79BA">
        <w:rPr>
          <w:i/>
        </w:rPr>
        <w:t xml:space="preserve">Long </w:t>
      </w:r>
      <w:r w:rsidRPr="001C3BA3">
        <w:rPr>
          <w:i/>
        </w:rPr>
        <w:t>Order</w:t>
      </w:r>
      <w:r w:rsidRPr="001C3BA3">
        <w:t xml:space="preserve">, the Commission </w:t>
      </w:r>
      <w:r w:rsidR="00527E0A">
        <w:t>decided</w:t>
      </w:r>
      <w:r w:rsidRPr="001C3BA3">
        <w:t xml:space="preserve"> to refresh the record </w:t>
      </w:r>
      <w:r w:rsidRPr="001C3BA3">
        <w:rPr>
          <w:szCs w:val="22"/>
        </w:rPr>
        <w:t xml:space="preserve">to </w:t>
      </w:r>
      <w:r w:rsidR="001C79BA">
        <w:rPr>
          <w:szCs w:val="22"/>
        </w:rPr>
        <w:t>assist in determining</w:t>
      </w:r>
      <w:r w:rsidRPr="001C3BA3">
        <w:rPr>
          <w:szCs w:val="22"/>
        </w:rPr>
        <w:t xml:space="preserve"> “</w:t>
      </w:r>
      <w:r w:rsidRPr="001C3BA3">
        <w:rPr>
          <w:snapToGrid w:val="0"/>
          <w:kern w:val="28"/>
        </w:rPr>
        <w:t>whether there are changes we can make to our property records rules that would reduce record-keeping burdens for rate-of-return carriers by focusing on substantial assets and investments while maintaining sufficiently detailed records for the Commission’s needs.”</w:t>
      </w:r>
      <w:r w:rsidRPr="001C3BA3">
        <w:rPr>
          <w:snapToGrid w:val="0"/>
          <w:kern w:val="28"/>
          <w:vertAlign w:val="superscript"/>
        </w:rPr>
        <w:footnoteReference w:id="5"/>
      </w:r>
      <w:r w:rsidRPr="001C3BA3">
        <w:rPr>
          <w:snapToGrid w:val="0"/>
          <w:kern w:val="28"/>
        </w:rPr>
        <w:t xml:space="preserve">  The </w:t>
      </w:r>
      <w:r w:rsidRPr="001C3BA3">
        <w:rPr>
          <w:snapToGrid w:val="0"/>
          <w:kern w:val="28"/>
        </w:rPr>
        <w:lastRenderedPageBreak/>
        <w:t xml:space="preserve">Commission noted that there have been “significant regulatory and marketplace changes [that] have occurred” since 2001 when the Commission adopted the </w:t>
      </w:r>
      <w:r w:rsidRPr="001C3BA3">
        <w:rPr>
          <w:i/>
          <w:snapToGrid w:val="0"/>
          <w:kern w:val="28"/>
        </w:rPr>
        <w:t>Property Records FNPRM</w:t>
      </w:r>
      <w:r w:rsidRPr="001C3BA3">
        <w:rPr>
          <w:snapToGrid w:val="0"/>
          <w:kern w:val="28"/>
        </w:rPr>
        <w:t>.</w:t>
      </w:r>
      <w:r w:rsidRPr="001C3BA3">
        <w:rPr>
          <w:snapToGrid w:val="0"/>
          <w:kern w:val="28"/>
          <w:vertAlign w:val="superscript"/>
        </w:rPr>
        <w:footnoteReference w:id="6"/>
      </w:r>
      <w:r w:rsidRPr="001C3BA3">
        <w:rPr>
          <w:szCs w:val="22"/>
        </w:rPr>
        <w:t xml:space="preserve">  Therefore, we ask parties to comment on property records issues as they relate to rate-of-return carriers in light of </w:t>
      </w:r>
      <w:r w:rsidR="00527E0A">
        <w:rPr>
          <w:szCs w:val="22"/>
        </w:rPr>
        <w:t xml:space="preserve">such </w:t>
      </w:r>
      <w:r w:rsidRPr="001C3BA3">
        <w:rPr>
          <w:szCs w:val="22"/>
        </w:rPr>
        <w:t xml:space="preserve">changes, including the </w:t>
      </w:r>
      <w:r w:rsidRPr="001C3BA3">
        <w:rPr>
          <w:i/>
          <w:szCs w:val="22"/>
        </w:rPr>
        <w:t xml:space="preserve">USTelecom Forbearance </w:t>
      </w:r>
      <w:r w:rsidR="001C79BA">
        <w:rPr>
          <w:i/>
          <w:szCs w:val="22"/>
        </w:rPr>
        <w:t xml:space="preserve">Long </w:t>
      </w:r>
      <w:r w:rsidRPr="001C3BA3">
        <w:rPr>
          <w:i/>
          <w:szCs w:val="22"/>
        </w:rPr>
        <w:t>Order</w:t>
      </w:r>
      <w:r w:rsidRPr="001C3BA3">
        <w:rPr>
          <w:szCs w:val="22"/>
        </w:rPr>
        <w:t xml:space="preserve">.  </w:t>
      </w:r>
      <w:r w:rsidR="00FA3418">
        <w:rPr>
          <w:szCs w:val="22"/>
        </w:rPr>
        <w:t xml:space="preserve">  </w:t>
      </w:r>
    </w:p>
    <w:p w:rsidR="007E066C" w:rsidRDefault="007C3952" w:rsidP="001B51D1">
      <w:pPr>
        <w:spacing w:after="120"/>
        <w:ind w:firstLine="720"/>
        <w:rPr>
          <w:szCs w:val="22"/>
        </w:rPr>
      </w:pPr>
      <w:r>
        <w:rPr>
          <w:szCs w:val="22"/>
        </w:rPr>
        <w:t xml:space="preserve">The 2001 </w:t>
      </w:r>
      <w:r w:rsidR="00BB34BD">
        <w:rPr>
          <w:i/>
          <w:szCs w:val="22"/>
        </w:rPr>
        <w:t>Property Records FNPRM</w:t>
      </w:r>
      <w:r w:rsidR="00A426C0">
        <w:rPr>
          <w:szCs w:val="22"/>
        </w:rPr>
        <w:t xml:space="preserve"> sought comment “on alternative approaches to streamline our </w:t>
      </w:r>
      <w:r w:rsidR="007E066C">
        <w:rPr>
          <w:szCs w:val="22"/>
        </w:rPr>
        <w:t xml:space="preserve">[property records] </w:t>
      </w:r>
      <w:r w:rsidR="00A426C0">
        <w:rPr>
          <w:szCs w:val="22"/>
        </w:rPr>
        <w:t>rules.”</w:t>
      </w:r>
      <w:r w:rsidR="00A426C0">
        <w:rPr>
          <w:rStyle w:val="FootnoteReference"/>
          <w:szCs w:val="22"/>
        </w:rPr>
        <w:footnoteReference w:id="7"/>
      </w:r>
      <w:r w:rsidR="00A426C0">
        <w:rPr>
          <w:szCs w:val="22"/>
        </w:rPr>
        <w:t xml:space="preserve">  </w:t>
      </w:r>
      <w:r w:rsidR="001B51D1">
        <w:rPr>
          <w:szCs w:val="22"/>
        </w:rPr>
        <w:t>Consistent with that objective and the Commission’s stated intent in the</w:t>
      </w:r>
      <w:r w:rsidR="001B51D1" w:rsidRPr="001B51D1">
        <w:rPr>
          <w:i/>
          <w:szCs w:val="22"/>
        </w:rPr>
        <w:t xml:space="preserve"> </w:t>
      </w:r>
      <w:r w:rsidR="00B9543D" w:rsidRPr="00B9543D">
        <w:rPr>
          <w:i/>
          <w:szCs w:val="22"/>
        </w:rPr>
        <w:t>USTelecom Forbearance Long Order</w:t>
      </w:r>
      <w:r w:rsidR="001B51D1">
        <w:rPr>
          <w:szCs w:val="22"/>
        </w:rPr>
        <w:t xml:space="preserve"> to examine </w:t>
      </w:r>
      <w:r w:rsidR="007E066C">
        <w:rPr>
          <w:szCs w:val="22"/>
        </w:rPr>
        <w:t xml:space="preserve">what </w:t>
      </w:r>
      <w:r w:rsidR="001B51D1">
        <w:rPr>
          <w:snapToGrid w:val="0"/>
          <w:kern w:val="28"/>
        </w:rPr>
        <w:t>changes to the property records rules would reduce record-keeping burdens for rate-of-return carriers, we</w:t>
      </w:r>
      <w:r w:rsidR="001B51D1">
        <w:rPr>
          <w:szCs w:val="22"/>
        </w:rPr>
        <w:t xml:space="preserve"> request </w:t>
      </w:r>
      <w:r w:rsidR="000B78E6">
        <w:rPr>
          <w:szCs w:val="22"/>
        </w:rPr>
        <w:t xml:space="preserve">comment on the feasibility of </w:t>
      </w:r>
      <w:r w:rsidR="001B51D1">
        <w:rPr>
          <w:szCs w:val="22"/>
        </w:rPr>
        <w:t>alternative</w:t>
      </w:r>
      <w:r w:rsidR="000B78E6">
        <w:rPr>
          <w:szCs w:val="22"/>
        </w:rPr>
        <w:t xml:space="preserve"> </w:t>
      </w:r>
      <w:r w:rsidR="001B51D1">
        <w:rPr>
          <w:szCs w:val="22"/>
        </w:rPr>
        <w:t>approaches</w:t>
      </w:r>
      <w:r w:rsidR="000B78E6">
        <w:rPr>
          <w:szCs w:val="22"/>
        </w:rPr>
        <w:t xml:space="preserve"> to property records requirements in </w:t>
      </w:r>
      <w:r w:rsidR="001B51D1">
        <w:rPr>
          <w:szCs w:val="22"/>
        </w:rPr>
        <w:t>rules 32.2000(e) and (f)</w:t>
      </w:r>
      <w:r w:rsidR="000B78E6">
        <w:rPr>
          <w:szCs w:val="22"/>
        </w:rPr>
        <w:t xml:space="preserve">.  </w:t>
      </w:r>
      <w:r w:rsidR="001365C0">
        <w:rPr>
          <w:szCs w:val="22"/>
        </w:rPr>
        <w:t xml:space="preserve">We ask </w:t>
      </w:r>
      <w:r w:rsidR="00EB3044">
        <w:rPr>
          <w:szCs w:val="22"/>
        </w:rPr>
        <w:t xml:space="preserve">that </w:t>
      </w:r>
      <w:r w:rsidR="001365C0">
        <w:rPr>
          <w:szCs w:val="22"/>
        </w:rPr>
        <w:t xml:space="preserve">parties </w:t>
      </w:r>
      <w:r w:rsidR="000B78E6">
        <w:rPr>
          <w:szCs w:val="22"/>
        </w:rPr>
        <w:t>suggest</w:t>
      </w:r>
      <w:r w:rsidR="001365C0">
        <w:rPr>
          <w:szCs w:val="22"/>
        </w:rPr>
        <w:t>ing</w:t>
      </w:r>
      <w:r w:rsidR="000B78E6">
        <w:rPr>
          <w:szCs w:val="22"/>
        </w:rPr>
        <w:t xml:space="preserve"> alternatives</w:t>
      </w:r>
      <w:r w:rsidR="00AF4E2F">
        <w:rPr>
          <w:szCs w:val="22"/>
        </w:rPr>
        <w:t xml:space="preserve">:  </w:t>
      </w:r>
    </w:p>
    <w:p w:rsidR="007E066C" w:rsidRDefault="00AF4E2F" w:rsidP="00541B06">
      <w:pPr>
        <w:spacing w:after="120"/>
        <w:ind w:left="720"/>
        <w:rPr>
          <w:szCs w:val="22"/>
        </w:rPr>
      </w:pPr>
      <w:r>
        <w:rPr>
          <w:szCs w:val="22"/>
        </w:rPr>
        <w:t xml:space="preserve">(1) </w:t>
      </w:r>
      <w:r w:rsidR="007E066C">
        <w:rPr>
          <w:szCs w:val="22"/>
        </w:rPr>
        <w:t>I</w:t>
      </w:r>
      <w:r w:rsidR="001B51D1">
        <w:rPr>
          <w:szCs w:val="22"/>
        </w:rPr>
        <w:t xml:space="preserve">dentify </w:t>
      </w:r>
      <w:r w:rsidR="00144802">
        <w:rPr>
          <w:szCs w:val="22"/>
        </w:rPr>
        <w:t xml:space="preserve">from which </w:t>
      </w:r>
      <w:r w:rsidR="001B51D1">
        <w:rPr>
          <w:szCs w:val="22"/>
        </w:rPr>
        <w:t>sections and subsections of rules 32.2000(e) and (f</w:t>
      </w:r>
      <w:r w:rsidR="00865118">
        <w:rPr>
          <w:szCs w:val="22"/>
        </w:rPr>
        <w:t xml:space="preserve">) </w:t>
      </w:r>
      <w:r w:rsidR="007E066C">
        <w:rPr>
          <w:szCs w:val="22"/>
        </w:rPr>
        <w:t xml:space="preserve">are </w:t>
      </w:r>
      <w:r w:rsidR="00865118">
        <w:rPr>
          <w:szCs w:val="22"/>
        </w:rPr>
        <w:t>“</w:t>
      </w:r>
      <w:r w:rsidR="007E066C">
        <w:rPr>
          <w:szCs w:val="22"/>
        </w:rPr>
        <w:t>more burdensome than necessary;”</w:t>
      </w:r>
      <w:r w:rsidR="007E066C">
        <w:rPr>
          <w:rStyle w:val="FootnoteReference"/>
          <w:szCs w:val="22"/>
        </w:rPr>
        <w:footnoteReference w:id="8"/>
      </w:r>
      <w:r>
        <w:rPr>
          <w:szCs w:val="22"/>
        </w:rPr>
        <w:t xml:space="preserve"> </w:t>
      </w:r>
    </w:p>
    <w:p w:rsidR="007E066C" w:rsidRDefault="00AF4E2F" w:rsidP="00541B06">
      <w:pPr>
        <w:spacing w:after="120"/>
        <w:ind w:left="720"/>
        <w:rPr>
          <w:szCs w:val="22"/>
        </w:rPr>
      </w:pPr>
      <w:r>
        <w:rPr>
          <w:szCs w:val="22"/>
        </w:rPr>
        <w:t xml:space="preserve">(2) </w:t>
      </w:r>
      <w:r w:rsidR="007E066C">
        <w:rPr>
          <w:szCs w:val="22"/>
        </w:rPr>
        <w:t>E</w:t>
      </w:r>
      <w:r w:rsidR="001365C0">
        <w:rPr>
          <w:szCs w:val="22"/>
        </w:rPr>
        <w:t xml:space="preserve">xplain </w:t>
      </w:r>
      <w:r w:rsidR="00BB34BD">
        <w:rPr>
          <w:szCs w:val="22"/>
        </w:rPr>
        <w:t>how</w:t>
      </w:r>
      <w:r w:rsidR="001365C0">
        <w:rPr>
          <w:szCs w:val="22"/>
        </w:rPr>
        <w:t xml:space="preserve"> rate-of-return </w:t>
      </w:r>
      <w:r w:rsidR="001B51D1">
        <w:rPr>
          <w:szCs w:val="22"/>
        </w:rPr>
        <w:t>carrier</w:t>
      </w:r>
      <w:r w:rsidR="001365C0">
        <w:rPr>
          <w:szCs w:val="22"/>
        </w:rPr>
        <w:t xml:space="preserve">s presently </w:t>
      </w:r>
      <w:r w:rsidR="00BB34BD">
        <w:rPr>
          <w:szCs w:val="22"/>
        </w:rPr>
        <w:t>comply with</w:t>
      </w:r>
      <w:r w:rsidR="001B51D1">
        <w:rPr>
          <w:szCs w:val="22"/>
        </w:rPr>
        <w:t xml:space="preserve"> p</w:t>
      </w:r>
      <w:r w:rsidR="001365C0">
        <w:rPr>
          <w:szCs w:val="22"/>
        </w:rPr>
        <w:t xml:space="preserve">roperty record requirements, </w:t>
      </w:r>
      <w:r w:rsidR="00144802">
        <w:rPr>
          <w:szCs w:val="22"/>
        </w:rPr>
        <w:t>describe the current burdens with specific costs if possible</w:t>
      </w:r>
      <w:r w:rsidR="001B51D1">
        <w:rPr>
          <w:szCs w:val="22"/>
        </w:rPr>
        <w:t>, and provide a cost-benefit analysis</w:t>
      </w:r>
      <w:r w:rsidR="00EB3044" w:rsidRPr="00EB3044">
        <w:rPr>
          <w:szCs w:val="22"/>
        </w:rPr>
        <w:t xml:space="preserve"> </w:t>
      </w:r>
      <w:r w:rsidR="00EB3044">
        <w:rPr>
          <w:szCs w:val="22"/>
        </w:rPr>
        <w:t>of any proposed rule changes;</w:t>
      </w:r>
      <w:r w:rsidR="001B51D1">
        <w:rPr>
          <w:rStyle w:val="FootnoteReference"/>
          <w:szCs w:val="22"/>
        </w:rPr>
        <w:footnoteReference w:id="9"/>
      </w:r>
      <w:r>
        <w:rPr>
          <w:szCs w:val="22"/>
        </w:rPr>
        <w:t xml:space="preserve"> </w:t>
      </w:r>
    </w:p>
    <w:p w:rsidR="007E066C" w:rsidRDefault="00AF4E2F" w:rsidP="00541B06">
      <w:pPr>
        <w:spacing w:after="120"/>
        <w:ind w:left="720"/>
        <w:rPr>
          <w:szCs w:val="22"/>
        </w:rPr>
      </w:pPr>
      <w:r>
        <w:rPr>
          <w:szCs w:val="22"/>
        </w:rPr>
        <w:t xml:space="preserve">(3) </w:t>
      </w:r>
      <w:r w:rsidR="007E066C">
        <w:rPr>
          <w:szCs w:val="22"/>
        </w:rPr>
        <w:t>P</w:t>
      </w:r>
      <w:r w:rsidR="001365C0">
        <w:rPr>
          <w:szCs w:val="22"/>
        </w:rPr>
        <w:t>ropose changes to</w:t>
      </w:r>
      <w:r w:rsidR="001B51D1">
        <w:rPr>
          <w:szCs w:val="22"/>
        </w:rPr>
        <w:t xml:space="preserve"> the rules, </w:t>
      </w:r>
      <w:r w:rsidR="00EB3044">
        <w:rPr>
          <w:szCs w:val="22"/>
        </w:rPr>
        <w:t xml:space="preserve">including clearly </w:t>
      </w:r>
      <w:r w:rsidR="007E066C">
        <w:rPr>
          <w:szCs w:val="22"/>
        </w:rPr>
        <w:t xml:space="preserve">stating </w:t>
      </w:r>
      <w:r w:rsidR="001B51D1">
        <w:rPr>
          <w:szCs w:val="22"/>
        </w:rPr>
        <w:t>wh</w:t>
      </w:r>
      <w:r w:rsidR="00527E0A">
        <w:rPr>
          <w:szCs w:val="22"/>
        </w:rPr>
        <w:t xml:space="preserve">ich subsections should be deleted or modified, </w:t>
      </w:r>
      <w:r w:rsidR="006B0675">
        <w:rPr>
          <w:szCs w:val="22"/>
        </w:rPr>
        <w:t>and if so, in what manner</w:t>
      </w:r>
      <w:r w:rsidR="00EB3044">
        <w:rPr>
          <w:szCs w:val="22"/>
        </w:rPr>
        <w:t xml:space="preserve">; </w:t>
      </w:r>
    </w:p>
    <w:p w:rsidR="007E066C" w:rsidRDefault="00EB3044" w:rsidP="00541B06">
      <w:pPr>
        <w:spacing w:after="120"/>
        <w:ind w:left="720"/>
        <w:rPr>
          <w:szCs w:val="22"/>
        </w:rPr>
      </w:pPr>
      <w:r>
        <w:rPr>
          <w:szCs w:val="22"/>
        </w:rPr>
        <w:t xml:space="preserve">(4) </w:t>
      </w:r>
      <w:r w:rsidR="007E066C">
        <w:rPr>
          <w:szCs w:val="22"/>
        </w:rPr>
        <w:t>E</w:t>
      </w:r>
      <w:r>
        <w:rPr>
          <w:szCs w:val="22"/>
        </w:rPr>
        <w:t xml:space="preserve">xplain how </w:t>
      </w:r>
      <w:r w:rsidR="007E066C">
        <w:rPr>
          <w:szCs w:val="22"/>
        </w:rPr>
        <w:t>t</w:t>
      </w:r>
      <w:r w:rsidR="00294153">
        <w:rPr>
          <w:szCs w:val="22"/>
        </w:rPr>
        <w:t xml:space="preserve">heir alternative </w:t>
      </w:r>
      <w:r>
        <w:rPr>
          <w:szCs w:val="22"/>
        </w:rPr>
        <w:t>proposals would achieve the Commission</w:t>
      </w:r>
      <w:r w:rsidR="00527E0A">
        <w:rPr>
          <w:szCs w:val="22"/>
        </w:rPr>
        <w:t>’s objectives</w:t>
      </w:r>
      <w:r>
        <w:rPr>
          <w:szCs w:val="22"/>
        </w:rPr>
        <w:t xml:space="preserve"> to ensure just and reasonable rates</w:t>
      </w:r>
      <w:r w:rsidR="00C452F7">
        <w:rPr>
          <w:szCs w:val="22"/>
        </w:rPr>
        <w:t xml:space="preserve"> and</w:t>
      </w:r>
      <w:r w:rsidR="00C2131A">
        <w:rPr>
          <w:szCs w:val="22"/>
        </w:rPr>
        <w:t xml:space="preserve"> </w:t>
      </w:r>
      <w:r w:rsidR="00EA3A74">
        <w:rPr>
          <w:szCs w:val="22"/>
        </w:rPr>
        <w:t>compliance with its universal service rules</w:t>
      </w:r>
      <w:r w:rsidR="00C2131A">
        <w:rPr>
          <w:szCs w:val="22"/>
        </w:rPr>
        <w:t xml:space="preserve">, and </w:t>
      </w:r>
      <w:r w:rsidR="00482514">
        <w:rPr>
          <w:szCs w:val="22"/>
        </w:rPr>
        <w:t xml:space="preserve">would </w:t>
      </w:r>
      <w:r w:rsidR="00C2131A">
        <w:rPr>
          <w:szCs w:val="22"/>
        </w:rPr>
        <w:t>provid</w:t>
      </w:r>
      <w:r w:rsidR="00482514">
        <w:rPr>
          <w:szCs w:val="22"/>
        </w:rPr>
        <w:t>e</w:t>
      </w:r>
      <w:r w:rsidR="00C2131A">
        <w:rPr>
          <w:szCs w:val="22"/>
        </w:rPr>
        <w:t xml:space="preserve"> adequate property </w:t>
      </w:r>
      <w:r w:rsidR="00A1722F">
        <w:rPr>
          <w:szCs w:val="22"/>
        </w:rPr>
        <w:t xml:space="preserve">record </w:t>
      </w:r>
      <w:r w:rsidR="00C2131A">
        <w:rPr>
          <w:szCs w:val="22"/>
        </w:rPr>
        <w:t>information in support of any requests for waiver of Commission rules</w:t>
      </w:r>
      <w:r w:rsidR="00DA3E5D">
        <w:rPr>
          <w:szCs w:val="22"/>
        </w:rPr>
        <w:t xml:space="preserve">; and </w:t>
      </w:r>
    </w:p>
    <w:p w:rsidR="001365C0" w:rsidRDefault="00DA3E5D" w:rsidP="00541B06">
      <w:pPr>
        <w:spacing w:after="120"/>
        <w:ind w:left="720"/>
        <w:rPr>
          <w:szCs w:val="22"/>
        </w:rPr>
      </w:pPr>
      <w:r>
        <w:rPr>
          <w:szCs w:val="22"/>
        </w:rPr>
        <w:t xml:space="preserve">(5) </w:t>
      </w:r>
      <w:r w:rsidR="007E066C">
        <w:rPr>
          <w:szCs w:val="22"/>
        </w:rPr>
        <w:t xml:space="preserve">Explain </w:t>
      </w:r>
      <w:r>
        <w:rPr>
          <w:szCs w:val="22"/>
        </w:rPr>
        <w:t xml:space="preserve">how any changes to the rules would </w:t>
      </w:r>
      <w:r w:rsidR="00A40979">
        <w:rPr>
          <w:szCs w:val="22"/>
        </w:rPr>
        <w:t xml:space="preserve">continue to </w:t>
      </w:r>
      <w:r>
        <w:rPr>
          <w:szCs w:val="22"/>
        </w:rPr>
        <w:t>allow</w:t>
      </w:r>
      <w:r w:rsidR="00A40979">
        <w:rPr>
          <w:szCs w:val="22"/>
        </w:rPr>
        <w:t xml:space="preserve"> independent auditor</w:t>
      </w:r>
      <w:r w:rsidR="007D2C13">
        <w:rPr>
          <w:szCs w:val="22"/>
        </w:rPr>
        <w:t>s</w:t>
      </w:r>
      <w:r>
        <w:rPr>
          <w:szCs w:val="22"/>
        </w:rPr>
        <w:t xml:space="preserve"> to reconcile </w:t>
      </w:r>
      <w:r w:rsidR="007D2C13">
        <w:rPr>
          <w:szCs w:val="22"/>
        </w:rPr>
        <w:t>property rec</w:t>
      </w:r>
      <w:r w:rsidR="00A40979">
        <w:rPr>
          <w:szCs w:val="22"/>
        </w:rPr>
        <w:t xml:space="preserve">ords to </w:t>
      </w:r>
      <w:r w:rsidR="009E4AC6">
        <w:rPr>
          <w:szCs w:val="22"/>
        </w:rPr>
        <w:t xml:space="preserve">the carriers’ </w:t>
      </w:r>
      <w:r w:rsidR="00A40979">
        <w:rPr>
          <w:szCs w:val="22"/>
        </w:rPr>
        <w:t>general ledger</w:t>
      </w:r>
      <w:r w:rsidR="007D2C13">
        <w:rPr>
          <w:szCs w:val="22"/>
        </w:rPr>
        <w:t>s</w:t>
      </w:r>
      <w:r w:rsidR="00A40979">
        <w:rPr>
          <w:szCs w:val="22"/>
        </w:rPr>
        <w:t xml:space="preserve"> </w:t>
      </w:r>
      <w:r w:rsidR="00294153">
        <w:rPr>
          <w:szCs w:val="22"/>
        </w:rPr>
        <w:t>and</w:t>
      </w:r>
      <w:r w:rsidR="00A40979">
        <w:rPr>
          <w:szCs w:val="22"/>
        </w:rPr>
        <w:t xml:space="preserve"> </w:t>
      </w:r>
      <w:r w:rsidR="00C452F7">
        <w:rPr>
          <w:szCs w:val="22"/>
        </w:rPr>
        <w:t xml:space="preserve">provide </w:t>
      </w:r>
      <w:r w:rsidR="00F9467B">
        <w:rPr>
          <w:szCs w:val="22"/>
        </w:rPr>
        <w:t xml:space="preserve">audit </w:t>
      </w:r>
      <w:r w:rsidR="00131CC9">
        <w:rPr>
          <w:szCs w:val="22"/>
        </w:rPr>
        <w:t xml:space="preserve">assurance </w:t>
      </w:r>
      <w:r w:rsidR="00E86C41">
        <w:rPr>
          <w:szCs w:val="22"/>
        </w:rPr>
        <w:t>that carrier</w:t>
      </w:r>
      <w:r w:rsidR="007D2C13">
        <w:rPr>
          <w:szCs w:val="22"/>
        </w:rPr>
        <w:t>s are</w:t>
      </w:r>
      <w:r w:rsidR="00E86C41">
        <w:rPr>
          <w:szCs w:val="22"/>
        </w:rPr>
        <w:t xml:space="preserve"> </w:t>
      </w:r>
      <w:r w:rsidR="00A40979">
        <w:rPr>
          <w:szCs w:val="22"/>
        </w:rPr>
        <w:t>meet</w:t>
      </w:r>
      <w:r w:rsidR="00E86C41">
        <w:rPr>
          <w:szCs w:val="22"/>
        </w:rPr>
        <w:t>ing</w:t>
      </w:r>
      <w:r w:rsidR="00A40979">
        <w:rPr>
          <w:szCs w:val="22"/>
        </w:rPr>
        <w:t xml:space="preserve"> </w:t>
      </w:r>
      <w:r w:rsidR="006E3912">
        <w:rPr>
          <w:szCs w:val="22"/>
        </w:rPr>
        <w:t>regulatory accounting</w:t>
      </w:r>
      <w:r w:rsidR="00A40979">
        <w:rPr>
          <w:szCs w:val="22"/>
        </w:rPr>
        <w:t xml:space="preserve"> requirements</w:t>
      </w:r>
      <w:r w:rsidR="001365C0">
        <w:rPr>
          <w:szCs w:val="22"/>
        </w:rPr>
        <w:t>.</w:t>
      </w:r>
    </w:p>
    <w:p w:rsidR="001365C0" w:rsidRDefault="001365C0" w:rsidP="001B51D1">
      <w:pPr>
        <w:spacing w:after="120"/>
        <w:ind w:firstLine="720"/>
      </w:pPr>
      <w:r>
        <w:rPr>
          <w:szCs w:val="22"/>
        </w:rPr>
        <w:t xml:space="preserve">With respect to the third </w:t>
      </w:r>
      <w:r w:rsidR="00E347D7">
        <w:rPr>
          <w:szCs w:val="22"/>
        </w:rPr>
        <w:t xml:space="preserve">point above, </w:t>
      </w:r>
      <w:r>
        <w:t xml:space="preserve">we </w:t>
      </w:r>
      <w:r w:rsidR="00BB34BD">
        <w:t xml:space="preserve">request </w:t>
      </w:r>
      <w:r>
        <w:t xml:space="preserve">specific examples of the level of detail and type of information </w:t>
      </w:r>
      <w:r w:rsidR="006B0675">
        <w:t xml:space="preserve">that should </w:t>
      </w:r>
      <w:r>
        <w:t>be maintained</w:t>
      </w:r>
      <w:r w:rsidR="006B0675">
        <w:t xml:space="preserve">, and what information is of limited </w:t>
      </w:r>
      <w:r w:rsidR="00294153">
        <w:t>or no value to achieving the Commission’s objectives</w:t>
      </w:r>
      <w:r>
        <w:t xml:space="preserve">.  If there are examples of less burdensome property record rules that are applicable to regulated companies in other industries, we seek more </w:t>
      </w:r>
      <w:r w:rsidR="00294153">
        <w:t xml:space="preserve">information </w:t>
      </w:r>
      <w:r>
        <w:t>about these rules and whether they could be applied to rate-of-return carriers in the telecommunications industry</w:t>
      </w:r>
      <w:r w:rsidR="009C4300">
        <w:t>.</w:t>
      </w:r>
      <w:r w:rsidR="004A2E36">
        <w:t xml:space="preserve">  </w:t>
      </w:r>
      <w:r w:rsidR="00E34504">
        <w:t>Further,</w:t>
      </w:r>
      <w:r w:rsidR="009C4300">
        <w:t xml:space="preserve"> w</w:t>
      </w:r>
      <w:r w:rsidR="00E34504">
        <w:t>e seek comment o</w:t>
      </w:r>
      <w:r w:rsidR="006A50FD">
        <w:t>n</w:t>
      </w:r>
      <w:r w:rsidR="00E34504">
        <w:t xml:space="preserve"> </w:t>
      </w:r>
      <w:r w:rsidR="009C4300">
        <w:t>alternative approaches</w:t>
      </w:r>
      <w:r w:rsidR="006B0675">
        <w:t>, including</w:t>
      </w:r>
      <w:r w:rsidR="009C4300">
        <w:t xml:space="preserve"> </w:t>
      </w:r>
      <w:r w:rsidR="00E34504">
        <w:t xml:space="preserve">whether and how possible changes to retirement units might </w:t>
      </w:r>
      <w:r w:rsidR="00CB6542">
        <w:t>reduce record-keeping burdens</w:t>
      </w:r>
      <w:r w:rsidR="009C4300">
        <w:t>.</w:t>
      </w:r>
      <w:r w:rsidR="00527E0A">
        <w:rPr>
          <w:rStyle w:val="FootnoteReference"/>
        </w:rPr>
        <w:footnoteReference w:id="10"/>
      </w:r>
      <w:r w:rsidR="004A2E36">
        <w:t xml:space="preserve">  </w:t>
      </w:r>
      <w:r w:rsidR="00E34504">
        <w:t xml:space="preserve">We </w:t>
      </w:r>
      <w:r>
        <w:t>note that the current rules allow for some flexibility in the maintenance of property records.  For example, section 32.2000(f)(2) states that companies may request a revision to the list of retirement units used in the basic property records, or exemption from the retirement units previously us</w:t>
      </w:r>
      <w:r w:rsidR="00E34504">
        <w:t xml:space="preserve">ed.  Therefore, we seek input </w:t>
      </w:r>
      <w:r>
        <w:t xml:space="preserve">on how </w:t>
      </w:r>
      <w:r w:rsidR="00294153">
        <w:t xml:space="preserve">our rules on </w:t>
      </w:r>
      <w:r>
        <w:t>retirement units might be changed to ease the record-keeping burden.</w:t>
      </w:r>
    </w:p>
    <w:p w:rsidR="001B51D1" w:rsidRDefault="00E347D7" w:rsidP="006A50FD">
      <w:pPr>
        <w:spacing w:after="120"/>
        <w:ind w:firstLine="720"/>
      </w:pPr>
      <w:r>
        <w:rPr>
          <w:szCs w:val="22"/>
        </w:rPr>
        <w:t xml:space="preserve">With regard to the fourth point above, </w:t>
      </w:r>
      <w:r w:rsidR="006A50FD">
        <w:rPr>
          <w:szCs w:val="22"/>
        </w:rPr>
        <w:t xml:space="preserve">we request that parties suggesting alternatives to our present requirements </w:t>
      </w:r>
      <w:r w:rsidR="00AF4E2F">
        <w:rPr>
          <w:szCs w:val="22"/>
        </w:rPr>
        <w:t>e</w:t>
      </w:r>
      <w:r w:rsidR="001365C0">
        <w:rPr>
          <w:szCs w:val="22"/>
        </w:rPr>
        <w:t xml:space="preserve">xplain in detail how rate-of-return </w:t>
      </w:r>
      <w:r w:rsidR="001B51D1">
        <w:rPr>
          <w:szCs w:val="22"/>
        </w:rPr>
        <w:t>carrier</w:t>
      </w:r>
      <w:r w:rsidR="001365C0">
        <w:rPr>
          <w:szCs w:val="22"/>
        </w:rPr>
        <w:t>s would</w:t>
      </w:r>
      <w:r w:rsidR="001B51D1">
        <w:rPr>
          <w:szCs w:val="22"/>
        </w:rPr>
        <w:t xml:space="preserve"> maintain property records going forward under any new system in a manner that </w:t>
      </w:r>
      <w:r w:rsidR="00B9543D">
        <w:rPr>
          <w:szCs w:val="22"/>
        </w:rPr>
        <w:t xml:space="preserve">would </w:t>
      </w:r>
      <w:r w:rsidR="001B51D1">
        <w:rPr>
          <w:szCs w:val="22"/>
        </w:rPr>
        <w:t>enable the Commission to satisfy its statutory responsibility to ensure just and reasonable rates</w:t>
      </w:r>
      <w:r w:rsidR="001365C0">
        <w:rPr>
          <w:szCs w:val="22"/>
        </w:rPr>
        <w:t xml:space="preserve">, </w:t>
      </w:r>
      <w:r w:rsidR="001B51D1">
        <w:rPr>
          <w:szCs w:val="22"/>
        </w:rPr>
        <w:t>particularly considering that rate-of-return carriers’ rates are directly tied to the cost of their investment</w:t>
      </w:r>
      <w:r w:rsidR="001365C0">
        <w:rPr>
          <w:szCs w:val="22"/>
        </w:rPr>
        <w:t>.</w:t>
      </w:r>
      <w:r w:rsidR="001B51D1">
        <w:rPr>
          <w:szCs w:val="22"/>
        </w:rPr>
        <w:t xml:space="preserve">  </w:t>
      </w:r>
      <w:r w:rsidR="00435169">
        <w:rPr>
          <w:szCs w:val="22"/>
        </w:rPr>
        <w:t>For example, would the conditional forbearance we granted to price cap carriers enable the Commission to satisfy this statutory obligation for rate-of-return carriers?</w:t>
      </w:r>
      <w:r w:rsidR="00435169">
        <w:rPr>
          <w:rStyle w:val="FootnoteReference"/>
          <w:szCs w:val="22"/>
        </w:rPr>
        <w:footnoteReference w:id="11"/>
      </w:r>
      <w:r w:rsidR="00435169">
        <w:rPr>
          <w:szCs w:val="22"/>
        </w:rPr>
        <w:t xml:space="preserve">   We also request that </w:t>
      </w:r>
      <w:r w:rsidR="00527E0A">
        <w:rPr>
          <w:szCs w:val="22"/>
        </w:rPr>
        <w:t xml:space="preserve">commenters address </w:t>
      </w:r>
      <w:r w:rsidR="00435169">
        <w:rPr>
          <w:szCs w:val="22"/>
        </w:rPr>
        <w:t xml:space="preserve">how such alternatives would </w:t>
      </w:r>
      <w:r w:rsidR="006B0675">
        <w:rPr>
          <w:szCs w:val="22"/>
        </w:rPr>
        <w:t xml:space="preserve">be </w:t>
      </w:r>
      <w:r w:rsidR="00527E0A">
        <w:rPr>
          <w:szCs w:val="22"/>
        </w:rPr>
        <w:t xml:space="preserve">sufficient </w:t>
      </w:r>
      <w:r w:rsidR="006B0675">
        <w:rPr>
          <w:szCs w:val="22"/>
        </w:rPr>
        <w:t>to verify expenditures</w:t>
      </w:r>
      <w:r w:rsidR="006B0675">
        <w:t xml:space="preserve"> that are supported under the </w:t>
      </w:r>
      <w:r w:rsidR="00435169" w:rsidRPr="00435169">
        <w:t>universal s</w:t>
      </w:r>
      <w:r w:rsidR="00C452F7">
        <w:t>ervice high-cost program rules.</w:t>
      </w:r>
      <w:r w:rsidR="00435169" w:rsidRPr="00435169">
        <w:rPr>
          <w:vertAlign w:val="superscript"/>
        </w:rPr>
        <w:footnoteReference w:id="12"/>
      </w:r>
      <w:r w:rsidR="00435169" w:rsidRPr="00435169">
        <w:t xml:space="preserve">  </w:t>
      </w:r>
      <w:r w:rsidR="00EA3A74">
        <w:rPr>
          <w:szCs w:val="22"/>
        </w:rPr>
        <w:t>W</w:t>
      </w:r>
      <w:r w:rsidR="008B6B79">
        <w:rPr>
          <w:szCs w:val="22"/>
        </w:rPr>
        <w:t xml:space="preserve">e </w:t>
      </w:r>
      <w:r w:rsidR="00EA3A74">
        <w:rPr>
          <w:szCs w:val="22"/>
        </w:rPr>
        <w:t xml:space="preserve">also generally </w:t>
      </w:r>
      <w:r w:rsidR="008B6B79">
        <w:rPr>
          <w:szCs w:val="22"/>
        </w:rPr>
        <w:t xml:space="preserve">ask parties to demonstrate </w:t>
      </w:r>
      <w:r w:rsidR="001B51D1">
        <w:rPr>
          <w:szCs w:val="22"/>
        </w:rPr>
        <w:t xml:space="preserve">how their alternative </w:t>
      </w:r>
      <w:r w:rsidR="008B6B79">
        <w:rPr>
          <w:szCs w:val="22"/>
        </w:rPr>
        <w:t xml:space="preserve">approach would </w:t>
      </w:r>
      <w:r w:rsidR="00373521">
        <w:rPr>
          <w:szCs w:val="22"/>
        </w:rPr>
        <w:t>satisfy basic requirements of property records.</w:t>
      </w:r>
      <w:r w:rsidR="00373521">
        <w:rPr>
          <w:rStyle w:val="FootnoteReference"/>
          <w:szCs w:val="22"/>
        </w:rPr>
        <w:footnoteReference w:id="13"/>
      </w:r>
      <w:r w:rsidR="00373521">
        <w:rPr>
          <w:szCs w:val="22"/>
        </w:rPr>
        <w:t xml:space="preserve"> </w:t>
      </w:r>
      <w:r w:rsidR="00443892">
        <w:rPr>
          <w:szCs w:val="22"/>
        </w:rPr>
        <w:t xml:space="preserve"> </w:t>
      </w:r>
      <w:r w:rsidR="00373521">
        <w:rPr>
          <w:szCs w:val="22"/>
        </w:rPr>
        <w:t xml:space="preserve"> </w:t>
      </w:r>
      <w:r w:rsidR="001B51D1">
        <w:rPr>
          <w:szCs w:val="22"/>
        </w:rPr>
        <w:t xml:space="preserve">   </w:t>
      </w:r>
      <w:r w:rsidR="001B51D1">
        <w:t xml:space="preserve">  </w:t>
      </w:r>
    </w:p>
    <w:p w:rsidR="00EF7218" w:rsidRDefault="00864CCC" w:rsidP="00755BAF">
      <w:pPr>
        <w:spacing w:after="120"/>
        <w:ind w:firstLine="720"/>
      </w:pPr>
      <w:r>
        <w:rPr>
          <w:szCs w:val="22"/>
        </w:rPr>
        <w:t xml:space="preserve">The </w:t>
      </w:r>
      <w:r w:rsidRPr="00455183">
        <w:rPr>
          <w:i/>
          <w:szCs w:val="22"/>
        </w:rPr>
        <w:t xml:space="preserve">USTelecom Forbearance </w:t>
      </w:r>
      <w:r w:rsidR="00294153">
        <w:rPr>
          <w:i/>
          <w:szCs w:val="22"/>
        </w:rPr>
        <w:t xml:space="preserve">Long </w:t>
      </w:r>
      <w:r w:rsidRPr="00455183">
        <w:rPr>
          <w:i/>
          <w:szCs w:val="22"/>
        </w:rPr>
        <w:t>Order</w:t>
      </w:r>
      <w:r>
        <w:rPr>
          <w:szCs w:val="22"/>
        </w:rPr>
        <w:t xml:space="preserve"> sought</w:t>
      </w:r>
      <w:r w:rsidR="0054081D">
        <w:rPr>
          <w:szCs w:val="22"/>
        </w:rPr>
        <w:t xml:space="preserve"> comments </w:t>
      </w:r>
      <w:r>
        <w:rPr>
          <w:szCs w:val="22"/>
        </w:rPr>
        <w:t xml:space="preserve">and replies refreshing the record </w:t>
      </w:r>
      <w:r w:rsidR="0054081D">
        <w:rPr>
          <w:szCs w:val="22"/>
        </w:rPr>
        <w:t xml:space="preserve">30 days </w:t>
      </w:r>
      <w:r>
        <w:rPr>
          <w:szCs w:val="22"/>
        </w:rPr>
        <w:t>and</w:t>
      </w:r>
      <w:r w:rsidR="0054081D">
        <w:rPr>
          <w:szCs w:val="22"/>
        </w:rPr>
        <w:t xml:space="preserve"> 45 days </w:t>
      </w:r>
      <w:r w:rsidR="00A21883">
        <w:rPr>
          <w:szCs w:val="22"/>
        </w:rPr>
        <w:t xml:space="preserve">after </w:t>
      </w:r>
      <w:r w:rsidR="00691939">
        <w:rPr>
          <w:szCs w:val="22"/>
        </w:rPr>
        <w:t xml:space="preserve">the </w:t>
      </w:r>
      <w:r w:rsidR="00B9543D">
        <w:rPr>
          <w:szCs w:val="22"/>
        </w:rPr>
        <w:t xml:space="preserve">accompanying </w:t>
      </w:r>
      <w:r w:rsidR="0054081D">
        <w:rPr>
          <w:szCs w:val="22"/>
        </w:rPr>
        <w:t xml:space="preserve">Report and Order </w:t>
      </w:r>
      <w:r w:rsidR="00B9543D">
        <w:rPr>
          <w:szCs w:val="22"/>
        </w:rPr>
        <w:t xml:space="preserve">eliminating CEI/ONA narrowband reporting requirements </w:t>
      </w:r>
      <w:r>
        <w:rPr>
          <w:szCs w:val="22"/>
        </w:rPr>
        <w:t>wa</w:t>
      </w:r>
      <w:r w:rsidR="0054081D">
        <w:rPr>
          <w:szCs w:val="22"/>
        </w:rPr>
        <w:t>s published in the Federal Register.</w:t>
      </w:r>
      <w:r w:rsidR="00A21883">
        <w:rPr>
          <w:rStyle w:val="FootnoteReference"/>
          <w:szCs w:val="22"/>
        </w:rPr>
        <w:footnoteReference w:id="14"/>
      </w:r>
      <w:r w:rsidR="004E418E">
        <w:rPr>
          <w:szCs w:val="22"/>
        </w:rPr>
        <w:t xml:space="preserve">  </w:t>
      </w:r>
      <w:r w:rsidR="00A21883" w:rsidRPr="00C452F7">
        <w:rPr>
          <w:szCs w:val="22"/>
        </w:rPr>
        <w:t xml:space="preserve">That Report and Order was published </w:t>
      </w:r>
      <w:r w:rsidR="00334365" w:rsidRPr="00C452F7">
        <w:rPr>
          <w:szCs w:val="22"/>
        </w:rPr>
        <w:t>on</w:t>
      </w:r>
      <w:r w:rsidR="00334365" w:rsidRPr="00C452F7">
        <w:rPr>
          <w:b/>
          <w:szCs w:val="22"/>
        </w:rPr>
        <w:t xml:space="preserve"> </w:t>
      </w:r>
      <w:r w:rsidR="00C452F7">
        <w:rPr>
          <w:szCs w:val="22"/>
        </w:rPr>
        <w:t>July 2</w:t>
      </w:r>
      <w:r w:rsidR="00334365" w:rsidRPr="00C452F7">
        <w:rPr>
          <w:szCs w:val="22"/>
        </w:rPr>
        <w:t>, 2013</w:t>
      </w:r>
      <w:r w:rsidR="00A21883" w:rsidRPr="00C452F7">
        <w:rPr>
          <w:szCs w:val="22"/>
        </w:rPr>
        <w:t>.</w:t>
      </w:r>
      <w:r w:rsidR="00A21883">
        <w:rPr>
          <w:rStyle w:val="FootnoteReference"/>
          <w:szCs w:val="22"/>
        </w:rPr>
        <w:footnoteReference w:id="15"/>
      </w:r>
      <w:r w:rsidR="004E418E">
        <w:rPr>
          <w:szCs w:val="22"/>
        </w:rPr>
        <w:t xml:space="preserve">  </w:t>
      </w:r>
      <w:r w:rsidR="001557E9">
        <w:rPr>
          <w:szCs w:val="22"/>
        </w:rPr>
        <w:t xml:space="preserve">To ensure all interested parties have a sufficient opportunity to consider and respond to the issues identified above, </w:t>
      </w:r>
      <w:r w:rsidR="003275B5">
        <w:rPr>
          <w:szCs w:val="22"/>
        </w:rPr>
        <w:t>we are extending the comment and reply comment deadlines</w:t>
      </w:r>
      <w:r w:rsidR="00D2308B">
        <w:rPr>
          <w:szCs w:val="22"/>
        </w:rPr>
        <w:t xml:space="preserve">.  Comments and reply </w:t>
      </w:r>
      <w:r w:rsidR="001557E9">
        <w:rPr>
          <w:szCs w:val="22"/>
        </w:rPr>
        <w:t xml:space="preserve">comments </w:t>
      </w:r>
      <w:r w:rsidR="003275B5">
        <w:rPr>
          <w:szCs w:val="22"/>
        </w:rPr>
        <w:t xml:space="preserve">are </w:t>
      </w:r>
      <w:r w:rsidR="001557E9">
        <w:rPr>
          <w:szCs w:val="22"/>
        </w:rPr>
        <w:t xml:space="preserve">now </w:t>
      </w:r>
      <w:r w:rsidR="003275B5">
        <w:rPr>
          <w:szCs w:val="22"/>
        </w:rPr>
        <w:t xml:space="preserve">due 30 days and 45 days after this Public Notice is published in the Federal Register.  </w:t>
      </w:r>
    </w:p>
    <w:p w:rsidR="00B24E27" w:rsidRPr="00B71759" w:rsidRDefault="00B24E27" w:rsidP="00094772">
      <w:pPr>
        <w:ind w:firstLine="720"/>
        <w:contextualSpacing/>
        <w:rPr>
          <w:rFonts w:eastAsia="Calibri"/>
          <w:b/>
          <w:color w:val="000000"/>
          <w:szCs w:val="22"/>
        </w:rPr>
      </w:pPr>
      <w:r w:rsidRPr="00B71759">
        <w:rPr>
          <w:rFonts w:eastAsia="Calibri"/>
          <w:color w:val="000000"/>
          <w:szCs w:val="22"/>
        </w:rPr>
        <w:t xml:space="preserve">Pursuant to sections 1.415 and 1.419 of the Commission’s rules, </w:t>
      </w:r>
      <w:r w:rsidR="00611D83" w:rsidRPr="00B71759">
        <w:rPr>
          <w:rFonts w:eastAsia="Calibri"/>
          <w:color w:val="000000"/>
          <w:szCs w:val="22"/>
        </w:rPr>
        <w:t xml:space="preserve">47 C.F.R. §§ 1.415, 1.419, </w:t>
      </w:r>
      <w:r w:rsidRPr="00B71759">
        <w:rPr>
          <w:rFonts w:eastAsia="Calibri"/>
          <w:color w:val="000000"/>
          <w:szCs w:val="22"/>
        </w:rPr>
        <w:t xml:space="preserve">interested parties may file comments </w:t>
      </w:r>
      <w:r w:rsidR="00F77866" w:rsidRPr="00B71759">
        <w:rPr>
          <w:rFonts w:eastAsia="Calibri"/>
          <w:color w:val="000000"/>
          <w:szCs w:val="22"/>
        </w:rPr>
        <w:t>on</w:t>
      </w:r>
      <w:r w:rsidRPr="00B71759">
        <w:rPr>
          <w:rFonts w:eastAsia="Calibri"/>
          <w:color w:val="000000"/>
          <w:szCs w:val="22"/>
        </w:rPr>
        <w:t xml:space="preserve"> or before the date</w:t>
      </w:r>
      <w:r w:rsidR="005F08D7">
        <w:rPr>
          <w:rFonts w:eastAsia="Calibri"/>
          <w:color w:val="000000"/>
          <w:szCs w:val="22"/>
        </w:rPr>
        <w:t>s</w:t>
      </w:r>
      <w:r w:rsidRPr="00B71759">
        <w:rPr>
          <w:rFonts w:eastAsia="Calibri"/>
          <w:color w:val="000000"/>
          <w:szCs w:val="22"/>
        </w:rPr>
        <w:t xml:space="preserve"> indicated on the first page of this document.</w:t>
      </w:r>
      <w:r w:rsidR="00611D83" w:rsidRPr="00B71759">
        <w:rPr>
          <w:rFonts w:eastAsia="Calibri"/>
          <w:color w:val="000000"/>
          <w:szCs w:val="22"/>
        </w:rPr>
        <w:t xml:space="preserve">  </w:t>
      </w:r>
      <w:r w:rsidR="00DD5494" w:rsidRPr="00B71759">
        <w:rPr>
          <w:rFonts w:eastAsia="Calibri"/>
          <w:color w:val="000000"/>
          <w:szCs w:val="22"/>
        </w:rPr>
        <w:t>C</w:t>
      </w:r>
      <w:r w:rsidRPr="00B71759">
        <w:rPr>
          <w:rFonts w:eastAsia="Calibri"/>
          <w:color w:val="000000"/>
          <w:szCs w:val="22"/>
        </w:rPr>
        <w:t>omments</w:t>
      </w:r>
      <w:r w:rsidR="00843FC4" w:rsidRPr="00B71759">
        <w:rPr>
          <w:rFonts w:eastAsia="Calibri"/>
          <w:color w:val="000000"/>
          <w:szCs w:val="22"/>
        </w:rPr>
        <w:t xml:space="preserve"> </w:t>
      </w:r>
      <w:r w:rsidRPr="00B71759">
        <w:rPr>
          <w:rFonts w:eastAsia="Calibri"/>
          <w:color w:val="000000"/>
          <w:szCs w:val="22"/>
        </w:rPr>
        <w:t>may be filed using the Commission’s Electronic Comment Filing System (ECFS).</w:t>
      </w:r>
      <w:r w:rsidR="00611D83" w:rsidRPr="00B71759">
        <w:rPr>
          <w:rFonts w:eastAsia="Calibri"/>
          <w:color w:val="000000"/>
          <w:szCs w:val="22"/>
        </w:rPr>
        <w:t xml:space="preserve">  </w:t>
      </w:r>
      <w:r w:rsidR="00611D83" w:rsidRPr="00B71759">
        <w:rPr>
          <w:rFonts w:eastAsia="Calibri"/>
          <w:i/>
          <w:color w:val="000000"/>
          <w:szCs w:val="22"/>
        </w:rPr>
        <w:t>See</w:t>
      </w:r>
      <w:r w:rsidR="00611D83" w:rsidRPr="00B71759">
        <w:rPr>
          <w:rFonts w:eastAsia="Calibri"/>
          <w:color w:val="000000"/>
          <w:szCs w:val="22"/>
        </w:rPr>
        <w:t xml:space="preserve"> </w:t>
      </w:r>
      <w:r w:rsidR="00611D83" w:rsidRPr="00B71759">
        <w:rPr>
          <w:rFonts w:eastAsia="Calibri"/>
          <w:i/>
          <w:color w:val="000000"/>
          <w:szCs w:val="22"/>
        </w:rPr>
        <w:t>Electronic Filing of Documents in Rulemaking Proceedings</w:t>
      </w:r>
      <w:r w:rsidR="00611D83" w:rsidRPr="00B71759">
        <w:rPr>
          <w:rFonts w:eastAsia="Calibri"/>
          <w:color w:val="000000"/>
          <w:szCs w:val="22"/>
        </w:rPr>
        <w:t>, 63 FR 24121 (1998).</w:t>
      </w:r>
      <w:r w:rsidR="00207AA6" w:rsidRPr="00B71759">
        <w:rPr>
          <w:rFonts w:eastAsia="Calibri"/>
          <w:color w:val="000000"/>
          <w:szCs w:val="22"/>
        </w:rPr>
        <w:t xml:space="preserve">  </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Paper Filers: Parties who choose to file by paper must file an original and one copy of each filing.</w:t>
      </w:r>
      <w:r w:rsidR="00611D83" w:rsidRPr="005510DF">
        <w:rPr>
          <w:rFonts w:eastAsia="Calibri"/>
          <w:szCs w:val="22"/>
        </w:rPr>
        <w:t xml:space="preserve">  </w:t>
      </w:r>
      <w:r w:rsidRPr="005510DF">
        <w:rPr>
          <w:rFonts w:eastAsia="Calibri"/>
          <w:szCs w:val="22"/>
        </w:rPr>
        <w:t>If more than one docket or rulemaking number appears in the caption of this proceeding, filers must submit two additional copies for each additional docket or rulemaking number.</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Filings can be sent by hand or messenger delivery, by commercial overnight courier, or by first-class or overnight U.S. Postal Service mail. </w:t>
      </w:r>
      <w:r w:rsidR="00611D83" w:rsidRPr="005510DF">
        <w:rPr>
          <w:rFonts w:eastAsia="Calibri"/>
          <w:szCs w:val="22"/>
        </w:rPr>
        <w:t xml:space="preserve"> </w:t>
      </w:r>
      <w:r w:rsidRPr="005510DF">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hyperlink r:id="rId14" w:history="1">
        <w:r w:rsidR="00904CB1" w:rsidRPr="001E76AF">
          <w:rPr>
            <w:rStyle w:val="Hyperlink"/>
            <w:rFonts w:eastAsia="Calibri"/>
            <w:szCs w:val="22"/>
          </w:rPr>
          <w:t>fcc504@fcc.gov</w:t>
        </w:r>
      </w:hyperlink>
      <w:r w:rsidR="00904CB1">
        <w:rPr>
          <w:rFonts w:eastAsia="Calibri"/>
          <w:szCs w:val="22"/>
        </w:rPr>
        <w:t xml:space="preserve">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16"/>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w:t>
      </w:r>
      <w:r w:rsidR="00E82432">
        <w:t xml:space="preserve"> and all attachments thereto</w:t>
      </w:r>
      <w:r>
        <w:t xml:space="preserve">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341A38">
      <w:pPr>
        <w:keepNext/>
        <w:ind w:firstLine="720"/>
        <w:contextualSpacing/>
        <w:rPr>
          <w:rFonts w:eastAsia="Calibri"/>
          <w:szCs w:val="22"/>
        </w:rPr>
      </w:pPr>
      <w:r w:rsidRPr="005510DF">
        <w:rPr>
          <w:rFonts w:eastAsia="Calibri"/>
          <w:szCs w:val="22"/>
        </w:rPr>
        <w:t xml:space="preserve">For further information, please contact </w:t>
      </w:r>
      <w:r w:rsidR="000F7222">
        <w:rPr>
          <w:rFonts w:eastAsia="Calibri"/>
          <w:szCs w:val="22"/>
        </w:rPr>
        <w:t>Marvin F. Sacks</w:t>
      </w:r>
      <w:r w:rsidRPr="005510DF">
        <w:rPr>
          <w:rFonts w:eastAsia="Calibri"/>
          <w:szCs w:val="22"/>
        </w:rPr>
        <w:t>, Wireline Competition Bureau, Pricing Policy Division, at (202) 418-1520 or via e</w:t>
      </w:r>
      <w:r w:rsidR="00715A6F" w:rsidRPr="005510DF">
        <w:rPr>
          <w:rFonts w:eastAsia="Calibri"/>
          <w:szCs w:val="22"/>
        </w:rPr>
        <w:t>-</w:t>
      </w:r>
      <w:r w:rsidRPr="005510DF">
        <w:rPr>
          <w:rFonts w:eastAsia="Calibri"/>
          <w:szCs w:val="22"/>
        </w:rPr>
        <w:t xml:space="preserve">mail at </w:t>
      </w:r>
      <w:r w:rsidR="000F7222" w:rsidRPr="00A87630">
        <w:rPr>
          <w:rFonts w:eastAsia="Calibri"/>
          <w:color w:val="0033CC"/>
          <w:szCs w:val="22"/>
          <w:u w:val="single"/>
        </w:rPr>
        <w:t>Marvin.Sacks</w:t>
      </w:r>
      <w:r w:rsidRPr="00A87630">
        <w:rPr>
          <w:rFonts w:eastAsia="Calibri"/>
          <w:color w:val="0033CC"/>
          <w:szCs w:val="22"/>
          <w:u w:val="single"/>
        </w:rPr>
        <w:t>@fcc.gov</w:t>
      </w:r>
      <w:r w:rsidRPr="005510DF">
        <w:rPr>
          <w:rFonts w:eastAsia="Calibri"/>
          <w:szCs w:val="22"/>
        </w:rPr>
        <w:t>.</w:t>
      </w:r>
    </w:p>
    <w:p w:rsidR="00B24E27" w:rsidRPr="005510DF" w:rsidRDefault="00B24E27" w:rsidP="00DD5494">
      <w:pPr>
        <w:contextualSpacing/>
        <w:rPr>
          <w:rFonts w:eastAsia="Calibri"/>
          <w:szCs w:val="22"/>
        </w:rPr>
      </w:pPr>
    </w:p>
    <w:p w:rsidR="00B24E27" w:rsidRPr="00CB594D" w:rsidRDefault="008E1CC2" w:rsidP="00DD5494">
      <w:pPr>
        <w:contextualSpacing/>
        <w:jc w:val="center"/>
        <w:rPr>
          <w:rFonts w:eastAsia="Calibri"/>
          <w:b/>
          <w:szCs w:val="22"/>
        </w:rPr>
      </w:pPr>
      <w:r w:rsidRPr="00CB594D">
        <w:rPr>
          <w:rFonts w:eastAsia="Calibri"/>
          <w:b/>
          <w:szCs w:val="22"/>
        </w:rPr>
        <w:t>–</w:t>
      </w:r>
      <w:r w:rsidR="00B24E27" w:rsidRPr="00CB594D">
        <w:rPr>
          <w:rFonts w:eastAsia="Calibri"/>
          <w:b/>
          <w:szCs w:val="22"/>
        </w:rPr>
        <w:t xml:space="preserve"> FCC </w:t>
      </w:r>
      <w:r w:rsidR="005A551D" w:rsidRPr="00CB594D">
        <w:rPr>
          <w:rFonts w:eastAsia="Calibri"/>
          <w:b/>
          <w:szCs w:val="22"/>
        </w:rPr>
        <w:t>–</w:t>
      </w:r>
    </w:p>
    <w:p w:rsidR="005A551D" w:rsidRDefault="005A551D" w:rsidP="00DD5494">
      <w:pPr>
        <w:contextualSpacing/>
        <w:jc w:val="center"/>
        <w:rPr>
          <w:rFonts w:eastAsia="Calibri"/>
          <w:szCs w:val="22"/>
        </w:rPr>
      </w:pPr>
    </w:p>
    <w:sectPr w:rsidR="005A551D" w:rsidSect="00B24E27">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3D" w:rsidRDefault="000C2A3D">
      <w:r>
        <w:separator/>
      </w:r>
    </w:p>
  </w:endnote>
  <w:endnote w:type="continuationSeparator" w:id="0">
    <w:p w:rsidR="000C2A3D" w:rsidRDefault="000C2A3D">
      <w:r>
        <w:continuationSeparator/>
      </w:r>
    </w:p>
  </w:endnote>
  <w:endnote w:type="continuationNotice" w:id="1">
    <w:p w:rsidR="000C2A3D" w:rsidRDefault="000C2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D9" w:rsidRDefault="00DE13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jc w:val="center"/>
    </w:pPr>
    <w:r>
      <w:fldChar w:fldCharType="begin"/>
    </w:r>
    <w:r>
      <w:instrText xml:space="preserve"> PAGE   \* MERGEFORMAT </w:instrText>
    </w:r>
    <w:r>
      <w:fldChar w:fldCharType="separate"/>
    </w:r>
    <w:r w:rsidR="00501DBD">
      <w:rPr>
        <w:noProof/>
      </w:rPr>
      <w:t>2</w:t>
    </w:r>
    <w:r>
      <w:rPr>
        <w:noProof/>
      </w:rPr>
      <w:fldChar w:fldCharType="end"/>
    </w:r>
  </w:p>
  <w:p w:rsidR="00B24E27" w:rsidRDefault="00B2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3D" w:rsidRDefault="000C2A3D">
      <w:r>
        <w:separator/>
      </w:r>
    </w:p>
  </w:footnote>
  <w:footnote w:type="continuationSeparator" w:id="0">
    <w:p w:rsidR="000C2A3D" w:rsidRDefault="000C2A3D">
      <w:r>
        <w:continuationSeparator/>
      </w:r>
    </w:p>
  </w:footnote>
  <w:footnote w:type="continuationNotice" w:id="1">
    <w:p w:rsidR="000C2A3D" w:rsidRDefault="000C2A3D"/>
  </w:footnote>
  <w:footnote w:id="2">
    <w:p w:rsidR="009A1ED4" w:rsidRPr="00612DA2" w:rsidRDefault="009A1ED4" w:rsidP="006A56EA">
      <w:pPr>
        <w:pStyle w:val="FootnoteText"/>
        <w:spacing w:after="120"/>
      </w:pPr>
      <w:r w:rsidRPr="00612DA2">
        <w:rPr>
          <w:rStyle w:val="FootnoteReference"/>
        </w:rPr>
        <w:footnoteRef/>
      </w:r>
      <w:r w:rsidRPr="00612DA2">
        <w:t xml:space="preserve"> </w:t>
      </w:r>
      <w:r w:rsidRPr="00612DA2">
        <w:rPr>
          <w:i/>
        </w:rPr>
        <w:t>Petition of USTelecom for Forbearance Under 47 U.S.C. § 160(c) from Enforcement of Certain Legacy Telecommunications Regulations</w:t>
      </w:r>
      <w:r w:rsidRPr="00612DA2">
        <w:t xml:space="preserve"> </w:t>
      </w:r>
      <w:r w:rsidRPr="00612DA2">
        <w:rPr>
          <w:i/>
        </w:rPr>
        <w:t>et al</w:t>
      </w:r>
      <w:r w:rsidRPr="00612DA2">
        <w:t xml:space="preserve">., WC Docket No. 12-61 et al., Memorandum Opinion and Order and Report and Order in WC Docket No. 10-132 and Further Notice of Proposed Rulemaking and </w:t>
      </w:r>
      <w:r w:rsidRPr="00612DA2">
        <w:rPr>
          <w:color w:val="000000"/>
        </w:rPr>
        <w:t xml:space="preserve">Second Further Notice of Proposed Rulemaking, </w:t>
      </w:r>
      <w:r w:rsidR="00413271" w:rsidRPr="00612DA2">
        <w:rPr>
          <w:color w:val="000000"/>
        </w:rPr>
        <w:t>28 FCC Rcd 7627</w:t>
      </w:r>
      <w:r w:rsidRPr="00612DA2">
        <w:rPr>
          <w:color w:val="000000"/>
        </w:rPr>
        <w:t xml:space="preserve">, </w:t>
      </w:r>
      <w:r w:rsidR="00413271" w:rsidRPr="00612DA2">
        <w:rPr>
          <w:color w:val="000000"/>
        </w:rPr>
        <w:t>7668</w:t>
      </w:r>
      <w:r w:rsidRPr="00612DA2">
        <w:rPr>
          <w:color w:val="000000"/>
        </w:rPr>
        <w:t xml:space="preserve">, para. </w:t>
      </w:r>
      <w:r w:rsidR="00EB222E" w:rsidRPr="00612DA2">
        <w:rPr>
          <w:color w:val="000000"/>
        </w:rPr>
        <w:t>86</w:t>
      </w:r>
      <w:r w:rsidRPr="00612DA2">
        <w:rPr>
          <w:color w:val="000000"/>
        </w:rPr>
        <w:t xml:space="preserve"> (2013) (</w:t>
      </w:r>
      <w:r w:rsidRPr="00612DA2">
        <w:rPr>
          <w:i/>
          <w:color w:val="000000"/>
        </w:rPr>
        <w:t xml:space="preserve">USTelecom Forbearance </w:t>
      </w:r>
      <w:r w:rsidR="001C79BA" w:rsidRPr="00612DA2">
        <w:rPr>
          <w:i/>
          <w:color w:val="000000"/>
        </w:rPr>
        <w:t xml:space="preserve">Long </w:t>
      </w:r>
      <w:r w:rsidRPr="00612DA2">
        <w:rPr>
          <w:i/>
          <w:color w:val="000000"/>
        </w:rPr>
        <w:t>Order</w:t>
      </w:r>
      <w:r w:rsidRPr="00612DA2">
        <w:rPr>
          <w:color w:val="000000"/>
        </w:rPr>
        <w:t>).</w:t>
      </w:r>
    </w:p>
  </w:footnote>
  <w:footnote w:id="3">
    <w:p w:rsidR="009A1ED4" w:rsidRPr="00612DA2" w:rsidRDefault="009A1ED4" w:rsidP="006A56EA">
      <w:pPr>
        <w:pStyle w:val="FootnoteText"/>
        <w:spacing w:after="120"/>
      </w:pPr>
      <w:r w:rsidRPr="00612DA2">
        <w:rPr>
          <w:rStyle w:val="FootnoteReference"/>
        </w:rPr>
        <w:footnoteRef/>
      </w:r>
      <w:r w:rsidRPr="00612DA2">
        <w:t xml:space="preserve"> </w:t>
      </w:r>
      <w:r w:rsidRPr="00612DA2">
        <w:rPr>
          <w:i/>
        </w:rPr>
        <w:t xml:space="preserve">See </w:t>
      </w:r>
      <w:r w:rsidR="00B9543D" w:rsidRPr="00612DA2">
        <w:rPr>
          <w:i/>
        </w:rPr>
        <w:t>USTelecom Forbearance Long Order</w:t>
      </w:r>
      <w:r w:rsidR="002E508C" w:rsidRPr="00612DA2">
        <w:t xml:space="preserve">, </w:t>
      </w:r>
      <w:r w:rsidR="00413271" w:rsidRPr="00612DA2">
        <w:t>28 FCC Rcd at 7669-70</w:t>
      </w:r>
      <w:r w:rsidRPr="00612DA2">
        <w:t>, para</w:t>
      </w:r>
      <w:r w:rsidR="009B2670" w:rsidRPr="00612DA2">
        <w:t>s</w:t>
      </w:r>
      <w:r w:rsidRPr="00612DA2">
        <w:t>. 90</w:t>
      </w:r>
      <w:r w:rsidR="009B2670" w:rsidRPr="00612DA2">
        <w:t>-91</w:t>
      </w:r>
      <w:r w:rsidRPr="00612DA2">
        <w:t>.</w:t>
      </w:r>
      <w:r w:rsidR="00200DFF" w:rsidRPr="00612DA2">
        <w:t xml:space="preserve">  T</w:t>
      </w:r>
      <w:r w:rsidR="00200DFF" w:rsidRPr="00612DA2">
        <w:rPr>
          <w:rFonts w:eastAsia="Calibri"/>
        </w:rPr>
        <w:t>he term “property records” refers to basic property records, 47 C.F.R. § 32.2000(e), and continuing property records (CPR), 47 C.F.R. § 32.2000(f).</w:t>
      </w:r>
    </w:p>
  </w:footnote>
  <w:footnote w:id="4">
    <w:p w:rsidR="00A21883" w:rsidRPr="00612DA2" w:rsidRDefault="00A21883" w:rsidP="006A56EA">
      <w:pPr>
        <w:pStyle w:val="FootnoteText"/>
        <w:spacing w:after="120"/>
        <w:rPr>
          <w:b/>
        </w:rPr>
      </w:pPr>
      <w:r w:rsidRPr="00612DA2">
        <w:rPr>
          <w:rStyle w:val="FootnoteReference"/>
        </w:rPr>
        <w:footnoteRef/>
      </w:r>
      <w:r w:rsidRPr="00612DA2">
        <w:t xml:space="preserve"> </w:t>
      </w:r>
      <w:r w:rsidR="00EB222E" w:rsidRPr="00612DA2">
        <w:rPr>
          <w:i/>
        </w:rPr>
        <w:t xml:space="preserve">See </w:t>
      </w:r>
      <w:r w:rsidR="00B9543D" w:rsidRPr="00612DA2">
        <w:rPr>
          <w:i/>
        </w:rPr>
        <w:t>USTelecom Forbearance Long Order</w:t>
      </w:r>
      <w:r w:rsidR="00413271" w:rsidRPr="00612DA2">
        <w:t>, 28 FCC Rcd</w:t>
      </w:r>
      <w:r w:rsidR="00EB222E" w:rsidRPr="00612DA2">
        <w:rPr>
          <w:i/>
        </w:rPr>
        <w:t xml:space="preserve"> </w:t>
      </w:r>
      <w:r w:rsidR="00EB222E" w:rsidRPr="00612DA2">
        <w:t xml:space="preserve">at </w:t>
      </w:r>
      <w:r w:rsidR="00413271" w:rsidRPr="00612DA2">
        <w:t>7670</w:t>
      </w:r>
      <w:r w:rsidR="00EB222E" w:rsidRPr="00612DA2">
        <w:t xml:space="preserve">, para. 92; </w:t>
      </w:r>
      <w:r w:rsidR="00EB222E" w:rsidRPr="00612DA2">
        <w:rPr>
          <w:i/>
        </w:rPr>
        <w:t xml:space="preserve">see also </w:t>
      </w:r>
      <w:r w:rsidR="00360AC6" w:rsidRPr="00612DA2">
        <w:rPr>
          <w:i/>
        </w:rPr>
        <w:t>2000 Biennial Regulatory Review</w:t>
      </w:r>
      <w:r w:rsidR="00360AC6" w:rsidRPr="00612DA2">
        <w:t xml:space="preserve">, </w:t>
      </w:r>
      <w:r w:rsidR="00360AC6" w:rsidRPr="00612DA2">
        <w:rPr>
          <w:i/>
        </w:rPr>
        <w:t>Comprehensive Review of the Accounting Requirements and ARMIS Reporting Requirements for Incumbent Local Exchange Carriers: Phase 2; Amendments to the Uniform System of Accounts for Interconnection, Jurisdictional Separations Reform and Referral to the Federal-State Joint Board, Local Competition and Broadband Reporting</w:t>
      </w:r>
      <w:r w:rsidR="00B10E8E" w:rsidRPr="00612DA2">
        <w:t>,</w:t>
      </w:r>
      <w:r w:rsidR="00360AC6" w:rsidRPr="00612DA2">
        <w:t xml:space="preserve"> CC Docket Nos. 00-199, 97-212, 80-286, 99-301, Report and Order in CC Docket Nos. 00-199, 97-212, and 80-286, Further Notice of Proposed Rulemaking in CC Docket Nos. 00-199, 99-301, and 80-286, 16 FCC Rcd 19911, </w:t>
      </w:r>
      <w:r w:rsidR="009B2670" w:rsidRPr="00612DA2">
        <w:t xml:space="preserve">19984, </w:t>
      </w:r>
      <w:r w:rsidR="00360AC6" w:rsidRPr="00612DA2">
        <w:t>19987</w:t>
      </w:r>
      <w:r w:rsidR="001C79BA" w:rsidRPr="00612DA2">
        <w:t>–</w:t>
      </w:r>
      <w:r w:rsidR="00360AC6" w:rsidRPr="00612DA2">
        <w:t xml:space="preserve">88, paras. </w:t>
      </w:r>
      <w:r w:rsidR="009B2670" w:rsidRPr="00612DA2">
        <w:t xml:space="preserve">205, </w:t>
      </w:r>
      <w:r w:rsidR="00360AC6" w:rsidRPr="00612DA2">
        <w:t>212</w:t>
      </w:r>
      <w:r w:rsidR="001C79BA" w:rsidRPr="00612DA2">
        <w:t>–</w:t>
      </w:r>
      <w:r w:rsidR="00360AC6" w:rsidRPr="00612DA2">
        <w:t>13 (2001)</w:t>
      </w:r>
      <w:r w:rsidR="00A426C0" w:rsidRPr="00612DA2">
        <w:t xml:space="preserve"> (</w:t>
      </w:r>
      <w:r w:rsidR="00070C77" w:rsidRPr="00612DA2">
        <w:rPr>
          <w:i/>
        </w:rPr>
        <w:t>Property Records FNPRM</w:t>
      </w:r>
      <w:r w:rsidR="00070C77" w:rsidRPr="00612DA2">
        <w:t xml:space="preserve">).  </w:t>
      </w:r>
    </w:p>
  </w:footnote>
  <w:footnote w:id="5">
    <w:p w:rsidR="001C3BA3" w:rsidRPr="00501DBD" w:rsidRDefault="001C3BA3" w:rsidP="006A56EA">
      <w:pPr>
        <w:pStyle w:val="FootnoteText"/>
        <w:spacing w:after="120"/>
        <w:rPr>
          <w:color w:val="000000"/>
        </w:rPr>
      </w:pPr>
      <w:r w:rsidRPr="00612DA2">
        <w:rPr>
          <w:rStyle w:val="FootnoteReference"/>
        </w:rPr>
        <w:footnoteRef/>
      </w:r>
      <w:r w:rsidRPr="00612DA2">
        <w:t xml:space="preserve"> </w:t>
      </w:r>
      <w:r w:rsidR="00B9543D" w:rsidRPr="00612DA2">
        <w:rPr>
          <w:i/>
          <w:color w:val="000000"/>
        </w:rPr>
        <w:t>USTelecom Forbearance Long Order</w:t>
      </w:r>
      <w:r w:rsidRPr="00612DA2">
        <w:rPr>
          <w:color w:val="000000"/>
        </w:rPr>
        <w:t xml:space="preserve">, </w:t>
      </w:r>
      <w:r w:rsidR="00413271" w:rsidRPr="00612DA2">
        <w:t>28 FCC Rcd</w:t>
      </w:r>
      <w:r w:rsidR="00413271" w:rsidRPr="00612DA2">
        <w:rPr>
          <w:i/>
        </w:rPr>
        <w:t xml:space="preserve"> </w:t>
      </w:r>
      <w:r w:rsidR="00413271" w:rsidRPr="00612DA2">
        <w:t>at 7670</w:t>
      </w:r>
      <w:r w:rsidRPr="00612DA2">
        <w:rPr>
          <w:color w:val="000000"/>
        </w:rPr>
        <w:t>, para. 92.</w:t>
      </w:r>
    </w:p>
  </w:footnote>
  <w:footnote w:id="6">
    <w:p w:rsidR="001C3BA3" w:rsidRPr="00612DA2" w:rsidRDefault="001C3BA3" w:rsidP="006A56EA">
      <w:pPr>
        <w:pStyle w:val="FootnoteText"/>
        <w:spacing w:after="120"/>
      </w:pPr>
      <w:r w:rsidRPr="00612DA2">
        <w:rPr>
          <w:rStyle w:val="FootnoteReference"/>
        </w:rPr>
        <w:footnoteRef/>
      </w:r>
      <w:r w:rsidRPr="00612DA2">
        <w:t xml:space="preserve"> </w:t>
      </w:r>
      <w:r w:rsidR="004712EA" w:rsidRPr="00612DA2">
        <w:rPr>
          <w:i/>
          <w:color w:val="000000"/>
        </w:rPr>
        <w:t>Id</w:t>
      </w:r>
      <w:r w:rsidRPr="00612DA2">
        <w:rPr>
          <w:color w:val="000000"/>
        </w:rPr>
        <w:t>.</w:t>
      </w:r>
    </w:p>
  </w:footnote>
  <w:footnote w:id="7">
    <w:p w:rsidR="00A426C0" w:rsidRPr="00612DA2" w:rsidRDefault="00A426C0" w:rsidP="006A56EA">
      <w:pPr>
        <w:pStyle w:val="FootnoteText"/>
        <w:spacing w:after="120"/>
      </w:pPr>
      <w:r w:rsidRPr="00612DA2">
        <w:rPr>
          <w:rStyle w:val="FootnoteReference"/>
        </w:rPr>
        <w:footnoteRef/>
      </w:r>
      <w:r w:rsidRPr="00612DA2">
        <w:t xml:space="preserve"> </w:t>
      </w:r>
      <w:r w:rsidRPr="00612DA2">
        <w:rPr>
          <w:i/>
        </w:rPr>
        <w:t>P</w:t>
      </w:r>
      <w:r w:rsidR="002E508C" w:rsidRPr="00612DA2">
        <w:rPr>
          <w:i/>
        </w:rPr>
        <w:t xml:space="preserve">roperty Records </w:t>
      </w:r>
      <w:r w:rsidRPr="00612DA2">
        <w:rPr>
          <w:i/>
        </w:rPr>
        <w:t>FNPRM</w:t>
      </w:r>
      <w:r w:rsidRPr="00612DA2">
        <w:t>, 16 FCC Rcd at 19987, para. 213.</w:t>
      </w:r>
    </w:p>
  </w:footnote>
  <w:footnote w:id="8">
    <w:p w:rsidR="007E066C" w:rsidRPr="00612DA2" w:rsidRDefault="007E066C" w:rsidP="006A56EA">
      <w:pPr>
        <w:pStyle w:val="FootnoteText"/>
        <w:spacing w:after="120"/>
      </w:pPr>
      <w:r w:rsidRPr="00612DA2">
        <w:rPr>
          <w:rStyle w:val="FootnoteReference"/>
        </w:rPr>
        <w:footnoteRef/>
      </w:r>
      <w:r w:rsidRPr="00612DA2">
        <w:t xml:space="preserve"> </w:t>
      </w:r>
      <w:r w:rsidR="00B9543D" w:rsidRPr="00612DA2">
        <w:rPr>
          <w:i/>
          <w:color w:val="000000"/>
        </w:rPr>
        <w:t>USTelecom Forbearance Long Order</w:t>
      </w:r>
      <w:r w:rsidRPr="00612DA2">
        <w:rPr>
          <w:color w:val="000000"/>
        </w:rPr>
        <w:t>, 28 FCC Rcd at 7670, para. 92.</w:t>
      </w:r>
    </w:p>
  </w:footnote>
  <w:footnote w:id="9">
    <w:p w:rsidR="001B51D1" w:rsidRPr="00612DA2" w:rsidRDefault="001B51D1" w:rsidP="006A56EA">
      <w:pPr>
        <w:pStyle w:val="ListParagraph"/>
        <w:spacing w:after="120" w:line="240" w:lineRule="auto"/>
        <w:ind w:left="0"/>
        <w:contextualSpacing w:val="0"/>
        <w:rPr>
          <w:sz w:val="20"/>
          <w:szCs w:val="20"/>
        </w:rPr>
      </w:pPr>
      <w:r w:rsidRPr="00612DA2">
        <w:rPr>
          <w:rStyle w:val="FootnoteReference"/>
          <w:sz w:val="20"/>
          <w:szCs w:val="20"/>
        </w:rPr>
        <w:footnoteRef/>
      </w:r>
      <w:r w:rsidRPr="00612DA2">
        <w:rPr>
          <w:sz w:val="20"/>
          <w:szCs w:val="20"/>
        </w:rPr>
        <w:t xml:space="preserve"> We request that companies provide a cost-benefit analysis that includes the cost of maintaining the current rule and the cost savings of the change.  We seek specific data, e.g., hours spent, cost per hour, etc., of maintaining the current records versus any proposed change, taking into consideration that records in today’s systems are usually automated.  Companies should include the anticipated</w:t>
      </w:r>
      <w:r w:rsidR="00491E04" w:rsidRPr="00612DA2">
        <w:rPr>
          <w:sz w:val="20"/>
          <w:szCs w:val="20"/>
        </w:rPr>
        <w:t xml:space="preserve"> costs of re-programming record-</w:t>
      </w:r>
      <w:r w:rsidRPr="00612DA2">
        <w:rPr>
          <w:sz w:val="20"/>
          <w:szCs w:val="20"/>
        </w:rPr>
        <w:t>keeping systems to accommodate any changes.</w:t>
      </w:r>
    </w:p>
  </w:footnote>
  <w:footnote w:id="10">
    <w:p w:rsidR="00527E0A" w:rsidRPr="00612DA2" w:rsidRDefault="00527E0A" w:rsidP="006A56EA">
      <w:pPr>
        <w:spacing w:after="120"/>
        <w:rPr>
          <w:sz w:val="20"/>
        </w:rPr>
      </w:pPr>
      <w:r w:rsidRPr="00612DA2">
        <w:rPr>
          <w:rStyle w:val="FootnoteReference"/>
          <w:sz w:val="20"/>
        </w:rPr>
        <w:footnoteRef/>
      </w:r>
      <w:r w:rsidRPr="00612DA2">
        <w:rPr>
          <w:sz w:val="20"/>
        </w:rPr>
        <w:t xml:space="preserve"> </w:t>
      </w:r>
      <w:r w:rsidRPr="00612DA2">
        <w:rPr>
          <w:color w:val="000000"/>
          <w:sz w:val="20"/>
        </w:rPr>
        <w:t xml:space="preserve">A retirement unit is the smallest, unique physical piece of plant that is tracked in the property records.  It is a specific item of property that is capitalized and depreciated until it is no longer used, at which time it is retired or returned to supply for reuse.  For example, a central office switch, although considered one switch that might be retired all at once, is usually made up of several retirement units, e.g., plug-ins, relay racks, etc.  </w:t>
      </w:r>
      <w:r w:rsidRPr="00612DA2">
        <w:rPr>
          <w:sz w:val="20"/>
        </w:rPr>
        <w:t xml:space="preserve">Treatment of retirement units is discussed in Part 32 of the Commission’s rules.  </w:t>
      </w:r>
      <w:r w:rsidRPr="00612DA2">
        <w:rPr>
          <w:i/>
          <w:sz w:val="20"/>
        </w:rPr>
        <w:t>See</w:t>
      </w:r>
      <w:r w:rsidRPr="00612DA2">
        <w:rPr>
          <w:sz w:val="20"/>
        </w:rPr>
        <w:t xml:space="preserve"> 47 C.F.R. </w:t>
      </w:r>
      <w:r w:rsidRPr="00612DA2">
        <w:rPr>
          <w:rFonts w:eastAsia="Calibri"/>
          <w:sz w:val="20"/>
        </w:rPr>
        <w:t>§</w:t>
      </w:r>
      <w:r w:rsidRPr="00612DA2">
        <w:rPr>
          <w:sz w:val="20"/>
        </w:rPr>
        <w:t xml:space="preserve"> 32.2000(d)(2)(i).</w:t>
      </w:r>
    </w:p>
  </w:footnote>
  <w:footnote w:id="11">
    <w:p w:rsidR="00435169" w:rsidRPr="00612DA2" w:rsidRDefault="00435169" w:rsidP="006A56EA">
      <w:pPr>
        <w:pStyle w:val="FootnoteText"/>
        <w:spacing w:after="120"/>
      </w:pPr>
      <w:r w:rsidRPr="00612DA2">
        <w:rPr>
          <w:rStyle w:val="FootnoteReference"/>
        </w:rPr>
        <w:footnoteRef/>
      </w:r>
      <w:r w:rsidRPr="00612DA2">
        <w:t xml:space="preserve"> In the </w:t>
      </w:r>
      <w:r w:rsidR="00B9543D" w:rsidRPr="00612DA2">
        <w:rPr>
          <w:i/>
        </w:rPr>
        <w:t>USTelecom Forbearance Long Order</w:t>
      </w:r>
      <w:r w:rsidRPr="00612DA2">
        <w:t xml:space="preserve">, the Commission conditionally forbore from </w:t>
      </w:r>
      <w:r w:rsidR="002E508C" w:rsidRPr="00612DA2">
        <w:t xml:space="preserve">section </w:t>
      </w:r>
      <w:r w:rsidRPr="00612DA2">
        <w:t xml:space="preserve">32.2000(e) and (f) </w:t>
      </w:r>
      <w:r w:rsidR="002E508C" w:rsidRPr="00612DA2">
        <w:t xml:space="preserve">for price cap carriers, </w:t>
      </w:r>
      <w:r w:rsidRPr="00612DA2">
        <w:t xml:space="preserve">subject to approval of compliance plans that require such carriers to, among other things, “maintain </w:t>
      </w:r>
      <w:r w:rsidR="00D137BC" w:rsidRPr="00612DA2">
        <w:t xml:space="preserve">the </w:t>
      </w:r>
      <w:r w:rsidRPr="00612DA2">
        <w:t>records necessary to track substantial assets and investment in an accurate, auditable manner that enables them to verity account balances in their Part 32 Uniform System of Accounts, make such property</w:t>
      </w:r>
      <w:r w:rsidR="00D137BC" w:rsidRPr="00612DA2">
        <w:t xml:space="preserve"> information</w:t>
      </w:r>
      <w:r w:rsidRPr="00612DA2">
        <w:t xml:space="preserve"> available to the Commission upon request, and en</w:t>
      </w:r>
      <w:r w:rsidR="00880777" w:rsidRPr="00612DA2">
        <w:t xml:space="preserve">sure maintenance of such data.”  </w:t>
      </w:r>
      <w:r w:rsidR="00B9543D" w:rsidRPr="00612DA2">
        <w:rPr>
          <w:i/>
        </w:rPr>
        <w:t>USTelecom Forbearance Long Order</w:t>
      </w:r>
      <w:r w:rsidR="0005621A" w:rsidRPr="00612DA2">
        <w:t xml:space="preserve">, </w:t>
      </w:r>
      <w:r w:rsidR="00204790" w:rsidRPr="00612DA2">
        <w:t xml:space="preserve">28 FCC Rcd at 7668, </w:t>
      </w:r>
      <w:r w:rsidRPr="00612DA2">
        <w:t>para. 86.</w:t>
      </w:r>
    </w:p>
  </w:footnote>
  <w:footnote w:id="12">
    <w:p w:rsidR="00435169" w:rsidRPr="00612DA2" w:rsidRDefault="00435169" w:rsidP="006A56EA">
      <w:pPr>
        <w:pStyle w:val="FootnoteText"/>
        <w:spacing w:after="120"/>
      </w:pPr>
      <w:r w:rsidRPr="00612DA2">
        <w:rPr>
          <w:rStyle w:val="FootnoteReference"/>
        </w:rPr>
        <w:footnoteRef/>
      </w:r>
      <w:r w:rsidRPr="00612DA2">
        <w:t xml:space="preserve"> 47 C.F.R. §</w:t>
      </w:r>
      <w:r w:rsidR="00486E81" w:rsidRPr="00612DA2">
        <w:t xml:space="preserve"> </w:t>
      </w:r>
      <w:r w:rsidRPr="00612DA2">
        <w:t xml:space="preserve">54.320(b) (requiring such documentation to be maintained for at least ten years from the receipt of funding); </w:t>
      </w:r>
      <w:r w:rsidRPr="00612DA2">
        <w:rPr>
          <w:i/>
        </w:rPr>
        <w:t xml:space="preserve">see also </w:t>
      </w:r>
      <w:r w:rsidRPr="00612DA2">
        <w:rPr>
          <w:i/>
          <w:iCs/>
        </w:rPr>
        <w:t>Comprehensive Review of the Universal Service Fund Management, Administration, and Oversight</w:t>
      </w:r>
      <w:r w:rsidRPr="00612DA2">
        <w:t xml:space="preserve">, </w:t>
      </w:r>
      <w:r w:rsidRPr="00612DA2">
        <w:rPr>
          <w:spacing w:val="-2"/>
        </w:rPr>
        <w:t xml:space="preserve">WC Docket Nos. 05-195, 02-60, 03-109, CC Docket Nos. 96-45, 02-6, 97-21, </w:t>
      </w:r>
      <w:r w:rsidRPr="00612DA2">
        <w:t xml:space="preserve">Report and Order, 22 FCC Rcd 16372, 16383-84, para. 24 (2007).  </w:t>
      </w:r>
      <w:r w:rsidR="00EA3A74" w:rsidRPr="00612DA2">
        <w:t xml:space="preserve">In particular, the Administrator of the Fund, the Universal Service Administrative Company, requires cost companies to produce, among other things, continuing property records when it conducts beneficiary compliance audits.  </w:t>
      </w:r>
      <w:r w:rsidRPr="00612DA2">
        <w:t xml:space="preserve">Universal Service Administrative Company, Program Integrity, Beneficiary Compliance Audits, </w:t>
      </w:r>
      <w:r w:rsidRPr="00612DA2">
        <w:rPr>
          <w:i/>
        </w:rPr>
        <w:t xml:space="preserve">available at </w:t>
      </w:r>
      <w:hyperlink r:id="rId1" w:history="1">
        <w:r w:rsidRPr="00612DA2">
          <w:rPr>
            <w:rStyle w:val="Hyperlink"/>
          </w:rPr>
          <w:t>http://www.usac.org/_res/documents/hc/pdf/audit/hc-audit-information.pdf</w:t>
        </w:r>
      </w:hyperlink>
      <w:r w:rsidRPr="00612DA2">
        <w:t xml:space="preserve">; </w:t>
      </w:r>
      <w:r w:rsidRPr="00612DA2">
        <w:rPr>
          <w:i/>
        </w:rPr>
        <w:t xml:space="preserve">see also </w:t>
      </w:r>
      <w:r w:rsidRPr="00612DA2">
        <w:t xml:space="preserve">Letter from Dana R. Shaffer, Deputy Managing Director, FCC, to Scott Barash, Acting Chief Executive Officer, USAC (Oct. 13, 2010) (providing guidance on audits), </w:t>
      </w:r>
      <w:r w:rsidRPr="00612DA2">
        <w:rPr>
          <w:i/>
        </w:rPr>
        <w:t xml:space="preserve">available at </w:t>
      </w:r>
      <w:hyperlink r:id="rId2" w:history="1">
        <w:r w:rsidRPr="00612DA2">
          <w:rPr>
            <w:rStyle w:val="Hyperlink"/>
          </w:rPr>
          <w:t>http://transition.fcc.gov/omd/usac-letters/2010/101310CPA-USAC.pdf</w:t>
        </w:r>
      </w:hyperlink>
      <w:r w:rsidRPr="00612DA2">
        <w:t xml:space="preserve">.    </w:t>
      </w:r>
    </w:p>
  </w:footnote>
  <w:footnote w:id="13">
    <w:p w:rsidR="00373521" w:rsidRPr="00612DA2" w:rsidRDefault="00373521" w:rsidP="006A56EA">
      <w:pPr>
        <w:pStyle w:val="FootnoteText"/>
        <w:spacing w:after="120"/>
      </w:pPr>
      <w:r w:rsidRPr="00612DA2">
        <w:rPr>
          <w:rStyle w:val="FootnoteReference"/>
        </w:rPr>
        <w:footnoteRef/>
      </w:r>
      <w:r w:rsidRPr="00612DA2">
        <w:t xml:space="preserve"> </w:t>
      </w:r>
      <w:r w:rsidRPr="00612DA2">
        <w:rPr>
          <w:i/>
        </w:rPr>
        <w:t xml:space="preserve">See </w:t>
      </w:r>
      <w:r w:rsidR="004D58CD" w:rsidRPr="00612DA2">
        <w:t xml:space="preserve">47 C.F.R. </w:t>
      </w:r>
      <w:r w:rsidR="004D58CD" w:rsidRPr="00612DA2">
        <w:rPr>
          <w:rFonts w:eastAsia="Calibri"/>
        </w:rPr>
        <w:t>§ 32.2000(e)(2) (requiring property records to be subject to internal accounting controls, auditable, equal in the aggregate to the total investment reflected in the financial accounts, and maintained for the life of the property).</w:t>
      </w:r>
    </w:p>
  </w:footnote>
  <w:footnote w:id="14">
    <w:p w:rsidR="00A21883" w:rsidRPr="00612DA2" w:rsidRDefault="00A21883" w:rsidP="006A56EA">
      <w:pPr>
        <w:pStyle w:val="FootnoteText"/>
        <w:spacing w:after="120"/>
      </w:pPr>
      <w:r w:rsidRPr="00612DA2">
        <w:rPr>
          <w:rStyle w:val="FootnoteReference"/>
        </w:rPr>
        <w:footnoteRef/>
      </w:r>
      <w:r w:rsidRPr="00612DA2">
        <w:t xml:space="preserve"> </w:t>
      </w:r>
      <w:r w:rsidR="00B9543D" w:rsidRPr="00612DA2">
        <w:rPr>
          <w:i/>
          <w:color w:val="000000"/>
        </w:rPr>
        <w:t>USTelecom Forbearance Long Order</w:t>
      </w:r>
      <w:r w:rsidR="00B1496C" w:rsidRPr="00612DA2">
        <w:rPr>
          <w:color w:val="000000"/>
        </w:rPr>
        <w:t xml:space="preserve">, </w:t>
      </w:r>
      <w:r w:rsidR="00204790" w:rsidRPr="00612DA2">
        <w:rPr>
          <w:color w:val="000000"/>
        </w:rPr>
        <w:t>28 FCC Rcd at 7670</w:t>
      </w:r>
      <w:r w:rsidR="00B1496C" w:rsidRPr="00612DA2">
        <w:rPr>
          <w:color w:val="000000"/>
        </w:rPr>
        <w:t xml:space="preserve">, para. 92 (referencing </w:t>
      </w:r>
      <w:r w:rsidR="00AA7FED" w:rsidRPr="00612DA2">
        <w:rPr>
          <w:color w:val="000000"/>
        </w:rPr>
        <w:t xml:space="preserve">section </w:t>
      </w:r>
      <w:r w:rsidR="00B1496C" w:rsidRPr="00612DA2">
        <w:rPr>
          <w:color w:val="000000"/>
        </w:rPr>
        <w:t xml:space="preserve">IV of the </w:t>
      </w:r>
      <w:r w:rsidR="00B9543D" w:rsidRPr="00612DA2">
        <w:rPr>
          <w:i/>
          <w:color w:val="000000"/>
        </w:rPr>
        <w:t>USTelecom Forbearance Long Order</w:t>
      </w:r>
      <w:r w:rsidR="00A869D2" w:rsidRPr="00612DA2">
        <w:rPr>
          <w:color w:val="000000"/>
        </w:rPr>
        <w:t xml:space="preserve"> </w:t>
      </w:r>
      <w:r w:rsidR="00204790" w:rsidRPr="00612DA2">
        <w:rPr>
          <w:color w:val="000000"/>
        </w:rPr>
        <w:t xml:space="preserve">at 7709, </w:t>
      </w:r>
      <w:r w:rsidR="00F933C0" w:rsidRPr="00612DA2">
        <w:rPr>
          <w:color w:val="000000"/>
        </w:rPr>
        <w:t>para. 188</w:t>
      </w:r>
      <w:r w:rsidR="00BD0644">
        <w:rPr>
          <w:color w:val="000000"/>
        </w:rPr>
        <w:t>,</w:t>
      </w:r>
      <w:r w:rsidR="00F933C0" w:rsidRPr="00612DA2">
        <w:rPr>
          <w:color w:val="000000"/>
        </w:rPr>
        <w:t xml:space="preserve"> </w:t>
      </w:r>
      <w:r w:rsidR="00B1496C" w:rsidRPr="00612DA2">
        <w:rPr>
          <w:color w:val="000000"/>
        </w:rPr>
        <w:t xml:space="preserve">adopting a Report and Order in WC Docket No. 10-132 that relieved the Bell Operating Companies of legacy reporting obligations associated with the </w:t>
      </w:r>
      <w:r w:rsidR="00B1496C" w:rsidRPr="00612DA2">
        <w:rPr>
          <w:i/>
          <w:color w:val="000000"/>
        </w:rPr>
        <w:t xml:space="preserve">Computer Inquiry </w:t>
      </w:r>
      <w:r w:rsidR="00B1496C" w:rsidRPr="00612DA2">
        <w:rPr>
          <w:color w:val="000000"/>
        </w:rPr>
        <w:t>requirements).</w:t>
      </w:r>
    </w:p>
  </w:footnote>
  <w:footnote w:id="15">
    <w:p w:rsidR="00A21883" w:rsidRPr="00612DA2" w:rsidRDefault="00A21883" w:rsidP="006A56EA">
      <w:pPr>
        <w:pStyle w:val="FootnoteText"/>
        <w:spacing w:after="120"/>
      </w:pPr>
      <w:r w:rsidRPr="00612DA2">
        <w:rPr>
          <w:rStyle w:val="FootnoteReference"/>
        </w:rPr>
        <w:footnoteRef/>
      </w:r>
      <w:r w:rsidRPr="00612DA2">
        <w:t xml:space="preserve"> </w:t>
      </w:r>
      <w:r w:rsidR="00C452F7" w:rsidRPr="00612DA2">
        <w:t>78 FR 39617.</w:t>
      </w:r>
    </w:p>
  </w:footnote>
  <w:footnote w:id="16">
    <w:p w:rsidR="002F3D7C" w:rsidRPr="00612DA2" w:rsidRDefault="002F3D7C" w:rsidP="006A56EA">
      <w:pPr>
        <w:pStyle w:val="FootnoteText"/>
        <w:spacing w:after="120"/>
        <w:rPr>
          <w:i/>
          <w:iCs/>
        </w:rPr>
      </w:pPr>
      <w:r w:rsidRPr="00612DA2">
        <w:rPr>
          <w:rStyle w:val="FootnoteReference"/>
        </w:rPr>
        <w:footnoteRef/>
      </w:r>
      <w:r w:rsidRPr="00612DA2">
        <w:t xml:space="preserve"> 47 C.F.R. §§ 1.1200 </w:t>
      </w:r>
      <w:r w:rsidRPr="00612DA2">
        <w:rPr>
          <w:i/>
          <w:iCs/>
        </w:rPr>
        <w:t>et seq.</w:t>
      </w:r>
    </w:p>
    <w:p w:rsidR="002F3D7C" w:rsidRPr="00612DA2" w:rsidRDefault="002F3D7C" w:rsidP="006A56EA">
      <w:pPr>
        <w:pStyle w:val="FootnoteText"/>
        <w:spacing w:after="120"/>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D9" w:rsidRDefault="00DE1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D9" w:rsidRDefault="00DE1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Pr="0092286C" w:rsidRDefault="000268DB">
    <w:pPr>
      <w:pStyle w:val="Header"/>
      <w:tabs>
        <w:tab w:val="clear" w:pos="4320"/>
        <w:tab w:val="clear" w:pos="8640"/>
      </w:tabs>
      <w:spacing w:before="40"/>
      <w:ind w:firstLine="1080"/>
      <w:rPr>
        <w:rFonts w:ascii="Arial" w:hAnsi="Arial" w:cs="Arial"/>
        <w:b/>
        <w:kern w:val="28"/>
        <w:sz w:val="96"/>
      </w:rP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v:textbox>
            </v:shape>
          </w:pict>
        </mc:Fallback>
      </mc:AlternateContent>
    </w:r>
    <w:r w:rsidR="00B24E27" w:rsidRPr="0092286C">
      <w:rPr>
        <w:rFonts w:ascii="Arial" w:hAnsi="Arial" w:cs="Arial"/>
        <w:b/>
        <w:kern w:val="28"/>
        <w:sz w:val="96"/>
      </w:rPr>
      <w:t>PUBLIC NOTICE</w:t>
    </w:r>
  </w:p>
  <w:p w:rsidR="00B24E27" w:rsidRDefault="000268DB">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C0740A"/>
    <w:multiLevelType w:val="hybridMultilevel"/>
    <w:tmpl w:val="F976D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5">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5"/>
  </w:num>
  <w:num w:numId="18">
    <w:abstractNumId w:val="14"/>
  </w:num>
  <w:num w:numId="19">
    <w:abstractNumId w:val="1"/>
  </w:num>
  <w:num w:numId="20">
    <w:abstractNumId w:val="13"/>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02E21"/>
    <w:rsid w:val="000136F0"/>
    <w:rsid w:val="00021910"/>
    <w:rsid w:val="000253D2"/>
    <w:rsid w:val="00025EA7"/>
    <w:rsid w:val="000268DB"/>
    <w:rsid w:val="000413D8"/>
    <w:rsid w:val="00042C37"/>
    <w:rsid w:val="000447E9"/>
    <w:rsid w:val="00047A60"/>
    <w:rsid w:val="0005120C"/>
    <w:rsid w:val="0005621A"/>
    <w:rsid w:val="00064FC8"/>
    <w:rsid w:val="00070C77"/>
    <w:rsid w:val="00074ED1"/>
    <w:rsid w:val="0008367B"/>
    <w:rsid w:val="00084EF8"/>
    <w:rsid w:val="00085A50"/>
    <w:rsid w:val="0009364C"/>
    <w:rsid w:val="00094772"/>
    <w:rsid w:val="000A2CD1"/>
    <w:rsid w:val="000B78E6"/>
    <w:rsid w:val="000C05E9"/>
    <w:rsid w:val="000C2A3D"/>
    <w:rsid w:val="000C6F2D"/>
    <w:rsid w:val="000D4205"/>
    <w:rsid w:val="000E295E"/>
    <w:rsid w:val="000E56E3"/>
    <w:rsid w:val="000F118F"/>
    <w:rsid w:val="000F2CAE"/>
    <w:rsid w:val="000F44CC"/>
    <w:rsid w:val="000F5334"/>
    <w:rsid w:val="000F538B"/>
    <w:rsid w:val="000F7222"/>
    <w:rsid w:val="00110F67"/>
    <w:rsid w:val="0011342E"/>
    <w:rsid w:val="001208BF"/>
    <w:rsid w:val="00124E39"/>
    <w:rsid w:val="00127A89"/>
    <w:rsid w:val="00131CC9"/>
    <w:rsid w:val="001365C0"/>
    <w:rsid w:val="00141DFB"/>
    <w:rsid w:val="00143B8C"/>
    <w:rsid w:val="00144802"/>
    <w:rsid w:val="00152020"/>
    <w:rsid w:val="001533E6"/>
    <w:rsid w:val="001557E9"/>
    <w:rsid w:val="0015703C"/>
    <w:rsid w:val="0016446C"/>
    <w:rsid w:val="001661C5"/>
    <w:rsid w:val="00173875"/>
    <w:rsid w:val="00174468"/>
    <w:rsid w:val="001819D5"/>
    <w:rsid w:val="00182161"/>
    <w:rsid w:val="00182E38"/>
    <w:rsid w:val="0018430F"/>
    <w:rsid w:val="00193F95"/>
    <w:rsid w:val="001A29CE"/>
    <w:rsid w:val="001B3A70"/>
    <w:rsid w:val="001B51D1"/>
    <w:rsid w:val="001C3A13"/>
    <w:rsid w:val="001C3BA3"/>
    <w:rsid w:val="001C4DB3"/>
    <w:rsid w:val="001C79BA"/>
    <w:rsid w:val="001D21D5"/>
    <w:rsid w:val="001D68B3"/>
    <w:rsid w:val="001E4EEE"/>
    <w:rsid w:val="001F38A6"/>
    <w:rsid w:val="00200DFF"/>
    <w:rsid w:val="002010EF"/>
    <w:rsid w:val="00204790"/>
    <w:rsid w:val="00205224"/>
    <w:rsid w:val="00207AA6"/>
    <w:rsid w:val="00212244"/>
    <w:rsid w:val="00234CB7"/>
    <w:rsid w:val="002354E2"/>
    <w:rsid w:val="00236167"/>
    <w:rsid w:val="00241150"/>
    <w:rsid w:val="002456B8"/>
    <w:rsid w:val="002662AA"/>
    <w:rsid w:val="00275254"/>
    <w:rsid w:val="00281983"/>
    <w:rsid w:val="00282AFD"/>
    <w:rsid w:val="0028458C"/>
    <w:rsid w:val="00285563"/>
    <w:rsid w:val="00286118"/>
    <w:rsid w:val="002909B2"/>
    <w:rsid w:val="0029278F"/>
    <w:rsid w:val="002931E1"/>
    <w:rsid w:val="00294153"/>
    <w:rsid w:val="002A14CF"/>
    <w:rsid w:val="002C08A7"/>
    <w:rsid w:val="002D0439"/>
    <w:rsid w:val="002D1DAA"/>
    <w:rsid w:val="002D397F"/>
    <w:rsid w:val="002E1636"/>
    <w:rsid w:val="002E27E8"/>
    <w:rsid w:val="002E508C"/>
    <w:rsid w:val="002E5225"/>
    <w:rsid w:val="002F13DE"/>
    <w:rsid w:val="002F3AC3"/>
    <w:rsid w:val="002F3D7C"/>
    <w:rsid w:val="002F68C5"/>
    <w:rsid w:val="00302AAB"/>
    <w:rsid w:val="00304514"/>
    <w:rsid w:val="00305F16"/>
    <w:rsid w:val="003078F2"/>
    <w:rsid w:val="0032072E"/>
    <w:rsid w:val="00321789"/>
    <w:rsid w:val="00323D7A"/>
    <w:rsid w:val="00326C98"/>
    <w:rsid w:val="00327171"/>
    <w:rsid w:val="003275B5"/>
    <w:rsid w:val="003331B8"/>
    <w:rsid w:val="00334365"/>
    <w:rsid w:val="00341A38"/>
    <w:rsid w:val="00360AC6"/>
    <w:rsid w:val="00363F67"/>
    <w:rsid w:val="00366098"/>
    <w:rsid w:val="00370D70"/>
    <w:rsid w:val="00373521"/>
    <w:rsid w:val="00374FA4"/>
    <w:rsid w:val="0038259C"/>
    <w:rsid w:val="003930D1"/>
    <w:rsid w:val="003A083D"/>
    <w:rsid w:val="003B2AF8"/>
    <w:rsid w:val="003C0C87"/>
    <w:rsid w:val="003C16FE"/>
    <w:rsid w:val="003C19F7"/>
    <w:rsid w:val="003C3BB8"/>
    <w:rsid w:val="003C441E"/>
    <w:rsid w:val="003D04AF"/>
    <w:rsid w:val="003D65BF"/>
    <w:rsid w:val="003F00EB"/>
    <w:rsid w:val="003F713C"/>
    <w:rsid w:val="004107C9"/>
    <w:rsid w:val="00413271"/>
    <w:rsid w:val="004209E0"/>
    <w:rsid w:val="00424A19"/>
    <w:rsid w:val="0043223B"/>
    <w:rsid w:val="00435169"/>
    <w:rsid w:val="0043712E"/>
    <w:rsid w:val="00443892"/>
    <w:rsid w:val="0045094A"/>
    <w:rsid w:val="00454D4E"/>
    <w:rsid w:val="00455183"/>
    <w:rsid w:val="00455DDE"/>
    <w:rsid w:val="004560FF"/>
    <w:rsid w:val="004570C3"/>
    <w:rsid w:val="00463F8D"/>
    <w:rsid w:val="00466412"/>
    <w:rsid w:val="004712EA"/>
    <w:rsid w:val="00472AA4"/>
    <w:rsid w:val="00482435"/>
    <w:rsid w:val="00482514"/>
    <w:rsid w:val="00486E81"/>
    <w:rsid w:val="00491E04"/>
    <w:rsid w:val="0049497D"/>
    <w:rsid w:val="004A2E36"/>
    <w:rsid w:val="004B79D4"/>
    <w:rsid w:val="004C3244"/>
    <w:rsid w:val="004C34A5"/>
    <w:rsid w:val="004D5227"/>
    <w:rsid w:val="004D58CD"/>
    <w:rsid w:val="004E1D35"/>
    <w:rsid w:val="004E2DBC"/>
    <w:rsid w:val="004E418E"/>
    <w:rsid w:val="004E53C6"/>
    <w:rsid w:val="004F6D09"/>
    <w:rsid w:val="0050023B"/>
    <w:rsid w:val="00501DBD"/>
    <w:rsid w:val="00511A5F"/>
    <w:rsid w:val="00525F29"/>
    <w:rsid w:val="00527E0A"/>
    <w:rsid w:val="0054081D"/>
    <w:rsid w:val="00540D77"/>
    <w:rsid w:val="00541AA2"/>
    <w:rsid w:val="00541B06"/>
    <w:rsid w:val="005421B8"/>
    <w:rsid w:val="00545632"/>
    <w:rsid w:val="00550C13"/>
    <w:rsid w:val="005510DF"/>
    <w:rsid w:val="00567579"/>
    <w:rsid w:val="005715EC"/>
    <w:rsid w:val="00571E94"/>
    <w:rsid w:val="005739BF"/>
    <w:rsid w:val="0057474A"/>
    <w:rsid w:val="005956C4"/>
    <w:rsid w:val="005A551D"/>
    <w:rsid w:val="005B0335"/>
    <w:rsid w:val="005C0462"/>
    <w:rsid w:val="005C3895"/>
    <w:rsid w:val="005C460F"/>
    <w:rsid w:val="005C705E"/>
    <w:rsid w:val="005D3E27"/>
    <w:rsid w:val="005E3769"/>
    <w:rsid w:val="005E563A"/>
    <w:rsid w:val="005F05A6"/>
    <w:rsid w:val="005F0674"/>
    <w:rsid w:val="005F08D7"/>
    <w:rsid w:val="00601568"/>
    <w:rsid w:val="00606B89"/>
    <w:rsid w:val="00611D83"/>
    <w:rsid w:val="00612DA2"/>
    <w:rsid w:val="00633AA8"/>
    <w:rsid w:val="006406F1"/>
    <w:rsid w:val="00641E55"/>
    <w:rsid w:val="0064222E"/>
    <w:rsid w:val="0065093D"/>
    <w:rsid w:val="00651FAD"/>
    <w:rsid w:val="0065303D"/>
    <w:rsid w:val="00655E1D"/>
    <w:rsid w:val="00656F66"/>
    <w:rsid w:val="00663B7F"/>
    <w:rsid w:val="006670C8"/>
    <w:rsid w:val="00684892"/>
    <w:rsid w:val="00685BB6"/>
    <w:rsid w:val="00691939"/>
    <w:rsid w:val="006A240A"/>
    <w:rsid w:val="006A2DCC"/>
    <w:rsid w:val="006A2E87"/>
    <w:rsid w:val="006A3949"/>
    <w:rsid w:val="006A50FD"/>
    <w:rsid w:val="006A56EA"/>
    <w:rsid w:val="006B0675"/>
    <w:rsid w:val="006B06C4"/>
    <w:rsid w:val="006B6FC1"/>
    <w:rsid w:val="006B7E8D"/>
    <w:rsid w:val="006C2BBB"/>
    <w:rsid w:val="006C2D4B"/>
    <w:rsid w:val="006C31FA"/>
    <w:rsid w:val="006C3F99"/>
    <w:rsid w:val="006C4B9B"/>
    <w:rsid w:val="006C665B"/>
    <w:rsid w:val="006D2A86"/>
    <w:rsid w:val="006E3912"/>
    <w:rsid w:val="006E49C3"/>
    <w:rsid w:val="006E6CBD"/>
    <w:rsid w:val="006F0D27"/>
    <w:rsid w:val="00702365"/>
    <w:rsid w:val="00704B03"/>
    <w:rsid w:val="00712FE1"/>
    <w:rsid w:val="00715A6F"/>
    <w:rsid w:val="0074755A"/>
    <w:rsid w:val="0075460D"/>
    <w:rsid w:val="00755BAF"/>
    <w:rsid w:val="007573DB"/>
    <w:rsid w:val="00761717"/>
    <w:rsid w:val="00761F11"/>
    <w:rsid w:val="0078183F"/>
    <w:rsid w:val="00794F0A"/>
    <w:rsid w:val="007B02F7"/>
    <w:rsid w:val="007B70F3"/>
    <w:rsid w:val="007C3952"/>
    <w:rsid w:val="007C57CA"/>
    <w:rsid w:val="007C69D6"/>
    <w:rsid w:val="007D069B"/>
    <w:rsid w:val="007D2C13"/>
    <w:rsid w:val="007E066C"/>
    <w:rsid w:val="007E0E49"/>
    <w:rsid w:val="007E38AD"/>
    <w:rsid w:val="007E75D9"/>
    <w:rsid w:val="007F74B7"/>
    <w:rsid w:val="00822BA7"/>
    <w:rsid w:val="00830A0B"/>
    <w:rsid w:val="008362DE"/>
    <w:rsid w:val="008417F9"/>
    <w:rsid w:val="00843FC4"/>
    <w:rsid w:val="008455DB"/>
    <w:rsid w:val="00845A45"/>
    <w:rsid w:val="008649D9"/>
    <w:rsid w:val="00864C0B"/>
    <w:rsid w:val="00864CCC"/>
    <w:rsid w:val="00865118"/>
    <w:rsid w:val="0087171C"/>
    <w:rsid w:val="008718B4"/>
    <w:rsid w:val="00880777"/>
    <w:rsid w:val="00893849"/>
    <w:rsid w:val="0089631C"/>
    <w:rsid w:val="008B67F4"/>
    <w:rsid w:val="008B6B79"/>
    <w:rsid w:val="008B7D4B"/>
    <w:rsid w:val="008C1EBD"/>
    <w:rsid w:val="008D6E4B"/>
    <w:rsid w:val="008D7033"/>
    <w:rsid w:val="008E1CC2"/>
    <w:rsid w:val="008E25EF"/>
    <w:rsid w:val="008E2B06"/>
    <w:rsid w:val="008E6D99"/>
    <w:rsid w:val="008F0320"/>
    <w:rsid w:val="00900E4F"/>
    <w:rsid w:val="00903037"/>
    <w:rsid w:val="00904CB1"/>
    <w:rsid w:val="0091166A"/>
    <w:rsid w:val="00920363"/>
    <w:rsid w:val="0092286C"/>
    <w:rsid w:val="00924172"/>
    <w:rsid w:val="0093402F"/>
    <w:rsid w:val="00936B3C"/>
    <w:rsid w:val="009373D2"/>
    <w:rsid w:val="00942296"/>
    <w:rsid w:val="009531D2"/>
    <w:rsid w:val="00970707"/>
    <w:rsid w:val="00975A34"/>
    <w:rsid w:val="0097710E"/>
    <w:rsid w:val="00984BA4"/>
    <w:rsid w:val="00991EC9"/>
    <w:rsid w:val="00993D50"/>
    <w:rsid w:val="009A1ED4"/>
    <w:rsid w:val="009B1134"/>
    <w:rsid w:val="009B2670"/>
    <w:rsid w:val="009C4253"/>
    <w:rsid w:val="009C4300"/>
    <w:rsid w:val="009D07BF"/>
    <w:rsid w:val="009D14E1"/>
    <w:rsid w:val="009D19DB"/>
    <w:rsid w:val="009D4568"/>
    <w:rsid w:val="009E007A"/>
    <w:rsid w:val="009E4AC6"/>
    <w:rsid w:val="009F113F"/>
    <w:rsid w:val="00A12099"/>
    <w:rsid w:val="00A13591"/>
    <w:rsid w:val="00A1722F"/>
    <w:rsid w:val="00A21214"/>
    <w:rsid w:val="00A21883"/>
    <w:rsid w:val="00A21DBE"/>
    <w:rsid w:val="00A24F62"/>
    <w:rsid w:val="00A30A94"/>
    <w:rsid w:val="00A40979"/>
    <w:rsid w:val="00A426C0"/>
    <w:rsid w:val="00A7218A"/>
    <w:rsid w:val="00A725EB"/>
    <w:rsid w:val="00A76D31"/>
    <w:rsid w:val="00A85483"/>
    <w:rsid w:val="00A869D2"/>
    <w:rsid w:val="00A87630"/>
    <w:rsid w:val="00A87761"/>
    <w:rsid w:val="00A9520E"/>
    <w:rsid w:val="00AA6D8B"/>
    <w:rsid w:val="00AA7FED"/>
    <w:rsid w:val="00AC0E06"/>
    <w:rsid w:val="00AC3816"/>
    <w:rsid w:val="00AD4647"/>
    <w:rsid w:val="00AD757E"/>
    <w:rsid w:val="00AF4E2F"/>
    <w:rsid w:val="00B10E8E"/>
    <w:rsid w:val="00B1414B"/>
    <w:rsid w:val="00B1496C"/>
    <w:rsid w:val="00B17E21"/>
    <w:rsid w:val="00B24D47"/>
    <w:rsid w:val="00B24E27"/>
    <w:rsid w:val="00B25797"/>
    <w:rsid w:val="00B25957"/>
    <w:rsid w:val="00B26D33"/>
    <w:rsid w:val="00B27873"/>
    <w:rsid w:val="00B352B9"/>
    <w:rsid w:val="00B53EC7"/>
    <w:rsid w:val="00B56CB1"/>
    <w:rsid w:val="00B71759"/>
    <w:rsid w:val="00B74870"/>
    <w:rsid w:val="00B75EF9"/>
    <w:rsid w:val="00B8180B"/>
    <w:rsid w:val="00B82EB1"/>
    <w:rsid w:val="00B90B86"/>
    <w:rsid w:val="00B9543D"/>
    <w:rsid w:val="00BA6511"/>
    <w:rsid w:val="00BA6C49"/>
    <w:rsid w:val="00BA73C9"/>
    <w:rsid w:val="00BB12FE"/>
    <w:rsid w:val="00BB16C8"/>
    <w:rsid w:val="00BB1F96"/>
    <w:rsid w:val="00BB20C8"/>
    <w:rsid w:val="00BB34BD"/>
    <w:rsid w:val="00BB35D4"/>
    <w:rsid w:val="00BB7131"/>
    <w:rsid w:val="00BC20DD"/>
    <w:rsid w:val="00BC2369"/>
    <w:rsid w:val="00BD0644"/>
    <w:rsid w:val="00BD6FF1"/>
    <w:rsid w:val="00BE19CD"/>
    <w:rsid w:val="00BE38AD"/>
    <w:rsid w:val="00BE5CA4"/>
    <w:rsid w:val="00BE7DFA"/>
    <w:rsid w:val="00BE7FFD"/>
    <w:rsid w:val="00BF236A"/>
    <w:rsid w:val="00BF4D14"/>
    <w:rsid w:val="00C01C1E"/>
    <w:rsid w:val="00C03F2D"/>
    <w:rsid w:val="00C05FB0"/>
    <w:rsid w:val="00C16076"/>
    <w:rsid w:val="00C20029"/>
    <w:rsid w:val="00C2131A"/>
    <w:rsid w:val="00C23366"/>
    <w:rsid w:val="00C30080"/>
    <w:rsid w:val="00C3234C"/>
    <w:rsid w:val="00C40161"/>
    <w:rsid w:val="00C41CD7"/>
    <w:rsid w:val="00C452F7"/>
    <w:rsid w:val="00C51F82"/>
    <w:rsid w:val="00C60968"/>
    <w:rsid w:val="00C65EA8"/>
    <w:rsid w:val="00C70142"/>
    <w:rsid w:val="00C73C5F"/>
    <w:rsid w:val="00C7752F"/>
    <w:rsid w:val="00C859F7"/>
    <w:rsid w:val="00CB2859"/>
    <w:rsid w:val="00CB594D"/>
    <w:rsid w:val="00CB6542"/>
    <w:rsid w:val="00CB6925"/>
    <w:rsid w:val="00CC5E52"/>
    <w:rsid w:val="00CD4B2D"/>
    <w:rsid w:val="00CF5966"/>
    <w:rsid w:val="00CF7698"/>
    <w:rsid w:val="00D0154E"/>
    <w:rsid w:val="00D03DDF"/>
    <w:rsid w:val="00D05A08"/>
    <w:rsid w:val="00D06B74"/>
    <w:rsid w:val="00D137BC"/>
    <w:rsid w:val="00D2023C"/>
    <w:rsid w:val="00D2308B"/>
    <w:rsid w:val="00D243E6"/>
    <w:rsid w:val="00D24DEB"/>
    <w:rsid w:val="00D328C8"/>
    <w:rsid w:val="00D5224C"/>
    <w:rsid w:val="00D539CE"/>
    <w:rsid w:val="00D6578C"/>
    <w:rsid w:val="00D66AB4"/>
    <w:rsid w:val="00D80631"/>
    <w:rsid w:val="00D81039"/>
    <w:rsid w:val="00D813FF"/>
    <w:rsid w:val="00D82070"/>
    <w:rsid w:val="00D82AC1"/>
    <w:rsid w:val="00D831F6"/>
    <w:rsid w:val="00D85336"/>
    <w:rsid w:val="00D8741E"/>
    <w:rsid w:val="00D911B0"/>
    <w:rsid w:val="00D915B2"/>
    <w:rsid w:val="00DA1F12"/>
    <w:rsid w:val="00DA3E5D"/>
    <w:rsid w:val="00DA64C7"/>
    <w:rsid w:val="00DB6CCA"/>
    <w:rsid w:val="00DC23A9"/>
    <w:rsid w:val="00DC6826"/>
    <w:rsid w:val="00DC79FC"/>
    <w:rsid w:val="00DD164F"/>
    <w:rsid w:val="00DD5494"/>
    <w:rsid w:val="00DE13D9"/>
    <w:rsid w:val="00DE74CB"/>
    <w:rsid w:val="00DF0FA4"/>
    <w:rsid w:val="00DF32C6"/>
    <w:rsid w:val="00DF4DC7"/>
    <w:rsid w:val="00DF4F34"/>
    <w:rsid w:val="00E03E20"/>
    <w:rsid w:val="00E16265"/>
    <w:rsid w:val="00E34504"/>
    <w:rsid w:val="00E347D7"/>
    <w:rsid w:val="00E41521"/>
    <w:rsid w:val="00E41783"/>
    <w:rsid w:val="00E469B5"/>
    <w:rsid w:val="00E6293E"/>
    <w:rsid w:val="00E668E1"/>
    <w:rsid w:val="00E72309"/>
    <w:rsid w:val="00E82432"/>
    <w:rsid w:val="00E86C41"/>
    <w:rsid w:val="00EA3A74"/>
    <w:rsid w:val="00EA3F55"/>
    <w:rsid w:val="00EB222E"/>
    <w:rsid w:val="00EB25CE"/>
    <w:rsid w:val="00EB3044"/>
    <w:rsid w:val="00EB581F"/>
    <w:rsid w:val="00ED026E"/>
    <w:rsid w:val="00ED3D6E"/>
    <w:rsid w:val="00ED6D8A"/>
    <w:rsid w:val="00EE26A1"/>
    <w:rsid w:val="00EE356F"/>
    <w:rsid w:val="00EE5219"/>
    <w:rsid w:val="00EF27DD"/>
    <w:rsid w:val="00EF32B5"/>
    <w:rsid w:val="00EF7218"/>
    <w:rsid w:val="00F06820"/>
    <w:rsid w:val="00F06EA7"/>
    <w:rsid w:val="00F12411"/>
    <w:rsid w:val="00F13F3C"/>
    <w:rsid w:val="00F22B55"/>
    <w:rsid w:val="00F32ADA"/>
    <w:rsid w:val="00F42022"/>
    <w:rsid w:val="00F44E64"/>
    <w:rsid w:val="00F77866"/>
    <w:rsid w:val="00F933C0"/>
    <w:rsid w:val="00F9467B"/>
    <w:rsid w:val="00F94C03"/>
    <w:rsid w:val="00F95496"/>
    <w:rsid w:val="00FA1275"/>
    <w:rsid w:val="00FA3418"/>
    <w:rsid w:val="00FB2AF3"/>
    <w:rsid w:val="00FC720D"/>
    <w:rsid w:val="00FD15CA"/>
    <w:rsid w:val="00FE2D30"/>
    <w:rsid w:val="00FE3510"/>
    <w:rsid w:val="00FE3D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4E53C6"/>
    <w:pPr>
      <w:widowControl w:val="0"/>
      <w:numPr>
        <w:numId w:val="1"/>
      </w:numPr>
      <w:tabs>
        <w:tab w:val="clear" w:pos="2520"/>
        <w:tab w:val="num" w:pos="7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aliases w:val="Appel note de bas de p,Style 12,(NECG) Footnote Reference,Style 124,o,fr,Style 3,Style 13,FR,Style 17,Style 6,Footnote Reference/"/>
    <w:uiPriority w:val="99"/>
    <w:semiHidden/>
    <w:rsid w:val="00AC50B1"/>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
    <w:basedOn w:val="Normal"/>
    <w:link w:val="FootnoteTextChar"/>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link w:val="CommentTextChar"/>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 w:type="paragraph" w:styleId="ListParagraph">
    <w:name w:val="List Paragraph"/>
    <w:basedOn w:val="Normal"/>
    <w:uiPriority w:val="34"/>
    <w:qFormat/>
    <w:rsid w:val="00A9520E"/>
    <w:pPr>
      <w:spacing w:after="200" w:line="276" w:lineRule="auto"/>
      <w:ind w:left="720"/>
      <w:contextualSpacing/>
    </w:pPr>
    <w:rPr>
      <w:rFonts w:eastAsia="Calibri"/>
      <w:sz w:val="24"/>
      <w:szCs w:val="24"/>
    </w:rPr>
  </w:style>
  <w:style w:type="paragraph" w:styleId="Revision">
    <w:name w:val="Revision"/>
    <w:hidden/>
    <w:uiPriority w:val="71"/>
    <w:rsid w:val="00C7752F"/>
    <w:rPr>
      <w:sz w:val="22"/>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basedOn w:val="DefaultParagraphFont"/>
    <w:link w:val="FootnoteText"/>
    <w:semiHidden/>
    <w:locked/>
    <w:rsid w:val="00A426C0"/>
  </w:style>
  <w:style w:type="character" w:customStyle="1" w:styleId="CommentTextChar">
    <w:name w:val="Comment Text Char"/>
    <w:basedOn w:val="DefaultParagraphFont"/>
    <w:link w:val="CommentText"/>
    <w:semiHidden/>
    <w:rsid w:val="00A42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4E53C6"/>
    <w:pPr>
      <w:widowControl w:val="0"/>
      <w:numPr>
        <w:numId w:val="1"/>
      </w:numPr>
      <w:tabs>
        <w:tab w:val="clear" w:pos="2520"/>
        <w:tab w:val="num" w:pos="7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aliases w:val="Appel note de bas de p,Style 12,(NECG) Footnote Reference,Style 124,o,fr,Style 3,Style 13,FR,Style 17,Style 6,Footnote Reference/"/>
    <w:uiPriority w:val="99"/>
    <w:semiHidden/>
    <w:rsid w:val="00AC50B1"/>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
    <w:basedOn w:val="Normal"/>
    <w:link w:val="FootnoteTextChar"/>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link w:val="CommentTextChar"/>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 w:type="paragraph" w:styleId="ListParagraph">
    <w:name w:val="List Paragraph"/>
    <w:basedOn w:val="Normal"/>
    <w:uiPriority w:val="34"/>
    <w:qFormat/>
    <w:rsid w:val="00A9520E"/>
    <w:pPr>
      <w:spacing w:after="200" w:line="276" w:lineRule="auto"/>
      <w:ind w:left="720"/>
      <w:contextualSpacing/>
    </w:pPr>
    <w:rPr>
      <w:rFonts w:eastAsia="Calibri"/>
      <w:sz w:val="24"/>
      <w:szCs w:val="24"/>
    </w:rPr>
  </w:style>
  <w:style w:type="paragraph" w:styleId="Revision">
    <w:name w:val="Revision"/>
    <w:hidden/>
    <w:uiPriority w:val="71"/>
    <w:rsid w:val="00C7752F"/>
    <w:rPr>
      <w:sz w:val="22"/>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basedOn w:val="DefaultParagraphFont"/>
    <w:link w:val="FootnoteText"/>
    <w:semiHidden/>
    <w:locked/>
    <w:rsid w:val="00A426C0"/>
  </w:style>
  <w:style w:type="character" w:customStyle="1" w:styleId="CommentTextChar">
    <w:name w:val="Comment Text Char"/>
    <w:basedOn w:val="DefaultParagraphFont"/>
    <w:link w:val="CommentText"/>
    <w:semiHidden/>
    <w:rsid w:val="00A4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21300">
      <w:bodyDiv w:val="1"/>
      <w:marLeft w:val="0"/>
      <w:marRight w:val="0"/>
      <w:marTop w:val="0"/>
      <w:marBottom w:val="0"/>
      <w:divBdr>
        <w:top w:val="none" w:sz="0" w:space="0" w:color="auto"/>
        <w:left w:val="none" w:sz="0" w:space="0" w:color="auto"/>
        <w:bottom w:val="none" w:sz="0" w:space="0" w:color="auto"/>
        <w:right w:val="none" w:sz="0" w:space="0" w:color="auto"/>
      </w:divBdr>
    </w:div>
    <w:div w:id="939799427">
      <w:bodyDiv w:val="1"/>
      <w:marLeft w:val="0"/>
      <w:marRight w:val="0"/>
      <w:marTop w:val="0"/>
      <w:marBottom w:val="0"/>
      <w:divBdr>
        <w:top w:val="none" w:sz="0" w:space="0" w:color="auto"/>
        <w:left w:val="none" w:sz="0" w:space="0" w:color="auto"/>
        <w:bottom w:val="none" w:sz="0" w:space="0" w:color="auto"/>
        <w:right w:val="none" w:sz="0" w:space="0" w:color="auto"/>
      </w:divBdr>
    </w:div>
    <w:div w:id="1064452636">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295210487">
      <w:bodyDiv w:val="1"/>
      <w:marLeft w:val="0"/>
      <w:marRight w:val="0"/>
      <w:marTop w:val="0"/>
      <w:marBottom w:val="0"/>
      <w:divBdr>
        <w:top w:val="none" w:sz="0" w:space="0" w:color="auto"/>
        <w:left w:val="none" w:sz="0" w:space="0" w:color="auto"/>
        <w:bottom w:val="none" w:sz="0" w:space="0" w:color="auto"/>
        <w:right w:val="none" w:sz="0" w:space="0" w:color="auto"/>
      </w:divBdr>
    </w:div>
    <w:div w:id="1634284448">
      <w:bodyDiv w:val="1"/>
      <w:marLeft w:val="0"/>
      <w:marRight w:val="0"/>
      <w:marTop w:val="0"/>
      <w:marBottom w:val="0"/>
      <w:divBdr>
        <w:top w:val="none" w:sz="0" w:space="0" w:color="auto"/>
        <w:left w:val="none" w:sz="0" w:space="0" w:color="auto"/>
        <w:bottom w:val="none" w:sz="0" w:space="0" w:color="auto"/>
        <w:right w:val="none" w:sz="0" w:space="0" w:color="auto"/>
      </w:divBdr>
    </w:div>
    <w:div w:id="1708676102">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ransition.fcc.gov/omd/usac-letters/2010/101310CPA-USAC.pdf" TargetMode="External"/><Relationship Id="rId1" Type="http://schemas.openxmlformats.org/officeDocument/2006/relationships/hyperlink" Target="http://www.usac.org/_res/documents/hc/pdf/audit/hc-audit-informat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1463</Words>
  <Characters>8416</Characters>
  <Application>Microsoft Office Word</Application>
  <DocSecurity>0</DocSecurity>
  <Lines>132</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9909</CharactersWithSpaces>
  <SharedDoc>false</SharedDoc>
  <HyperlinkBase> </HyperlinkBase>
  <HLinks>
    <vt:vector size="18" baseType="variant">
      <vt:variant>
        <vt:i4>3473482</vt:i4>
      </vt:variant>
      <vt:variant>
        <vt:i4>0</vt:i4>
      </vt:variant>
      <vt:variant>
        <vt:i4>0</vt:i4>
      </vt:variant>
      <vt:variant>
        <vt:i4>5</vt:i4>
      </vt:variant>
      <vt:variant>
        <vt:lpwstr>mailto:fcc504@fcc.gov</vt:lpwstr>
      </vt:variant>
      <vt:variant>
        <vt:lpwstr/>
      </vt:variant>
      <vt:variant>
        <vt:i4>7143548</vt:i4>
      </vt:variant>
      <vt:variant>
        <vt:i4>3</vt:i4>
      </vt:variant>
      <vt:variant>
        <vt:i4>0</vt:i4>
      </vt:variant>
      <vt:variant>
        <vt:i4>5</vt:i4>
      </vt:variant>
      <vt:variant>
        <vt:lpwstr>http://transition.fcc.gov/omd/usac-letters/2010/101310CPA-USAC.pdf</vt:lpwstr>
      </vt:variant>
      <vt:variant>
        <vt:lpwstr/>
      </vt:variant>
      <vt:variant>
        <vt:i4>1703988</vt:i4>
      </vt:variant>
      <vt:variant>
        <vt:i4>0</vt:i4>
      </vt:variant>
      <vt:variant>
        <vt:i4>0</vt:i4>
      </vt:variant>
      <vt:variant>
        <vt:i4>5</vt:i4>
      </vt:variant>
      <vt:variant>
        <vt:lpwstr>http://www.usac.org/_res/documents/hc/pdf/audit/hc-audit-information.pdf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2013-07-23T19:42:00Z</dcterms:created>
  <dcterms:modified xsi:type="dcterms:W3CDTF">2013-07-23T19:42:00Z</dcterms:modified>
  <cp:category> </cp:category>
  <cp:contentStatus> </cp:contentStatus>
</cp:coreProperties>
</file>