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92" w:rsidRPr="00BB4C5E" w:rsidRDefault="007D4E92">
      <w:pPr>
        <w:tabs>
          <w:tab w:val="left" w:pos="-720"/>
        </w:tabs>
        <w:suppressAutoHyphens/>
        <w:spacing w:line="28" w:lineRule="exact"/>
        <w:rPr>
          <w:rFonts w:ascii="CG Times" w:hAnsi="CG Times"/>
          <w:szCs w:val="24"/>
        </w:rPr>
      </w:pPr>
      <w:bookmarkStart w:id="0" w:name="_GoBack"/>
      <w:bookmarkEnd w:id="0"/>
    </w:p>
    <w:p w:rsidR="001A1A52" w:rsidRPr="00BB4C5E" w:rsidRDefault="00E73027" w:rsidP="00E73027">
      <w:pPr>
        <w:tabs>
          <w:tab w:val="left" w:pos="-2790"/>
        </w:tabs>
        <w:suppressAutoHyphens/>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007B3DC5" w:rsidRPr="00BB4C5E">
        <w:rPr>
          <w:b/>
          <w:szCs w:val="24"/>
        </w:rPr>
        <w:t xml:space="preserve">DA </w:t>
      </w:r>
      <w:r>
        <w:rPr>
          <w:b/>
          <w:szCs w:val="24"/>
        </w:rPr>
        <w:t>13-1666</w:t>
      </w:r>
    </w:p>
    <w:p w:rsidR="00F212E5" w:rsidRPr="00BB4C5E" w:rsidRDefault="00D2109B" w:rsidP="00653F4F">
      <w:pPr>
        <w:tabs>
          <w:tab w:val="left" w:pos="-2790"/>
        </w:tabs>
        <w:suppressAutoHyphens/>
        <w:jc w:val="center"/>
        <w:rPr>
          <w:b/>
          <w:szCs w:val="24"/>
        </w:rPr>
      </w:pPr>
      <w:r w:rsidRPr="00BB4C5E">
        <w:rPr>
          <w:b/>
          <w:szCs w:val="24"/>
        </w:rPr>
        <w:tab/>
      </w:r>
      <w:r w:rsidRPr="00BB4C5E">
        <w:rPr>
          <w:b/>
          <w:szCs w:val="24"/>
        </w:rPr>
        <w:tab/>
      </w:r>
      <w:r w:rsidRPr="00BB4C5E">
        <w:rPr>
          <w:b/>
          <w:szCs w:val="24"/>
        </w:rPr>
        <w:tab/>
      </w:r>
      <w:r w:rsidRPr="00BB4C5E">
        <w:rPr>
          <w:b/>
          <w:szCs w:val="24"/>
        </w:rPr>
        <w:tab/>
      </w:r>
      <w:r w:rsidRPr="00BB4C5E">
        <w:rPr>
          <w:b/>
          <w:szCs w:val="24"/>
        </w:rPr>
        <w:tab/>
      </w:r>
      <w:r w:rsidRPr="00BB4C5E">
        <w:rPr>
          <w:b/>
          <w:szCs w:val="24"/>
        </w:rPr>
        <w:tab/>
      </w:r>
      <w:r w:rsidR="00E73027">
        <w:rPr>
          <w:b/>
          <w:szCs w:val="24"/>
        </w:rPr>
        <w:tab/>
      </w:r>
      <w:r w:rsidR="00D51583" w:rsidRPr="00BB4C5E">
        <w:rPr>
          <w:b/>
          <w:szCs w:val="24"/>
        </w:rPr>
        <w:t>R</w:t>
      </w:r>
      <w:r w:rsidR="001A1A52" w:rsidRPr="00BB4C5E">
        <w:rPr>
          <w:b/>
          <w:szCs w:val="24"/>
        </w:rPr>
        <w:t>eleased</w:t>
      </w:r>
      <w:r w:rsidR="00D51583" w:rsidRPr="00BB4C5E">
        <w:rPr>
          <w:b/>
          <w:szCs w:val="24"/>
        </w:rPr>
        <w:t>:</w:t>
      </w:r>
      <w:r w:rsidR="007B3DC5" w:rsidRPr="00BB4C5E">
        <w:rPr>
          <w:b/>
          <w:szCs w:val="24"/>
        </w:rPr>
        <w:t xml:space="preserve"> </w:t>
      </w:r>
      <w:r w:rsidR="00E76ECD">
        <w:rPr>
          <w:b/>
          <w:szCs w:val="24"/>
        </w:rPr>
        <w:t>July 31</w:t>
      </w:r>
      <w:r w:rsidR="00E73027">
        <w:rPr>
          <w:b/>
          <w:szCs w:val="24"/>
        </w:rPr>
        <w:t>, 2013</w:t>
      </w:r>
    </w:p>
    <w:p w:rsidR="00D51583" w:rsidRPr="00BB4C5E" w:rsidRDefault="00D51583" w:rsidP="00BB4C5E">
      <w:pPr>
        <w:rPr>
          <w:b/>
          <w:szCs w:val="24"/>
        </w:rPr>
      </w:pPr>
    </w:p>
    <w:p w:rsidR="0034192C" w:rsidRPr="00BB4C5E" w:rsidRDefault="0034192C" w:rsidP="00D51583">
      <w:pPr>
        <w:jc w:val="center"/>
        <w:rPr>
          <w:b/>
          <w:szCs w:val="24"/>
        </w:rPr>
      </w:pPr>
    </w:p>
    <w:p w:rsidR="0034192C" w:rsidRPr="00BB4C5E" w:rsidRDefault="004C45A1" w:rsidP="009D5364">
      <w:pPr>
        <w:jc w:val="center"/>
        <w:rPr>
          <w:b/>
          <w:szCs w:val="24"/>
        </w:rPr>
      </w:pPr>
      <w:r w:rsidRPr="00BB4C5E">
        <w:rPr>
          <w:b/>
          <w:szCs w:val="24"/>
        </w:rPr>
        <w:t>MEDIA BUREAU ANNOUNCES PERMIT</w:t>
      </w:r>
      <w:r w:rsidR="00CB74E1" w:rsidRPr="00BB4C5E">
        <w:rPr>
          <w:b/>
          <w:szCs w:val="24"/>
        </w:rPr>
        <w:t xml:space="preserve">-BUT-DISCLOSE </w:t>
      </w:r>
      <w:r w:rsidR="00CB74E1" w:rsidRPr="00BB4C5E">
        <w:rPr>
          <w:b/>
          <w:i/>
          <w:szCs w:val="24"/>
        </w:rPr>
        <w:t>EX PART</w:t>
      </w:r>
      <w:r w:rsidR="00872237">
        <w:rPr>
          <w:b/>
          <w:i/>
          <w:szCs w:val="24"/>
        </w:rPr>
        <w:t>E</w:t>
      </w:r>
      <w:r w:rsidR="00CB74E1" w:rsidRPr="00BB4C5E">
        <w:rPr>
          <w:b/>
          <w:szCs w:val="24"/>
        </w:rPr>
        <w:t xml:space="preserve"> STA</w:t>
      </w:r>
      <w:r w:rsidR="00872237">
        <w:rPr>
          <w:b/>
          <w:szCs w:val="24"/>
        </w:rPr>
        <w:t>T</w:t>
      </w:r>
      <w:r w:rsidR="00CB74E1" w:rsidRPr="00BB4C5E">
        <w:rPr>
          <w:b/>
          <w:szCs w:val="24"/>
        </w:rPr>
        <w:t xml:space="preserve">US FOR APPLICATIONS SEEKING TO </w:t>
      </w:r>
      <w:r w:rsidR="00883897" w:rsidRPr="00BB4C5E">
        <w:rPr>
          <w:b/>
          <w:szCs w:val="24"/>
        </w:rPr>
        <w:t>TRANSFER CONTROL OF LICENSES FROM SHAREHOLDERS OF BELO CORP. TO GANNET</w:t>
      </w:r>
      <w:r w:rsidR="00BB4C5E">
        <w:rPr>
          <w:b/>
          <w:szCs w:val="24"/>
        </w:rPr>
        <w:t>T</w:t>
      </w:r>
      <w:r w:rsidR="00883897" w:rsidRPr="00BB4C5E">
        <w:rPr>
          <w:b/>
          <w:szCs w:val="24"/>
        </w:rPr>
        <w:t xml:space="preserve"> CO., INC. AND FOR APPLI</w:t>
      </w:r>
      <w:r w:rsidR="00BB4C5E" w:rsidRPr="00BB4C5E">
        <w:rPr>
          <w:b/>
          <w:szCs w:val="24"/>
        </w:rPr>
        <w:t>CATIONS SEEKING TO ASSIGN LICENS</w:t>
      </w:r>
      <w:r w:rsidR="00883897" w:rsidRPr="00BB4C5E">
        <w:rPr>
          <w:b/>
          <w:szCs w:val="24"/>
        </w:rPr>
        <w:t>ES FROM SUBSIDIARIES OF</w:t>
      </w:r>
      <w:r w:rsidR="00BB4C5E" w:rsidRPr="00BB4C5E">
        <w:rPr>
          <w:b/>
          <w:szCs w:val="24"/>
        </w:rPr>
        <w:t xml:space="preserve"> BELO CORP. TO SUBSIDIARIES OF SANDER MEDIA, LLC AND TO</w:t>
      </w:r>
      <w:r w:rsidR="00883897" w:rsidRPr="00BB4C5E">
        <w:rPr>
          <w:b/>
          <w:szCs w:val="24"/>
        </w:rPr>
        <w:t xml:space="preserve"> TUCKER OPERATING CO., LLC.</w:t>
      </w:r>
    </w:p>
    <w:p w:rsidR="009E5726" w:rsidRPr="00BB4C5E" w:rsidRDefault="007D402F" w:rsidP="00D51583">
      <w:pPr>
        <w:jc w:val="center"/>
        <w:rPr>
          <w:b/>
          <w:szCs w:val="24"/>
        </w:rPr>
      </w:pPr>
      <w:r w:rsidRPr="00BB4C5E">
        <w:rPr>
          <w:b/>
          <w:szCs w:val="24"/>
        </w:rPr>
        <w:t>MB Docket No. 13-</w:t>
      </w:r>
      <w:r w:rsidR="00E73027">
        <w:rPr>
          <w:b/>
          <w:szCs w:val="24"/>
        </w:rPr>
        <w:t>189</w:t>
      </w:r>
    </w:p>
    <w:p w:rsidR="00D51583" w:rsidRPr="00BB4C5E" w:rsidRDefault="00D51583" w:rsidP="00D51583">
      <w:pPr>
        <w:jc w:val="center"/>
        <w:rPr>
          <w:b/>
          <w:szCs w:val="24"/>
        </w:rPr>
      </w:pPr>
    </w:p>
    <w:p w:rsidR="00E455C3" w:rsidRPr="00BB4C5E" w:rsidRDefault="009C2896" w:rsidP="00D51583">
      <w:pPr>
        <w:rPr>
          <w:szCs w:val="24"/>
        </w:rPr>
      </w:pPr>
      <w:r>
        <w:rPr>
          <w:szCs w:val="24"/>
        </w:rPr>
        <w:t>On June 19</w:t>
      </w:r>
      <w:r w:rsidR="007D402F" w:rsidRPr="00BB4C5E">
        <w:rPr>
          <w:szCs w:val="24"/>
        </w:rPr>
        <w:t>, 2013</w:t>
      </w:r>
      <w:r w:rsidR="00741888" w:rsidRPr="00BB4C5E">
        <w:rPr>
          <w:szCs w:val="24"/>
        </w:rPr>
        <w:t xml:space="preserve">, </w:t>
      </w:r>
      <w:r w:rsidR="001D089B" w:rsidRPr="00BB4C5E">
        <w:rPr>
          <w:szCs w:val="24"/>
        </w:rPr>
        <w:t>Belo Corp.;</w:t>
      </w:r>
      <w:r w:rsidR="00F33275" w:rsidRPr="00BB4C5E">
        <w:rPr>
          <w:szCs w:val="24"/>
        </w:rPr>
        <w:t xml:space="preserve"> </w:t>
      </w:r>
      <w:r w:rsidR="007D402F" w:rsidRPr="00BB4C5E">
        <w:rPr>
          <w:szCs w:val="24"/>
        </w:rPr>
        <w:t>Shareholders o</w:t>
      </w:r>
      <w:r w:rsidR="001D089B" w:rsidRPr="00BB4C5E">
        <w:rPr>
          <w:szCs w:val="24"/>
        </w:rPr>
        <w:t>f Belo Corp.; Ganne</w:t>
      </w:r>
      <w:r w:rsidR="00BB4C5E">
        <w:rPr>
          <w:szCs w:val="24"/>
        </w:rPr>
        <w:t>t</w:t>
      </w:r>
      <w:r w:rsidR="001D089B" w:rsidRPr="00BB4C5E">
        <w:rPr>
          <w:szCs w:val="24"/>
        </w:rPr>
        <w:t>t Co., Inc.;</w:t>
      </w:r>
      <w:r w:rsidR="00F33275" w:rsidRPr="00BB4C5E">
        <w:rPr>
          <w:szCs w:val="24"/>
        </w:rPr>
        <w:t xml:space="preserve"> </w:t>
      </w:r>
      <w:r w:rsidR="001D089B" w:rsidRPr="00BB4C5E">
        <w:rPr>
          <w:szCs w:val="24"/>
        </w:rPr>
        <w:t>Sander Media, LLC;</w:t>
      </w:r>
      <w:r w:rsidR="007D402F" w:rsidRPr="00BB4C5E">
        <w:rPr>
          <w:szCs w:val="24"/>
        </w:rPr>
        <w:t xml:space="preserve"> Tucker Operating Co., LLC</w:t>
      </w:r>
      <w:r w:rsidR="001D089B" w:rsidRPr="00BB4C5E">
        <w:rPr>
          <w:szCs w:val="24"/>
        </w:rPr>
        <w:t>;</w:t>
      </w:r>
      <w:r w:rsidR="007D402F" w:rsidRPr="00BB4C5E">
        <w:rPr>
          <w:szCs w:val="24"/>
        </w:rPr>
        <w:t xml:space="preserve"> and their respective sub</w:t>
      </w:r>
      <w:r w:rsidR="0085069B">
        <w:rPr>
          <w:szCs w:val="24"/>
        </w:rPr>
        <w:t>sidiaries filed eighteen (18</w:t>
      </w:r>
      <w:r w:rsidR="003F6D53">
        <w:rPr>
          <w:szCs w:val="24"/>
        </w:rPr>
        <w:t>) a</w:t>
      </w:r>
      <w:r w:rsidR="007D402F" w:rsidRPr="00BB4C5E">
        <w:rPr>
          <w:szCs w:val="24"/>
        </w:rPr>
        <w:t>pplications (Forms 314 and Form 315), pursuant to section 73.3540 of the Commission’s Rules</w:t>
      </w:r>
      <w:r w:rsidR="007C5779" w:rsidRPr="00BB4C5E">
        <w:rPr>
          <w:szCs w:val="24"/>
        </w:rPr>
        <w:t>,</w:t>
      </w:r>
      <w:r w:rsidR="00FC5E24" w:rsidRPr="00BB4C5E">
        <w:rPr>
          <w:szCs w:val="24"/>
        </w:rPr>
        <w:t xml:space="preserve"> to effectuate the m</w:t>
      </w:r>
      <w:r w:rsidR="007D402F" w:rsidRPr="00BB4C5E">
        <w:rPr>
          <w:szCs w:val="24"/>
        </w:rPr>
        <w:t>erger of Gannet</w:t>
      </w:r>
      <w:r w:rsidR="00FC5E24" w:rsidRPr="00BB4C5E">
        <w:rPr>
          <w:szCs w:val="24"/>
        </w:rPr>
        <w:t>t</w:t>
      </w:r>
      <w:r w:rsidR="00F33275" w:rsidRPr="00BB4C5E">
        <w:rPr>
          <w:szCs w:val="24"/>
        </w:rPr>
        <w:t xml:space="preserve"> Co., Inc. and Belo Corp.  </w:t>
      </w:r>
      <w:r w:rsidR="0067572D" w:rsidRPr="00BB4C5E">
        <w:rPr>
          <w:szCs w:val="24"/>
        </w:rPr>
        <w:t xml:space="preserve">The applications are </w:t>
      </w:r>
      <w:r w:rsidR="002B15E8" w:rsidRPr="00BB4C5E">
        <w:rPr>
          <w:szCs w:val="24"/>
        </w:rPr>
        <w:t>listed in the Appendix to this Public N</w:t>
      </w:r>
      <w:r w:rsidR="0067572D" w:rsidRPr="00BB4C5E">
        <w:rPr>
          <w:szCs w:val="24"/>
        </w:rPr>
        <w:t xml:space="preserve">otice.  </w:t>
      </w:r>
    </w:p>
    <w:p w:rsidR="00E455C3" w:rsidRPr="00BB4C5E" w:rsidRDefault="00E455C3" w:rsidP="00D51583">
      <w:pPr>
        <w:rPr>
          <w:szCs w:val="24"/>
        </w:rPr>
      </w:pPr>
    </w:p>
    <w:p w:rsidR="00F33275" w:rsidRPr="00BB4C5E" w:rsidRDefault="00F33275" w:rsidP="003C3100">
      <w:pPr>
        <w:rPr>
          <w:b/>
          <w:szCs w:val="24"/>
        </w:rPr>
      </w:pPr>
      <w:r w:rsidRPr="00BB4C5E">
        <w:rPr>
          <w:szCs w:val="24"/>
        </w:rPr>
        <w:t>The Parties are</w:t>
      </w:r>
      <w:r w:rsidR="00E455C3" w:rsidRPr="00BB4C5E">
        <w:rPr>
          <w:szCs w:val="24"/>
        </w:rPr>
        <w:t xml:space="preserve"> seeking the Commission’s consent to</w:t>
      </w:r>
      <w:r w:rsidRPr="00BB4C5E">
        <w:rPr>
          <w:szCs w:val="24"/>
        </w:rPr>
        <w:t xml:space="preserve"> effectuate the Gannet</w:t>
      </w:r>
      <w:r w:rsidR="004E3A95" w:rsidRPr="00BB4C5E">
        <w:rPr>
          <w:szCs w:val="24"/>
        </w:rPr>
        <w:t>t</w:t>
      </w:r>
      <w:r w:rsidRPr="00BB4C5E">
        <w:rPr>
          <w:szCs w:val="24"/>
        </w:rPr>
        <w:t xml:space="preserve"> Co., Inc. and Belo Corp. Merger Agreement</w:t>
      </w:r>
      <w:r w:rsidR="001D089B" w:rsidRPr="00BB4C5E">
        <w:rPr>
          <w:szCs w:val="24"/>
        </w:rPr>
        <w:t xml:space="preserve"> and other contemporaneous agreements</w:t>
      </w:r>
      <w:r w:rsidRPr="00BB4C5E">
        <w:rPr>
          <w:szCs w:val="24"/>
        </w:rPr>
        <w:t xml:space="preserve">.  In some markets, pursuant to the </w:t>
      </w:r>
      <w:r w:rsidR="0067572D" w:rsidRPr="00BB4C5E">
        <w:rPr>
          <w:szCs w:val="24"/>
        </w:rPr>
        <w:t>Commission’s</w:t>
      </w:r>
      <w:r w:rsidR="009D5364">
        <w:rPr>
          <w:szCs w:val="24"/>
        </w:rPr>
        <w:t xml:space="preserve"> Ownership R</w:t>
      </w:r>
      <w:r w:rsidRPr="00BB4C5E">
        <w:rPr>
          <w:szCs w:val="24"/>
        </w:rPr>
        <w:t xml:space="preserve">ule, section </w:t>
      </w:r>
      <w:r w:rsidR="00A53E2D" w:rsidRPr="00BB4C5E">
        <w:rPr>
          <w:szCs w:val="24"/>
        </w:rPr>
        <w:t>73.3555, the newly merged</w:t>
      </w:r>
      <w:r w:rsidRPr="00BB4C5E">
        <w:rPr>
          <w:szCs w:val="24"/>
        </w:rPr>
        <w:t xml:space="preserve"> </w:t>
      </w:r>
      <w:r w:rsidR="0067572D" w:rsidRPr="00BB4C5E">
        <w:rPr>
          <w:szCs w:val="24"/>
        </w:rPr>
        <w:t>entity</w:t>
      </w:r>
      <w:r w:rsidRPr="00BB4C5E">
        <w:rPr>
          <w:szCs w:val="24"/>
        </w:rPr>
        <w:t xml:space="preserve"> will not be </w:t>
      </w:r>
      <w:r w:rsidR="00872237">
        <w:rPr>
          <w:szCs w:val="24"/>
        </w:rPr>
        <w:t>allowed</w:t>
      </w:r>
      <w:r w:rsidR="00872237" w:rsidRPr="00BB4C5E">
        <w:rPr>
          <w:szCs w:val="24"/>
        </w:rPr>
        <w:t xml:space="preserve"> </w:t>
      </w:r>
      <w:r w:rsidRPr="00BB4C5E">
        <w:rPr>
          <w:szCs w:val="24"/>
        </w:rPr>
        <w:t xml:space="preserve">to hold the full power television station </w:t>
      </w:r>
      <w:r w:rsidR="0067572D" w:rsidRPr="00BB4C5E">
        <w:rPr>
          <w:szCs w:val="24"/>
        </w:rPr>
        <w:t>licenses</w:t>
      </w:r>
      <w:r w:rsidR="0090008E" w:rsidRPr="00BB4C5E">
        <w:rPr>
          <w:szCs w:val="24"/>
        </w:rPr>
        <w:t xml:space="preserve"> held separately by </w:t>
      </w:r>
      <w:r w:rsidRPr="00BB4C5E">
        <w:rPr>
          <w:szCs w:val="24"/>
        </w:rPr>
        <w:t>Belo Corp. and its subs</w:t>
      </w:r>
      <w:r w:rsidR="005B08FD">
        <w:rPr>
          <w:szCs w:val="24"/>
        </w:rPr>
        <w:t xml:space="preserve">idiaries and </w:t>
      </w:r>
      <w:r w:rsidRPr="00BB4C5E">
        <w:rPr>
          <w:szCs w:val="24"/>
        </w:rPr>
        <w:t>Gannet</w:t>
      </w:r>
      <w:r w:rsidR="004E3A95" w:rsidRPr="00BB4C5E">
        <w:rPr>
          <w:szCs w:val="24"/>
        </w:rPr>
        <w:t>t</w:t>
      </w:r>
      <w:r w:rsidRPr="00BB4C5E">
        <w:rPr>
          <w:szCs w:val="24"/>
        </w:rPr>
        <w:t xml:space="preserve"> Co., Inc. and its subsidiaries.  In thos</w:t>
      </w:r>
      <w:r w:rsidR="003C3100" w:rsidRPr="00BB4C5E">
        <w:rPr>
          <w:szCs w:val="24"/>
        </w:rPr>
        <w:t>e</w:t>
      </w:r>
      <w:r w:rsidRPr="00BB4C5E">
        <w:rPr>
          <w:szCs w:val="24"/>
        </w:rPr>
        <w:t xml:space="preserve"> market</w:t>
      </w:r>
      <w:r w:rsidR="003C3100" w:rsidRPr="00BB4C5E">
        <w:rPr>
          <w:szCs w:val="24"/>
        </w:rPr>
        <w:t>s</w:t>
      </w:r>
      <w:r w:rsidRPr="00BB4C5E">
        <w:rPr>
          <w:szCs w:val="24"/>
        </w:rPr>
        <w:t xml:space="preserve">, the stations will be assigned either to a subsidiary of Sander Media, LLC </w:t>
      </w:r>
      <w:r w:rsidR="003C3100" w:rsidRPr="00BB4C5E">
        <w:rPr>
          <w:szCs w:val="24"/>
        </w:rPr>
        <w:t>or to</w:t>
      </w:r>
      <w:r w:rsidR="00F1475F" w:rsidRPr="00BB4C5E">
        <w:rPr>
          <w:szCs w:val="24"/>
        </w:rPr>
        <w:t xml:space="preserve"> Tucker Operating Co., LLC.  </w:t>
      </w:r>
      <w:r w:rsidR="003C3100" w:rsidRPr="00BB4C5E">
        <w:rPr>
          <w:szCs w:val="24"/>
        </w:rPr>
        <w:t>Gannet</w:t>
      </w:r>
      <w:r w:rsidR="004E3A95" w:rsidRPr="00BB4C5E">
        <w:rPr>
          <w:szCs w:val="24"/>
        </w:rPr>
        <w:t>t</w:t>
      </w:r>
      <w:r w:rsidR="003C3100" w:rsidRPr="00BB4C5E">
        <w:rPr>
          <w:szCs w:val="24"/>
        </w:rPr>
        <w:t xml:space="preserve"> Co</w:t>
      </w:r>
      <w:r w:rsidR="00F1475F" w:rsidRPr="00BB4C5E">
        <w:rPr>
          <w:szCs w:val="24"/>
        </w:rPr>
        <w:t>., Inc. will hold a combination</w:t>
      </w:r>
      <w:r w:rsidR="003C3100" w:rsidRPr="00BB4C5E">
        <w:rPr>
          <w:szCs w:val="24"/>
        </w:rPr>
        <w:t xml:space="preserve"> of </w:t>
      </w:r>
      <w:r w:rsidR="0067572D" w:rsidRPr="00BB4C5E">
        <w:rPr>
          <w:szCs w:val="24"/>
        </w:rPr>
        <w:t>agreement</w:t>
      </w:r>
      <w:r w:rsidR="00872237">
        <w:rPr>
          <w:szCs w:val="24"/>
        </w:rPr>
        <w:t>s</w:t>
      </w:r>
      <w:r w:rsidR="00F51373" w:rsidRPr="00BB4C5E">
        <w:rPr>
          <w:szCs w:val="24"/>
        </w:rPr>
        <w:t xml:space="preserve"> with</w:t>
      </w:r>
      <w:r w:rsidR="007E06F4">
        <w:rPr>
          <w:szCs w:val="24"/>
        </w:rPr>
        <w:t xml:space="preserve"> Sander Media, LLC subsidiaries</w:t>
      </w:r>
      <w:r w:rsidR="00B93485">
        <w:rPr>
          <w:szCs w:val="24"/>
        </w:rPr>
        <w:t xml:space="preserve"> and Tucker Operating Co., LLC</w:t>
      </w:r>
      <w:r w:rsidR="003C3100" w:rsidRPr="00BB4C5E">
        <w:rPr>
          <w:szCs w:val="24"/>
        </w:rPr>
        <w:t xml:space="preserve">, which may include an Option Contract, a Shared Services Agreement, a Joint </w:t>
      </w:r>
      <w:r w:rsidR="00BB4C5E">
        <w:rPr>
          <w:szCs w:val="24"/>
        </w:rPr>
        <w:t>Sales Agreement, and/</w:t>
      </w:r>
      <w:r w:rsidR="003C3100" w:rsidRPr="00BB4C5E">
        <w:rPr>
          <w:szCs w:val="24"/>
        </w:rPr>
        <w:t>or a Transition Services Agreement.</w:t>
      </w:r>
    </w:p>
    <w:p w:rsidR="00F33275" w:rsidRPr="00BB4C5E" w:rsidRDefault="00F33275" w:rsidP="00D51583">
      <w:pPr>
        <w:rPr>
          <w:szCs w:val="24"/>
        </w:rPr>
      </w:pPr>
    </w:p>
    <w:p w:rsidR="002C17FC" w:rsidRPr="00BB4C5E" w:rsidRDefault="003C3100" w:rsidP="00D2109B">
      <w:pPr>
        <w:rPr>
          <w:szCs w:val="24"/>
        </w:rPr>
      </w:pPr>
      <w:r w:rsidRPr="00BB4C5E">
        <w:rPr>
          <w:szCs w:val="24"/>
        </w:rPr>
        <w:t>United Church of Christ Office of Communications, Inc.</w:t>
      </w:r>
      <w:r w:rsidR="003F6D53">
        <w:rPr>
          <w:szCs w:val="24"/>
        </w:rPr>
        <w:t>;</w:t>
      </w:r>
      <w:r w:rsidR="0067572D" w:rsidRPr="00BB4C5E">
        <w:rPr>
          <w:szCs w:val="24"/>
        </w:rPr>
        <w:t xml:space="preserve"> Free</w:t>
      </w:r>
      <w:r w:rsidRPr="00BB4C5E">
        <w:rPr>
          <w:szCs w:val="24"/>
        </w:rPr>
        <w:t xml:space="preserve"> </w:t>
      </w:r>
      <w:r w:rsidR="003F6D53">
        <w:rPr>
          <w:szCs w:val="24"/>
        </w:rPr>
        <w:t>Press;</w:t>
      </w:r>
      <w:r w:rsidR="007E06F4" w:rsidRPr="007E06F4">
        <w:rPr>
          <w:szCs w:val="24"/>
        </w:rPr>
        <w:t xml:space="preserve"> </w:t>
      </w:r>
      <w:r w:rsidR="007E06F4" w:rsidRPr="007E06F4">
        <w:t>National Association of Broadcast Employees and Technicians-Communications Workers of America</w:t>
      </w:r>
      <w:r w:rsidR="003F6D53">
        <w:t>;</w:t>
      </w:r>
      <w:r w:rsidR="007E06F4" w:rsidRPr="007E06F4">
        <w:t xml:space="preserve"> The Newspaper Guild-Communications Workers of America </w:t>
      </w:r>
      <w:r w:rsidRPr="007E06F4">
        <w:rPr>
          <w:szCs w:val="24"/>
        </w:rPr>
        <w:t>C</w:t>
      </w:r>
      <w:r w:rsidR="00561626">
        <w:rPr>
          <w:szCs w:val="24"/>
        </w:rPr>
        <w:t>ommunications Workers of America</w:t>
      </w:r>
      <w:r w:rsidR="003F6D53">
        <w:rPr>
          <w:szCs w:val="24"/>
        </w:rPr>
        <w:t>;</w:t>
      </w:r>
      <w:r w:rsidR="00D2109B" w:rsidRPr="00BB4C5E">
        <w:rPr>
          <w:szCs w:val="24"/>
        </w:rPr>
        <w:t xml:space="preserve"> and Common Cause, through their counsel</w:t>
      </w:r>
      <w:r w:rsidR="00516BE7">
        <w:rPr>
          <w:szCs w:val="24"/>
        </w:rPr>
        <w:t>,</w:t>
      </w:r>
      <w:r w:rsidR="00D2109B" w:rsidRPr="00BB4C5E">
        <w:rPr>
          <w:szCs w:val="24"/>
        </w:rPr>
        <w:t xml:space="preserve"> the Institute for Public Representation</w:t>
      </w:r>
      <w:r w:rsidR="00F1475F" w:rsidRPr="00BB4C5E">
        <w:rPr>
          <w:szCs w:val="24"/>
        </w:rPr>
        <w:t>,</w:t>
      </w:r>
      <w:r w:rsidR="00D2109B" w:rsidRPr="00BB4C5E">
        <w:rPr>
          <w:szCs w:val="24"/>
        </w:rPr>
        <w:t xml:space="preserve"> request </w:t>
      </w:r>
      <w:r w:rsidR="002C17FC" w:rsidRPr="00BB4C5E">
        <w:rPr>
          <w:szCs w:val="24"/>
        </w:rPr>
        <w:t xml:space="preserve">that this proceeding be made permit-but-disclose for </w:t>
      </w:r>
      <w:r w:rsidR="002C17FC" w:rsidRPr="00BB4C5E">
        <w:rPr>
          <w:i/>
          <w:szCs w:val="24"/>
        </w:rPr>
        <w:t xml:space="preserve">ex parte </w:t>
      </w:r>
      <w:r w:rsidR="002C17FC" w:rsidRPr="00BB4C5E">
        <w:rPr>
          <w:szCs w:val="24"/>
        </w:rPr>
        <w:t>purposes.</w:t>
      </w:r>
      <w:r w:rsidR="00563D87" w:rsidRPr="00BB4C5E">
        <w:rPr>
          <w:b/>
          <w:szCs w:val="24"/>
        </w:rPr>
        <w:t xml:space="preserve">  </w:t>
      </w:r>
      <w:r w:rsidR="002C17FC" w:rsidRPr="00BB4C5E">
        <w:rPr>
          <w:szCs w:val="24"/>
        </w:rPr>
        <w:t xml:space="preserve">In view of this </w:t>
      </w:r>
      <w:r w:rsidR="00516BE7">
        <w:rPr>
          <w:szCs w:val="24"/>
        </w:rPr>
        <w:t xml:space="preserve">request, </w:t>
      </w:r>
      <w:r w:rsidR="002C17FC" w:rsidRPr="00BB4C5E">
        <w:rPr>
          <w:szCs w:val="24"/>
        </w:rPr>
        <w:t xml:space="preserve">and in order to assure the staff’s ability to discuss and obtain information needed to resolve the issues presented expeditiously, adoption of modified </w:t>
      </w:r>
      <w:r w:rsidR="002C17FC" w:rsidRPr="00BB4C5E">
        <w:rPr>
          <w:i/>
          <w:szCs w:val="24"/>
        </w:rPr>
        <w:t xml:space="preserve">ex parte </w:t>
      </w:r>
      <w:r w:rsidR="002C17FC" w:rsidRPr="00BB4C5E">
        <w:rPr>
          <w:szCs w:val="24"/>
        </w:rPr>
        <w:t xml:space="preserve">procedures is appropriate.  Accordingly, </w:t>
      </w:r>
      <w:r w:rsidR="002C17FC" w:rsidRPr="00BB4C5E">
        <w:rPr>
          <w:szCs w:val="24"/>
        </w:rPr>
        <w:lastRenderedPageBreak/>
        <w:t xml:space="preserve">by this Public Notice, and pursuant to </w:t>
      </w:r>
      <w:r w:rsidR="00561626">
        <w:rPr>
          <w:szCs w:val="24"/>
        </w:rPr>
        <w:t>s</w:t>
      </w:r>
      <w:r w:rsidR="002C17FC" w:rsidRPr="00BB4C5E">
        <w:rPr>
          <w:szCs w:val="24"/>
        </w:rPr>
        <w:t xml:space="preserve">ection 1.1200(a) of the Commission’s </w:t>
      </w:r>
      <w:r w:rsidR="00516BE7">
        <w:rPr>
          <w:szCs w:val="24"/>
        </w:rPr>
        <w:t>R</w:t>
      </w:r>
      <w:r w:rsidR="00516BE7" w:rsidRPr="00BB4C5E">
        <w:rPr>
          <w:szCs w:val="24"/>
        </w:rPr>
        <w:t>ules</w:t>
      </w:r>
      <w:r w:rsidR="002C17FC" w:rsidRPr="00BB4C5E">
        <w:rPr>
          <w:szCs w:val="24"/>
        </w:rPr>
        <w:t>,</w:t>
      </w:r>
      <w:r w:rsidR="002C17FC" w:rsidRPr="00BB4C5E">
        <w:rPr>
          <w:rStyle w:val="FootnoteReference"/>
          <w:szCs w:val="24"/>
        </w:rPr>
        <w:footnoteReference w:id="1"/>
      </w:r>
      <w:r w:rsidR="002C17FC" w:rsidRPr="00BB4C5E">
        <w:rPr>
          <w:szCs w:val="24"/>
        </w:rPr>
        <w:t xml:space="preserve"> we announce that the </w:t>
      </w:r>
      <w:r w:rsidR="002C17FC" w:rsidRPr="00BB4C5E">
        <w:rPr>
          <w:i/>
          <w:szCs w:val="24"/>
        </w:rPr>
        <w:t>ex parte</w:t>
      </w:r>
      <w:r w:rsidR="002C17FC" w:rsidRPr="00BB4C5E">
        <w:rPr>
          <w:szCs w:val="24"/>
        </w:rPr>
        <w:t xml:space="preserve"> procedures applicable to permit-but-disclose proceedings will govern our conside</w:t>
      </w:r>
      <w:r w:rsidR="008950A3" w:rsidRPr="00BB4C5E">
        <w:rPr>
          <w:szCs w:val="24"/>
        </w:rPr>
        <w:t xml:space="preserve">ration of the instant </w:t>
      </w:r>
      <w:r w:rsidR="002C17FC" w:rsidRPr="00BB4C5E">
        <w:rPr>
          <w:szCs w:val="24"/>
        </w:rPr>
        <w:t>proceeding.</w:t>
      </w:r>
      <w:r w:rsidR="002C17FC" w:rsidRPr="00BB4C5E">
        <w:rPr>
          <w:rStyle w:val="FootnoteReference"/>
          <w:szCs w:val="24"/>
        </w:rPr>
        <w:footnoteReference w:id="2"/>
      </w:r>
      <w:r w:rsidR="002C17FC" w:rsidRPr="00BB4C5E">
        <w:rPr>
          <w:szCs w:val="24"/>
        </w:rPr>
        <w:t xml:space="preserve">  </w:t>
      </w:r>
    </w:p>
    <w:p w:rsidR="002C17FC" w:rsidRDefault="002C17FC" w:rsidP="002C17FC">
      <w:pPr>
        <w:spacing w:before="120" w:after="240"/>
        <w:rPr>
          <w:szCs w:val="24"/>
        </w:rPr>
      </w:pPr>
      <w:r w:rsidRPr="00BB4C5E">
        <w:rPr>
          <w:szCs w:val="24"/>
        </w:rPr>
        <w:t xml:space="preserve">Permit-but-disclose </w:t>
      </w:r>
      <w:r w:rsidRPr="00BB4C5E">
        <w:rPr>
          <w:i/>
          <w:szCs w:val="24"/>
        </w:rPr>
        <w:t>ex parte</w:t>
      </w:r>
      <w:r w:rsidRPr="00BB4C5E">
        <w:rPr>
          <w:szCs w:val="24"/>
        </w:rPr>
        <w:t xml:space="preserve"> procedures permit interested parties to make </w:t>
      </w:r>
      <w:r w:rsidRPr="00BB4C5E">
        <w:rPr>
          <w:i/>
          <w:szCs w:val="24"/>
        </w:rPr>
        <w:t>ex parte</w:t>
      </w:r>
      <w:r w:rsidRPr="00BB4C5E">
        <w:rPr>
          <w:szCs w:val="24"/>
        </w:rPr>
        <w:t xml:space="preserve"> presentations to the Commissioners and Commission employees and require that these presentations be disclosed in the reco</w:t>
      </w:r>
      <w:r w:rsidR="00BB4C5E">
        <w:rPr>
          <w:szCs w:val="24"/>
        </w:rPr>
        <w:t>rd of the relevant proceeding</w:t>
      </w:r>
      <w:r w:rsidR="00374EA8" w:rsidRPr="00BB4C5E">
        <w:rPr>
          <w:szCs w:val="24"/>
        </w:rPr>
        <w:t>.</w:t>
      </w:r>
      <w:r w:rsidR="00374EA8" w:rsidRPr="00BB4C5E">
        <w:rPr>
          <w:rStyle w:val="FootnoteReference"/>
          <w:szCs w:val="24"/>
        </w:rPr>
        <w:footnoteReference w:id="3"/>
      </w:r>
      <w:r w:rsidR="00374EA8" w:rsidRPr="00BB4C5E">
        <w:rPr>
          <w:szCs w:val="24"/>
        </w:rPr>
        <w:t xml:space="preserve">  Persons making </w:t>
      </w:r>
      <w:r w:rsidR="00374EA8" w:rsidRPr="00BB4C5E">
        <w:rPr>
          <w:i/>
          <w:szCs w:val="24"/>
        </w:rPr>
        <w:t xml:space="preserve">ex parte </w:t>
      </w:r>
      <w:r w:rsidR="00374EA8" w:rsidRPr="00BB4C5E">
        <w:rPr>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374EA8" w:rsidRPr="00BB4C5E">
        <w:rPr>
          <w:i/>
          <w:iCs/>
          <w:szCs w:val="24"/>
        </w:rPr>
        <w:t xml:space="preserve">ex parte </w:t>
      </w:r>
      <w:r w:rsidR="00374EA8" w:rsidRPr="00BB4C5E">
        <w:rPr>
          <w:szCs w:val="24"/>
        </w:rPr>
        <w:t xml:space="preserve">presentations are reminded that memoranda summarizing the presentation must (1) list all persons attending or otherwise participating in the meeting at which the </w:t>
      </w:r>
      <w:r w:rsidR="00374EA8" w:rsidRPr="00BB4C5E">
        <w:rPr>
          <w:i/>
          <w:iCs/>
          <w:szCs w:val="24"/>
        </w:rPr>
        <w:t xml:space="preserve">ex parte </w:t>
      </w:r>
      <w:r w:rsidR="00374EA8" w:rsidRPr="00BB4C5E">
        <w:rPr>
          <w:szCs w:val="24"/>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374EA8" w:rsidRPr="00BB4C5E">
        <w:rPr>
          <w:i/>
          <w:iCs/>
          <w:szCs w:val="24"/>
        </w:rPr>
        <w:t xml:space="preserve">ex parte </w:t>
      </w:r>
      <w:r w:rsidR="00374EA8" w:rsidRPr="00BB4C5E">
        <w:rPr>
          <w:szCs w:val="24"/>
        </w:rPr>
        <w:t xml:space="preserve">meetings are deemed to be written </w:t>
      </w:r>
      <w:r w:rsidR="00374EA8" w:rsidRPr="00BB4C5E">
        <w:rPr>
          <w:i/>
          <w:iCs/>
          <w:szCs w:val="24"/>
        </w:rPr>
        <w:t>ex parte</w:t>
      </w:r>
      <w:r w:rsidR="00374EA8" w:rsidRPr="00BB4C5E">
        <w:rPr>
          <w:szCs w:val="24"/>
        </w:rPr>
        <w:t xml:space="preserve"> presentations and must be filed consistent with </w:t>
      </w:r>
      <w:r w:rsidR="00D70F57">
        <w:rPr>
          <w:szCs w:val="24"/>
        </w:rPr>
        <w:t>s</w:t>
      </w:r>
      <w:r w:rsidR="00516BE7">
        <w:rPr>
          <w:szCs w:val="24"/>
        </w:rPr>
        <w:t xml:space="preserve">ection </w:t>
      </w:r>
      <w:r w:rsidR="00374EA8" w:rsidRPr="00BB4C5E">
        <w:rPr>
          <w:szCs w:val="24"/>
        </w:rPr>
        <w:t>1.1206(b)</w:t>
      </w:r>
      <w:r w:rsidR="00516BE7">
        <w:rPr>
          <w:szCs w:val="24"/>
        </w:rPr>
        <w:t xml:space="preserve"> of the Commission’s Rules</w:t>
      </w:r>
      <w:r w:rsidR="00374EA8" w:rsidRPr="00BB4C5E">
        <w:rPr>
          <w:szCs w:val="24"/>
        </w:rPr>
        <w:t>.</w:t>
      </w:r>
      <w:r w:rsidRPr="00BB4C5E">
        <w:rPr>
          <w:szCs w:val="24"/>
        </w:rPr>
        <w:t xml:space="preserve">  All </w:t>
      </w:r>
      <w:r w:rsidRPr="00BB4C5E">
        <w:rPr>
          <w:i/>
          <w:szCs w:val="24"/>
        </w:rPr>
        <w:t>ex parte</w:t>
      </w:r>
      <w:r w:rsidRPr="00BB4C5E">
        <w:rPr>
          <w:szCs w:val="24"/>
        </w:rPr>
        <w:t xml:space="preserve"> filings must be clearly labeled as such and must referen</w:t>
      </w:r>
      <w:r w:rsidR="0067572D" w:rsidRPr="00BB4C5E">
        <w:rPr>
          <w:szCs w:val="24"/>
        </w:rPr>
        <w:t xml:space="preserve">ce </w:t>
      </w:r>
      <w:r w:rsidR="0067572D" w:rsidRPr="00E73027">
        <w:rPr>
          <w:szCs w:val="24"/>
        </w:rPr>
        <w:t>MB Docket No. 13</w:t>
      </w:r>
      <w:r w:rsidR="00A76840" w:rsidRPr="00E73027">
        <w:rPr>
          <w:szCs w:val="24"/>
        </w:rPr>
        <w:t>-</w:t>
      </w:r>
      <w:r w:rsidR="00E73027">
        <w:rPr>
          <w:szCs w:val="24"/>
        </w:rPr>
        <w:t>189</w:t>
      </w:r>
      <w:r w:rsidRPr="00BB4C5E">
        <w:rPr>
          <w:szCs w:val="24"/>
        </w:rPr>
        <w:t>.</w:t>
      </w:r>
    </w:p>
    <w:p w:rsidR="004D43D2" w:rsidRPr="00E73027" w:rsidRDefault="004D43D2" w:rsidP="002C17FC">
      <w:pPr>
        <w:spacing w:before="120" w:after="240"/>
        <w:rPr>
          <w:szCs w:val="24"/>
        </w:rPr>
      </w:pPr>
      <w:r w:rsidRPr="00E73027">
        <w:rPr>
          <w:szCs w:val="24"/>
        </w:rPr>
        <w:t>The Media Bureau has received two petitions to deny in this proceeding.   The petitions will be available th</w:t>
      </w:r>
      <w:r w:rsidR="003269F9" w:rsidRPr="00E73027">
        <w:rPr>
          <w:szCs w:val="24"/>
        </w:rPr>
        <w:t>r</w:t>
      </w:r>
      <w:r w:rsidRPr="00E73027">
        <w:rPr>
          <w:szCs w:val="24"/>
        </w:rPr>
        <w:t>ough the Commis</w:t>
      </w:r>
      <w:r w:rsidR="008F60C0" w:rsidRPr="00E73027">
        <w:rPr>
          <w:szCs w:val="24"/>
        </w:rPr>
        <w:t>s</w:t>
      </w:r>
      <w:r w:rsidRPr="00E73027">
        <w:rPr>
          <w:szCs w:val="24"/>
        </w:rPr>
        <w:t>ion’s Electronic Comment Filing Sy</w:t>
      </w:r>
      <w:r w:rsidR="008F60C0" w:rsidRPr="00E73027">
        <w:rPr>
          <w:szCs w:val="24"/>
        </w:rPr>
        <w:t>stem</w:t>
      </w:r>
      <w:r w:rsidRPr="00E73027">
        <w:rPr>
          <w:szCs w:val="24"/>
        </w:rPr>
        <w:t xml:space="preserve"> (“ECFS”) as this is a docketed proceed</w:t>
      </w:r>
      <w:r w:rsidR="004B6BEB" w:rsidRPr="00E73027">
        <w:rPr>
          <w:szCs w:val="24"/>
        </w:rPr>
        <w:t>ing.</w:t>
      </w:r>
      <w:r w:rsidR="008F60C0" w:rsidRPr="00E73027">
        <w:rPr>
          <w:szCs w:val="24"/>
        </w:rPr>
        <w:t xml:space="preserve">  Opposit</w:t>
      </w:r>
      <w:r w:rsidR="004B6BEB" w:rsidRPr="00E73027">
        <w:rPr>
          <w:szCs w:val="24"/>
        </w:rPr>
        <w:t>ions</w:t>
      </w:r>
      <w:r w:rsidR="008F60C0" w:rsidRPr="00E73027">
        <w:rPr>
          <w:szCs w:val="24"/>
        </w:rPr>
        <w:t xml:space="preserve"> to the petitions to deny are due</w:t>
      </w:r>
      <w:r w:rsidR="00E45A9C">
        <w:rPr>
          <w:szCs w:val="24"/>
        </w:rPr>
        <w:t xml:space="preserve"> no later than</w:t>
      </w:r>
      <w:r w:rsidR="005825C8" w:rsidRPr="00E73027">
        <w:rPr>
          <w:szCs w:val="24"/>
        </w:rPr>
        <w:t xml:space="preserve"> August 8</w:t>
      </w:r>
      <w:r w:rsidR="008F60C0" w:rsidRPr="00E73027">
        <w:rPr>
          <w:szCs w:val="24"/>
        </w:rPr>
        <w:t>, 2013.</w:t>
      </w:r>
      <w:r w:rsidR="00E65F16" w:rsidRPr="00E73027">
        <w:rPr>
          <w:rStyle w:val="FootnoteReference"/>
          <w:szCs w:val="24"/>
        </w:rPr>
        <w:footnoteReference w:id="4"/>
      </w:r>
      <w:r w:rsidR="008F60C0" w:rsidRPr="00E73027">
        <w:rPr>
          <w:szCs w:val="24"/>
        </w:rPr>
        <w:t xml:space="preserve">  Replies to the</w:t>
      </w:r>
      <w:r w:rsidR="005825C8" w:rsidRPr="00E73027">
        <w:rPr>
          <w:szCs w:val="24"/>
        </w:rPr>
        <w:t xml:space="preserve"> </w:t>
      </w:r>
      <w:r w:rsidR="00E65F16" w:rsidRPr="00E73027">
        <w:rPr>
          <w:szCs w:val="24"/>
        </w:rPr>
        <w:t>oppositions</w:t>
      </w:r>
      <w:r w:rsidR="005825C8" w:rsidRPr="00E73027">
        <w:rPr>
          <w:szCs w:val="24"/>
        </w:rPr>
        <w:t xml:space="preserve"> are due</w:t>
      </w:r>
      <w:r w:rsidR="00E45A9C">
        <w:rPr>
          <w:szCs w:val="24"/>
        </w:rPr>
        <w:t xml:space="preserve"> no later than</w:t>
      </w:r>
      <w:r w:rsidR="005825C8" w:rsidRPr="00E73027">
        <w:rPr>
          <w:szCs w:val="24"/>
        </w:rPr>
        <w:t xml:space="preserve"> August 20, 2013.</w:t>
      </w:r>
      <w:r w:rsidR="00E65F16" w:rsidRPr="00E73027">
        <w:rPr>
          <w:rStyle w:val="FootnoteReference"/>
          <w:szCs w:val="24"/>
        </w:rPr>
        <w:footnoteReference w:id="5"/>
      </w:r>
    </w:p>
    <w:p w:rsidR="009E5726" w:rsidRPr="00BB4C5E" w:rsidRDefault="009E5726" w:rsidP="009E5726">
      <w:pPr>
        <w:autoSpaceDE w:val="0"/>
        <w:autoSpaceDN w:val="0"/>
        <w:adjustRightInd w:val="0"/>
        <w:rPr>
          <w:color w:val="010101"/>
          <w:szCs w:val="24"/>
        </w:rPr>
      </w:pPr>
      <w:r w:rsidRPr="00BB4C5E">
        <w:rPr>
          <w:color w:val="010101"/>
          <w:szCs w:val="24"/>
        </w:rPr>
        <w:t xml:space="preserve">The applications for assignment </w:t>
      </w:r>
      <w:r w:rsidR="00516BE7">
        <w:rPr>
          <w:color w:val="010101"/>
          <w:szCs w:val="24"/>
        </w:rPr>
        <w:t xml:space="preserve">and transfer </w:t>
      </w:r>
      <w:r w:rsidRPr="00BB4C5E">
        <w:rPr>
          <w:color w:val="010101"/>
          <w:szCs w:val="24"/>
        </w:rPr>
        <w:t>referred to in this Public Notice have been accepted for filing upon initial review.</w:t>
      </w:r>
      <w:r w:rsidR="00C14C6C" w:rsidRPr="00BB4C5E">
        <w:rPr>
          <w:color w:val="010101"/>
          <w:szCs w:val="24"/>
        </w:rPr>
        <w:t xml:space="preserve"> </w:t>
      </w:r>
      <w:r w:rsidRPr="00BB4C5E">
        <w:rPr>
          <w:color w:val="010101"/>
          <w:szCs w:val="24"/>
        </w:rPr>
        <w:t xml:space="preserve"> Persons and entities that file comments or petitions to deny become parties to the proceeding. They may participate fully in the proceeding, including seeking access to any confidential and/or highly confidential information that may be filed under a protective order. </w:t>
      </w:r>
      <w:r w:rsidR="00A76840" w:rsidRPr="00BB4C5E">
        <w:rPr>
          <w:color w:val="010101"/>
          <w:szCs w:val="24"/>
        </w:rPr>
        <w:t xml:space="preserve"> </w:t>
      </w:r>
      <w:r w:rsidRPr="00BB4C5E">
        <w:rPr>
          <w:color w:val="010101"/>
          <w:szCs w:val="24"/>
        </w:rPr>
        <w:t>Persons and entities that do not file petitions to deny, including those who file comments, may not seek reconsideration of the Commission’s decision regarding the assignment</w:t>
      </w:r>
      <w:r w:rsidR="00126FAF">
        <w:rPr>
          <w:color w:val="010101"/>
          <w:szCs w:val="24"/>
        </w:rPr>
        <w:t>s</w:t>
      </w:r>
      <w:r w:rsidRPr="00BB4C5E">
        <w:rPr>
          <w:color w:val="010101"/>
          <w:szCs w:val="24"/>
        </w:rPr>
        <w:t xml:space="preserve"> of the licenses </w:t>
      </w:r>
      <w:r w:rsidR="00126FAF">
        <w:rPr>
          <w:color w:val="010101"/>
          <w:szCs w:val="24"/>
        </w:rPr>
        <w:t xml:space="preserve">and transfer of control </w:t>
      </w:r>
      <w:r w:rsidRPr="00BB4C5E">
        <w:rPr>
          <w:color w:val="010101"/>
          <w:szCs w:val="24"/>
        </w:rPr>
        <w:t>at issue</w:t>
      </w:r>
      <w:r w:rsidR="00126FAF">
        <w:rPr>
          <w:color w:val="010101"/>
          <w:szCs w:val="24"/>
        </w:rPr>
        <w:t>,</w:t>
      </w:r>
      <w:r w:rsidRPr="00BB4C5E">
        <w:rPr>
          <w:color w:val="010101"/>
          <w:szCs w:val="24"/>
        </w:rPr>
        <w:t xml:space="preserve"> nor appeal a final decision to the courts.</w:t>
      </w:r>
    </w:p>
    <w:p w:rsidR="009E5726" w:rsidRPr="00BB4C5E" w:rsidRDefault="009E5726" w:rsidP="009E5726">
      <w:pPr>
        <w:autoSpaceDE w:val="0"/>
        <w:autoSpaceDN w:val="0"/>
        <w:adjustRightInd w:val="0"/>
        <w:rPr>
          <w:b/>
          <w:bCs/>
          <w:color w:val="010101"/>
          <w:szCs w:val="24"/>
        </w:rPr>
      </w:pPr>
    </w:p>
    <w:p w:rsidR="009E5726" w:rsidRPr="00BB4C5E" w:rsidRDefault="009E5726" w:rsidP="009E5726">
      <w:pPr>
        <w:autoSpaceDE w:val="0"/>
        <w:autoSpaceDN w:val="0"/>
        <w:adjustRightInd w:val="0"/>
        <w:rPr>
          <w:color w:val="010101"/>
          <w:szCs w:val="24"/>
        </w:rPr>
      </w:pPr>
      <w:r w:rsidRPr="00BB4C5E">
        <w:rPr>
          <w:color w:val="010101"/>
          <w:szCs w:val="24"/>
        </w:rPr>
        <w:t xml:space="preserve">All filings concerning matters referenced in this Public Notice </w:t>
      </w:r>
      <w:r w:rsidR="0067572D" w:rsidRPr="00BB4C5E">
        <w:rPr>
          <w:color w:val="010101"/>
          <w:szCs w:val="24"/>
        </w:rPr>
        <w:t xml:space="preserve">should refer to </w:t>
      </w:r>
      <w:r w:rsidR="0067572D" w:rsidRPr="00E73027">
        <w:rPr>
          <w:color w:val="010101"/>
          <w:szCs w:val="24"/>
        </w:rPr>
        <w:t>MB Docket No. 13</w:t>
      </w:r>
      <w:r w:rsidRPr="00E73027">
        <w:rPr>
          <w:color w:val="010101"/>
          <w:szCs w:val="24"/>
        </w:rPr>
        <w:t>-</w:t>
      </w:r>
      <w:r w:rsidR="00E73027">
        <w:rPr>
          <w:color w:val="010101"/>
          <w:szCs w:val="24"/>
        </w:rPr>
        <w:t>189</w:t>
      </w:r>
      <w:r w:rsidR="0067572D" w:rsidRPr="00BB4C5E">
        <w:rPr>
          <w:color w:val="010101"/>
          <w:szCs w:val="24"/>
        </w:rPr>
        <w:t>,</w:t>
      </w:r>
      <w:r w:rsidRPr="00BB4C5E">
        <w:rPr>
          <w:color w:val="010101"/>
          <w:szCs w:val="24"/>
        </w:rPr>
        <w:t xml:space="preserve"> and if they pertain only to specific applications or matters, to the specific file numbers of the individual applications or matters as well.  </w:t>
      </w:r>
    </w:p>
    <w:p w:rsidR="009E5726" w:rsidRPr="00BB4C5E" w:rsidRDefault="009E5726" w:rsidP="009E5726">
      <w:pPr>
        <w:autoSpaceDE w:val="0"/>
        <w:autoSpaceDN w:val="0"/>
        <w:adjustRightInd w:val="0"/>
        <w:rPr>
          <w:color w:val="010101"/>
          <w:szCs w:val="24"/>
        </w:rPr>
      </w:pPr>
    </w:p>
    <w:p w:rsidR="009E5726" w:rsidRPr="00BB4C5E" w:rsidRDefault="009E5726" w:rsidP="009E5726">
      <w:pPr>
        <w:autoSpaceDE w:val="0"/>
        <w:autoSpaceDN w:val="0"/>
        <w:adjustRightInd w:val="0"/>
        <w:rPr>
          <w:color w:val="010101"/>
          <w:szCs w:val="24"/>
        </w:rPr>
      </w:pPr>
      <w:r w:rsidRPr="00BB4C5E">
        <w:rPr>
          <w:color w:val="010101"/>
          <w:szCs w:val="24"/>
        </w:rPr>
        <w:t>Submissions in this matter may be filed electronically (</w:t>
      </w:r>
      <w:r w:rsidRPr="00BB4C5E">
        <w:rPr>
          <w:i/>
          <w:iCs/>
          <w:color w:val="010101"/>
          <w:szCs w:val="24"/>
        </w:rPr>
        <w:t>i.e.</w:t>
      </w:r>
      <w:r w:rsidRPr="00BB4C5E">
        <w:rPr>
          <w:color w:val="010101"/>
          <w:szCs w:val="24"/>
        </w:rPr>
        <w:t xml:space="preserve">, </w:t>
      </w:r>
      <w:r w:rsidR="00B93485" w:rsidRPr="00BB4C5E">
        <w:rPr>
          <w:color w:val="010101"/>
          <w:szCs w:val="24"/>
        </w:rPr>
        <w:t>through ECFS</w:t>
      </w:r>
      <w:r w:rsidRPr="00BB4C5E">
        <w:rPr>
          <w:color w:val="010101"/>
          <w:szCs w:val="24"/>
        </w:rPr>
        <w:t>) or by filing paper copies.</w:t>
      </w:r>
    </w:p>
    <w:p w:rsidR="009E5726" w:rsidRPr="00BB4C5E" w:rsidRDefault="009E5726"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Electronic Filers: Documents may be filed electronically using the Internet by accessing the</w:t>
      </w:r>
      <w:r w:rsidR="00B93485">
        <w:rPr>
          <w:color w:val="010101"/>
          <w:szCs w:val="24"/>
        </w:rPr>
        <w:t xml:space="preserve"> </w:t>
      </w:r>
      <w:r w:rsidRPr="00B93485">
        <w:rPr>
          <w:color w:val="010101"/>
          <w:szCs w:val="24"/>
        </w:rPr>
        <w:t xml:space="preserve">ECFS: </w:t>
      </w:r>
      <w:hyperlink r:id="rId8" w:history="1">
        <w:r w:rsidR="00DE311F" w:rsidRPr="00B93485">
          <w:rPr>
            <w:rStyle w:val="Hyperlink"/>
            <w:szCs w:val="24"/>
          </w:rPr>
          <w:t>http://fjallfoss.fcc.gov/ecfs2/</w:t>
        </w:r>
      </w:hyperlink>
      <w:r w:rsidRPr="00B93485">
        <w:rPr>
          <w:color w:val="010101"/>
          <w:szCs w:val="24"/>
        </w:rPr>
        <w:t>.</w:t>
      </w:r>
    </w:p>
    <w:p w:rsidR="00DE311F" w:rsidRPr="00BB4C5E" w:rsidRDefault="00DE311F" w:rsidP="009E5726">
      <w:pPr>
        <w:autoSpaceDE w:val="0"/>
        <w:autoSpaceDN w:val="0"/>
        <w:adjustRightInd w:val="0"/>
        <w:rPr>
          <w:color w:val="010101"/>
          <w:szCs w:val="24"/>
        </w:rPr>
      </w:pPr>
    </w:p>
    <w:p w:rsidR="009E5726" w:rsidRPr="00E44C9F" w:rsidRDefault="009E5726" w:rsidP="00E44C9F">
      <w:pPr>
        <w:numPr>
          <w:ilvl w:val="0"/>
          <w:numId w:val="2"/>
        </w:numPr>
        <w:autoSpaceDE w:val="0"/>
        <w:autoSpaceDN w:val="0"/>
        <w:adjustRightInd w:val="0"/>
        <w:rPr>
          <w:color w:val="010101"/>
          <w:szCs w:val="24"/>
        </w:rPr>
      </w:pPr>
      <w:r w:rsidRPr="00BB4C5E">
        <w:rPr>
          <w:color w:val="010101"/>
          <w:szCs w:val="24"/>
        </w:rPr>
        <w:t>Paper Filers: Parties who choose to file by paper must file an original and four copies of each</w:t>
      </w:r>
      <w:r w:rsidR="00126FAF">
        <w:rPr>
          <w:color w:val="010101"/>
          <w:szCs w:val="24"/>
        </w:rPr>
        <w:t xml:space="preserve"> </w:t>
      </w:r>
      <w:r w:rsidRPr="00E44C9F">
        <w:rPr>
          <w:color w:val="010101"/>
          <w:szCs w:val="24"/>
        </w:rPr>
        <w:t>filing.</w:t>
      </w:r>
      <w:r w:rsidR="00E44C9F">
        <w:rPr>
          <w:color w:val="010101"/>
          <w:szCs w:val="24"/>
        </w:rPr>
        <w:t xml:space="preserve"> </w:t>
      </w:r>
      <w:r w:rsidRPr="00E44C9F">
        <w:rPr>
          <w:color w:val="010101"/>
          <w:szCs w:val="24"/>
        </w:rPr>
        <w:t xml:space="preserve"> Filings may be sent by hand or messenger delivery, by commercial overnight courier, or by first-class or overnight U.S. Postal Service mail. All filings must be addressed to the Commission’s Secretary, Office of the Secretary, Federal Communications Commission.</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All hand-delivered or messenger-delivered paper filings for the Commission’s Secretary</w:t>
      </w:r>
      <w:r w:rsidR="00B93485">
        <w:rPr>
          <w:color w:val="010101"/>
          <w:szCs w:val="24"/>
        </w:rPr>
        <w:t xml:space="preserve"> </w:t>
      </w:r>
      <w:r w:rsidRPr="00B93485">
        <w:rPr>
          <w:color w:val="010101"/>
          <w:szCs w:val="24"/>
        </w:rPr>
        <w:t>must be delivered to FCC Headquarters at 445 12th Street, S.W., Room TW-A325, Washington, D.C. 20554. All hand deliveries must be held together with rubber bands or fasteners. Any envelopes must be disposed of before entering the building.</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Commercial overnight mail (other than U.S. Postal Service Express Mail and Priority</w:t>
      </w:r>
      <w:r w:rsidR="00B93485">
        <w:rPr>
          <w:color w:val="010101"/>
          <w:szCs w:val="24"/>
        </w:rPr>
        <w:t xml:space="preserve"> </w:t>
      </w:r>
      <w:r w:rsidRPr="00B93485">
        <w:rPr>
          <w:color w:val="010101"/>
          <w:szCs w:val="24"/>
        </w:rPr>
        <w:t>Mail) must be sent to 9300 East Hampton Drive, Capitol Heights, Maryland 20743.</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U.S. Postal Service first-class, Express, and Priority mail must be addressed to 445 12</w:t>
      </w:r>
      <w:r w:rsidRPr="00B93485">
        <w:rPr>
          <w:color w:val="010101"/>
          <w:szCs w:val="24"/>
          <w:vertAlign w:val="superscript"/>
        </w:rPr>
        <w:t>th</w:t>
      </w:r>
      <w:r w:rsidR="00B93485">
        <w:rPr>
          <w:color w:val="010101"/>
          <w:szCs w:val="24"/>
        </w:rPr>
        <w:t xml:space="preserve"> </w:t>
      </w:r>
      <w:r w:rsidRPr="00B93485">
        <w:rPr>
          <w:color w:val="010101"/>
          <w:szCs w:val="24"/>
        </w:rPr>
        <w:t>Street, S.W., Washington, D.C. 20554.</w:t>
      </w:r>
    </w:p>
    <w:p w:rsidR="009E5726" w:rsidRPr="00BB4C5E" w:rsidRDefault="009E5726" w:rsidP="009E5726">
      <w:pPr>
        <w:autoSpaceDE w:val="0"/>
        <w:autoSpaceDN w:val="0"/>
        <w:adjustRightInd w:val="0"/>
        <w:rPr>
          <w:color w:val="010101"/>
          <w:szCs w:val="24"/>
        </w:rPr>
      </w:pPr>
    </w:p>
    <w:p w:rsidR="009E5726" w:rsidRPr="00BB4C5E" w:rsidRDefault="009E5726" w:rsidP="009E5726">
      <w:pPr>
        <w:autoSpaceDE w:val="0"/>
        <w:autoSpaceDN w:val="0"/>
        <w:adjustRightInd w:val="0"/>
        <w:rPr>
          <w:b/>
          <w:bCs/>
          <w:color w:val="010101"/>
          <w:szCs w:val="24"/>
        </w:rPr>
      </w:pPr>
      <w:r w:rsidRPr="00BB4C5E">
        <w:rPr>
          <w:b/>
          <w:bCs/>
          <w:color w:val="010101"/>
          <w:szCs w:val="24"/>
        </w:rPr>
        <w:t>In addition, one copy of each submission must be sent to the following:</w:t>
      </w:r>
    </w:p>
    <w:p w:rsidR="009E5726" w:rsidRPr="00BB4C5E" w:rsidRDefault="009E5726" w:rsidP="009E5726">
      <w:pPr>
        <w:autoSpaceDE w:val="0"/>
        <w:autoSpaceDN w:val="0"/>
        <w:adjustRightInd w:val="0"/>
        <w:rPr>
          <w:b/>
          <w:bCs/>
          <w:color w:val="010101"/>
          <w:szCs w:val="24"/>
        </w:rPr>
      </w:pPr>
    </w:p>
    <w:p w:rsidR="009E5726" w:rsidRPr="00BB4C5E" w:rsidRDefault="009E5726" w:rsidP="009E5726">
      <w:pPr>
        <w:numPr>
          <w:ilvl w:val="0"/>
          <w:numId w:val="2"/>
        </w:numPr>
        <w:autoSpaceDE w:val="0"/>
        <w:autoSpaceDN w:val="0"/>
        <w:adjustRightInd w:val="0"/>
        <w:rPr>
          <w:color w:val="010101"/>
          <w:szCs w:val="24"/>
        </w:rPr>
      </w:pPr>
      <w:r w:rsidRPr="00BB4C5E">
        <w:rPr>
          <w:color w:val="010101"/>
          <w:szCs w:val="24"/>
        </w:rPr>
        <w:t xml:space="preserve">The Commission’s duplicating contractor, Best Copy and Printing, Inc., Portals II, 445 12th Street, S.W., Room CY-B402, Washington, D.C. 20554, telephone 1-800-378-3160, e-mail </w:t>
      </w:r>
      <w:hyperlink r:id="rId9" w:history="1">
        <w:r w:rsidRPr="00BB4C5E">
          <w:rPr>
            <w:rStyle w:val="Hyperlink"/>
            <w:szCs w:val="24"/>
          </w:rPr>
          <w:t>fcc@bcpiweb.com</w:t>
        </w:r>
      </w:hyperlink>
      <w:r w:rsidRPr="00BB4C5E">
        <w:rPr>
          <w:color w:val="010101"/>
          <w:szCs w:val="24"/>
        </w:rPr>
        <w:t>;</w:t>
      </w:r>
    </w:p>
    <w:p w:rsidR="009E5726" w:rsidRPr="00BB4C5E" w:rsidRDefault="009E5726" w:rsidP="009E5726">
      <w:pPr>
        <w:autoSpaceDE w:val="0"/>
        <w:autoSpaceDN w:val="0"/>
        <w:adjustRightInd w:val="0"/>
        <w:ind w:left="360"/>
        <w:rPr>
          <w:color w:val="010101"/>
          <w:szCs w:val="24"/>
        </w:rPr>
      </w:pPr>
    </w:p>
    <w:p w:rsidR="009E5726" w:rsidRPr="00BB4C5E" w:rsidRDefault="00D2109B" w:rsidP="009E5726">
      <w:pPr>
        <w:numPr>
          <w:ilvl w:val="0"/>
          <w:numId w:val="2"/>
        </w:numPr>
        <w:autoSpaceDE w:val="0"/>
        <w:autoSpaceDN w:val="0"/>
        <w:adjustRightInd w:val="0"/>
        <w:rPr>
          <w:color w:val="010101"/>
          <w:szCs w:val="24"/>
        </w:rPr>
      </w:pPr>
      <w:r w:rsidRPr="00BB4C5E">
        <w:rPr>
          <w:color w:val="010101"/>
          <w:szCs w:val="24"/>
        </w:rPr>
        <w:t>Adrienne Denysyk</w:t>
      </w:r>
      <w:r w:rsidR="009E5726" w:rsidRPr="00BB4C5E">
        <w:rPr>
          <w:color w:val="010101"/>
          <w:szCs w:val="24"/>
        </w:rPr>
        <w:t>, Video Div</w:t>
      </w:r>
      <w:r w:rsidR="004D43D2">
        <w:rPr>
          <w:color w:val="010101"/>
          <w:szCs w:val="24"/>
        </w:rPr>
        <w:t>ision, Media Bureau, Room 2-A820</w:t>
      </w:r>
      <w:r w:rsidR="009E5726" w:rsidRPr="00BB4C5E">
        <w:rPr>
          <w:color w:val="010101"/>
          <w:szCs w:val="24"/>
        </w:rPr>
        <w:t xml:space="preserve">, e-mail </w:t>
      </w:r>
      <w:hyperlink r:id="rId10" w:history="1">
        <w:r w:rsidRPr="00BB4C5E">
          <w:rPr>
            <w:rStyle w:val="Hyperlink"/>
            <w:szCs w:val="24"/>
          </w:rPr>
          <w:t>adrienne.denysyk@fcc.gov</w:t>
        </w:r>
      </w:hyperlink>
      <w:r w:rsidRPr="00BB4C5E">
        <w:rPr>
          <w:color w:val="0101FF"/>
          <w:szCs w:val="24"/>
        </w:rPr>
        <w:t xml:space="preserve"> </w:t>
      </w:r>
      <w:r w:rsidRPr="00BB4C5E">
        <w:rPr>
          <w:szCs w:val="24"/>
        </w:rPr>
        <w:t>.</w:t>
      </w:r>
    </w:p>
    <w:p w:rsidR="009E5726" w:rsidRPr="00BB4C5E" w:rsidRDefault="009E5726" w:rsidP="009E5726">
      <w:pPr>
        <w:autoSpaceDE w:val="0"/>
        <w:autoSpaceDN w:val="0"/>
        <w:adjustRightInd w:val="0"/>
        <w:rPr>
          <w:color w:val="010101"/>
          <w:szCs w:val="24"/>
        </w:rPr>
      </w:pPr>
    </w:p>
    <w:p w:rsidR="009E5726" w:rsidRPr="00BB4C5E" w:rsidRDefault="009E5726" w:rsidP="009E5726">
      <w:pPr>
        <w:autoSpaceDE w:val="0"/>
        <w:autoSpaceDN w:val="0"/>
        <w:adjustRightInd w:val="0"/>
        <w:rPr>
          <w:color w:val="010101"/>
          <w:szCs w:val="24"/>
        </w:rPr>
      </w:pPr>
      <w:r w:rsidRPr="00BB4C5E">
        <w:rPr>
          <w:color w:val="010101"/>
          <w:szCs w:val="24"/>
        </w:rPr>
        <w:t>Any submission that is e-mailed to Best Cop</w:t>
      </w:r>
      <w:r w:rsidR="0067572D" w:rsidRPr="00BB4C5E">
        <w:rPr>
          <w:color w:val="010101"/>
          <w:szCs w:val="24"/>
        </w:rPr>
        <w:t>y and Printing and Adrienne Denysyk</w:t>
      </w:r>
      <w:r w:rsidRPr="00BB4C5E">
        <w:rPr>
          <w:color w:val="010101"/>
          <w:szCs w:val="24"/>
        </w:rPr>
        <w:t xml:space="preserve"> should include in the subject line of the</w:t>
      </w:r>
      <w:r w:rsidR="00A76840" w:rsidRPr="00BB4C5E">
        <w:rPr>
          <w:color w:val="010101"/>
          <w:szCs w:val="24"/>
        </w:rPr>
        <w:t xml:space="preserve"> e-mail: (1) MB Docket No. </w:t>
      </w:r>
      <w:r w:rsidR="00E73027" w:rsidRPr="00E73027">
        <w:rPr>
          <w:color w:val="010101"/>
          <w:szCs w:val="24"/>
        </w:rPr>
        <w:t>13-189</w:t>
      </w:r>
      <w:r w:rsidRPr="00E73027">
        <w:rPr>
          <w:color w:val="010101"/>
          <w:szCs w:val="24"/>
        </w:rPr>
        <w:t>;</w:t>
      </w:r>
      <w:r w:rsidRPr="00BB4C5E">
        <w:rPr>
          <w:color w:val="010101"/>
          <w:szCs w:val="24"/>
        </w:rPr>
        <w:t xml:space="preserve"> (2) the name of the submitting party; </w:t>
      </w:r>
      <w:r w:rsidRPr="00BB4C5E">
        <w:rPr>
          <w:rFonts w:ascii="TimesNewRoman" w:hAnsi="TimesNewRoman" w:cs="TimesNewRoman"/>
          <w:color w:val="010101"/>
          <w:szCs w:val="24"/>
        </w:rPr>
        <w:t>(</w:t>
      </w:r>
      <w:r w:rsidRPr="00BB4C5E">
        <w:rPr>
          <w:color w:val="010101"/>
          <w:szCs w:val="24"/>
        </w:rPr>
        <w:t>3) a brief description or title identifying the type of document being submitted (</w:t>
      </w:r>
      <w:r w:rsidRPr="00BB4C5E">
        <w:rPr>
          <w:i/>
          <w:iCs/>
          <w:color w:val="010101"/>
          <w:szCs w:val="24"/>
        </w:rPr>
        <w:t>e.g</w:t>
      </w:r>
      <w:r w:rsidRPr="00BB4C5E">
        <w:rPr>
          <w:color w:val="010101"/>
          <w:szCs w:val="24"/>
        </w:rPr>
        <w:t xml:space="preserve">., </w:t>
      </w:r>
      <w:r w:rsidRPr="00E73027">
        <w:rPr>
          <w:color w:val="010101"/>
          <w:szCs w:val="24"/>
        </w:rPr>
        <w:t xml:space="preserve">MB Docket No. </w:t>
      </w:r>
      <w:r w:rsidR="00BA2833" w:rsidRPr="00E73027">
        <w:rPr>
          <w:color w:val="010101"/>
          <w:szCs w:val="24"/>
        </w:rPr>
        <w:t>13-</w:t>
      </w:r>
      <w:r w:rsidR="00E73027" w:rsidRPr="00E73027">
        <w:rPr>
          <w:color w:val="010101"/>
          <w:szCs w:val="24"/>
        </w:rPr>
        <w:t>189</w:t>
      </w:r>
      <w:r w:rsidRPr="00E73027">
        <w:rPr>
          <w:color w:val="010101"/>
          <w:szCs w:val="24"/>
        </w:rPr>
        <w:t>,</w:t>
      </w:r>
      <w:r w:rsidRPr="00BB4C5E">
        <w:rPr>
          <w:color w:val="010101"/>
          <w:szCs w:val="24"/>
        </w:rPr>
        <w:t xml:space="preserve"> </w:t>
      </w:r>
      <w:r w:rsidR="00BA2833">
        <w:rPr>
          <w:color w:val="010101"/>
          <w:szCs w:val="24"/>
        </w:rPr>
        <w:t>Gannett-Belo</w:t>
      </w:r>
      <w:r w:rsidRPr="00BB4C5E">
        <w:rPr>
          <w:color w:val="010101"/>
          <w:szCs w:val="24"/>
        </w:rPr>
        <w:t xml:space="preserve">, </w:t>
      </w:r>
      <w:r w:rsidRPr="00BB4C5E">
        <w:rPr>
          <w:i/>
          <w:iCs/>
          <w:color w:val="010101"/>
          <w:szCs w:val="24"/>
        </w:rPr>
        <w:t xml:space="preserve">Ex Parte </w:t>
      </w:r>
      <w:r w:rsidRPr="00BB4C5E">
        <w:rPr>
          <w:color w:val="010101"/>
          <w:szCs w:val="24"/>
        </w:rPr>
        <w:t>Notice).</w:t>
      </w:r>
    </w:p>
    <w:p w:rsidR="009E5726" w:rsidRPr="00BB4C5E" w:rsidRDefault="009E5726" w:rsidP="009E5726">
      <w:pPr>
        <w:autoSpaceDE w:val="0"/>
        <w:autoSpaceDN w:val="0"/>
        <w:adjustRightInd w:val="0"/>
        <w:rPr>
          <w:color w:val="010101"/>
          <w:szCs w:val="24"/>
        </w:rPr>
      </w:pPr>
    </w:p>
    <w:p w:rsidR="00DE311F" w:rsidRPr="00BB4C5E" w:rsidRDefault="009E5726" w:rsidP="009E5726">
      <w:pPr>
        <w:autoSpaceDE w:val="0"/>
        <w:autoSpaceDN w:val="0"/>
        <w:adjustRightInd w:val="0"/>
        <w:rPr>
          <w:color w:val="010101"/>
          <w:szCs w:val="24"/>
        </w:rPr>
      </w:pPr>
      <w:r w:rsidRPr="00BB4C5E">
        <w:rPr>
          <w:i/>
          <w:iCs/>
          <w:color w:val="010101"/>
          <w:szCs w:val="24"/>
        </w:rPr>
        <w:t>People with Disabilities</w:t>
      </w:r>
      <w:r w:rsidRPr="00BB4C5E">
        <w:rPr>
          <w:color w:val="010101"/>
          <w:szCs w:val="24"/>
        </w:rPr>
        <w:t xml:space="preserve">. </w:t>
      </w:r>
      <w:r w:rsidR="00B93485">
        <w:rPr>
          <w:color w:val="010101"/>
          <w:szCs w:val="24"/>
        </w:rPr>
        <w:t xml:space="preserve"> </w:t>
      </w:r>
      <w:r w:rsidRPr="00BB4C5E">
        <w:rPr>
          <w:color w:val="010101"/>
          <w:szCs w:val="24"/>
        </w:rPr>
        <w:t>To request materials in accessible formats for people with disabilities</w:t>
      </w:r>
      <w:r w:rsidR="00DE311F" w:rsidRPr="00BB4C5E">
        <w:rPr>
          <w:color w:val="010101"/>
          <w:szCs w:val="24"/>
        </w:rPr>
        <w:t xml:space="preserve"> </w:t>
      </w:r>
      <w:r w:rsidRPr="00BB4C5E">
        <w:rPr>
          <w:color w:val="010101"/>
          <w:szCs w:val="24"/>
        </w:rPr>
        <w:t>(braille, large print, electronic files, audio format), send an e-mail to fcc504@fcc.gov or call the</w:t>
      </w:r>
      <w:r w:rsidR="00DE311F" w:rsidRPr="00BB4C5E">
        <w:rPr>
          <w:color w:val="010101"/>
          <w:szCs w:val="24"/>
        </w:rPr>
        <w:t xml:space="preserve"> </w:t>
      </w:r>
      <w:r w:rsidRPr="00BB4C5E">
        <w:rPr>
          <w:color w:val="010101"/>
          <w:szCs w:val="24"/>
        </w:rPr>
        <w:t xml:space="preserve">Consumer &amp; </w:t>
      </w:r>
      <w:r w:rsidR="00A76840" w:rsidRPr="00BB4C5E">
        <w:rPr>
          <w:color w:val="010101"/>
          <w:szCs w:val="24"/>
        </w:rPr>
        <w:t>G</w:t>
      </w:r>
      <w:r w:rsidRPr="00BB4C5E">
        <w:rPr>
          <w:color w:val="010101"/>
          <w:szCs w:val="24"/>
        </w:rPr>
        <w:t>overnmental Affairs Bureau at 202-418-0530 (voice), 202-418-0432 (TTY).</w:t>
      </w:r>
    </w:p>
    <w:p w:rsidR="00DE311F" w:rsidRPr="00BB4C5E" w:rsidRDefault="00DE311F" w:rsidP="009E5726">
      <w:pPr>
        <w:autoSpaceDE w:val="0"/>
        <w:autoSpaceDN w:val="0"/>
        <w:adjustRightInd w:val="0"/>
        <w:rPr>
          <w:color w:val="010101"/>
          <w:szCs w:val="24"/>
        </w:rPr>
      </w:pPr>
    </w:p>
    <w:p w:rsidR="009E5726" w:rsidRPr="00BB4C5E" w:rsidRDefault="009E5726" w:rsidP="009E5726">
      <w:pPr>
        <w:autoSpaceDE w:val="0"/>
        <w:autoSpaceDN w:val="0"/>
        <w:adjustRightInd w:val="0"/>
        <w:rPr>
          <w:color w:val="010101"/>
          <w:szCs w:val="24"/>
        </w:rPr>
      </w:pPr>
      <w:r w:rsidRPr="00BB4C5E">
        <w:rPr>
          <w:i/>
          <w:iCs/>
          <w:color w:val="010101"/>
          <w:szCs w:val="24"/>
        </w:rPr>
        <w:t>Availability of Documents</w:t>
      </w:r>
      <w:r w:rsidR="005B08FD">
        <w:rPr>
          <w:color w:val="010101"/>
          <w:szCs w:val="24"/>
        </w:rPr>
        <w:t xml:space="preserve">.  </w:t>
      </w:r>
      <w:r w:rsidRPr="00BB4C5E">
        <w:rPr>
          <w:color w:val="010101"/>
          <w:szCs w:val="24"/>
        </w:rPr>
        <w:t>Documents in this proceeding will be available for public inspection</w:t>
      </w:r>
      <w:r w:rsidR="00DE311F" w:rsidRPr="00BB4C5E">
        <w:rPr>
          <w:color w:val="010101"/>
          <w:szCs w:val="24"/>
        </w:rPr>
        <w:t xml:space="preserve"> </w:t>
      </w:r>
      <w:r w:rsidRPr="00BB4C5E">
        <w:rPr>
          <w:color w:val="010101"/>
          <w:szCs w:val="24"/>
        </w:rPr>
        <w:t>and copying during business hours at the FCC Reference Information Center, Portals II, 445 12th Street,</w:t>
      </w:r>
      <w:r w:rsidR="00DE311F" w:rsidRPr="00BB4C5E">
        <w:rPr>
          <w:color w:val="010101"/>
          <w:szCs w:val="24"/>
        </w:rPr>
        <w:t xml:space="preserve"> </w:t>
      </w:r>
      <w:r w:rsidRPr="00BB4C5E">
        <w:rPr>
          <w:color w:val="010101"/>
          <w:szCs w:val="24"/>
        </w:rPr>
        <w:t>S.W., Room CY-A257, Washington, D.C. 20554.</w:t>
      </w:r>
      <w:r w:rsidR="00E44C9F">
        <w:rPr>
          <w:color w:val="010101"/>
          <w:szCs w:val="24"/>
        </w:rPr>
        <w:t xml:space="preserve"> </w:t>
      </w:r>
      <w:r w:rsidRPr="00BB4C5E">
        <w:rPr>
          <w:color w:val="010101"/>
          <w:szCs w:val="24"/>
        </w:rPr>
        <w:t xml:space="preserve"> The documents may also be purchased from BCPI</w:t>
      </w:r>
      <w:r w:rsidR="00B93485" w:rsidRPr="00BB4C5E">
        <w:rPr>
          <w:color w:val="010101"/>
          <w:szCs w:val="24"/>
        </w:rPr>
        <w:t>,</w:t>
      </w:r>
      <w:r w:rsidR="00B93485">
        <w:rPr>
          <w:color w:val="010101"/>
          <w:szCs w:val="24"/>
        </w:rPr>
        <w:t xml:space="preserve"> telephone</w:t>
      </w:r>
      <w:r w:rsidRPr="00BB4C5E">
        <w:rPr>
          <w:color w:val="010101"/>
          <w:szCs w:val="24"/>
        </w:rPr>
        <w:t xml:space="preserve"> (202) 488-5300, facsimile (202) 488-5563, TTY (202) 488-5562, e-mail fcc@bcpiweb.com.</w:t>
      </w:r>
    </w:p>
    <w:p w:rsidR="00126FAF" w:rsidRDefault="00126FAF" w:rsidP="00DE311F">
      <w:pPr>
        <w:autoSpaceDE w:val="0"/>
        <w:autoSpaceDN w:val="0"/>
        <w:adjustRightInd w:val="0"/>
        <w:rPr>
          <w:color w:val="010101"/>
          <w:szCs w:val="24"/>
        </w:rPr>
      </w:pPr>
    </w:p>
    <w:p w:rsidR="009E5726" w:rsidRDefault="00A76840" w:rsidP="002230F6">
      <w:pPr>
        <w:autoSpaceDE w:val="0"/>
        <w:autoSpaceDN w:val="0"/>
        <w:adjustRightInd w:val="0"/>
        <w:rPr>
          <w:color w:val="010101"/>
          <w:szCs w:val="24"/>
        </w:rPr>
      </w:pPr>
      <w:r w:rsidRPr="00BB4C5E">
        <w:rPr>
          <w:color w:val="010101"/>
          <w:szCs w:val="24"/>
        </w:rPr>
        <w:t>The applications are</w:t>
      </w:r>
      <w:r w:rsidR="009E5726" w:rsidRPr="00BB4C5E">
        <w:rPr>
          <w:color w:val="010101"/>
          <w:szCs w:val="24"/>
        </w:rPr>
        <w:t xml:space="preserve"> also</w:t>
      </w:r>
      <w:r w:rsidRPr="00BB4C5E">
        <w:rPr>
          <w:color w:val="010101"/>
          <w:szCs w:val="24"/>
        </w:rPr>
        <w:t xml:space="preserve"> </w:t>
      </w:r>
      <w:r w:rsidR="009E5726" w:rsidRPr="00BB4C5E">
        <w:rPr>
          <w:color w:val="010101"/>
          <w:szCs w:val="24"/>
        </w:rPr>
        <w:t xml:space="preserve">available electronically through the Commission’s ECFS, which may </w:t>
      </w:r>
      <w:r w:rsidR="0067572D" w:rsidRPr="00BB4C5E">
        <w:rPr>
          <w:color w:val="010101"/>
          <w:szCs w:val="24"/>
        </w:rPr>
        <w:t>be accessed</w:t>
      </w:r>
      <w:r w:rsidR="009E5726" w:rsidRPr="00BB4C5E">
        <w:rPr>
          <w:color w:val="010101"/>
          <w:szCs w:val="24"/>
        </w:rPr>
        <w:t xml:space="preserve"> on the Commission’s</w:t>
      </w:r>
      <w:r w:rsidR="00DE311F" w:rsidRPr="00BB4C5E">
        <w:rPr>
          <w:color w:val="010101"/>
          <w:szCs w:val="24"/>
        </w:rPr>
        <w:t xml:space="preserve"> </w:t>
      </w:r>
      <w:r w:rsidR="009E5726" w:rsidRPr="00BB4C5E">
        <w:rPr>
          <w:color w:val="010101"/>
          <w:szCs w:val="24"/>
        </w:rPr>
        <w:t xml:space="preserve">Internet website at </w:t>
      </w:r>
      <w:hyperlink r:id="rId11" w:history="1">
        <w:r w:rsidR="002230F6" w:rsidRPr="001E3458">
          <w:rPr>
            <w:rStyle w:val="Hyperlink"/>
            <w:szCs w:val="24"/>
          </w:rPr>
          <w:t>http://www.fcc.gov</w:t>
        </w:r>
      </w:hyperlink>
      <w:r w:rsidR="009E5726" w:rsidRPr="00BB4C5E">
        <w:rPr>
          <w:color w:val="010101"/>
          <w:szCs w:val="24"/>
        </w:rPr>
        <w:t>.</w:t>
      </w:r>
    </w:p>
    <w:p w:rsidR="002230F6" w:rsidRPr="00BB4C5E" w:rsidRDefault="002230F6" w:rsidP="002230F6">
      <w:pPr>
        <w:autoSpaceDE w:val="0"/>
        <w:autoSpaceDN w:val="0"/>
        <w:adjustRightInd w:val="0"/>
        <w:rPr>
          <w:szCs w:val="24"/>
        </w:rPr>
      </w:pPr>
    </w:p>
    <w:p w:rsidR="002C17FC" w:rsidRPr="00BB4C5E" w:rsidRDefault="002C17FC" w:rsidP="002230F6">
      <w:pPr>
        <w:rPr>
          <w:szCs w:val="24"/>
        </w:rPr>
      </w:pPr>
      <w:r w:rsidRPr="00BB4C5E">
        <w:rPr>
          <w:szCs w:val="24"/>
        </w:rPr>
        <w:t>For further in</w:t>
      </w:r>
      <w:r w:rsidR="00565F56" w:rsidRPr="00BB4C5E">
        <w:rPr>
          <w:szCs w:val="24"/>
        </w:rPr>
        <w:t>formation, contact Adrienne Denysyk at (202) 418-</w:t>
      </w:r>
      <w:r w:rsidR="00D70F57">
        <w:rPr>
          <w:szCs w:val="24"/>
        </w:rPr>
        <w:t>2651</w:t>
      </w:r>
      <w:r w:rsidR="00565F56" w:rsidRPr="00BB4C5E">
        <w:rPr>
          <w:szCs w:val="24"/>
        </w:rPr>
        <w:t xml:space="preserve">.  </w:t>
      </w:r>
      <w:r w:rsidR="005B08FD">
        <w:rPr>
          <w:szCs w:val="24"/>
        </w:rPr>
        <w:t>For p</w:t>
      </w:r>
      <w:r w:rsidRPr="00BB4C5E">
        <w:rPr>
          <w:szCs w:val="24"/>
        </w:rPr>
        <w:t xml:space="preserve">ress inquiries, contact Janice Wise at (202) 418-8165.  </w:t>
      </w:r>
    </w:p>
    <w:p w:rsidR="002C17FC" w:rsidRPr="00BB4C5E" w:rsidRDefault="002C17FC" w:rsidP="002C17FC">
      <w:pPr>
        <w:spacing w:before="120" w:after="240"/>
        <w:rPr>
          <w:szCs w:val="24"/>
        </w:rPr>
      </w:pPr>
      <w:r w:rsidRPr="00BB4C5E">
        <w:rPr>
          <w:szCs w:val="24"/>
        </w:rPr>
        <w:t>By:  Chief, Media Bureau</w:t>
      </w:r>
    </w:p>
    <w:p w:rsidR="005F18D9" w:rsidRPr="00BB4C5E" w:rsidRDefault="00563D87" w:rsidP="00775BBD">
      <w:pPr>
        <w:tabs>
          <w:tab w:val="left" w:pos="-2970"/>
          <w:tab w:val="right" w:pos="-2880"/>
          <w:tab w:val="left" w:pos="4266"/>
          <w:tab w:val="right" w:pos="9360"/>
        </w:tabs>
        <w:suppressAutoHyphens/>
        <w:spacing w:line="287" w:lineRule="auto"/>
        <w:rPr>
          <w:rFonts w:ascii="CG Times" w:hAnsi="CG Times"/>
          <w:b/>
          <w:szCs w:val="24"/>
        </w:rPr>
      </w:pPr>
      <w:r w:rsidRPr="00BB4C5E">
        <w:rPr>
          <w:rFonts w:ascii="CG Times" w:hAnsi="CG Times"/>
          <w:b/>
          <w:szCs w:val="24"/>
        </w:rPr>
        <w:t xml:space="preserve">                        </w:t>
      </w:r>
    </w:p>
    <w:p w:rsidR="00E52A70" w:rsidRPr="00BB4C5E" w:rsidRDefault="00225B91" w:rsidP="0067572D">
      <w:pPr>
        <w:jc w:val="center"/>
        <w:rPr>
          <w:rFonts w:ascii="CG Times" w:hAnsi="CG Times"/>
          <w:b/>
          <w:szCs w:val="24"/>
        </w:rPr>
      </w:pPr>
      <w:r w:rsidRPr="00BB4C5E">
        <w:rPr>
          <w:rFonts w:ascii="CG Times" w:hAnsi="CG Times"/>
          <w:b/>
          <w:szCs w:val="24"/>
        </w:rPr>
        <w:br w:type="page"/>
      </w:r>
      <w:r w:rsidR="00E52A70" w:rsidRPr="00BB4C5E">
        <w:rPr>
          <w:rFonts w:ascii="CG Times" w:hAnsi="CG Times"/>
          <w:b/>
          <w:szCs w:val="24"/>
        </w:rPr>
        <w:t>APPENDIX</w:t>
      </w:r>
    </w:p>
    <w:p w:rsidR="00E52A70" w:rsidRPr="00BB4C5E" w:rsidRDefault="00E52A70" w:rsidP="00E52A70">
      <w:pPr>
        <w:rPr>
          <w:rFonts w:ascii="CG Times" w:hAnsi="CG Times"/>
          <w:b/>
          <w:szCs w:val="24"/>
        </w:rPr>
      </w:pPr>
    </w:p>
    <w:tbl>
      <w:tblPr>
        <w:tblW w:w="10540" w:type="dxa"/>
        <w:tblInd w:w="93" w:type="dxa"/>
        <w:tblLook w:val="04A0" w:firstRow="1" w:lastRow="0" w:firstColumn="1" w:lastColumn="0" w:noHBand="0" w:noVBand="1"/>
      </w:tblPr>
      <w:tblGrid>
        <w:gridCol w:w="1430"/>
        <w:gridCol w:w="936"/>
        <w:gridCol w:w="1650"/>
        <w:gridCol w:w="1842"/>
        <w:gridCol w:w="2631"/>
        <w:gridCol w:w="2051"/>
      </w:tblGrid>
      <w:tr w:rsidR="00D13468" w:rsidRPr="00BB4C5E" w:rsidTr="008D27EE">
        <w:trPr>
          <w:trHeight w:val="540"/>
        </w:trPr>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Station</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Fac. ID</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Community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Assignor/ Transferor</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Assignee/ Transferee</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D13468" w:rsidRPr="00BB4C5E" w:rsidRDefault="00D13468" w:rsidP="00D13468">
            <w:pPr>
              <w:rPr>
                <w:b/>
                <w:bCs/>
                <w:color w:val="000000"/>
                <w:szCs w:val="24"/>
              </w:rPr>
            </w:pPr>
            <w:r w:rsidRPr="00BB4C5E">
              <w:rPr>
                <w:b/>
                <w:bCs/>
                <w:color w:val="000000"/>
                <w:szCs w:val="24"/>
              </w:rPr>
              <w:t>Application Number</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KASW(TV)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7143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Phoenix,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KASW-TV,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3F6D53">
              <w:rPr>
                <w:color w:val="000000"/>
                <w:szCs w:val="24"/>
              </w:rPr>
              <w:t>J</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40993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Phoenix,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BALCDT-20130619AFA</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K11</w:t>
            </w:r>
            <w:r w:rsidR="009B27AE">
              <w:rPr>
                <w:color w:val="000000"/>
                <w:szCs w:val="24"/>
              </w:rPr>
              <w:t>L</w:t>
            </w:r>
            <w:r w:rsidRPr="00BB4C5E">
              <w:rPr>
                <w:color w:val="000000"/>
                <w:szCs w:val="24"/>
              </w:rPr>
              <w:t>C-D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2756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Prescott,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B</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K38AI-D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2754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Cottonwood,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C</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K15HY</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5323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Williams-Ashfork,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D</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K25MG-D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2753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Flagstaff,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E</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K14NA-D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13087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Globe &amp; Miami,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F</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K34EE-D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56142</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Prescott-Cottonwood,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BALCDT-20130619AF</w:t>
            </w:r>
            <w:r w:rsidR="0083725D">
              <w:rPr>
                <w:color w:val="000000"/>
                <w:szCs w:val="24"/>
              </w:rPr>
              <w:t>G</w:t>
            </w:r>
          </w:p>
        </w:tc>
      </w:tr>
      <w:tr w:rsidR="00555B5F"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555B5F" w:rsidRPr="00BB4C5E" w:rsidRDefault="00555B5F" w:rsidP="00D13468">
            <w:pPr>
              <w:rPr>
                <w:color w:val="000000"/>
                <w:szCs w:val="24"/>
              </w:rPr>
            </w:pPr>
            <w:r>
              <w:rPr>
                <w:color w:val="000000"/>
                <w:szCs w:val="24"/>
              </w:rPr>
              <w:t>K41JE</w:t>
            </w:r>
          </w:p>
        </w:tc>
        <w:tc>
          <w:tcPr>
            <w:tcW w:w="936" w:type="dxa"/>
            <w:tcBorders>
              <w:top w:val="nil"/>
              <w:left w:val="nil"/>
              <w:bottom w:val="single" w:sz="4" w:space="0" w:color="auto"/>
              <w:right w:val="single" w:sz="4" w:space="0" w:color="auto"/>
            </w:tcBorders>
            <w:shd w:val="clear" w:color="auto" w:fill="auto"/>
            <w:vAlign w:val="bottom"/>
          </w:tcPr>
          <w:p w:rsidR="00555B5F" w:rsidRPr="00BB4C5E" w:rsidRDefault="00555B5F" w:rsidP="00D13468">
            <w:pPr>
              <w:jc w:val="right"/>
              <w:rPr>
                <w:color w:val="000000"/>
                <w:szCs w:val="24"/>
              </w:rPr>
            </w:pPr>
            <w:r>
              <w:rPr>
                <w:color w:val="000000"/>
                <w:szCs w:val="24"/>
              </w:rPr>
              <w:t>126160</w:t>
            </w:r>
          </w:p>
        </w:tc>
        <w:tc>
          <w:tcPr>
            <w:tcW w:w="1650" w:type="dxa"/>
            <w:tcBorders>
              <w:top w:val="nil"/>
              <w:left w:val="nil"/>
              <w:bottom w:val="single" w:sz="4" w:space="0" w:color="auto"/>
              <w:right w:val="single" w:sz="4" w:space="0" w:color="auto"/>
            </w:tcBorders>
            <w:shd w:val="clear" w:color="auto" w:fill="auto"/>
            <w:vAlign w:val="bottom"/>
          </w:tcPr>
          <w:p w:rsidR="00555B5F" w:rsidRPr="00BB4C5E" w:rsidRDefault="00555B5F" w:rsidP="00D13468">
            <w:pPr>
              <w:rPr>
                <w:color w:val="000000"/>
                <w:szCs w:val="24"/>
              </w:rPr>
            </w:pPr>
            <w:r>
              <w:rPr>
                <w:color w:val="000000"/>
                <w:szCs w:val="24"/>
              </w:rPr>
              <w:t>Williams-Ashfork, AZ</w:t>
            </w:r>
          </w:p>
        </w:tc>
        <w:tc>
          <w:tcPr>
            <w:tcW w:w="1842" w:type="dxa"/>
            <w:tcBorders>
              <w:top w:val="nil"/>
              <w:left w:val="nil"/>
              <w:bottom w:val="single" w:sz="4" w:space="0" w:color="auto"/>
              <w:right w:val="single" w:sz="4" w:space="0" w:color="auto"/>
            </w:tcBorders>
            <w:shd w:val="clear" w:color="auto" w:fill="auto"/>
            <w:vAlign w:val="bottom"/>
          </w:tcPr>
          <w:p w:rsidR="00555B5F" w:rsidRPr="00BB4C5E" w:rsidRDefault="00555B5F" w:rsidP="00D13468">
            <w:pPr>
              <w:rPr>
                <w:color w:val="000000"/>
                <w:szCs w:val="24"/>
              </w:rPr>
            </w:pPr>
            <w:r>
              <w:rPr>
                <w:color w:val="000000"/>
                <w:szCs w:val="24"/>
              </w:rPr>
              <w:t>KTVK, Inc.</w:t>
            </w:r>
          </w:p>
        </w:tc>
        <w:tc>
          <w:tcPr>
            <w:tcW w:w="2631" w:type="dxa"/>
            <w:tcBorders>
              <w:top w:val="nil"/>
              <w:left w:val="nil"/>
              <w:bottom w:val="single" w:sz="4" w:space="0" w:color="auto"/>
              <w:right w:val="single" w:sz="4" w:space="0" w:color="auto"/>
            </w:tcBorders>
            <w:shd w:val="clear" w:color="auto" w:fill="auto"/>
            <w:vAlign w:val="bottom"/>
          </w:tcPr>
          <w:p w:rsidR="00555B5F" w:rsidRPr="00BB4C5E" w:rsidRDefault="00555B5F" w:rsidP="00D13468">
            <w:pPr>
              <w:rPr>
                <w:color w:val="000000"/>
                <w:szCs w:val="24"/>
              </w:rPr>
            </w:pPr>
            <w:r w:rsidRPr="00BB4C5E">
              <w:rPr>
                <w:color w:val="000000"/>
                <w:szCs w:val="24"/>
              </w:rPr>
              <w:t>Sander Operating Co. II LLC D/B/A KTVK Television</w:t>
            </w:r>
          </w:p>
        </w:tc>
        <w:tc>
          <w:tcPr>
            <w:tcW w:w="2051" w:type="dxa"/>
            <w:tcBorders>
              <w:top w:val="nil"/>
              <w:left w:val="nil"/>
              <w:bottom w:val="single" w:sz="4" w:space="0" w:color="auto"/>
              <w:right w:val="single" w:sz="4" w:space="0" w:color="auto"/>
            </w:tcBorders>
            <w:shd w:val="clear" w:color="auto" w:fill="auto"/>
            <w:vAlign w:val="bottom"/>
          </w:tcPr>
          <w:p w:rsidR="00555B5F" w:rsidRPr="00BB4C5E" w:rsidRDefault="00555B5F" w:rsidP="00D13468">
            <w:pPr>
              <w:rPr>
                <w:color w:val="000000"/>
                <w:szCs w:val="24"/>
              </w:rPr>
            </w:pPr>
            <w:r w:rsidRPr="00BB4C5E">
              <w:rPr>
                <w:color w:val="000000"/>
                <w:szCs w:val="24"/>
              </w:rPr>
              <w:t>BALCDT-20130619AF</w:t>
            </w:r>
            <w:r w:rsidR="0083725D">
              <w:rPr>
                <w:color w:val="000000"/>
                <w:szCs w:val="24"/>
              </w:rPr>
              <w:t>H</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KMOV(TV)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70034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St. Louis, MO</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KMOV-TV,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IV,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- 20130619AEZ</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KGW(TV)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34874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Portland,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- 20130619AFN</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K48MP-D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34851</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Corvallis,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O</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K29AZ-D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34865</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Newport, OR </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P</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K40EG</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34881</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Tillamook,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Q</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K46AK-D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34864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Prineville, etc.,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R</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K25KS-D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34844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The Dalles,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S</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K35HU-D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34870</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Grays River, </w:t>
            </w:r>
            <w:r w:rsidR="00996E9E">
              <w:rPr>
                <w:color w:val="000000"/>
                <w:szCs w:val="24"/>
              </w:rPr>
              <w:t>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T</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K17HA-D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130923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Astoria,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U</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KGWZ-LD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30810</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Portland, OR</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King Broadcasting Company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III,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w:t>
            </w:r>
            <w:r w:rsidR="0083725D">
              <w:rPr>
                <w:color w:val="000000"/>
                <w:szCs w:val="24"/>
              </w:rPr>
              <w:t>V</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WHAS-TV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32327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Louisville, KY</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Belo Kentucky, Inc.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I,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- 20130619AFM</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KMSB(TV)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44052</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Tucson,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KMSB-TV,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Sander Operating Co. V,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- 20130619AFL</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KTTU(TV)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11908</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Tucson, AZ</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KTTU-TV, Inc.</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Tucker Operating Co., LLC</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BALCDT - 20130619ADJ</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WFAA(TV)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72054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Dallas, TX</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- 20130619AAY</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KHOU(TV)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34529</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Houston, TX</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- 20130619AAW</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KING-TV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34847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Seattle, 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- 20130619AAZ</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K41FJ-D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34861</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Coeur D'Alene,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BB</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K45AC</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34873</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Wenatchee, 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BC</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K21CC</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50532</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Lewiston,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BD</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KTFT-LD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167056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Twin Falls,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BF</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K05DC</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34875</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Cambridge, Etc.,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BG</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K16JE-D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188132</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Glenns Ferry,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BH</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K26LE-D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34884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Cascade,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BI</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8D27EE" w:rsidP="00D13468">
            <w:pPr>
              <w:rPr>
                <w:color w:val="000000"/>
                <w:szCs w:val="24"/>
              </w:rPr>
            </w:pPr>
            <w:r>
              <w:rPr>
                <w:color w:val="000000"/>
                <w:szCs w:val="24"/>
              </w:rPr>
              <w:t>K15I</w:t>
            </w:r>
            <w:r w:rsidR="00D13468" w:rsidRPr="00BB4C5E">
              <w:rPr>
                <w:color w:val="000000"/>
                <w:szCs w:val="24"/>
              </w:rPr>
              <w:t>O-D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34869</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McCall &amp; New Meadows,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BJ</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K23KY-D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11446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Council,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BK</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KONG(TV)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35396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Everett, 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- 20130619AAM</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WCNC-TV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32326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Charlotte, NC</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- 20130619AAS</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W30CR-D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32317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Biscoe, NC</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w:t>
            </w:r>
            <w:r w:rsidR="0083725D">
              <w:rPr>
                <w:color w:val="000000"/>
                <w:szCs w:val="24"/>
              </w:rPr>
              <w:t>T</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W24AY-D</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32316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Lilesville/ Wadesboro, NC </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w:t>
            </w:r>
            <w:r w:rsidR="0083725D">
              <w:rPr>
                <w:color w:val="000000"/>
                <w:szCs w:val="24"/>
              </w:rPr>
              <w:t>U</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KENS(TV)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26304</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San Antonio, TX</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- 20130619AAP</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WVEC(TV)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74167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Hampton, VA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- 20130619AAR</w:t>
            </w:r>
          </w:p>
        </w:tc>
      </w:tr>
      <w:tr w:rsidR="00D13468" w:rsidRPr="00BB4C5E" w:rsidTr="008D27EE">
        <w:trPr>
          <w:trHeight w:val="80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KVUE(TV)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35867</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Austin, TX</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- 20130619AAV</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WUPL(TV)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13938</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Slidell, LA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- 20130619AAN</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WBXN-CA</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70419</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New Orleans, LA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w:t>
            </w:r>
            <w:r w:rsidR="0083725D">
              <w:rPr>
                <w:color w:val="000000"/>
                <w:szCs w:val="24"/>
              </w:rPr>
              <w:t>O</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WWL-TV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74192</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New Orleans, LA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- 20130619AAQ</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KREM(TV)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34686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Spokane, 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BA</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KSKN(TV)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35606</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Spokane, WA</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- 20130619AAX</w:t>
            </w:r>
          </w:p>
        </w:tc>
      </w:tr>
      <w:tr w:rsidR="00D13468" w:rsidRPr="00BB4C5E" w:rsidTr="008D27EE">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KTVB(TV)</w:t>
            </w:r>
          </w:p>
        </w:tc>
        <w:tc>
          <w:tcPr>
            <w:tcW w:w="936"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jc w:val="right"/>
              <w:rPr>
                <w:color w:val="000000"/>
                <w:szCs w:val="24"/>
              </w:rPr>
            </w:pPr>
            <w:r w:rsidRPr="00BB4C5E">
              <w:rPr>
                <w:color w:val="000000"/>
                <w:szCs w:val="24"/>
              </w:rPr>
              <w:t>34858</w:t>
            </w:r>
          </w:p>
        </w:tc>
        <w:tc>
          <w:tcPr>
            <w:tcW w:w="1650"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Boise, ID</w:t>
            </w:r>
          </w:p>
        </w:tc>
        <w:tc>
          <w:tcPr>
            <w:tcW w:w="1842"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Shareholders of Belo Corp. </w:t>
            </w:r>
          </w:p>
        </w:tc>
        <w:tc>
          <w:tcPr>
            <w:tcW w:w="263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 xml:space="preserve">Gannett Co., Inc. </w:t>
            </w:r>
          </w:p>
        </w:tc>
        <w:tc>
          <w:tcPr>
            <w:tcW w:w="2051" w:type="dxa"/>
            <w:tcBorders>
              <w:top w:val="nil"/>
              <w:left w:val="nil"/>
              <w:bottom w:val="single" w:sz="4" w:space="0" w:color="auto"/>
              <w:right w:val="single" w:sz="4" w:space="0" w:color="auto"/>
            </w:tcBorders>
            <w:shd w:val="clear" w:color="auto" w:fill="auto"/>
            <w:vAlign w:val="bottom"/>
            <w:hideMark/>
          </w:tcPr>
          <w:p w:rsidR="00D13468" w:rsidRPr="00BB4C5E" w:rsidRDefault="00D13468" w:rsidP="00D13468">
            <w:pPr>
              <w:rPr>
                <w:color w:val="000000"/>
                <w:szCs w:val="24"/>
              </w:rPr>
            </w:pPr>
            <w:r w:rsidRPr="00BB4C5E">
              <w:rPr>
                <w:color w:val="000000"/>
                <w:szCs w:val="24"/>
              </w:rPr>
              <w:t>BTCCDT - 20130619A</w:t>
            </w:r>
            <w:r w:rsidR="0083725D">
              <w:rPr>
                <w:color w:val="000000"/>
                <w:szCs w:val="24"/>
              </w:rPr>
              <w:t>BE</w:t>
            </w:r>
          </w:p>
        </w:tc>
      </w:tr>
    </w:tbl>
    <w:p w:rsidR="00E52A70" w:rsidRPr="00BB4C5E" w:rsidRDefault="0067572D" w:rsidP="00E52A70">
      <w:pPr>
        <w:ind w:left="-720"/>
        <w:rPr>
          <w:szCs w:val="24"/>
        </w:rPr>
      </w:pPr>
      <w:r w:rsidRPr="00BB4C5E">
        <w:rPr>
          <w:szCs w:val="24"/>
        </w:rPr>
        <w:t xml:space="preserve"> </w:t>
      </w:r>
    </w:p>
    <w:sectPr w:rsidR="00E52A70" w:rsidRPr="00BB4C5E" w:rsidSect="001A1A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03" w:rsidRDefault="00FC1C03">
      <w:r>
        <w:separator/>
      </w:r>
    </w:p>
  </w:endnote>
  <w:endnote w:type="continuationSeparator" w:id="0">
    <w:p w:rsidR="00FC1C03" w:rsidRDefault="00FC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Cambria"/>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52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3E2D" w:rsidRDefault="00A53E2D" w:rsidP="008B1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8B1527">
    <w:pPr>
      <w:spacing w:before="140" w:line="100" w:lineRule="exact"/>
      <w:ind w:right="360"/>
      <w:rPr>
        <w:sz w:val="10"/>
      </w:rPr>
    </w:pPr>
  </w:p>
  <w:p w:rsidR="00A53E2D" w:rsidRDefault="00A53E2D">
    <w:pPr>
      <w:suppressAutoHyphens/>
    </w:pPr>
  </w:p>
  <w:p w:rsidR="00A53E2D" w:rsidRDefault="00A53E2D">
    <w:r>
      <w:rPr>
        <w:noProof/>
      </w:rPr>
      <mc:AlternateContent>
        <mc:Choice Requires="wps">
          <w:drawing>
            <wp:anchor distT="0" distB="0" distL="114300" distR="114300" simplePos="0" relativeHeight="251655680" behindDoc="0" locked="0" layoutInCell="0" allowOverlap="1" wp14:anchorId="0325C8BC" wp14:editId="5B9290B0">
              <wp:simplePos x="0" y="0"/>
              <wp:positionH relativeFrom="page">
                <wp:posOffset>914400</wp:posOffset>
              </wp:positionH>
              <wp:positionV relativeFrom="paragraph">
                <wp:posOffset>152400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53E2D" w:rsidRDefault="00A53E2D">
                          <w:pPr>
                            <w:tabs>
                              <w:tab w:val="center" w:pos="4680"/>
                              <w:tab w:val="right" w:pos="9360"/>
                            </w:tabs>
                          </w:pPr>
                          <w:r>
                            <w:tab/>
                          </w:r>
                          <w:r>
                            <w:fldChar w:fldCharType="begin"/>
                          </w:r>
                          <w:r>
                            <w:instrText>page \* arabic</w:instrText>
                          </w:r>
                          <w:r>
                            <w:fldChar w:fldCharType="separate"/>
                          </w:r>
                          <w:r w:rsidR="00E76EC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" o:allowincell="f" filled="f" stroked="f" strokeweight="0">
              <v:shadow color="black" opacity="49150f" offset=".74833mm,.74833mm"/>
              <v:textbox inset="0,0,0,0">
                <w:txbxContent>
                  <w:p w:rsidR="00A53E2D" w:rsidRDefault="00A53E2D">
                    <w:pPr>
                      <w:tabs>
                        <w:tab w:val="center" w:pos="4680"/>
                        <w:tab w:val="right" w:pos="9360"/>
                      </w:tabs>
                    </w:pPr>
                    <w:r>
                      <w:tab/>
                    </w:r>
                    <w:r>
                      <w:fldChar w:fldCharType="begin"/>
                    </w:r>
                    <w:r>
                      <w:instrText>page \* arabic</w:instrText>
                    </w:r>
                    <w:r>
                      <w:fldChar w:fldCharType="separate"/>
                    </w:r>
                    <w:r w:rsidR="00E76ECD">
                      <w:rPr>
                        <w:noProof/>
                      </w:rPr>
                      <w:t>7</w:t>
                    </w:r>
                    <w: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0" w:rsidRDefault="00CD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03" w:rsidRDefault="00FC1C03">
      <w:r>
        <w:separator/>
      </w:r>
    </w:p>
  </w:footnote>
  <w:footnote w:type="continuationSeparator" w:id="0">
    <w:p w:rsidR="00FC1C03" w:rsidRDefault="00FC1C03">
      <w:r>
        <w:continuationSeparator/>
      </w:r>
    </w:p>
  </w:footnote>
  <w:footnote w:id="1">
    <w:p w:rsidR="00A53E2D" w:rsidRDefault="00A53E2D" w:rsidP="00BA2833">
      <w:pPr>
        <w:pStyle w:val="FootnoteText"/>
      </w:pPr>
      <w:r>
        <w:rPr>
          <w:rStyle w:val="FootnoteReference"/>
        </w:rPr>
        <w:footnoteRef/>
      </w:r>
      <w:r>
        <w:t xml:space="preserve"> 47 C.F.R. §1.1200(a).</w:t>
      </w:r>
    </w:p>
  </w:footnote>
  <w:footnote w:id="2">
    <w:p w:rsidR="00A53E2D" w:rsidRDefault="00A53E2D" w:rsidP="00BA2833">
      <w:pPr>
        <w:pStyle w:val="FootnoteText"/>
      </w:pPr>
      <w:r>
        <w:rPr>
          <w:rStyle w:val="FootnoteReference"/>
        </w:rPr>
        <w:footnoteRef/>
      </w:r>
      <w:r>
        <w:t xml:space="preserve"> </w:t>
      </w:r>
      <w:r w:rsidR="002714F1">
        <w:rPr>
          <w:i/>
        </w:rPr>
        <w:t>Id.</w:t>
      </w:r>
      <w:r w:rsidR="00CB7924">
        <w:t xml:space="preserve"> at </w:t>
      </w:r>
      <w:r>
        <w:t>§1.1206.</w:t>
      </w:r>
    </w:p>
  </w:footnote>
  <w:footnote w:id="3">
    <w:p w:rsidR="00374EA8" w:rsidRPr="00E65F16" w:rsidRDefault="00374EA8">
      <w:pPr>
        <w:pStyle w:val="FootnoteText"/>
        <w:rPr>
          <w:i/>
          <w:iCs/>
        </w:rPr>
      </w:pPr>
      <w:r>
        <w:rPr>
          <w:rStyle w:val="FootnoteReference"/>
        </w:rPr>
        <w:footnoteRef/>
      </w:r>
      <w:r>
        <w:t xml:space="preserve"> </w:t>
      </w:r>
      <w:r w:rsidR="002714F1">
        <w:rPr>
          <w:i/>
        </w:rPr>
        <w:t>Id.</w:t>
      </w:r>
      <w:r w:rsidR="002714F1">
        <w:t xml:space="preserve"> at </w:t>
      </w:r>
      <w:r>
        <w:t xml:space="preserve">§§ 1.1200 </w:t>
      </w:r>
      <w:r>
        <w:rPr>
          <w:i/>
          <w:iCs/>
        </w:rPr>
        <w:t>et seq.</w:t>
      </w:r>
    </w:p>
  </w:footnote>
  <w:footnote w:id="4">
    <w:p w:rsidR="00E65F16" w:rsidRDefault="00E65F16" w:rsidP="00E65F16">
      <w:pPr>
        <w:pStyle w:val="FootnoteText"/>
      </w:pPr>
      <w:r>
        <w:rPr>
          <w:rStyle w:val="FootnoteReference"/>
        </w:rPr>
        <w:footnoteRef/>
      </w:r>
      <w:r>
        <w:t xml:space="preserve"> </w:t>
      </w:r>
      <w:r w:rsidR="002714F1">
        <w:rPr>
          <w:i/>
        </w:rPr>
        <w:t>Id.</w:t>
      </w:r>
      <w:r w:rsidR="002714F1">
        <w:t xml:space="preserve"> at </w:t>
      </w:r>
      <w:r>
        <w:t>§§73.3584(b), 1.45(b), 1.4.</w:t>
      </w:r>
    </w:p>
  </w:footnote>
  <w:footnote w:id="5">
    <w:p w:rsidR="00E65F16" w:rsidRDefault="00E65F16">
      <w:pPr>
        <w:pStyle w:val="FootnoteText"/>
      </w:pPr>
      <w:r>
        <w:rPr>
          <w:rStyle w:val="FootnoteReference"/>
        </w:rPr>
        <w:footnoteRef/>
      </w:r>
      <w:r>
        <w:t xml:space="preserve"> </w:t>
      </w:r>
      <w:r w:rsidR="002714F1">
        <w:rPr>
          <w:i/>
        </w:rPr>
        <w:t>Id.</w:t>
      </w:r>
      <w:r w:rsidR="002714F1">
        <w:t xml:space="preserve"> at </w:t>
      </w:r>
      <w:r w:rsidR="00CB7924">
        <w:t>§§73.3584(b), 1.45(c</w:t>
      </w:r>
      <w: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0" w:rsidRDefault="00CD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0" w:rsidRDefault="00CD3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Pr="001E4EB9" w:rsidRDefault="00A53E2D" w:rsidP="001A1A52">
    <w:pPr>
      <w:pStyle w:val="Header"/>
      <w:tabs>
        <w:tab w:val="clear" w:pos="4320"/>
        <w:tab w:val="clear" w:pos="8640"/>
      </w:tabs>
      <w:spacing w:before="40"/>
      <w:ind w:firstLine="1080"/>
      <w:rPr>
        <w:b/>
        <w:kern w:val="28"/>
        <w:sz w:val="96"/>
      </w:rPr>
    </w:pPr>
    <w:r w:rsidRPr="001E4EB9">
      <w:rPr>
        <w:b/>
        <w:noProof/>
      </w:rPr>
      <w:drawing>
        <wp:anchor distT="0" distB="0" distL="114300" distR="114300" simplePos="0" relativeHeight="251659776" behindDoc="0" locked="0" layoutInCell="0" allowOverlap="1" wp14:anchorId="20C59937" wp14:editId="5793A553">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EB9">
      <w:rPr>
        <w:b/>
        <w:noProof/>
      </w:rPr>
      <mc:AlternateContent>
        <mc:Choice Requires="wps">
          <w:drawing>
            <wp:anchor distT="0" distB="0" distL="114300" distR="114300" simplePos="0" relativeHeight="251656704" behindDoc="0" locked="0" layoutInCell="0" allowOverlap="1" wp14:anchorId="563A52E4" wp14:editId="168AEAB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v:textbox>
            </v:shape>
          </w:pict>
        </mc:Fallback>
      </mc:AlternateContent>
    </w:r>
    <w:r w:rsidRPr="001E4EB9">
      <w:rPr>
        <w:b/>
        <w:kern w:val="28"/>
        <w:sz w:val="96"/>
      </w:rPr>
      <w:t>PUBLIC NOTICE</w:t>
    </w:r>
  </w:p>
  <w:p w:rsidR="00A53E2D" w:rsidRDefault="00A53E2D" w:rsidP="001A1A5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rPr>
      <mc:AlternateContent>
        <mc:Choice Requires="wps">
          <w:drawing>
            <wp:anchor distT="0" distB="0" distL="114300" distR="114300" simplePos="0" relativeHeight="251658752" behindDoc="0" locked="0" layoutInCell="1" allowOverlap="1" wp14:anchorId="6A5A576C" wp14:editId="26D8C33F">
              <wp:simplePos x="0" y="0"/>
              <wp:positionH relativeFrom="column">
                <wp:posOffset>3594735</wp:posOffset>
              </wp:positionH>
              <wp:positionV relativeFrom="paragraph">
                <wp:posOffset>76200</wp:posOffset>
              </wp:positionV>
              <wp:extent cx="2412365"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3.05pt;margin-top:6pt;width:189.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qT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" stroked="f">
              <v:textbox inset=",0,,0">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v:textbox>
            </v:shape>
          </w:pict>
        </mc:Fallback>
      </mc:AlternateContent>
    </w:r>
  </w:p>
  <w:p w:rsidR="00A53E2D" w:rsidRDefault="00A53E2D" w:rsidP="001A1A52">
    <w:pPr>
      <w:pStyle w:val="Header"/>
      <w:tabs>
        <w:tab w:val="clear" w:pos="4320"/>
        <w:tab w:val="clear" w:pos="8640"/>
        <w:tab w:val="left" w:pos="1080"/>
      </w:tabs>
      <w:ind w:left="720"/>
      <w:rPr>
        <w:rFonts w:ascii="Arial" w:hAnsi="Arial"/>
        <w:b/>
      </w:rPr>
    </w:pPr>
    <w:r>
      <w:rPr>
        <w:rFonts w:ascii="Arial" w:hAnsi="Arial"/>
        <w:b/>
        <w:noProof/>
      </w:rPr>
      <mc:AlternateContent>
        <mc:Choice Requires="wps">
          <w:drawing>
            <wp:anchor distT="0" distB="0" distL="114300" distR="114300" simplePos="0" relativeHeight="251657728" behindDoc="0" locked="0" layoutInCell="1" allowOverlap="1" wp14:anchorId="64C708C6" wp14:editId="42A8794F">
              <wp:simplePos x="0" y="0"/>
              <wp:positionH relativeFrom="column">
                <wp:posOffset>-62865</wp:posOffset>
              </wp:positionH>
              <wp:positionV relativeFrom="paragraph">
                <wp:posOffset>50800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"/>
          </w:pict>
        </mc:Fallback>
      </mc:AlternateContent>
    </w:r>
  </w:p>
  <w:p w:rsidR="00A53E2D" w:rsidRDefault="00A5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CA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81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E0289D"/>
    <w:multiLevelType w:val="hybridMultilevel"/>
    <w:tmpl w:val="E80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D"/>
    <w:rsid w:val="000558E2"/>
    <w:rsid w:val="000559C6"/>
    <w:rsid w:val="000643C2"/>
    <w:rsid w:val="00072E8F"/>
    <w:rsid w:val="00075ECC"/>
    <w:rsid w:val="000B1EF3"/>
    <w:rsid w:val="000B7FA5"/>
    <w:rsid w:val="000D206E"/>
    <w:rsid w:val="000E158C"/>
    <w:rsid w:val="000E4855"/>
    <w:rsid w:val="001222BB"/>
    <w:rsid w:val="00126FAF"/>
    <w:rsid w:val="00160D78"/>
    <w:rsid w:val="001622C0"/>
    <w:rsid w:val="00175B7B"/>
    <w:rsid w:val="00177E57"/>
    <w:rsid w:val="001855EF"/>
    <w:rsid w:val="001977B9"/>
    <w:rsid w:val="00197AE1"/>
    <w:rsid w:val="001A1A52"/>
    <w:rsid w:val="001D089B"/>
    <w:rsid w:val="001E4EB9"/>
    <w:rsid w:val="001E5273"/>
    <w:rsid w:val="001E6F81"/>
    <w:rsid w:val="002018FB"/>
    <w:rsid w:val="00203395"/>
    <w:rsid w:val="002033D6"/>
    <w:rsid w:val="002166E5"/>
    <w:rsid w:val="002230F6"/>
    <w:rsid w:val="00225B91"/>
    <w:rsid w:val="00234C00"/>
    <w:rsid w:val="002371D0"/>
    <w:rsid w:val="00256F78"/>
    <w:rsid w:val="002714F1"/>
    <w:rsid w:val="00271E0E"/>
    <w:rsid w:val="002738FE"/>
    <w:rsid w:val="002807DE"/>
    <w:rsid w:val="00280862"/>
    <w:rsid w:val="00287791"/>
    <w:rsid w:val="00287D4E"/>
    <w:rsid w:val="0029049D"/>
    <w:rsid w:val="00294256"/>
    <w:rsid w:val="002B15E8"/>
    <w:rsid w:val="002C17FC"/>
    <w:rsid w:val="002C1F61"/>
    <w:rsid w:val="002E2A84"/>
    <w:rsid w:val="0032677B"/>
    <w:rsid w:val="003269F9"/>
    <w:rsid w:val="00333791"/>
    <w:rsid w:val="00334428"/>
    <w:rsid w:val="0034192C"/>
    <w:rsid w:val="003450B6"/>
    <w:rsid w:val="00347612"/>
    <w:rsid w:val="00363049"/>
    <w:rsid w:val="00374EA8"/>
    <w:rsid w:val="00382748"/>
    <w:rsid w:val="0039562D"/>
    <w:rsid w:val="003A3F49"/>
    <w:rsid w:val="003C2060"/>
    <w:rsid w:val="003C3100"/>
    <w:rsid w:val="003E2D84"/>
    <w:rsid w:val="003F6D53"/>
    <w:rsid w:val="00425723"/>
    <w:rsid w:val="004317E1"/>
    <w:rsid w:val="00454D88"/>
    <w:rsid w:val="004949FB"/>
    <w:rsid w:val="004A1A72"/>
    <w:rsid w:val="004B3E25"/>
    <w:rsid w:val="004B6BEB"/>
    <w:rsid w:val="004C45A1"/>
    <w:rsid w:val="004D318E"/>
    <w:rsid w:val="004D43D2"/>
    <w:rsid w:val="004E3A95"/>
    <w:rsid w:val="004F023E"/>
    <w:rsid w:val="004F306E"/>
    <w:rsid w:val="00503251"/>
    <w:rsid w:val="00516BE7"/>
    <w:rsid w:val="0052530B"/>
    <w:rsid w:val="00525D0B"/>
    <w:rsid w:val="005355D0"/>
    <w:rsid w:val="00541FD2"/>
    <w:rsid w:val="005548B2"/>
    <w:rsid w:val="00555B5F"/>
    <w:rsid w:val="00561626"/>
    <w:rsid w:val="00563D87"/>
    <w:rsid w:val="00565F56"/>
    <w:rsid w:val="005825C8"/>
    <w:rsid w:val="005A5763"/>
    <w:rsid w:val="005A7017"/>
    <w:rsid w:val="005B08FD"/>
    <w:rsid w:val="005B4EB5"/>
    <w:rsid w:val="005C2607"/>
    <w:rsid w:val="005D7128"/>
    <w:rsid w:val="005F0CDB"/>
    <w:rsid w:val="005F18D9"/>
    <w:rsid w:val="005F4D66"/>
    <w:rsid w:val="00621865"/>
    <w:rsid w:val="00621F2A"/>
    <w:rsid w:val="00653F4F"/>
    <w:rsid w:val="0065473D"/>
    <w:rsid w:val="0065519B"/>
    <w:rsid w:val="0067572D"/>
    <w:rsid w:val="006954CA"/>
    <w:rsid w:val="00696981"/>
    <w:rsid w:val="006A11C8"/>
    <w:rsid w:val="006A4A21"/>
    <w:rsid w:val="006C0CEC"/>
    <w:rsid w:val="006C4E19"/>
    <w:rsid w:val="006D6AE5"/>
    <w:rsid w:val="006E134A"/>
    <w:rsid w:val="006E1EE9"/>
    <w:rsid w:val="006E5062"/>
    <w:rsid w:val="006E78FE"/>
    <w:rsid w:val="00707180"/>
    <w:rsid w:val="00722092"/>
    <w:rsid w:val="00723682"/>
    <w:rsid w:val="00741888"/>
    <w:rsid w:val="00775BBD"/>
    <w:rsid w:val="00775D2B"/>
    <w:rsid w:val="00776291"/>
    <w:rsid w:val="0078347C"/>
    <w:rsid w:val="00786D2D"/>
    <w:rsid w:val="007A1D74"/>
    <w:rsid w:val="007B3DC5"/>
    <w:rsid w:val="007C002D"/>
    <w:rsid w:val="007C5779"/>
    <w:rsid w:val="007D402F"/>
    <w:rsid w:val="007D4E92"/>
    <w:rsid w:val="007E06F4"/>
    <w:rsid w:val="00811DE5"/>
    <w:rsid w:val="00813F8B"/>
    <w:rsid w:val="00823F0A"/>
    <w:rsid w:val="008247B3"/>
    <w:rsid w:val="00832C64"/>
    <w:rsid w:val="0083725D"/>
    <w:rsid w:val="00840831"/>
    <w:rsid w:val="00847A58"/>
    <w:rsid w:val="0085069B"/>
    <w:rsid w:val="00856B14"/>
    <w:rsid w:val="00872237"/>
    <w:rsid w:val="00874429"/>
    <w:rsid w:val="0087495B"/>
    <w:rsid w:val="00883897"/>
    <w:rsid w:val="00887274"/>
    <w:rsid w:val="008950A3"/>
    <w:rsid w:val="00895E0B"/>
    <w:rsid w:val="008A4614"/>
    <w:rsid w:val="008B1527"/>
    <w:rsid w:val="008D27EE"/>
    <w:rsid w:val="008F60C0"/>
    <w:rsid w:val="0090008E"/>
    <w:rsid w:val="00915D9F"/>
    <w:rsid w:val="00915E58"/>
    <w:rsid w:val="00940B75"/>
    <w:rsid w:val="0096448F"/>
    <w:rsid w:val="009811DA"/>
    <w:rsid w:val="00983111"/>
    <w:rsid w:val="00996E9E"/>
    <w:rsid w:val="009A582A"/>
    <w:rsid w:val="009B27AE"/>
    <w:rsid w:val="009B6044"/>
    <w:rsid w:val="009C2896"/>
    <w:rsid w:val="009C6FCE"/>
    <w:rsid w:val="009D299D"/>
    <w:rsid w:val="009D5364"/>
    <w:rsid w:val="009E5726"/>
    <w:rsid w:val="009E7029"/>
    <w:rsid w:val="009F1DB0"/>
    <w:rsid w:val="00A01131"/>
    <w:rsid w:val="00A064FE"/>
    <w:rsid w:val="00A10FCA"/>
    <w:rsid w:val="00A16814"/>
    <w:rsid w:val="00A469C9"/>
    <w:rsid w:val="00A53E2D"/>
    <w:rsid w:val="00A57B98"/>
    <w:rsid w:val="00A63C28"/>
    <w:rsid w:val="00A65E40"/>
    <w:rsid w:val="00A76840"/>
    <w:rsid w:val="00A97BB8"/>
    <w:rsid w:val="00AA3C71"/>
    <w:rsid w:val="00AB6014"/>
    <w:rsid w:val="00AD6033"/>
    <w:rsid w:val="00AF74EB"/>
    <w:rsid w:val="00B16D0F"/>
    <w:rsid w:val="00B20647"/>
    <w:rsid w:val="00B315EE"/>
    <w:rsid w:val="00B4700B"/>
    <w:rsid w:val="00B62DE9"/>
    <w:rsid w:val="00B93485"/>
    <w:rsid w:val="00BA2833"/>
    <w:rsid w:val="00BB4C5E"/>
    <w:rsid w:val="00BC7F08"/>
    <w:rsid w:val="00BD5900"/>
    <w:rsid w:val="00BE3089"/>
    <w:rsid w:val="00BE6BB1"/>
    <w:rsid w:val="00BF613A"/>
    <w:rsid w:val="00C0294F"/>
    <w:rsid w:val="00C14C6C"/>
    <w:rsid w:val="00C34937"/>
    <w:rsid w:val="00C544AD"/>
    <w:rsid w:val="00C5680E"/>
    <w:rsid w:val="00C71D66"/>
    <w:rsid w:val="00C7475B"/>
    <w:rsid w:val="00C85191"/>
    <w:rsid w:val="00C9118D"/>
    <w:rsid w:val="00C9315C"/>
    <w:rsid w:val="00CB09BF"/>
    <w:rsid w:val="00CB74E1"/>
    <w:rsid w:val="00CB7924"/>
    <w:rsid w:val="00CC08C4"/>
    <w:rsid w:val="00CD3440"/>
    <w:rsid w:val="00CE5485"/>
    <w:rsid w:val="00D03CB6"/>
    <w:rsid w:val="00D13468"/>
    <w:rsid w:val="00D16182"/>
    <w:rsid w:val="00D2109B"/>
    <w:rsid w:val="00D25E05"/>
    <w:rsid w:val="00D3288B"/>
    <w:rsid w:val="00D359A7"/>
    <w:rsid w:val="00D51583"/>
    <w:rsid w:val="00D62BEB"/>
    <w:rsid w:val="00D70F57"/>
    <w:rsid w:val="00D74C5A"/>
    <w:rsid w:val="00D77F0D"/>
    <w:rsid w:val="00D83C57"/>
    <w:rsid w:val="00DE311F"/>
    <w:rsid w:val="00DE7B2B"/>
    <w:rsid w:val="00DE7D20"/>
    <w:rsid w:val="00DF26A9"/>
    <w:rsid w:val="00E12C9E"/>
    <w:rsid w:val="00E16513"/>
    <w:rsid w:val="00E31BA7"/>
    <w:rsid w:val="00E3463D"/>
    <w:rsid w:val="00E40390"/>
    <w:rsid w:val="00E42EB4"/>
    <w:rsid w:val="00E4365B"/>
    <w:rsid w:val="00E44C9F"/>
    <w:rsid w:val="00E455C3"/>
    <w:rsid w:val="00E45A9C"/>
    <w:rsid w:val="00E52682"/>
    <w:rsid w:val="00E52A70"/>
    <w:rsid w:val="00E65F16"/>
    <w:rsid w:val="00E6661D"/>
    <w:rsid w:val="00E67FC9"/>
    <w:rsid w:val="00E73027"/>
    <w:rsid w:val="00E76ECD"/>
    <w:rsid w:val="00E811B6"/>
    <w:rsid w:val="00E83F29"/>
    <w:rsid w:val="00E84A3E"/>
    <w:rsid w:val="00E86B97"/>
    <w:rsid w:val="00E9253A"/>
    <w:rsid w:val="00EA656F"/>
    <w:rsid w:val="00EC6F39"/>
    <w:rsid w:val="00ED01B8"/>
    <w:rsid w:val="00EF2383"/>
    <w:rsid w:val="00F023A1"/>
    <w:rsid w:val="00F1475F"/>
    <w:rsid w:val="00F212E5"/>
    <w:rsid w:val="00F2516A"/>
    <w:rsid w:val="00F317F2"/>
    <w:rsid w:val="00F31E52"/>
    <w:rsid w:val="00F33275"/>
    <w:rsid w:val="00F51373"/>
    <w:rsid w:val="00F710E6"/>
    <w:rsid w:val="00F9012B"/>
    <w:rsid w:val="00F95D9D"/>
    <w:rsid w:val="00FC1C03"/>
    <w:rsid w:val="00FC5E24"/>
    <w:rsid w:val="00FE1BA4"/>
    <w:rsid w:val="00FE2C3C"/>
    <w:rsid w:val="00FE3225"/>
    <w:rsid w:val="00FF0BC5"/>
    <w:rsid w:val="00FF1B69"/>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014">
      <w:bodyDiv w:val="1"/>
      <w:marLeft w:val="0"/>
      <w:marRight w:val="0"/>
      <w:marTop w:val="0"/>
      <w:marBottom w:val="0"/>
      <w:divBdr>
        <w:top w:val="none" w:sz="0" w:space="0" w:color="auto"/>
        <w:left w:val="none" w:sz="0" w:space="0" w:color="auto"/>
        <w:bottom w:val="none" w:sz="0" w:space="0" w:color="auto"/>
        <w:right w:val="none" w:sz="0" w:space="0" w:color="auto"/>
      </w:divBdr>
    </w:div>
    <w:div w:id="218788115">
      <w:bodyDiv w:val="1"/>
      <w:marLeft w:val="0"/>
      <w:marRight w:val="0"/>
      <w:marTop w:val="0"/>
      <w:marBottom w:val="0"/>
      <w:divBdr>
        <w:top w:val="none" w:sz="0" w:space="0" w:color="auto"/>
        <w:left w:val="none" w:sz="0" w:space="0" w:color="auto"/>
        <w:bottom w:val="none" w:sz="0" w:space="0" w:color="auto"/>
        <w:right w:val="none" w:sz="0" w:space="0" w:color="auto"/>
      </w:divBdr>
    </w:div>
    <w:div w:id="985007489">
      <w:bodyDiv w:val="1"/>
      <w:marLeft w:val="0"/>
      <w:marRight w:val="0"/>
      <w:marTop w:val="0"/>
      <w:marBottom w:val="0"/>
      <w:divBdr>
        <w:top w:val="none" w:sz="0" w:space="0" w:color="auto"/>
        <w:left w:val="none" w:sz="0" w:space="0" w:color="auto"/>
        <w:bottom w:val="none" w:sz="0" w:space="0" w:color="auto"/>
        <w:right w:val="none" w:sz="0" w:space="0" w:color="auto"/>
      </w:divBdr>
    </w:div>
    <w:div w:id="13839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enne.denysyk@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10995</Characters>
  <Application>Microsoft Office Word</Application>
  <DocSecurity>0</DocSecurity>
  <Lines>567</Lines>
  <Paragraphs>315</Paragraphs>
  <ScaleCrop>false</ScaleCrop>
  <HeadingPairs>
    <vt:vector size="2" baseType="variant">
      <vt:variant>
        <vt:lpstr>Title</vt:lpstr>
      </vt:variant>
      <vt:variant>
        <vt:i4>1</vt:i4>
      </vt:variant>
    </vt:vector>
  </HeadingPairs>
  <TitlesOfParts>
    <vt:vector size="1" baseType="lpstr">
      <vt:lpstr>DA 10-</vt:lpstr>
    </vt:vector>
  </TitlesOfParts>
  <Manager/>
  <Company/>
  <LinksUpToDate>false</LinksUpToDate>
  <CharactersWithSpaces>12742</CharactersWithSpaces>
  <SharedDoc>false</SharedDoc>
  <HyperlinkBase> </HyperlinkBase>
  <HLinks>
    <vt:vector size="12" baseType="variant">
      <vt:variant>
        <vt:i4>7209031</vt:i4>
      </vt:variant>
      <vt:variant>
        <vt:i4>3</vt:i4>
      </vt:variant>
      <vt:variant>
        <vt:i4>0</vt:i4>
      </vt:variant>
      <vt:variant>
        <vt:i4>5</vt:i4>
      </vt:variant>
      <vt:variant>
        <vt:lpwstr>mailto:fcc@bcpiweb.com</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2010-05-12T13:37:00Z</cp:lastPrinted>
  <dcterms:created xsi:type="dcterms:W3CDTF">2013-07-30T18:30:00Z</dcterms:created>
  <dcterms:modified xsi:type="dcterms:W3CDTF">2013-07-30T18:30:00Z</dcterms:modified>
  <cp:category> </cp:category>
  <cp:contentStatus> </cp:contentStatus>
</cp:coreProperties>
</file>