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10" w:rsidRDefault="00122D9D">
      <w:pPr>
        <w:pStyle w:val="Header"/>
        <w:tabs>
          <w:tab w:val="clear" w:pos="4320"/>
          <w:tab w:val="clear" w:pos="8640"/>
        </w:tabs>
        <w:rPr>
          <w:szCs w:val="22"/>
        </w:rPr>
      </w:pPr>
      <w:bookmarkStart w:id="0" w:name="_GoBack"/>
      <w:bookmarkEnd w:id="0"/>
      <w:r>
        <w:rPr>
          <w:szCs w:val="22"/>
        </w:rPr>
        <w:t xml:space="preserve">                                                                                                                                                                                                                                          </w:t>
      </w:r>
      <w:r w:rsidR="00937F58">
        <w:rPr>
          <w:szCs w:val="22"/>
        </w:rPr>
        <w:t xml:space="preserve">                                                                                                                                                                                                                                                                                                                                                                                                                                                                                                                                               </w:t>
      </w:r>
      <w:r w:rsidR="00CA2164">
        <w:rPr>
          <w:szCs w:val="22"/>
        </w:rPr>
        <w:t xml:space="preserve">                                                                                                                                                                                                                                                                                                                                                                                                                                                                                          </w:t>
      </w:r>
    </w:p>
    <w:p w:rsidR="004C6410" w:rsidRPr="00604B08" w:rsidRDefault="004C6410">
      <w:pPr>
        <w:pStyle w:val="Header"/>
        <w:tabs>
          <w:tab w:val="clear" w:pos="4320"/>
          <w:tab w:val="clear" w:pos="8640"/>
        </w:tabs>
        <w:rPr>
          <w:szCs w:val="22"/>
        </w:rPr>
        <w:sectPr w:rsidR="004C6410" w:rsidRPr="00604B0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E86027" w:rsidRPr="00604B08" w:rsidRDefault="00F34B2C" w:rsidP="00B446F9">
      <w:pPr>
        <w:jc w:val="right"/>
        <w:rPr>
          <w:b/>
          <w:szCs w:val="22"/>
        </w:rPr>
      </w:pPr>
      <w:r w:rsidRPr="00604B08">
        <w:rPr>
          <w:szCs w:val="22"/>
        </w:rPr>
        <w:lastRenderedPageBreak/>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00E86027" w:rsidRPr="00604B08">
        <w:rPr>
          <w:b/>
          <w:szCs w:val="22"/>
        </w:rPr>
        <w:t xml:space="preserve">DA </w:t>
      </w:r>
      <w:r w:rsidR="00494DD5" w:rsidRPr="00494DD5">
        <w:rPr>
          <w:b/>
          <w:szCs w:val="22"/>
        </w:rPr>
        <w:t>13-1675</w:t>
      </w:r>
    </w:p>
    <w:p w:rsidR="004C6410" w:rsidRPr="00B446F9" w:rsidRDefault="00BF5DBA" w:rsidP="00B446F9">
      <w:pPr>
        <w:jc w:val="right"/>
      </w:pPr>
      <w:r>
        <w:rPr>
          <w:b/>
          <w:szCs w:val="22"/>
        </w:rPr>
        <w:t>July</w:t>
      </w:r>
      <w:r w:rsidR="0047435C" w:rsidRPr="00604B08">
        <w:rPr>
          <w:b/>
          <w:szCs w:val="22"/>
        </w:rPr>
        <w:t xml:space="preserve"> </w:t>
      </w:r>
      <w:r w:rsidR="00A4780F">
        <w:rPr>
          <w:b/>
          <w:szCs w:val="22"/>
        </w:rPr>
        <w:t>31</w:t>
      </w:r>
      <w:r w:rsidR="0047435C" w:rsidRPr="00604B08">
        <w:rPr>
          <w:b/>
          <w:szCs w:val="22"/>
        </w:rPr>
        <w:t>, 2013</w:t>
      </w:r>
    </w:p>
    <w:p w:rsidR="004C6410" w:rsidRDefault="004C6410" w:rsidP="00F34B2C">
      <w:pPr>
        <w:rPr>
          <w:szCs w:val="22"/>
        </w:rPr>
      </w:pPr>
    </w:p>
    <w:p w:rsidR="004C6410" w:rsidRPr="00B446F9" w:rsidRDefault="004C6410" w:rsidP="00B446F9"/>
    <w:p w:rsidR="005065D4" w:rsidRDefault="006375A6" w:rsidP="00B446F9">
      <w:pPr>
        <w:jc w:val="center"/>
        <w:rPr>
          <w:b/>
          <w:sz w:val="28"/>
        </w:rPr>
      </w:pPr>
      <w:r>
        <w:rPr>
          <w:b/>
          <w:sz w:val="28"/>
        </w:rPr>
        <w:t>MEDIA BUREA</w:t>
      </w:r>
      <w:r w:rsidR="00640062">
        <w:rPr>
          <w:b/>
          <w:sz w:val="28"/>
        </w:rPr>
        <w:t>U</w:t>
      </w:r>
      <w:r>
        <w:rPr>
          <w:b/>
          <w:sz w:val="28"/>
        </w:rPr>
        <w:t xml:space="preserve"> ANNOUNCES FM </w:t>
      </w:r>
      <w:r w:rsidR="005065D4">
        <w:rPr>
          <w:b/>
          <w:sz w:val="28"/>
        </w:rPr>
        <w:t>TRANSLATOR</w:t>
      </w:r>
    </w:p>
    <w:p w:rsidR="006375A6" w:rsidRDefault="006375A6" w:rsidP="00B446F9">
      <w:pPr>
        <w:jc w:val="center"/>
        <w:rPr>
          <w:b/>
          <w:sz w:val="28"/>
        </w:rPr>
      </w:pPr>
      <w:r>
        <w:rPr>
          <w:b/>
          <w:sz w:val="28"/>
        </w:rPr>
        <w:t>AUCTION 83</w:t>
      </w:r>
      <w:r w:rsidR="005065D4">
        <w:rPr>
          <w:b/>
          <w:sz w:val="28"/>
        </w:rPr>
        <w:t xml:space="preserve"> </w:t>
      </w:r>
      <w:r>
        <w:rPr>
          <w:b/>
          <w:sz w:val="28"/>
        </w:rPr>
        <w:t>FILING WINDOW</w:t>
      </w:r>
      <w:r w:rsidR="00F123DD">
        <w:rPr>
          <w:b/>
          <w:sz w:val="28"/>
        </w:rPr>
        <w:t xml:space="preserve"> AND FILING PROCEDURES</w:t>
      </w:r>
      <w:r>
        <w:rPr>
          <w:b/>
          <w:sz w:val="28"/>
        </w:rPr>
        <w:t xml:space="preserve"> </w:t>
      </w:r>
    </w:p>
    <w:p w:rsidR="006375A6" w:rsidRDefault="006375A6" w:rsidP="00B446F9">
      <w:pPr>
        <w:jc w:val="center"/>
        <w:rPr>
          <w:b/>
          <w:sz w:val="28"/>
        </w:rPr>
      </w:pPr>
    </w:p>
    <w:p w:rsidR="005065D4" w:rsidRDefault="00BF5DBA" w:rsidP="00B446F9">
      <w:pPr>
        <w:jc w:val="center"/>
        <w:rPr>
          <w:b/>
          <w:szCs w:val="22"/>
        </w:rPr>
      </w:pPr>
      <w:r>
        <w:rPr>
          <w:b/>
          <w:szCs w:val="22"/>
        </w:rPr>
        <w:t xml:space="preserve">August </w:t>
      </w:r>
      <w:r w:rsidR="007C30C6">
        <w:rPr>
          <w:b/>
          <w:szCs w:val="22"/>
        </w:rPr>
        <w:t>30</w:t>
      </w:r>
      <w:r w:rsidR="005065D4">
        <w:rPr>
          <w:b/>
          <w:szCs w:val="22"/>
        </w:rPr>
        <w:t>, 2013 Deadline Set for Form 349 Applications for</w:t>
      </w:r>
    </w:p>
    <w:p w:rsidR="005065D4" w:rsidRPr="006375A6" w:rsidRDefault="008645A1" w:rsidP="00B446F9">
      <w:pPr>
        <w:jc w:val="center"/>
        <w:rPr>
          <w:b/>
          <w:szCs w:val="22"/>
        </w:rPr>
      </w:pPr>
      <w:r>
        <w:rPr>
          <w:b/>
          <w:szCs w:val="22"/>
        </w:rPr>
        <w:t xml:space="preserve">Certain </w:t>
      </w:r>
      <w:r w:rsidR="005065D4">
        <w:rPr>
          <w:b/>
          <w:szCs w:val="22"/>
        </w:rPr>
        <w:t xml:space="preserve">Non-Mutually Exclusive </w:t>
      </w:r>
      <w:r w:rsidR="00BD2400">
        <w:rPr>
          <w:b/>
          <w:szCs w:val="22"/>
        </w:rPr>
        <w:t>Tech Box Proposals</w:t>
      </w:r>
      <w:r w:rsidR="005065D4">
        <w:rPr>
          <w:b/>
          <w:szCs w:val="22"/>
        </w:rPr>
        <w:t xml:space="preserve"> </w:t>
      </w:r>
    </w:p>
    <w:p w:rsidR="006375A6" w:rsidRDefault="006375A6" w:rsidP="00B446F9">
      <w:pPr>
        <w:jc w:val="center"/>
        <w:rPr>
          <w:b/>
          <w:sz w:val="28"/>
        </w:rPr>
      </w:pPr>
    </w:p>
    <w:p w:rsidR="004C6410" w:rsidRPr="00604B08" w:rsidRDefault="004C6410" w:rsidP="00B446F9">
      <w:pPr>
        <w:jc w:val="center"/>
        <w:rPr>
          <w:szCs w:val="22"/>
        </w:rPr>
      </w:pPr>
    </w:p>
    <w:p w:rsidR="004C6410" w:rsidRPr="00D90240" w:rsidRDefault="004C6410" w:rsidP="00D90240">
      <w:pPr>
        <w:pStyle w:val="Heading2"/>
        <w:numPr>
          <w:ilvl w:val="0"/>
          <w:numId w:val="0"/>
        </w:numPr>
        <w:tabs>
          <w:tab w:val="left" w:pos="-2790"/>
        </w:tabs>
      </w:pPr>
      <w:r w:rsidRPr="00D90240">
        <w:t>Report No. AUC-03-83-</w:t>
      </w:r>
      <w:r w:rsidR="00BF5DBA">
        <w:t>E</w:t>
      </w:r>
    </w:p>
    <w:p w:rsidR="004C6410" w:rsidRDefault="004C6410" w:rsidP="004C6410">
      <w:r>
        <w:tab/>
      </w:r>
      <w:r w:rsidRPr="00D90240">
        <w:t xml:space="preserve">Today, the Media Bureau (Bureau) </w:t>
      </w:r>
      <w:r w:rsidRPr="00DA65D8">
        <w:t xml:space="preserve">opens </w:t>
      </w:r>
      <w:r>
        <w:t>a</w:t>
      </w:r>
      <w:r w:rsidRPr="00DA65D8">
        <w:t xml:space="preserve"> window for the filing of </w:t>
      </w:r>
      <w:r>
        <w:t xml:space="preserve">FCC </w:t>
      </w:r>
      <w:r w:rsidRPr="00DA65D8">
        <w:t xml:space="preserve">Form 349 </w:t>
      </w:r>
      <w:r w:rsidR="00964D67">
        <w:t xml:space="preserve">(Form 349) </w:t>
      </w:r>
      <w:r>
        <w:t xml:space="preserve">FM translator new station </w:t>
      </w:r>
      <w:r w:rsidRPr="00DA65D8">
        <w:t xml:space="preserve">construction permit applications </w:t>
      </w:r>
      <w:r>
        <w:t xml:space="preserve">for </w:t>
      </w:r>
      <w:r w:rsidRPr="001125F9">
        <w:t xml:space="preserve">the </w:t>
      </w:r>
      <w:r w:rsidR="00001AD1" w:rsidRPr="001125F9">
        <w:t>1,</w:t>
      </w:r>
      <w:r w:rsidR="00700148" w:rsidRPr="001125F9">
        <w:t>239</w:t>
      </w:r>
      <w:r w:rsidR="00001AD1" w:rsidRPr="001125F9">
        <w:t xml:space="preserve"> </w:t>
      </w:r>
      <w:r w:rsidRPr="001125F9">
        <w:t>“tech</w:t>
      </w:r>
      <w:r>
        <w:t xml:space="preserve"> box” proposals listed in Attachment A.  This action </w:t>
      </w:r>
      <w:r w:rsidR="00BF5DBA">
        <w:t>is</w:t>
      </w:r>
      <w:r>
        <w:t xml:space="preserve"> in accordance with the procedures adopted in </w:t>
      </w:r>
      <w:r w:rsidRPr="00DA65D8">
        <w:t xml:space="preserve">the </w:t>
      </w:r>
      <w:r w:rsidRPr="00DA65D8">
        <w:rPr>
          <w:i/>
        </w:rPr>
        <w:t xml:space="preserve">Fifth Order </w:t>
      </w:r>
      <w:r w:rsidR="001A318B">
        <w:rPr>
          <w:i/>
        </w:rPr>
        <w:t>o</w:t>
      </w:r>
      <w:r w:rsidR="001A318B" w:rsidRPr="00DA65D8">
        <w:rPr>
          <w:i/>
        </w:rPr>
        <w:t xml:space="preserve">n </w:t>
      </w:r>
      <w:r w:rsidRPr="00DA65D8">
        <w:rPr>
          <w:i/>
        </w:rPr>
        <w:t>Reconsideration</w:t>
      </w:r>
      <w:r w:rsidRPr="00DA65D8">
        <w:t xml:space="preserve"> in the low power FM</w:t>
      </w:r>
      <w:r w:rsidR="00B446F9">
        <w:t xml:space="preserve"> (LPFM)</w:t>
      </w:r>
      <w:r w:rsidRPr="00DA65D8">
        <w:t xml:space="preserve"> proceeding.</w:t>
      </w:r>
      <w:r w:rsidRPr="00DA65D8">
        <w:rPr>
          <w:rStyle w:val="FootnoteReference"/>
        </w:rPr>
        <w:footnoteReference w:id="2"/>
      </w:r>
      <w:r w:rsidRPr="00DA65D8">
        <w:t xml:space="preserve"> </w:t>
      </w:r>
      <w:r w:rsidRPr="00D90240">
        <w:t xml:space="preserve"> This window is limited to </w:t>
      </w:r>
      <w:r w:rsidRPr="00DA65D8">
        <w:t xml:space="preserve">timely filed </w:t>
      </w:r>
      <w:r w:rsidR="00901E27">
        <w:t xml:space="preserve">Auction 83 tech box </w:t>
      </w:r>
      <w:r>
        <w:t>proposals</w:t>
      </w:r>
      <w:r w:rsidRPr="00D90240">
        <w:t xml:space="preserve"> which </w:t>
      </w:r>
      <w:r w:rsidR="008645A1">
        <w:t xml:space="preserve">the staff has identified as </w:t>
      </w:r>
      <w:r w:rsidRPr="00D90240">
        <w:t xml:space="preserve">not </w:t>
      </w:r>
      <w:r w:rsidRPr="00DA65D8">
        <w:t xml:space="preserve">mutually exclusive </w:t>
      </w:r>
      <w:r w:rsidRPr="00D90240">
        <w:t xml:space="preserve">with any other </w:t>
      </w:r>
      <w:r w:rsidR="00901E27">
        <w:t>tech box proposals that remain pending from</w:t>
      </w:r>
      <w:r w:rsidRPr="00D90240">
        <w:t xml:space="preserve"> the </w:t>
      </w:r>
      <w:r w:rsidRPr="00DC56F6">
        <w:t>Auction 83 Filing Window</w:t>
      </w:r>
      <w:r w:rsidR="005A0BAB">
        <w:t>.</w:t>
      </w:r>
      <w:r w:rsidR="00F42AC0">
        <w:rPr>
          <w:rStyle w:val="FootnoteReference"/>
        </w:rPr>
        <w:footnoteReference w:id="3"/>
      </w:r>
      <w:r w:rsidR="00141909">
        <w:t xml:space="preserve">  </w:t>
      </w:r>
      <w:r w:rsidRPr="00DA65D8">
        <w:t>These “singleton” applications are exempt from the Commission’s auction procedures.</w:t>
      </w:r>
      <w:r w:rsidRPr="00DA65D8">
        <w:rPr>
          <w:rStyle w:val="FootnoteReference"/>
        </w:rPr>
        <w:footnoteReference w:id="4"/>
      </w:r>
      <w:r w:rsidRPr="00DA65D8">
        <w:t xml:space="preserve">  </w:t>
      </w:r>
    </w:p>
    <w:p w:rsidR="004C6410" w:rsidRPr="00DA65D8" w:rsidRDefault="004C6410" w:rsidP="004C6410">
      <w:pPr>
        <w:rPr>
          <w:szCs w:val="22"/>
        </w:rPr>
      </w:pPr>
    </w:p>
    <w:p w:rsidR="004C6410" w:rsidRPr="00381EFC" w:rsidRDefault="004C6410" w:rsidP="004C6410">
      <w:pPr>
        <w:ind w:firstLine="720"/>
        <w:rPr>
          <w:strike/>
        </w:rPr>
      </w:pPr>
      <w:r w:rsidRPr="00D90240">
        <w:rPr>
          <w:b/>
          <w:i/>
        </w:rPr>
        <w:t xml:space="preserve">Required Form and Fees:  </w:t>
      </w:r>
      <w:r w:rsidR="00964D67">
        <w:rPr>
          <w:b/>
        </w:rPr>
        <w:t>Each</w:t>
      </w:r>
      <w:r w:rsidRPr="00D90240">
        <w:rPr>
          <w:b/>
        </w:rPr>
        <w:t xml:space="preserve"> applicant listed in Attachment A must submit a complete Form 349 by </w:t>
      </w:r>
      <w:r w:rsidR="00BF5DBA">
        <w:rPr>
          <w:b/>
        </w:rPr>
        <w:t xml:space="preserve">August </w:t>
      </w:r>
      <w:r w:rsidR="007C30C6">
        <w:rPr>
          <w:b/>
        </w:rPr>
        <w:t>30</w:t>
      </w:r>
      <w:r w:rsidRPr="00D90240">
        <w:rPr>
          <w:b/>
        </w:rPr>
        <w:t>, 2013 (the “Application Deadline”)</w:t>
      </w:r>
      <w:r w:rsidR="00964D67">
        <w:rPr>
          <w:b/>
        </w:rPr>
        <w:t xml:space="preserve"> for each of its listed tech box proposals</w:t>
      </w:r>
      <w:r w:rsidRPr="00D90240">
        <w:rPr>
          <w:b/>
        </w:rPr>
        <w:t>.</w:t>
      </w:r>
      <w:r>
        <w:rPr>
          <w:rStyle w:val="FootnoteReference"/>
        </w:rPr>
        <w:footnoteReference w:id="5"/>
      </w:r>
      <w:r>
        <w:t xml:space="preserve">  </w:t>
      </w:r>
      <w:r>
        <w:lastRenderedPageBreak/>
        <w:t>All applicants also must submit</w:t>
      </w:r>
      <w:r w:rsidR="008645A1">
        <w:t>, if applicable,</w:t>
      </w:r>
      <w:r>
        <w:t xml:space="preserve"> the required application filing fee</w:t>
      </w:r>
      <w:r w:rsidR="008645A1">
        <w:t xml:space="preserve"> </w:t>
      </w:r>
      <w:r>
        <w:t>and a FCC Form 159, Remittance Advice.</w:t>
      </w:r>
      <w:r>
        <w:rPr>
          <w:rStyle w:val="FootnoteReference"/>
        </w:rPr>
        <w:footnoteReference w:id="6"/>
      </w:r>
      <w:r>
        <w:t xml:space="preserve">  </w:t>
      </w:r>
    </w:p>
    <w:p w:rsidR="004C6410" w:rsidRDefault="004C6410" w:rsidP="004C6410"/>
    <w:p w:rsidR="004C6410" w:rsidRDefault="004C6410" w:rsidP="004C6410">
      <w:r>
        <w:tab/>
      </w:r>
      <w:r>
        <w:rPr>
          <w:b/>
          <w:i/>
        </w:rPr>
        <w:t xml:space="preserve">How to File:  </w:t>
      </w:r>
      <w:r>
        <w:t xml:space="preserve">Applicants must file complete Form 349 applications </w:t>
      </w:r>
      <w:r>
        <w:rPr>
          <w:b/>
        </w:rPr>
        <w:t>electronically</w:t>
      </w:r>
      <w:r>
        <w:t xml:space="preserve"> through the Bureau’s Consolidated Database System (CDBS) online electronic forms filing system.  When filing Form 349, applicants must select “Long Form Application for FM Translator Auction Window 83” on the Pre-form for Form 349 (Question 2 – Application Purpose).  In addition, </w:t>
      </w:r>
      <w:r w:rsidR="00964D67">
        <w:t xml:space="preserve">applicants must enter </w:t>
      </w:r>
      <w:r>
        <w:t xml:space="preserve">the CDBS file number previously issued to </w:t>
      </w:r>
      <w:r w:rsidR="007A3C0A">
        <w:t>the associated</w:t>
      </w:r>
      <w:r>
        <w:t xml:space="preserve"> </w:t>
      </w:r>
      <w:r w:rsidR="00901E27">
        <w:t xml:space="preserve">Auction 83 </w:t>
      </w:r>
      <w:r>
        <w:t xml:space="preserve">tech box </w:t>
      </w:r>
      <w:r w:rsidR="00964D67">
        <w:t>proposal</w:t>
      </w:r>
      <w:r>
        <w:t xml:space="preserve"> in the field “Eng. Proposal File Number.”  </w:t>
      </w:r>
      <w:r w:rsidR="008A351F">
        <w:t xml:space="preserve">The “long form” applications and amendments filed during this window will be afforded cut-off protection against subsequently </w:t>
      </w:r>
      <w:r w:rsidR="008A351F" w:rsidRPr="001125F9">
        <w:t xml:space="preserve">filed </w:t>
      </w:r>
      <w:r w:rsidR="00AB55D6" w:rsidRPr="001125F9">
        <w:t>translator</w:t>
      </w:r>
      <w:r w:rsidR="00C512C3" w:rsidRPr="001125F9">
        <w:t xml:space="preserve"> </w:t>
      </w:r>
      <w:r w:rsidR="008A351F" w:rsidRPr="001125F9">
        <w:t>applications</w:t>
      </w:r>
      <w:r w:rsidR="008A351F">
        <w:t xml:space="preserve"> and amendments.</w:t>
      </w:r>
      <w:r w:rsidR="008A351F">
        <w:rPr>
          <w:rStyle w:val="FootnoteReference"/>
        </w:rPr>
        <w:footnoteReference w:id="7"/>
      </w:r>
      <w:r w:rsidR="008A351F">
        <w:t xml:space="preserve">  </w:t>
      </w:r>
      <w:r>
        <w:t xml:space="preserve">Instructions </w:t>
      </w:r>
      <w:r w:rsidR="009170D0">
        <w:t>on using</w:t>
      </w:r>
      <w:r>
        <w:t xml:space="preserve"> the electronic filing system are available in the CDBS User’s Guide, which can be accessed from the electronic filing web site at:  </w:t>
      </w:r>
    </w:p>
    <w:p w:rsidR="004C6410" w:rsidRDefault="004C6410" w:rsidP="004C6410"/>
    <w:p w:rsidR="004C6410" w:rsidRDefault="004C6410" w:rsidP="004C6410">
      <w:pPr>
        <w:jc w:val="center"/>
      </w:pPr>
      <w:r>
        <w:t>http: //www.fcc.gov/online-filing</w:t>
      </w:r>
    </w:p>
    <w:p w:rsidR="004C6410" w:rsidRDefault="004C6410" w:rsidP="004C6410">
      <w:pPr>
        <w:jc w:val="center"/>
      </w:pPr>
    </w:p>
    <w:p w:rsidR="004C6410" w:rsidRDefault="004C6410" w:rsidP="006375A6">
      <w:r>
        <w:t>For technical assistance with electronic filing, call the Bureau CDBS Help Desk at (202) 418-2662.</w:t>
      </w:r>
    </w:p>
    <w:p w:rsidR="004C6410" w:rsidRDefault="004C6410" w:rsidP="004C6410">
      <w:pPr>
        <w:ind w:firstLine="720"/>
      </w:pPr>
    </w:p>
    <w:p w:rsidR="004C6410" w:rsidRPr="007E4464" w:rsidRDefault="004C6410" w:rsidP="00BF5DBA">
      <w:pPr>
        <w:ind w:firstLine="720"/>
      </w:pPr>
      <w:r w:rsidRPr="002D09E8">
        <w:rPr>
          <w:b/>
          <w:i/>
        </w:rPr>
        <w:t xml:space="preserve">Minor </w:t>
      </w:r>
      <w:r>
        <w:rPr>
          <w:b/>
          <w:i/>
        </w:rPr>
        <w:t>Amendments</w:t>
      </w:r>
      <w:r w:rsidRPr="002D09E8">
        <w:rPr>
          <w:b/>
          <w:i/>
        </w:rPr>
        <w:t>.</w:t>
      </w:r>
      <w:r>
        <w:t xml:space="preserve">  An applicant may </w:t>
      </w:r>
      <w:r w:rsidR="008645A1">
        <w:t xml:space="preserve">make </w:t>
      </w:r>
      <w:r>
        <w:t>minor amendment</w:t>
      </w:r>
      <w:r w:rsidR="008645A1">
        <w:t>s</w:t>
      </w:r>
      <w:r>
        <w:t xml:space="preserve"> to the </w:t>
      </w:r>
      <w:r w:rsidR="00964D67">
        <w:t xml:space="preserve">associated </w:t>
      </w:r>
      <w:r w:rsidR="0085590B">
        <w:t>tech box proposal.</w:t>
      </w:r>
      <w:r w:rsidRPr="003416FA">
        <w:t xml:space="preserve">  This includes, but is not limited to, changes to power, height, directional pattern and channel that are considered </w:t>
      </w:r>
      <w:r w:rsidR="00BD237C">
        <w:t>“</w:t>
      </w:r>
      <w:r w:rsidRPr="003416FA">
        <w:t xml:space="preserve">minor </w:t>
      </w:r>
      <w:r w:rsidR="00BD237C">
        <w:t>changes.”</w:t>
      </w:r>
      <w:r>
        <w:rPr>
          <w:rStyle w:val="FootnoteReference"/>
        </w:rPr>
        <w:footnoteReference w:id="8"/>
      </w:r>
      <w:r w:rsidRPr="003416FA">
        <w:t xml:space="preserve">  </w:t>
      </w:r>
      <w:r w:rsidR="00C2146E">
        <w:t>T</w:t>
      </w:r>
      <w:r w:rsidRPr="003416FA">
        <w:t xml:space="preserve">he Form 349 </w:t>
      </w:r>
      <w:r w:rsidR="00B446F9">
        <w:t xml:space="preserve">application </w:t>
      </w:r>
      <w:r w:rsidRPr="003416FA">
        <w:t xml:space="preserve">may not create </w:t>
      </w:r>
      <w:r w:rsidR="00B446F9">
        <w:t xml:space="preserve">a </w:t>
      </w:r>
      <w:r w:rsidRPr="003416FA">
        <w:t xml:space="preserve">new conflict </w:t>
      </w:r>
      <w:r w:rsidR="00B446F9">
        <w:t>to</w:t>
      </w:r>
      <w:r w:rsidRPr="003416FA">
        <w:t xml:space="preserve"> any pending Auction 83 </w:t>
      </w:r>
      <w:r w:rsidR="00B446F9">
        <w:t xml:space="preserve">tech box </w:t>
      </w:r>
      <w:r w:rsidR="00B446F9" w:rsidRPr="00C512C3">
        <w:t>proposal</w:t>
      </w:r>
      <w:r w:rsidR="00DF5CFE" w:rsidRPr="00C512C3">
        <w:t>, or to any prior-filed Form 349</w:t>
      </w:r>
      <w:r w:rsidRPr="00C512C3">
        <w:t xml:space="preserve">.  </w:t>
      </w:r>
      <w:r w:rsidR="00BF5DBA" w:rsidRPr="00C512C3">
        <w:t>Furthermore</w:t>
      </w:r>
      <w:r w:rsidR="00BF5DBA">
        <w:t xml:space="preserve">, </w:t>
      </w:r>
      <w:r w:rsidR="00BF5DBA" w:rsidRPr="003416FA">
        <w:t xml:space="preserve">any Form 349 proposal </w:t>
      </w:r>
      <w:r w:rsidR="00BF5DBA">
        <w:t>which</w:t>
      </w:r>
      <w:r w:rsidR="00BF5DBA" w:rsidRPr="003416FA">
        <w:t xml:space="preserve"> differs from the </w:t>
      </w:r>
      <w:r w:rsidR="00BF5DBA">
        <w:t>most recent tech box</w:t>
      </w:r>
      <w:r w:rsidR="00BF5DBA" w:rsidRPr="003416FA">
        <w:t xml:space="preserve"> proposal </w:t>
      </w:r>
      <w:r w:rsidR="00BF5DBA" w:rsidRPr="008C17F7">
        <w:t xml:space="preserve">must include a Preclusion Showing for any Tech Box amendment specifying a transmitter site within 39 kilometers of any Appendix A Market grid and/or </w:t>
      </w:r>
      <w:r w:rsidR="005A0BAB">
        <w:t xml:space="preserve">at any location </w:t>
      </w:r>
      <w:r w:rsidR="00BF5DBA" w:rsidRPr="008C17F7">
        <w:t xml:space="preserve">within any Top-50 Spectrum Limited Market.  </w:t>
      </w:r>
      <w:r w:rsidR="00BF5DBA" w:rsidRPr="00C512C3">
        <w:t>Detailed instructions on completing Preclusion Showings are provided in prior Media Bureau public notices.</w:t>
      </w:r>
      <w:r w:rsidR="00BF5DBA" w:rsidRPr="00C512C3">
        <w:rPr>
          <w:rStyle w:val="FootnoteReference"/>
        </w:rPr>
        <w:footnoteReference w:id="9"/>
      </w:r>
      <w:r w:rsidR="00BF5DBA" w:rsidRPr="008C17F7">
        <w:t xml:space="preserve">  </w:t>
      </w:r>
      <w:r w:rsidR="00640062">
        <w:t>A</w:t>
      </w:r>
      <w:r>
        <w:t xml:space="preserve">mendments </w:t>
      </w:r>
      <w:r w:rsidR="00640062">
        <w:t xml:space="preserve">to showings </w:t>
      </w:r>
      <w:r>
        <w:t>will be permitted during the filing window</w:t>
      </w:r>
      <w:r>
        <w:rPr>
          <w:szCs w:val="22"/>
        </w:rPr>
        <w:t xml:space="preserve">, provided that the final </w:t>
      </w:r>
      <w:r w:rsidR="00FD62FC">
        <w:rPr>
          <w:szCs w:val="22"/>
        </w:rPr>
        <w:t>application amendment</w:t>
      </w:r>
      <w:r>
        <w:rPr>
          <w:szCs w:val="22"/>
        </w:rPr>
        <w:t xml:space="preserve"> </w:t>
      </w:r>
      <w:r w:rsidR="00FD62FC">
        <w:rPr>
          <w:szCs w:val="22"/>
        </w:rPr>
        <w:t>does</w:t>
      </w:r>
      <w:r>
        <w:rPr>
          <w:szCs w:val="22"/>
        </w:rPr>
        <w:t xml:space="preserve"> not </w:t>
      </w:r>
      <w:r w:rsidR="00FD62FC">
        <w:rPr>
          <w:szCs w:val="22"/>
        </w:rPr>
        <w:t>specify</w:t>
      </w:r>
      <w:r>
        <w:rPr>
          <w:szCs w:val="22"/>
        </w:rPr>
        <w:t xml:space="preserve"> a </w:t>
      </w:r>
      <w:r w:rsidR="00F8531B">
        <w:rPr>
          <w:szCs w:val="22"/>
        </w:rPr>
        <w:t>“</w:t>
      </w:r>
      <w:r>
        <w:rPr>
          <w:szCs w:val="22"/>
        </w:rPr>
        <w:t>major change</w:t>
      </w:r>
      <w:r w:rsidR="00F8531B">
        <w:rPr>
          <w:szCs w:val="22"/>
        </w:rPr>
        <w:t>”</w:t>
      </w:r>
      <w:r>
        <w:rPr>
          <w:szCs w:val="22"/>
        </w:rPr>
        <w:t xml:space="preserve"> from the </w:t>
      </w:r>
      <w:r w:rsidR="008645A1">
        <w:rPr>
          <w:szCs w:val="22"/>
        </w:rPr>
        <w:t xml:space="preserve">initial Auction 83 Filing Window </w:t>
      </w:r>
      <w:r w:rsidR="00F8531B">
        <w:rPr>
          <w:szCs w:val="22"/>
        </w:rPr>
        <w:t>tech box</w:t>
      </w:r>
      <w:r>
        <w:rPr>
          <w:szCs w:val="22"/>
        </w:rPr>
        <w:t xml:space="preserve"> proposal.</w:t>
      </w:r>
      <w:r w:rsidR="00BD237C">
        <w:rPr>
          <w:rStyle w:val="FootnoteReference"/>
          <w:szCs w:val="22"/>
        </w:rPr>
        <w:footnoteReference w:id="10"/>
      </w:r>
      <w:r w:rsidR="00764B6B">
        <w:rPr>
          <w:szCs w:val="22"/>
        </w:rPr>
        <w:t xml:space="preserve">  </w:t>
      </w:r>
      <w:r w:rsidR="00640062">
        <w:rPr>
          <w:szCs w:val="22"/>
        </w:rPr>
        <w:t xml:space="preserve">An amended </w:t>
      </w:r>
      <w:r w:rsidR="00735B95">
        <w:rPr>
          <w:szCs w:val="22"/>
        </w:rPr>
        <w:t>P</w:t>
      </w:r>
      <w:r w:rsidR="0085590B">
        <w:rPr>
          <w:szCs w:val="22"/>
        </w:rPr>
        <w:t xml:space="preserve">reclusion </w:t>
      </w:r>
      <w:r w:rsidR="00735B95">
        <w:rPr>
          <w:szCs w:val="22"/>
        </w:rPr>
        <w:t>S</w:t>
      </w:r>
      <w:r w:rsidR="00764B6B">
        <w:rPr>
          <w:szCs w:val="22"/>
        </w:rPr>
        <w:t xml:space="preserve">howing must </w:t>
      </w:r>
      <w:r w:rsidR="00640062">
        <w:rPr>
          <w:szCs w:val="22"/>
        </w:rPr>
        <w:t xml:space="preserve">be complete and sufficient.  </w:t>
      </w:r>
      <w:r w:rsidR="00764B6B">
        <w:rPr>
          <w:szCs w:val="22"/>
        </w:rPr>
        <w:t>The staff will review only the last-filed</w:t>
      </w:r>
      <w:r w:rsidR="00640062">
        <w:rPr>
          <w:szCs w:val="22"/>
        </w:rPr>
        <w:t xml:space="preserve"> </w:t>
      </w:r>
      <w:r w:rsidR="00735B95">
        <w:rPr>
          <w:szCs w:val="22"/>
        </w:rPr>
        <w:t>P</w:t>
      </w:r>
      <w:r w:rsidR="00640062">
        <w:rPr>
          <w:szCs w:val="22"/>
        </w:rPr>
        <w:t xml:space="preserve">reclusion </w:t>
      </w:r>
      <w:r w:rsidR="00735B95">
        <w:rPr>
          <w:szCs w:val="22"/>
        </w:rPr>
        <w:t>S</w:t>
      </w:r>
      <w:r w:rsidR="00640062">
        <w:rPr>
          <w:szCs w:val="22"/>
        </w:rPr>
        <w:t xml:space="preserve">howing </w:t>
      </w:r>
      <w:r w:rsidR="00764B6B">
        <w:rPr>
          <w:szCs w:val="22"/>
        </w:rPr>
        <w:t xml:space="preserve">to determine compliance with all </w:t>
      </w:r>
      <w:r w:rsidR="0085590B">
        <w:rPr>
          <w:szCs w:val="22"/>
        </w:rPr>
        <w:t xml:space="preserve">application </w:t>
      </w:r>
      <w:r w:rsidR="00764B6B">
        <w:rPr>
          <w:szCs w:val="22"/>
        </w:rPr>
        <w:t>filing requirements.</w:t>
      </w:r>
      <w:r w:rsidR="0042623C">
        <w:rPr>
          <w:szCs w:val="22"/>
        </w:rPr>
        <w:t xml:space="preserve">  </w:t>
      </w:r>
      <w:r w:rsidR="00C512C3" w:rsidRPr="00252075">
        <w:rPr>
          <w:b/>
          <w:szCs w:val="22"/>
        </w:rPr>
        <w:t xml:space="preserve">Form 349 applications that fail to include a required </w:t>
      </w:r>
      <w:r w:rsidR="00735B95">
        <w:rPr>
          <w:b/>
          <w:szCs w:val="22"/>
        </w:rPr>
        <w:t>P</w:t>
      </w:r>
      <w:r w:rsidR="00C512C3" w:rsidRPr="00252075">
        <w:rPr>
          <w:b/>
          <w:szCs w:val="22"/>
        </w:rPr>
        <w:t xml:space="preserve">reclusion </w:t>
      </w:r>
      <w:r w:rsidR="00735B95">
        <w:rPr>
          <w:b/>
          <w:szCs w:val="22"/>
        </w:rPr>
        <w:t>S</w:t>
      </w:r>
      <w:r w:rsidR="00C512C3" w:rsidRPr="00252075">
        <w:rPr>
          <w:b/>
          <w:szCs w:val="22"/>
        </w:rPr>
        <w:t xml:space="preserve">howing will be dismissed.  </w:t>
      </w:r>
      <w:r w:rsidR="00A76DB8" w:rsidRPr="00252075">
        <w:rPr>
          <w:b/>
        </w:rPr>
        <w:t>A</w:t>
      </w:r>
      <w:r w:rsidR="00A76DB8" w:rsidRPr="00C512C3">
        <w:rPr>
          <w:b/>
        </w:rPr>
        <w:t xml:space="preserve"> </w:t>
      </w:r>
      <w:r w:rsidR="00735B95">
        <w:rPr>
          <w:b/>
        </w:rPr>
        <w:t>P</w:t>
      </w:r>
      <w:r w:rsidR="00F8531B" w:rsidRPr="00C512C3">
        <w:rPr>
          <w:b/>
        </w:rPr>
        <w:t>reclusion</w:t>
      </w:r>
      <w:r w:rsidR="00F8531B" w:rsidRPr="00DB686C">
        <w:rPr>
          <w:b/>
        </w:rPr>
        <w:t xml:space="preserve"> </w:t>
      </w:r>
      <w:r w:rsidR="00735B95">
        <w:rPr>
          <w:b/>
        </w:rPr>
        <w:t>S</w:t>
      </w:r>
      <w:r w:rsidR="00F8531B" w:rsidRPr="00DB686C">
        <w:rPr>
          <w:b/>
        </w:rPr>
        <w:t>howing</w:t>
      </w:r>
      <w:r w:rsidR="00F8531B">
        <w:rPr>
          <w:b/>
        </w:rPr>
        <w:t xml:space="preserve"> </w:t>
      </w:r>
      <w:r w:rsidR="00A76DB8">
        <w:rPr>
          <w:b/>
        </w:rPr>
        <w:t xml:space="preserve">filing </w:t>
      </w:r>
      <w:r w:rsidR="00F8531B" w:rsidRPr="00DB686C">
        <w:rPr>
          <w:b/>
        </w:rPr>
        <w:t xml:space="preserve">may not be submitted, amended, corrected, </w:t>
      </w:r>
      <w:r w:rsidR="0085590B">
        <w:rPr>
          <w:b/>
        </w:rPr>
        <w:t xml:space="preserve">completed, </w:t>
      </w:r>
      <w:r w:rsidR="00F8531B" w:rsidRPr="00DB686C">
        <w:rPr>
          <w:b/>
        </w:rPr>
        <w:t xml:space="preserve">or resubmitted for further consideration after the Application Deadline.  </w:t>
      </w:r>
      <w:r w:rsidR="0085590B">
        <w:rPr>
          <w:b/>
        </w:rPr>
        <w:t>Moreover, a</w:t>
      </w:r>
      <w:r w:rsidR="00F8531B" w:rsidRPr="00DB686C">
        <w:rPr>
          <w:b/>
        </w:rPr>
        <w:t xml:space="preserve"> </w:t>
      </w:r>
      <w:r w:rsidR="00E64B9A">
        <w:rPr>
          <w:b/>
        </w:rPr>
        <w:t>P</w:t>
      </w:r>
      <w:r w:rsidR="00F8531B" w:rsidRPr="00DB686C">
        <w:rPr>
          <w:b/>
        </w:rPr>
        <w:t xml:space="preserve">reclusion </w:t>
      </w:r>
      <w:r w:rsidR="00E64B9A">
        <w:rPr>
          <w:b/>
        </w:rPr>
        <w:t>S</w:t>
      </w:r>
      <w:r w:rsidR="00F8531B" w:rsidRPr="00DB686C">
        <w:rPr>
          <w:b/>
        </w:rPr>
        <w:t xml:space="preserve">howing will </w:t>
      </w:r>
      <w:r w:rsidR="00F8531B">
        <w:rPr>
          <w:b/>
        </w:rPr>
        <w:t xml:space="preserve">not </w:t>
      </w:r>
      <w:r w:rsidR="00F8531B" w:rsidRPr="00DB686C">
        <w:rPr>
          <w:b/>
        </w:rPr>
        <w:t xml:space="preserve">be treated as a matter subject to </w:t>
      </w:r>
      <w:r w:rsidR="00F8531B" w:rsidRPr="00DB686C">
        <w:rPr>
          <w:b/>
        </w:rPr>
        <w:lastRenderedPageBreak/>
        <w:t>amendment</w:t>
      </w:r>
      <w:r w:rsidR="00F8531B">
        <w:rPr>
          <w:b/>
        </w:rPr>
        <w:t xml:space="preserve"> pursuant to</w:t>
      </w:r>
      <w:r w:rsidR="00F8531B" w:rsidRPr="00DB686C">
        <w:rPr>
          <w:b/>
        </w:rPr>
        <w:t xml:space="preserve"> </w:t>
      </w:r>
      <w:r w:rsidR="00F8531B" w:rsidRPr="006375A6">
        <w:rPr>
          <w:b/>
        </w:rPr>
        <w:t>Section 73.3522(a) of the Rules</w:t>
      </w:r>
      <w:r w:rsidR="00F8531B" w:rsidRPr="006375A6">
        <w:rPr>
          <w:rStyle w:val="FootnoteReference"/>
          <w:b/>
        </w:rPr>
        <w:footnoteReference w:id="11"/>
      </w:r>
      <w:r w:rsidR="0085590B" w:rsidRPr="006375A6">
        <w:rPr>
          <w:b/>
        </w:rPr>
        <w:t xml:space="preserve"> after the Application Deadline. </w:t>
      </w:r>
      <w:r w:rsidR="00F8531B" w:rsidRPr="006375A6">
        <w:rPr>
          <w:b/>
        </w:rPr>
        <w:t xml:space="preserve">  </w:t>
      </w:r>
      <w:r w:rsidR="007E4464" w:rsidRPr="00C512C3">
        <w:t xml:space="preserve">Furthermore, any </w:t>
      </w:r>
      <w:r w:rsidR="00DF5CFE" w:rsidRPr="00C512C3">
        <w:t xml:space="preserve">Form 349, to the extent it differs from the underlying tech box proposal (as </w:t>
      </w:r>
      <w:r w:rsidR="00CD66F2" w:rsidRPr="00C512C3">
        <w:t>pending on</w:t>
      </w:r>
      <w:r w:rsidR="00DF5CFE" w:rsidRPr="00C512C3">
        <w:t xml:space="preserve"> June 16, 2013), is </w:t>
      </w:r>
      <w:r w:rsidR="007E4464" w:rsidRPr="00C512C3">
        <w:t>not protected from applications submitted during the October 2013 (LPFM) filing window.</w:t>
      </w:r>
      <w:r w:rsidR="007E4464" w:rsidRPr="00C512C3">
        <w:rPr>
          <w:rStyle w:val="FootnoteReference"/>
        </w:rPr>
        <w:footnoteReference w:id="12"/>
      </w:r>
      <w:r w:rsidR="007E4464" w:rsidRPr="00C512C3">
        <w:t xml:space="preserve">  Any Form 349 application filed during this window that differs from the </w:t>
      </w:r>
      <w:r w:rsidR="00DF5CFE" w:rsidRPr="00C512C3">
        <w:t>June 16, 2013</w:t>
      </w:r>
      <w:r w:rsidR="000E3902">
        <w:t>,</w:t>
      </w:r>
      <w:r w:rsidR="00DF5CFE" w:rsidRPr="00C512C3">
        <w:t xml:space="preserve"> version of the </w:t>
      </w:r>
      <w:r w:rsidR="007E4464" w:rsidRPr="00C512C3">
        <w:t xml:space="preserve">underlying tech box, and any authorization </w:t>
      </w:r>
      <w:r w:rsidR="00DF5CFE" w:rsidRPr="00C512C3">
        <w:t>granted</w:t>
      </w:r>
      <w:r w:rsidR="007E4464" w:rsidRPr="00C512C3">
        <w:t xml:space="preserve"> from </w:t>
      </w:r>
      <w:r w:rsidR="00DF5CFE" w:rsidRPr="00C512C3">
        <w:t xml:space="preserve">that application </w:t>
      </w:r>
      <w:r w:rsidR="007E4464" w:rsidRPr="00C512C3">
        <w:t>may be subject to modification or cancellation as a result of conflicting LPFM window filings.</w:t>
      </w:r>
    </w:p>
    <w:p w:rsidR="00764B6B" w:rsidRDefault="00764B6B" w:rsidP="004C6410">
      <w:pPr>
        <w:ind w:firstLine="720"/>
      </w:pPr>
    </w:p>
    <w:p w:rsidR="00764B6B" w:rsidRPr="003416FA" w:rsidRDefault="00764B6B" w:rsidP="004C6410">
      <w:pPr>
        <w:ind w:firstLine="720"/>
      </w:pPr>
      <w:r>
        <w:rPr>
          <w:b/>
          <w:i/>
        </w:rPr>
        <w:t xml:space="preserve">Application Dismissals.  </w:t>
      </w:r>
      <w:r>
        <w:t xml:space="preserve">The staff will dismiss Form 349 applications not submitted in accordance with the procedures described above.  </w:t>
      </w:r>
      <w:r w:rsidR="007A3C0A">
        <w:t xml:space="preserve">A </w:t>
      </w:r>
      <w:r>
        <w:t>F</w:t>
      </w:r>
      <w:r w:rsidR="007A3C0A">
        <w:t>o</w:t>
      </w:r>
      <w:r>
        <w:t xml:space="preserve">rm 349 application that, as of the Application Deadline, </w:t>
      </w:r>
      <w:r w:rsidR="00A76DB8">
        <w:t>specifies</w:t>
      </w:r>
      <w:r>
        <w:t xml:space="preserve"> a “major change”</w:t>
      </w:r>
      <w:r w:rsidR="009C7950">
        <w:rPr>
          <w:rStyle w:val="FootnoteReference"/>
        </w:rPr>
        <w:footnoteReference w:id="13"/>
      </w:r>
      <w:r w:rsidR="007A3C0A">
        <w:t xml:space="preserve"> to the facilities specified in the </w:t>
      </w:r>
      <w:r w:rsidR="00901E27">
        <w:t xml:space="preserve">initial </w:t>
      </w:r>
      <w:r w:rsidR="00C76E42">
        <w:t>Auction 83 Filing Window</w:t>
      </w:r>
      <w:r w:rsidR="007A3C0A">
        <w:t xml:space="preserve"> tech box </w:t>
      </w:r>
      <w:r w:rsidR="00901E27">
        <w:t xml:space="preserve">proposal </w:t>
      </w:r>
      <w:r w:rsidR="007A3C0A">
        <w:t>and/or creates</w:t>
      </w:r>
      <w:r w:rsidR="009C7950">
        <w:t xml:space="preserve"> a</w:t>
      </w:r>
      <w:r w:rsidR="007A3C0A">
        <w:t xml:space="preserve"> </w:t>
      </w:r>
      <w:r w:rsidR="009C7950">
        <w:t xml:space="preserve">new conflict to a pending Auction 83 tech box </w:t>
      </w:r>
      <w:r w:rsidR="00901E27">
        <w:t xml:space="preserve">proposal </w:t>
      </w:r>
      <w:r w:rsidR="009C7950">
        <w:t>will be dismissed.</w:t>
      </w:r>
      <w:r>
        <w:rPr>
          <w:rStyle w:val="FootnoteReference"/>
        </w:rPr>
        <w:footnoteReference w:id="14"/>
      </w:r>
      <w:r>
        <w:t xml:space="preserve">  The staff also will dismiss, without further processing, any tech box </w:t>
      </w:r>
      <w:r w:rsidR="00964D67">
        <w:t xml:space="preserve">proposal </w:t>
      </w:r>
      <w:r>
        <w:t xml:space="preserve">listed in Attachment A if the applicant fails to electronically submit a complete Form 349 application for such tech box </w:t>
      </w:r>
      <w:r w:rsidR="00901E27">
        <w:t xml:space="preserve">proposal </w:t>
      </w:r>
      <w:r>
        <w:t>by</w:t>
      </w:r>
      <w:r>
        <w:rPr>
          <w:b/>
        </w:rPr>
        <w:t xml:space="preserve"> </w:t>
      </w:r>
      <w:r>
        <w:t>the Application Deadline.  The Application Deadline will be strictly enforced.</w:t>
      </w:r>
      <w:r>
        <w:rPr>
          <w:rStyle w:val="FootnoteReference"/>
        </w:rPr>
        <w:footnoteReference w:id="15"/>
      </w:r>
      <w:r>
        <w:t xml:space="preserve">  </w:t>
      </w:r>
    </w:p>
    <w:p w:rsidR="004C6410" w:rsidRDefault="004C6410" w:rsidP="004C6410"/>
    <w:p w:rsidR="004C6410" w:rsidRPr="00D90240" w:rsidRDefault="004C6410" w:rsidP="004C6410">
      <w:r>
        <w:tab/>
      </w:r>
      <w:r>
        <w:rPr>
          <w:b/>
          <w:i/>
        </w:rPr>
        <w:t>Petition to Deny Filing Period</w:t>
      </w:r>
      <w:r>
        <w:rPr>
          <w:i/>
        </w:rPr>
        <w:t>.</w:t>
      </w:r>
      <w:r>
        <w:t xml:space="preserve">  </w:t>
      </w:r>
      <w:r w:rsidRPr="00D90240">
        <w:t>The staff will study the submitted “singleton” Form 349 applications for acceptability.  It will subsequently issue CDBS-generated Public Notices entitled “Broadcast Applications” lis</w:t>
      </w:r>
      <w:r>
        <w:t>ting those applications determined to be acceptable for filing.  A petition to deny the FCC Form 349 application must be filed within 15 days following the release of the pertinent Public Notice.</w:t>
      </w:r>
      <w:r>
        <w:rPr>
          <w:rStyle w:val="FootnoteReference"/>
        </w:rPr>
        <w:footnoteReference w:id="16"/>
      </w:r>
      <w:r>
        <w:t xml:space="preserve">  Interested parties should monitor these CDBS Broadcast Applications Public Notices.</w:t>
      </w:r>
      <w:r>
        <w:rPr>
          <w:sz w:val="20"/>
          <w:highlight w:val="yellow"/>
        </w:rPr>
        <w:t xml:space="preserve"> </w:t>
      </w:r>
    </w:p>
    <w:p w:rsidR="004C6410" w:rsidRDefault="004C6410" w:rsidP="004C6410">
      <w:r>
        <w:tab/>
      </w:r>
    </w:p>
    <w:p w:rsidR="004C6410" w:rsidRDefault="004C6410" w:rsidP="004C6410">
      <w:pPr>
        <w:ind w:firstLine="720"/>
      </w:pPr>
      <w:r>
        <w:t>For additional information, contact Rob Gates or Larry Hannif-Ali of the Audio Division at (202) 418-2700.</w:t>
      </w:r>
      <w:r w:rsidR="001A318B">
        <w:t xml:space="preserve">  </w:t>
      </w:r>
      <w:r w:rsidR="001A318B" w:rsidRPr="001A318B">
        <w:t>Press contact: Janice Wise, (202) 418-8165.</w:t>
      </w:r>
    </w:p>
    <w:p w:rsidR="004C6410" w:rsidRDefault="004C6410" w:rsidP="004C6410"/>
    <w:p w:rsidR="00362C04" w:rsidRDefault="00362C04" w:rsidP="004C6410">
      <w:pPr>
        <w:rPr>
          <w:b/>
          <w:i/>
        </w:rPr>
      </w:pPr>
    </w:p>
    <w:p w:rsidR="00362C04" w:rsidRDefault="00362C04" w:rsidP="004C6410">
      <w:pPr>
        <w:rPr>
          <w:b/>
          <w:i/>
        </w:rPr>
      </w:pPr>
    </w:p>
    <w:p w:rsidR="004C6410" w:rsidRDefault="004C6410" w:rsidP="004C6410">
      <w:pPr>
        <w:rPr>
          <w:b/>
          <w:i/>
        </w:rPr>
      </w:pPr>
      <w:r>
        <w:rPr>
          <w:b/>
          <w:i/>
        </w:rPr>
        <w:t>This Public Notice contains the following Attachments:</w:t>
      </w:r>
    </w:p>
    <w:p w:rsidR="004C6410" w:rsidRDefault="004C6410" w:rsidP="004C6410">
      <w:pPr>
        <w:rPr>
          <w:b/>
          <w:i/>
        </w:rPr>
      </w:pPr>
    </w:p>
    <w:p w:rsidR="004C6410" w:rsidRDefault="004C6410" w:rsidP="004C6410">
      <w:r w:rsidRPr="00D90240">
        <w:rPr>
          <w:b/>
        </w:rPr>
        <w:t xml:space="preserve">Attachment A: </w:t>
      </w:r>
      <w:r>
        <w:t xml:space="preserve"> </w:t>
      </w:r>
      <w:r w:rsidR="006C5C6E">
        <w:t xml:space="preserve">Singleton Tech Box Proposals Subject to </w:t>
      </w:r>
      <w:r w:rsidR="00DF5CFE">
        <w:t xml:space="preserve">August </w:t>
      </w:r>
      <w:r w:rsidR="007C30C6">
        <w:t>30</w:t>
      </w:r>
      <w:r w:rsidR="00DF5CFE">
        <w:t xml:space="preserve">, </w:t>
      </w:r>
      <w:r w:rsidR="006C5C6E">
        <w:t>2013 Filing Deadline</w:t>
      </w:r>
    </w:p>
    <w:p w:rsidR="00362C04" w:rsidRDefault="00362C04" w:rsidP="004C6410"/>
    <w:p w:rsidR="00362C04" w:rsidRDefault="00362C04" w:rsidP="004C6410"/>
    <w:p w:rsidR="00362C04" w:rsidRDefault="00362C04" w:rsidP="00362C04">
      <w:pPr>
        <w:jc w:val="center"/>
      </w:pPr>
      <w:r>
        <w:t>-FCC-</w:t>
      </w:r>
    </w:p>
    <w:p w:rsidR="004C6410" w:rsidRDefault="004C6410" w:rsidP="00362C04">
      <w:pPr>
        <w:jc w:val="center"/>
      </w:pPr>
    </w:p>
    <w:sectPr w:rsidR="004C6410" w:rsidSect="00C76E42">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DF" w:rsidRDefault="00B215DF">
      <w:r>
        <w:separator/>
      </w:r>
    </w:p>
  </w:endnote>
  <w:endnote w:type="continuationSeparator" w:id="0">
    <w:p w:rsidR="00B215DF" w:rsidRDefault="00B215DF">
      <w:r>
        <w:continuationSeparator/>
      </w:r>
    </w:p>
  </w:endnote>
  <w:endnote w:type="continuationNotice" w:id="1">
    <w:p w:rsidR="00B215DF" w:rsidRDefault="00B2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CA00D3" w:rsidP="00BC39D8">
    <w:pPr>
      <w:pStyle w:val="Footer"/>
      <w:framePr w:wrap="around" w:vAnchor="text" w:hAnchor="margin" w:xAlign="center" w:y="1"/>
      <w:rPr>
        <w:rStyle w:val="PageNumber"/>
      </w:rPr>
    </w:pPr>
    <w:r>
      <w:rPr>
        <w:rStyle w:val="PageNumber"/>
      </w:rPr>
      <w:fldChar w:fldCharType="begin"/>
    </w:r>
    <w:r w:rsidR="00ED40DB">
      <w:rPr>
        <w:rStyle w:val="PageNumber"/>
      </w:rPr>
      <w:instrText xml:space="preserve">PAGE  </w:instrText>
    </w:r>
    <w:r>
      <w:rPr>
        <w:rStyle w:val="PageNumber"/>
      </w:rPr>
      <w:fldChar w:fldCharType="end"/>
    </w:r>
  </w:p>
  <w:p w:rsidR="00A4773F" w:rsidRDefault="00A47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CA00D3" w:rsidP="00BC39D8">
    <w:pPr>
      <w:pStyle w:val="Footer"/>
      <w:framePr w:wrap="around" w:vAnchor="text" w:hAnchor="margin" w:xAlign="center" w:y="1"/>
      <w:rPr>
        <w:rStyle w:val="PageNumber"/>
      </w:rPr>
    </w:pPr>
    <w:r>
      <w:rPr>
        <w:rStyle w:val="PageNumber"/>
      </w:rPr>
      <w:fldChar w:fldCharType="begin"/>
    </w:r>
    <w:r w:rsidR="00ED40DB">
      <w:rPr>
        <w:rStyle w:val="PageNumber"/>
      </w:rPr>
      <w:instrText xml:space="preserve">PAGE  </w:instrText>
    </w:r>
    <w:r>
      <w:rPr>
        <w:rStyle w:val="PageNumber"/>
      </w:rPr>
      <w:fldChar w:fldCharType="separate"/>
    </w:r>
    <w:r w:rsidR="0019303C">
      <w:rPr>
        <w:rStyle w:val="PageNumber"/>
        <w:noProof/>
      </w:rPr>
      <w:t>2</w:t>
    </w:r>
    <w:r>
      <w:rPr>
        <w:rStyle w:val="PageNumber"/>
      </w:rPr>
      <w:fldChar w:fldCharType="end"/>
    </w:r>
  </w:p>
  <w:p w:rsidR="00A4773F" w:rsidRDefault="00A47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E9" w:rsidRDefault="001A6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DF" w:rsidRDefault="00B215DF">
      <w:r>
        <w:separator/>
      </w:r>
    </w:p>
  </w:footnote>
  <w:footnote w:type="continuationSeparator" w:id="0">
    <w:p w:rsidR="00B215DF" w:rsidRDefault="00B215DF">
      <w:r>
        <w:continuationSeparator/>
      </w:r>
    </w:p>
  </w:footnote>
  <w:footnote w:type="continuationNotice" w:id="1">
    <w:p w:rsidR="00B215DF" w:rsidRDefault="00B215DF"/>
  </w:footnote>
  <w:footnote w:id="2">
    <w:p w:rsidR="004C6410" w:rsidRPr="00B446F9" w:rsidRDefault="004C6410" w:rsidP="00BA176C">
      <w:pPr>
        <w:pStyle w:val="FootnoteText"/>
        <w:rPr>
          <w:sz w:val="20"/>
        </w:rPr>
      </w:pPr>
      <w:r w:rsidRPr="00E07DBC">
        <w:rPr>
          <w:rStyle w:val="FootnoteReference"/>
        </w:rPr>
        <w:footnoteRef/>
      </w:r>
      <w:r w:rsidRPr="00E07DBC">
        <w:t xml:space="preserve"> </w:t>
      </w:r>
      <w:r w:rsidRPr="00B446F9">
        <w:rPr>
          <w:i/>
          <w:sz w:val="20"/>
        </w:rPr>
        <w:t>See Creation of a Low Power Radio Service</w:t>
      </w:r>
      <w:r w:rsidRPr="00B446F9">
        <w:rPr>
          <w:sz w:val="20"/>
        </w:rPr>
        <w:t>, Fifth Order on Reconsideration and Sixth Report and Order, 27 FCC Rcd 15402 (2012).</w:t>
      </w:r>
    </w:p>
  </w:footnote>
  <w:footnote w:id="3">
    <w:p w:rsidR="00F42AC0" w:rsidRDefault="00F42AC0">
      <w:pPr>
        <w:pStyle w:val="FootnoteText"/>
      </w:pPr>
      <w:r>
        <w:rPr>
          <w:rStyle w:val="FootnoteReference"/>
        </w:rPr>
        <w:footnoteRef/>
      </w:r>
      <w:r>
        <w:t xml:space="preserve"> </w:t>
      </w:r>
      <w:r w:rsidRPr="00B446F9">
        <w:rPr>
          <w:i/>
          <w:sz w:val="20"/>
        </w:rPr>
        <w:t xml:space="preserve">See FM Translator Auction Filing Window and Application Freeze, </w:t>
      </w:r>
      <w:r w:rsidRPr="00B446F9">
        <w:rPr>
          <w:sz w:val="20"/>
        </w:rPr>
        <w:t>Public Notice</w:t>
      </w:r>
      <w:r w:rsidRPr="00B446F9">
        <w:rPr>
          <w:i/>
          <w:sz w:val="20"/>
        </w:rPr>
        <w:t xml:space="preserve">, </w:t>
      </w:r>
      <w:r w:rsidRPr="00B446F9">
        <w:rPr>
          <w:sz w:val="20"/>
        </w:rPr>
        <w:t>18 FCC Rcd 1565</w:t>
      </w:r>
      <w:r w:rsidRPr="00B446F9">
        <w:rPr>
          <w:i/>
          <w:sz w:val="20"/>
        </w:rPr>
        <w:t xml:space="preserve"> </w:t>
      </w:r>
      <w:r w:rsidRPr="00B446F9">
        <w:rPr>
          <w:sz w:val="20"/>
        </w:rPr>
        <w:t xml:space="preserve">(MB/WTB 2003).  The filing window was subsequently extended to March 17, 2003.  </w:t>
      </w:r>
      <w:r w:rsidRPr="00B446F9">
        <w:rPr>
          <w:i/>
          <w:sz w:val="20"/>
        </w:rPr>
        <w:t>FM Translator Auction</w:t>
      </w:r>
      <w:r w:rsidRPr="00B446F9">
        <w:rPr>
          <w:sz w:val="20"/>
        </w:rPr>
        <w:t xml:space="preserve"> </w:t>
      </w:r>
      <w:r w:rsidRPr="00B446F9">
        <w:rPr>
          <w:i/>
          <w:sz w:val="20"/>
        </w:rPr>
        <w:t>Filing Window and Application Freeze Extended to March 17, 2003</w:t>
      </w:r>
      <w:r w:rsidRPr="00B446F9">
        <w:rPr>
          <w:sz w:val="20"/>
        </w:rPr>
        <w:t xml:space="preserve">, Public Notice, 18 FCC Rcd 3275 (MB/WTB 2003) (“Auction 83 Filing Window”). </w:t>
      </w:r>
      <w:r>
        <w:rPr>
          <w:sz w:val="20"/>
        </w:rPr>
        <w:t xml:space="preserve"> </w:t>
      </w:r>
    </w:p>
  </w:footnote>
  <w:footnote w:id="4">
    <w:p w:rsidR="00CA00D3" w:rsidRDefault="004C6410" w:rsidP="00CA00D3">
      <w:pPr>
        <w:pStyle w:val="FootnoteText"/>
        <w:rPr>
          <w:sz w:val="20"/>
        </w:rPr>
      </w:pPr>
      <w:r w:rsidRPr="00BA176C">
        <w:rPr>
          <w:rStyle w:val="FootnoteReference"/>
          <w:sz w:val="20"/>
        </w:rPr>
        <w:footnoteRef/>
      </w:r>
      <w:r w:rsidRPr="00BA176C">
        <w:rPr>
          <w:sz w:val="20"/>
        </w:rPr>
        <w:t xml:space="preserve">  </w:t>
      </w:r>
      <w:r w:rsidRPr="00BA176C">
        <w:rPr>
          <w:i/>
          <w:sz w:val="20"/>
        </w:rPr>
        <w:t xml:space="preserve">See </w:t>
      </w:r>
      <w:r w:rsidRPr="00BA176C">
        <w:rPr>
          <w:sz w:val="20"/>
        </w:rPr>
        <w:t xml:space="preserve">47 U.S.C. § 309(j); 47 C.F.R. § 73.5005(d); </w:t>
      </w:r>
      <w:r w:rsidRPr="00BA176C">
        <w:rPr>
          <w:i/>
          <w:sz w:val="20"/>
        </w:rPr>
        <w:t xml:space="preserve">Implementation of Section 309(j) of the Communications Act -- Competitive Bidding </w:t>
      </w:r>
      <w:r w:rsidR="00CA00D3" w:rsidRPr="00CA00D3">
        <w:rPr>
          <w:sz w:val="20"/>
        </w:rPr>
        <w:t>for</w:t>
      </w:r>
      <w:r w:rsidRPr="00BA176C">
        <w:rPr>
          <w:i/>
          <w:sz w:val="20"/>
        </w:rPr>
        <w:t xml:space="preserve"> Commercial Broadcast and Instructional Television Fixed Service Licenses</w:t>
      </w:r>
      <w:r w:rsidRPr="00BA176C">
        <w:rPr>
          <w:sz w:val="20"/>
        </w:rPr>
        <w:t>, First Report and Order, 13 FCC Rcd 15920 (1998), Memorandum Opinion and Order, 14 FCC Rcd 8724 (1999), Memorandum Opinion and Order, 14 FCC Rcd 12541 (1999) (“</w:t>
      </w:r>
      <w:r w:rsidRPr="00BA176C">
        <w:rPr>
          <w:i/>
          <w:sz w:val="20"/>
        </w:rPr>
        <w:t>Broadcast Auction First Report and Order</w:t>
      </w:r>
      <w:r w:rsidRPr="00BA176C">
        <w:rPr>
          <w:sz w:val="20"/>
        </w:rPr>
        <w:t>”).</w:t>
      </w:r>
    </w:p>
    <w:p w:rsidR="004C6410" w:rsidRPr="00BA176C" w:rsidRDefault="004C6410">
      <w:pPr>
        <w:ind w:firstLine="720"/>
        <w:rPr>
          <w:sz w:val="20"/>
        </w:rPr>
      </w:pPr>
    </w:p>
  </w:footnote>
  <w:footnote w:id="5">
    <w:p w:rsidR="004C6410" w:rsidRPr="00BA176C" w:rsidRDefault="004C6410" w:rsidP="00C76E42">
      <w:pPr>
        <w:pStyle w:val="FootnoteText"/>
        <w:rPr>
          <w:sz w:val="20"/>
        </w:rPr>
      </w:pPr>
      <w:r w:rsidRPr="00BA176C">
        <w:rPr>
          <w:rStyle w:val="FootnoteReference"/>
          <w:sz w:val="20"/>
        </w:rPr>
        <w:footnoteRef/>
      </w:r>
      <w:r w:rsidRPr="00BA176C">
        <w:rPr>
          <w:sz w:val="20"/>
        </w:rPr>
        <w:t xml:space="preserve">  </w:t>
      </w:r>
      <w:r w:rsidRPr="00BA176C">
        <w:rPr>
          <w:i/>
          <w:sz w:val="20"/>
        </w:rPr>
        <w:t>See</w:t>
      </w:r>
      <w:r w:rsidRPr="00BA176C">
        <w:rPr>
          <w:sz w:val="20"/>
        </w:rPr>
        <w:t xml:space="preserve"> 47 U.S.C. § </w:t>
      </w:r>
      <w:r w:rsidR="00B7444B">
        <w:rPr>
          <w:sz w:val="20"/>
        </w:rPr>
        <w:t>15</w:t>
      </w:r>
      <w:r w:rsidRPr="00BA176C">
        <w:rPr>
          <w:sz w:val="20"/>
        </w:rPr>
        <w:t xml:space="preserve">8; 47 C.F.R. §§ 0.401(b), 1.1104, 1.1109, 1.1110, 73.5005(d), 73.3512, 74.1233(d). </w:t>
      </w:r>
    </w:p>
  </w:footnote>
  <w:footnote w:id="6">
    <w:p w:rsidR="004C6410" w:rsidRPr="00BA176C" w:rsidRDefault="004C6410" w:rsidP="00C76E42">
      <w:pPr>
        <w:pStyle w:val="FootnoteText"/>
        <w:rPr>
          <w:sz w:val="20"/>
        </w:rPr>
      </w:pPr>
      <w:r w:rsidRPr="00BA176C">
        <w:rPr>
          <w:rStyle w:val="FootnoteReference"/>
          <w:sz w:val="20"/>
        </w:rPr>
        <w:footnoteRef/>
      </w:r>
      <w:r w:rsidRPr="00BA176C">
        <w:rPr>
          <w:sz w:val="20"/>
        </w:rPr>
        <w:t xml:space="preserve"> </w:t>
      </w:r>
      <w:r w:rsidRPr="00BA176C">
        <w:rPr>
          <w:i/>
          <w:sz w:val="20"/>
        </w:rPr>
        <w:t>See</w:t>
      </w:r>
      <w:r w:rsidRPr="00BA176C">
        <w:rPr>
          <w:sz w:val="20"/>
        </w:rPr>
        <w:t xml:space="preserve"> Schedule of Charges at 47 C.F.R. § 1.1104.  Method and form of payment are addressed in 47 C.F.R. §§ 1.1111, 1.1112.  </w:t>
      </w:r>
      <w:r w:rsidRPr="00BA176C">
        <w:rPr>
          <w:i/>
          <w:sz w:val="20"/>
        </w:rPr>
        <w:t>See also</w:t>
      </w:r>
      <w:r w:rsidRPr="00BA176C">
        <w:rPr>
          <w:sz w:val="20"/>
        </w:rPr>
        <w:t xml:space="preserve"> the Media Services Application Fee Filing Guide and the FCC Form 349 instructions.  The general exemptions to charges are specified in 47 C.F.R. § 1.1116.  Governmental entities are exempt from this fee requirement.  Also exempt are applicants for noncommercial educational FM translator facilities, as defined in 47 C.F.R. § 74.1201(c).  When filing a fee-exempt application, an applicant must complete Section I, item 3 of Form 349 and provide an explanation. </w:t>
      </w:r>
    </w:p>
  </w:footnote>
  <w:footnote w:id="7">
    <w:p w:rsidR="008A351F" w:rsidRDefault="008A351F">
      <w:pPr>
        <w:pStyle w:val="FootnoteText"/>
      </w:pPr>
      <w:r>
        <w:rPr>
          <w:rStyle w:val="FootnoteReference"/>
        </w:rPr>
        <w:footnoteRef/>
      </w:r>
      <w:r>
        <w:t xml:space="preserve"> </w:t>
      </w:r>
      <w:r w:rsidRPr="00BA176C">
        <w:rPr>
          <w:i/>
          <w:sz w:val="20"/>
        </w:rPr>
        <w:t xml:space="preserve">See </w:t>
      </w:r>
      <w:r w:rsidRPr="00A76DB8">
        <w:rPr>
          <w:i/>
          <w:sz w:val="20"/>
        </w:rPr>
        <w:t xml:space="preserve">Broadcast </w:t>
      </w:r>
      <w:r w:rsidRPr="00564986">
        <w:rPr>
          <w:i/>
          <w:sz w:val="20"/>
        </w:rPr>
        <w:t>Auction</w:t>
      </w:r>
      <w:r w:rsidRPr="00A76DB8">
        <w:rPr>
          <w:i/>
          <w:sz w:val="20"/>
        </w:rPr>
        <w:t xml:space="preserve"> First Report and Order</w:t>
      </w:r>
      <w:r w:rsidRPr="00BA176C">
        <w:rPr>
          <w:i/>
          <w:sz w:val="20"/>
        </w:rPr>
        <w:t>,</w:t>
      </w:r>
      <w:r w:rsidRPr="00BA176C">
        <w:rPr>
          <w:sz w:val="20"/>
        </w:rPr>
        <w:t xml:space="preserve"> 13 FCC Rcd at 15991.</w:t>
      </w:r>
    </w:p>
  </w:footnote>
  <w:footnote w:id="8">
    <w:p w:rsidR="00764B6B" w:rsidRPr="00B446F9" w:rsidRDefault="004C6410" w:rsidP="00C76E42">
      <w:pPr>
        <w:pStyle w:val="FootnoteText"/>
        <w:rPr>
          <w:sz w:val="20"/>
        </w:rPr>
      </w:pPr>
      <w:r w:rsidRPr="00B446F9">
        <w:rPr>
          <w:rStyle w:val="FootnoteReference"/>
          <w:sz w:val="20"/>
        </w:rPr>
        <w:footnoteRef/>
      </w:r>
      <w:r w:rsidRPr="00B446F9">
        <w:rPr>
          <w:sz w:val="20"/>
        </w:rPr>
        <w:t xml:space="preserve"> 47 C.F.R. § 74.1233</w:t>
      </w:r>
      <w:r w:rsidR="00BD237C">
        <w:rPr>
          <w:sz w:val="20"/>
        </w:rPr>
        <w:t>(a)</w:t>
      </w:r>
      <w:r w:rsidRPr="00B446F9">
        <w:rPr>
          <w:sz w:val="20"/>
        </w:rPr>
        <w:t>.</w:t>
      </w:r>
    </w:p>
  </w:footnote>
  <w:footnote w:id="9">
    <w:p w:rsidR="00BF5DBA" w:rsidRPr="00A4102A" w:rsidRDefault="00BF5DBA" w:rsidP="00BF5DBA">
      <w:pPr>
        <w:pStyle w:val="FootnoteText"/>
        <w:rPr>
          <w:sz w:val="20"/>
        </w:rPr>
      </w:pPr>
      <w:r w:rsidRPr="00A4102A">
        <w:rPr>
          <w:rStyle w:val="FootnoteReference"/>
          <w:sz w:val="20"/>
        </w:rPr>
        <w:footnoteRef/>
      </w:r>
      <w:r w:rsidRPr="00A4102A">
        <w:rPr>
          <w:sz w:val="20"/>
        </w:rPr>
        <w:t xml:space="preserve"> </w:t>
      </w:r>
      <w:r w:rsidRPr="00A4102A">
        <w:rPr>
          <w:i/>
          <w:sz w:val="20"/>
        </w:rPr>
        <w:t>See Media Bureau Announces April 1 – April 19 Filing Window for FM Translator Auction 83 Preclusion Showings</w:t>
      </w:r>
      <w:r w:rsidRPr="00A4102A">
        <w:rPr>
          <w:sz w:val="20"/>
        </w:rPr>
        <w:t xml:space="preserve">, Public Notice, 28 FCC Rcd 2495 (MB 2013); </w:t>
      </w:r>
      <w:r w:rsidRPr="00A4102A">
        <w:rPr>
          <w:i/>
          <w:sz w:val="20"/>
        </w:rPr>
        <w:t>Media Bureau Provides Additional Guidance on Preclusion Showing Filing Requirements for Auction 83 FM Translator Applicants</w:t>
      </w:r>
      <w:r w:rsidRPr="00A4102A">
        <w:rPr>
          <w:sz w:val="20"/>
        </w:rPr>
        <w:t xml:space="preserve">, </w:t>
      </w:r>
      <w:r>
        <w:rPr>
          <w:sz w:val="20"/>
        </w:rPr>
        <w:t xml:space="preserve">Public Notice, </w:t>
      </w:r>
      <w:r w:rsidRPr="00A4102A">
        <w:rPr>
          <w:sz w:val="20"/>
        </w:rPr>
        <w:t>28 FCC Rcd 2840 (MB 2013).</w:t>
      </w:r>
    </w:p>
  </w:footnote>
  <w:footnote w:id="10">
    <w:p w:rsidR="00BD237C" w:rsidRPr="00567C33" w:rsidRDefault="00BD237C">
      <w:pPr>
        <w:pStyle w:val="FootnoteText"/>
        <w:rPr>
          <w:sz w:val="20"/>
        </w:rPr>
      </w:pPr>
      <w:r w:rsidRPr="00567C33">
        <w:rPr>
          <w:rStyle w:val="FootnoteReference"/>
          <w:sz w:val="20"/>
        </w:rPr>
        <w:footnoteRef/>
      </w:r>
      <w:r w:rsidRPr="00567C33">
        <w:rPr>
          <w:sz w:val="20"/>
        </w:rPr>
        <w:t xml:space="preserve"> 47 C.F.R. § 74.1233(a).</w:t>
      </w:r>
    </w:p>
  </w:footnote>
  <w:footnote w:id="11">
    <w:p w:rsidR="00F8531B" w:rsidRPr="00B446F9" w:rsidRDefault="00F8531B" w:rsidP="00F8531B">
      <w:pPr>
        <w:pStyle w:val="FootnoteText"/>
        <w:rPr>
          <w:sz w:val="20"/>
        </w:rPr>
      </w:pPr>
      <w:r w:rsidRPr="00B446F9">
        <w:rPr>
          <w:rStyle w:val="FootnoteReference"/>
          <w:sz w:val="20"/>
        </w:rPr>
        <w:footnoteRef/>
      </w:r>
      <w:r w:rsidRPr="00B446F9">
        <w:rPr>
          <w:sz w:val="20"/>
        </w:rPr>
        <w:t xml:space="preserve"> </w:t>
      </w:r>
      <w:r w:rsidR="00B60208" w:rsidRPr="00B60208">
        <w:rPr>
          <w:sz w:val="20"/>
        </w:rPr>
        <w:t>47 C.F.R.</w:t>
      </w:r>
      <w:r w:rsidR="00B60208">
        <w:rPr>
          <w:sz w:val="20"/>
        </w:rPr>
        <w:t xml:space="preserve"> </w:t>
      </w:r>
      <w:r w:rsidRPr="00B446F9">
        <w:rPr>
          <w:sz w:val="20"/>
        </w:rPr>
        <w:t xml:space="preserve">§ 73.3522(a). </w:t>
      </w:r>
    </w:p>
  </w:footnote>
  <w:footnote w:id="12">
    <w:p w:rsidR="007E4464" w:rsidRPr="00E265B5" w:rsidRDefault="007E4464">
      <w:pPr>
        <w:pStyle w:val="FootnoteText"/>
        <w:rPr>
          <w:sz w:val="20"/>
        </w:rPr>
      </w:pPr>
      <w:r>
        <w:rPr>
          <w:rStyle w:val="FootnoteReference"/>
        </w:rPr>
        <w:footnoteRef/>
      </w:r>
      <w:r>
        <w:t xml:space="preserve"> </w:t>
      </w:r>
      <w:r w:rsidR="00E265B5" w:rsidRPr="00E265B5">
        <w:rPr>
          <w:i/>
          <w:sz w:val="20"/>
        </w:rPr>
        <w:t>See Media Bureau Announces Availability of the Revised FCC Form 318 and the Filing Procedures for October 15 – October 29, 2013 Low Power FM Filing Window</w:t>
      </w:r>
      <w:r w:rsidR="00E265B5">
        <w:rPr>
          <w:sz w:val="20"/>
        </w:rPr>
        <w:t>, Public Notice,</w:t>
      </w:r>
      <w:r w:rsidR="00735B95">
        <w:rPr>
          <w:sz w:val="20"/>
        </w:rPr>
        <w:t xml:space="preserve"> 28 FCC Rcd 8854 (MB 2013).</w:t>
      </w:r>
      <w:r w:rsidR="00E265B5">
        <w:rPr>
          <w:sz w:val="20"/>
        </w:rPr>
        <w:t xml:space="preserve"> </w:t>
      </w:r>
    </w:p>
  </w:footnote>
  <w:footnote w:id="13">
    <w:p w:rsidR="009C7950" w:rsidRDefault="009C7950">
      <w:pPr>
        <w:pStyle w:val="FootnoteText"/>
      </w:pPr>
      <w:r>
        <w:rPr>
          <w:rStyle w:val="FootnoteReference"/>
        </w:rPr>
        <w:footnoteRef/>
      </w:r>
      <w:r>
        <w:t xml:space="preserve"> </w:t>
      </w:r>
      <w:r w:rsidR="00B60208" w:rsidRPr="00B60208">
        <w:rPr>
          <w:sz w:val="20"/>
        </w:rPr>
        <w:t>47 C.F.R.</w:t>
      </w:r>
      <w:r w:rsidR="00B60208">
        <w:rPr>
          <w:sz w:val="20"/>
        </w:rPr>
        <w:t xml:space="preserve"> </w:t>
      </w:r>
      <w:r w:rsidRPr="00B446F9">
        <w:rPr>
          <w:sz w:val="20"/>
        </w:rPr>
        <w:t>§ 74.1233</w:t>
      </w:r>
      <w:r>
        <w:rPr>
          <w:sz w:val="20"/>
        </w:rPr>
        <w:t>(a)</w:t>
      </w:r>
      <w:r w:rsidRPr="00B446F9">
        <w:rPr>
          <w:sz w:val="20"/>
        </w:rPr>
        <w:t>.</w:t>
      </w:r>
    </w:p>
  </w:footnote>
  <w:footnote w:id="14">
    <w:p w:rsidR="00764B6B" w:rsidRDefault="00764B6B" w:rsidP="00764B6B">
      <w:pPr>
        <w:pStyle w:val="FootnoteText"/>
      </w:pPr>
      <w:r w:rsidRPr="00B446F9">
        <w:rPr>
          <w:rStyle w:val="FootnoteReference"/>
          <w:sz w:val="20"/>
        </w:rPr>
        <w:footnoteRef/>
      </w:r>
      <w:r w:rsidRPr="00B446F9">
        <w:rPr>
          <w:sz w:val="20"/>
        </w:rPr>
        <w:t xml:space="preserve"> </w:t>
      </w:r>
      <w:r w:rsidR="009C7950" w:rsidRPr="009C7950">
        <w:rPr>
          <w:i/>
          <w:sz w:val="20"/>
        </w:rPr>
        <w:t xml:space="preserve"> </w:t>
      </w:r>
      <w:r w:rsidR="009C7950" w:rsidRPr="00BA176C">
        <w:rPr>
          <w:i/>
          <w:sz w:val="20"/>
        </w:rPr>
        <w:t xml:space="preserve">See </w:t>
      </w:r>
      <w:r w:rsidR="009C7950" w:rsidRPr="00A76DB8">
        <w:rPr>
          <w:i/>
          <w:sz w:val="20"/>
        </w:rPr>
        <w:t xml:space="preserve">Broadcast </w:t>
      </w:r>
      <w:r w:rsidR="009C7950" w:rsidRPr="00564986">
        <w:rPr>
          <w:i/>
          <w:sz w:val="20"/>
        </w:rPr>
        <w:t>Auction</w:t>
      </w:r>
      <w:r w:rsidR="009C7950" w:rsidRPr="00A76DB8">
        <w:rPr>
          <w:i/>
          <w:sz w:val="20"/>
        </w:rPr>
        <w:t xml:space="preserve"> First Report and Order</w:t>
      </w:r>
      <w:r w:rsidR="009C7950" w:rsidRPr="00BA176C">
        <w:rPr>
          <w:i/>
          <w:sz w:val="20"/>
        </w:rPr>
        <w:t>,</w:t>
      </w:r>
      <w:r w:rsidR="009C7950" w:rsidRPr="00BA176C">
        <w:rPr>
          <w:sz w:val="20"/>
        </w:rPr>
        <w:t xml:space="preserve"> 13 FCC Rcd at 15991.</w:t>
      </w:r>
      <w:r w:rsidR="00C76E42">
        <w:t xml:space="preserve"> </w:t>
      </w:r>
    </w:p>
  </w:footnote>
  <w:footnote w:id="15">
    <w:p w:rsidR="00764B6B" w:rsidRPr="00BA176C" w:rsidRDefault="00764B6B" w:rsidP="00C76E42">
      <w:pPr>
        <w:pStyle w:val="FootnoteText"/>
        <w:rPr>
          <w:sz w:val="20"/>
        </w:rPr>
      </w:pPr>
      <w:r w:rsidRPr="00BA176C">
        <w:rPr>
          <w:rStyle w:val="FootnoteReference"/>
          <w:sz w:val="20"/>
        </w:rPr>
        <w:footnoteRef/>
      </w:r>
      <w:r w:rsidRPr="00BA176C">
        <w:rPr>
          <w:sz w:val="20"/>
        </w:rPr>
        <w:t xml:space="preserve">  </w:t>
      </w:r>
      <w:r w:rsidRPr="00BA176C">
        <w:rPr>
          <w:i/>
          <w:sz w:val="20"/>
        </w:rPr>
        <w:t>See</w:t>
      </w:r>
      <w:r w:rsidRPr="00BA176C">
        <w:rPr>
          <w:sz w:val="20"/>
        </w:rPr>
        <w:t xml:space="preserve"> 47 C.F.R. §§ 73.5005, 74.1233(d).  </w:t>
      </w:r>
    </w:p>
  </w:footnote>
  <w:footnote w:id="16">
    <w:p w:rsidR="004C6410" w:rsidRPr="00B446F9" w:rsidRDefault="004C6410">
      <w:pPr>
        <w:pStyle w:val="FootnoteText"/>
        <w:rPr>
          <w:sz w:val="20"/>
        </w:rPr>
      </w:pPr>
      <w:r w:rsidRPr="00B446F9">
        <w:rPr>
          <w:rStyle w:val="FootnoteReference"/>
          <w:sz w:val="20"/>
        </w:rPr>
        <w:footnoteRef/>
      </w:r>
      <w:r w:rsidRPr="00B446F9">
        <w:rPr>
          <w:sz w:val="20"/>
        </w:rPr>
        <w:t xml:space="preserve">  </w:t>
      </w:r>
      <w:r w:rsidR="00CC20DC" w:rsidRPr="00B446F9">
        <w:rPr>
          <w:i/>
          <w:sz w:val="20"/>
        </w:rPr>
        <w:t>See</w:t>
      </w:r>
      <w:r w:rsidR="00CC20DC" w:rsidRPr="00B446F9">
        <w:rPr>
          <w:sz w:val="20"/>
        </w:rPr>
        <w:t xml:space="preserve"> </w:t>
      </w:r>
      <w:r w:rsidR="00CC20DC">
        <w:rPr>
          <w:i/>
          <w:sz w:val="20"/>
        </w:rPr>
        <w:t>47</w:t>
      </w:r>
      <w:r w:rsidR="00B60208" w:rsidRPr="00B60208">
        <w:rPr>
          <w:sz w:val="20"/>
        </w:rPr>
        <w:t xml:space="preserve"> C.F.R.</w:t>
      </w:r>
      <w:r w:rsidR="00B60208">
        <w:rPr>
          <w:sz w:val="20"/>
        </w:rPr>
        <w:t xml:space="preserve"> </w:t>
      </w:r>
      <w:r w:rsidRPr="00B446F9">
        <w:rPr>
          <w:sz w:val="20"/>
        </w:rPr>
        <w:t>§§ 73.5006(b), 74.1233(d)(4).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E9" w:rsidRDefault="001A6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E9" w:rsidRDefault="001A6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E949E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CE10009" wp14:editId="2ECB1357">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926F6B">
      <w:rPr>
        <w:rFonts w:ascii="News Gothic MT" w:hAnsi="News Gothic MT"/>
        <w:b/>
        <w:noProof/>
        <w:sz w:val="24"/>
      </w:rPr>
      <mc:AlternateContent>
        <mc:Choice Requires="wps">
          <w:drawing>
            <wp:anchor distT="0" distB="0" distL="114300" distR="114300" simplePos="0" relativeHeight="251656192" behindDoc="0" locked="0" layoutInCell="0" allowOverlap="1" wp14:anchorId="3FB1C1AE" wp14:editId="215FF838">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v:textbox>
            </v:shape>
          </w:pict>
        </mc:Fallback>
      </mc:AlternateContent>
    </w:r>
    <w:r w:rsidR="00ED40DB">
      <w:rPr>
        <w:rFonts w:ascii="News Gothic MT" w:hAnsi="News Gothic MT"/>
        <w:b/>
        <w:kern w:val="28"/>
        <w:sz w:val="96"/>
      </w:rPr>
      <w:t>PUBLIC NOTICE</w:t>
    </w:r>
  </w:p>
  <w:p w:rsidR="00A4773F" w:rsidRDefault="00926F6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9C2452C" wp14:editId="2CE4981B">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8AC05AB" wp14:editId="5A62645C">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v:textbox>
            </v:shape>
          </w:pict>
        </mc:Fallback>
      </mc:AlternateContent>
    </w:r>
  </w:p>
  <w:p w:rsidR="00A4773F" w:rsidRDefault="00A4773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DA2"/>
    <w:multiLevelType w:val="hybridMultilevel"/>
    <w:tmpl w:val="4CB09436"/>
    <w:lvl w:ilvl="0" w:tplc="BDAA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56C24"/>
    <w:multiLevelType w:val="hybridMultilevel"/>
    <w:tmpl w:val="C1AA146C"/>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nsid w:val="2589334B"/>
    <w:multiLevelType w:val="hybridMultilevel"/>
    <w:tmpl w:val="4A786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6A7579C"/>
    <w:multiLevelType w:val="hybridMultilevel"/>
    <w:tmpl w:val="7476653A"/>
    <w:lvl w:ilvl="0" w:tplc="8C2E5A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A15517C"/>
    <w:multiLevelType w:val="hybridMultilevel"/>
    <w:tmpl w:val="7A32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4"/>
  </w:num>
  <w:num w:numId="14">
    <w:abstractNumId w:val="2"/>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E3"/>
    <w:rsid w:val="00001AD1"/>
    <w:rsid w:val="000026AF"/>
    <w:rsid w:val="000111DB"/>
    <w:rsid w:val="00011710"/>
    <w:rsid w:val="00016E94"/>
    <w:rsid w:val="00016F8B"/>
    <w:rsid w:val="00033E76"/>
    <w:rsid w:val="000346F3"/>
    <w:rsid w:val="00034AA1"/>
    <w:rsid w:val="00042CDD"/>
    <w:rsid w:val="00046E6C"/>
    <w:rsid w:val="000620D1"/>
    <w:rsid w:val="00066C2F"/>
    <w:rsid w:val="00082683"/>
    <w:rsid w:val="00092390"/>
    <w:rsid w:val="000A02D3"/>
    <w:rsid w:val="000C2417"/>
    <w:rsid w:val="000C2DB4"/>
    <w:rsid w:val="000C6650"/>
    <w:rsid w:val="000E3902"/>
    <w:rsid w:val="000E6C87"/>
    <w:rsid w:val="000F272A"/>
    <w:rsid w:val="0010320F"/>
    <w:rsid w:val="001125F9"/>
    <w:rsid w:val="00117042"/>
    <w:rsid w:val="00120099"/>
    <w:rsid w:val="00122D9D"/>
    <w:rsid w:val="0012356F"/>
    <w:rsid w:val="00126A40"/>
    <w:rsid w:val="00141909"/>
    <w:rsid w:val="00146453"/>
    <w:rsid w:val="00157A80"/>
    <w:rsid w:val="00180B14"/>
    <w:rsid w:val="0018160D"/>
    <w:rsid w:val="001922A9"/>
    <w:rsid w:val="0019303C"/>
    <w:rsid w:val="001A0B0F"/>
    <w:rsid w:val="001A318B"/>
    <w:rsid w:val="001A6CE9"/>
    <w:rsid w:val="001D184F"/>
    <w:rsid w:val="001D33EF"/>
    <w:rsid w:val="001D58B2"/>
    <w:rsid w:val="001E558D"/>
    <w:rsid w:val="001E55C1"/>
    <w:rsid w:val="001E64B7"/>
    <w:rsid w:val="001F6FC8"/>
    <w:rsid w:val="00222F7F"/>
    <w:rsid w:val="00234D85"/>
    <w:rsid w:val="00252075"/>
    <w:rsid w:val="00253B51"/>
    <w:rsid w:val="002600B5"/>
    <w:rsid w:val="00273BCA"/>
    <w:rsid w:val="0027697F"/>
    <w:rsid w:val="00282BB0"/>
    <w:rsid w:val="00294026"/>
    <w:rsid w:val="00295CAD"/>
    <w:rsid w:val="002960B9"/>
    <w:rsid w:val="002A0D95"/>
    <w:rsid w:val="002B24F8"/>
    <w:rsid w:val="002B2C50"/>
    <w:rsid w:val="002B4152"/>
    <w:rsid w:val="002B50ED"/>
    <w:rsid w:val="002B5BB2"/>
    <w:rsid w:val="002B7DF4"/>
    <w:rsid w:val="002D09E8"/>
    <w:rsid w:val="002E6FA1"/>
    <w:rsid w:val="002F0DA3"/>
    <w:rsid w:val="002F1F13"/>
    <w:rsid w:val="002F328B"/>
    <w:rsid w:val="00302929"/>
    <w:rsid w:val="0030292B"/>
    <w:rsid w:val="00320BB5"/>
    <w:rsid w:val="00334D94"/>
    <w:rsid w:val="003416FA"/>
    <w:rsid w:val="00350F97"/>
    <w:rsid w:val="00362C04"/>
    <w:rsid w:val="00372B83"/>
    <w:rsid w:val="003740C1"/>
    <w:rsid w:val="00374293"/>
    <w:rsid w:val="00381EFC"/>
    <w:rsid w:val="0039049F"/>
    <w:rsid w:val="00390800"/>
    <w:rsid w:val="003B6C40"/>
    <w:rsid w:val="003B7039"/>
    <w:rsid w:val="003D3C24"/>
    <w:rsid w:val="00407ABB"/>
    <w:rsid w:val="00410FF1"/>
    <w:rsid w:val="00424449"/>
    <w:rsid w:val="0042623C"/>
    <w:rsid w:val="0047435C"/>
    <w:rsid w:val="00482B42"/>
    <w:rsid w:val="004847DB"/>
    <w:rsid w:val="00490F0F"/>
    <w:rsid w:val="004917A2"/>
    <w:rsid w:val="00494DD5"/>
    <w:rsid w:val="00495F6C"/>
    <w:rsid w:val="004A1FFA"/>
    <w:rsid w:val="004B171D"/>
    <w:rsid w:val="004C1BB2"/>
    <w:rsid w:val="004C4A72"/>
    <w:rsid w:val="004C6410"/>
    <w:rsid w:val="004E081E"/>
    <w:rsid w:val="004E37E2"/>
    <w:rsid w:val="005007AF"/>
    <w:rsid w:val="00505B9D"/>
    <w:rsid w:val="005065D4"/>
    <w:rsid w:val="0051481B"/>
    <w:rsid w:val="00514EEC"/>
    <w:rsid w:val="005154A9"/>
    <w:rsid w:val="00517D1D"/>
    <w:rsid w:val="00545771"/>
    <w:rsid w:val="00545AEB"/>
    <w:rsid w:val="005514C5"/>
    <w:rsid w:val="0056139C"/>
    <w:rsid w:val="00564986"/>
    <w:rsid w:val="00567C33"/>
    <w:rsid w:val="00581C83"/>
    <w:rsid w:val="005855A4"/>
    <w:rsid w:val="00586915"/>
    <w:rsid w:val="00590801"/>
    <w:rsid w:val="0059123B"/>
    <w:rsid w:val="005A0BAB"/>
    <w:rsid w:val="005B7337"/>
    <w:rsid w:val="005C08F2"/>
    <w:rsid w:val="005C286E"/>
    <w:rsid w:val="005D3E9B"/>
    <w:rsid w:val="005E29A5"/>
    <w:rsid w:val="005E4E7F"/>
    <w:rsid w:val="005E562A"/>
    <w:rsid w:val="00604B08"/>
    <w:rsid w:val="00610461"/>
    <w:rsid w:val="00610C1B"/>
    <w:rsid w:val="006249EC"/>
    <w:rsid w:val="00625A6F"/>
    <w:rsid w:val="006357A0"/>
    <w:rsid w:val="00636AE8"/>
    <w:rsid w:val="006375A6"/>
    <w:rsid w:val="00640062"/>
    <w:rsid w:val="00652FB5"/>
    <w:rsid w:val="00653650"/>
    <w:rsid w:val="00660530"/>
    <w:rsid w:val="00663013"/>
    <w:rsid w:val="006637A3"/>
    <w:rsid w:val="00664E6D"/>
    <w:rsid w:val="00671EB0"/>
    <w:rsid w:val="00675918"/>
    <w:rsid w:val="006876FF"/>
    <w:rsid w:val="00687A38"/>
    <w:rsid w:val="006966ED"/>
    <w:rsid w:val="006A00C5"/>
    <w:rsid w:val="006A0F66"/>
    <w:rsid w:val="006B4555"/>
    <w:rsid w:val="006C594F"/>
    <w:rsid w:val="006C5C6E"/>
    <w:rsid w:val="006D0634"/>
    <w:rsid w:val="006D0BE6"/>
    <w:rsid w:val="006D3929"/>
    <w:rsid w:val="006D739F"/>
    <w:rsid w:val="006F02C4"/>
    <w:rsid w:val="00700148"/>
    <w:rsid w:val="00702914"/>
    <w:rsid w:val="00703957"/>
    <w:rsid w:val="0071000B"/>
    <w:rsid w:val="00712F98"/>
    <w:rsid w:val="00713F78"/>
    <w:rsid w:val="007140E2"/>
    <w:rsid w:val="007159B0"/>
    <w:rsid w:val="00725C8A"/>
    <w:rsid w:val="00727BE9"/>
    <w:rsid w:val="00733028"/>
    <w:rsid w:val="00735B95"/>
    <w:rsid w:val="007364D6"/>
    <w:rsid w:val="00764B6B"/>
    <w:rsid w:val="00766A0F"/>
    <w:rsid w:val="007754F9"/>
    <w:rsid w:val="00775E54"/>
    <w:rsid w:val="0077661C"/>
    <w:rsid w:val="0077705B"/>
    <w:rsid w:val="00791716"/>
    <w:rsid w:val="007A1D13"/>
    <w:rsid w:val="007A3C0A"/>
    <w:rsid w:val="007A7C51"/>
    <w:rsid w:val="007C30C6"/>
    <w:rsid w:val="007E4464"/>
    <w:rsid w:val="007E5AEA"/>
    <w:rsid w:val="007F1D29"/>
    <w:rsid w:val="007F675F"/>
    <w:rsid w:val="008037BB"/>
    <w:rsid w:val="00817AF5"/>
    <w:rsid w:val="00820D73"/>
    <w:rsid w:val="00824D77"/>
    <w:rsid w:val="008373AB"/>
    <w:rsid w:val="008458A8"/>
    <w:rsid w:val="00853A7F"/>
    <w:rsid w:val="0085590B"/>
    <w:rsid w:val="00861B5F"/>
    <w:rsid w:val="008645A1"/>
    <w:rsid w:val="00880B5D"/>
    <w:rsid w:val="008A0BC8"/>
    <w:rsid w:val="008A351F"/>
    <w:rsid w:val="008B0B3C"/>
    <w:rsid w:val="008B672C"/>
    <w:rsid w:val="008D1E53"/>
    <w:rsid w:val="008F4B46"/>
    <w:rsid w:val="00901E27"/>
    <w:rsid w:val="00905F11"/>
    <w:rsid w:val="009129EA"/>
    <w:rsid w:val="009170BA"/>
    <w:rsid w:val="009170D0"/>
    <w:rsid w:val="00922B3D"/>
    <w:rsid w:val="00926F6B"/>
    <w:rsid w:val="00937F58"/>
    <w:rsid w:val="00954C3D"/>
    <w:rsid w:val="00962369"/>
    <w:rsid w:val="0096377B"/>
    <w:rsid w:val="00964D67"/>
    <w:rsid w:val="009730F4"/>
    <w:rsid w:val="00975738"/>
    <w:rsid w:val="0097731E"/>
    <w:rsid w:val="00977F40"/>
    <w:rsid w:val="0098180E"/>
    <w:rsid w:val="00983CE6"/>
    <w:rsid w:val="00987917"/>
    <w:rsid w:val="009912F1"/>
    <w:rsid w:val="00991395"/>
    <w:rsid w:val="009B2E74"/>
    <w:rsid w:val="009C5FD3"/>
    <w:rsid w:val="009C7950"/>
    <w:rsid w:val="009D330C"/>
    <w:rsid w:val="009F4D30"/>
    <w:rsid w:val="009F53B5"/>
    <w:rsid w:val="009F6563"/>
    <w:rsid w:val="009F73E5"/>
    <w:rsid w:val="009F780D"/>
    <w:rsid w:val="00A01E58"/>
    <w:rsid w:val="00A1570F"/>
    <w:rsid w:val="00A157D9"/>
    <w:rsid w:val="00A16BB8"/>
    <w:rsid w:val="00A21415"/>
    <w:rsid w:val="00A27A1C"/>
    <w:rsid w:val="00A4059F"/>
    <w:rsid w:val="00A4773F"/>
    <w:rsid w:val="00A4780F"/>
    <w:rsid w:val="00A542FB"/>
    <w:rsid w:val="00A76DB8"/>
    <w:rsid w:val="00A7761F"/>
    <w:rsid w:val="00A77F40"/>
    <w:rsid w:val="00A925D3"/>
    <w:rsid w:val="00A9690C"/>
    <w:rsid w:val="00A9775F"/>
    <w:rsid w:val="00AA4DA9"/>
    <w:rsid w:val="00AA5089"/>
    <w:rsid w:val="00AB55D6"/>
    <w:rsid w:val="00AC1A38"/>
    <w:rsid w:val="00AD03FA"/>
    <w:rsid w:val="00AD61C0"/>
    <w:rsid w:val="00B00A2A"/>
    <w:rsid w:val="00B04A14"/>
    <w:rsid w:val="00B07FC3"/>
    <w:rsid w:val="00B10BE7"/>
    <w:rsid w:val="00B11C69"/>
    <w:rsid w:val="00B215DF"/>
    <w:rsid w:val="00B27B9D"/>
    <w:rsid w:val="00B42608"/>
    <w:rsid w:val="00B446F9"/>
    <w:rsid w:val="00B4733B"/>
    <w:rsid w:val="00B47CBB"/>
    <w:rsid w:val="00B54D88"/>
    <w:rsid w:val="00B60208"/>
    <w:rsid w:val="00B71686"/>
    <w:rsid w:val="00B7444B"/>
    <w:rsid w:val="00B75B7F"/>
    <w:rsid w:val="00B76D47"/>
    <w:rsid w:val="00B80001"/>
    <w:rsid w:val="00B90CE7"/>
    <w:rsid w:val="00BA176C"/>
    <w:rsid w:val="00BB2760"/>
    <w:rsid w:val="00BC39D8"/>
    <w:rsid w:val="00BD1B9D"/>
    <w:rsid w:val="00BD237C"/>
    <w:rsid w:val="00BD2400"/>
    <w:rsid w:val="00BE08A7"/>
    <w:rsid w:val="00BF4AE9"/>
    <w:rsid w:val="00BF5DBA"/>
    <w:rsid w:val="00C05553"/>
    <w:rsid w:val="00C109A9"/>
    <w:rsid w:val="00C2146E"/>
    <w:rsid w:val="00C22815"/>
    <w:rsid w:val="00C22C79"/>
    <w:rsid w:val="00C512C3"/>
    <w:rsid w:val="00C543FF"/>
    <w:rsid w:val="00C55332"/>
    <w:rsid w:val="00C5680D"/>
    <w:rsid w:val="00C578DD"/>
    <w:rsid w:val="00C60C9F"/>
    <w:rsid w:val="00C71B0C"/>
    <w:rsid w:val="00C76E42"/>
    <w:rsid w:val="00C801E1"/>
    <w:rsid w:val="00C8250A"/>
    <w:rsid w:val="00C84E2E"/>
    <w:rsid w:val="00C97A3B"/>
    <w:rsid w:val="00C97B86"/>
    <w:rsid w:val="00CA00D3"/>
    <w:rsid w:val="00CA2164"/>
    <w:rsid w:val="00CA4463"/>
    <w:rsid w:val="00CB36A4"/>
    <w:rsid w:val="00CC0F30"/>
    <w:rsid w:val="00CC20DC"/>
    <w:rsid w:val="00CC2999"/>
    <w:rsid w:val="00CC614D"/>
    <w:rsid w:val="00CD115F"/>
    <w:rsid w:val="00CD66F2"/>
    <w:rsid w:val="00CE1976"/>
    <w:rsid w:val="00CE32B4"/>
    <w:rsid w:val="00CE483F"/>
    <w:rsid w:val="00CE5002"/>
    <w:rsid w:val="00CE793D"/>
    <w:rsid w:val="00CF06FD"/>
    <w:rsid w:val="00CF727E"/>
    <w:rsid w:val="00D17280"/>
    <w:rsid w:val="00D274B7"/>
    <w:rsid w:val="00D34F9D"/>
    <w:rsid w:val="00D40EE1"/>
    <w:rsid w:val="00D41177"/>
    <w:rsid w:val="00D42722"/>
    <w:rsid w:val="00D5032E"/>
    <w:rsid w:val="00D57BEC"/>
    <w:rsid w:val="00D80DA9"/>
    <w:rsid w:val="00D85874"/>
    <w:rsid w:val="00D90240"/>
    <w:rsid w:val="00D904B3"/>
    <w:rsid w:val="00D96C42"/>
    <w:rsid w:val="00DA65D8"/>
    <w:rsid w:val="00DB686C"/>
    <w:rsid w:val="00DC56F6"/>
    <w:rsid w:val="00DD177C"/>
    <w:rsid w:val="00DD25F7"/>
    <w:rsid w:val="00DF15D2"/>
    <w:rsid w:val="00DF57A2"/>
    <w:rsid w:val="00DF5CFE"/>
    <w:rsid w:val="00DF66A8"/>
    <w:rsid w:val="00DF7C92"/>
    <w:rsid w:val="00E07DBC"/>
    <w:rsid w:val="00E106E6"/>
    <w:rsid w:val="00E109E5"/>
    <w:rsid w:val="00E15D5B"/>
    <w:rsid w:val="00E22911"/>
    <w:rsid w:val="00E265B5"/>
    <w:rsid w:val="00E34240"/>
    <w:rsid w:val="00E64B9A"/>
    <w:rsid w:val="00E831B4"/>
    <w:rsid w:val="00E8471B"/>
    <w:rsid w:val="00E86027"/>
    <w:rsid w:val="00E919B3"/>
    <w:rsid w:val="00E927C8"/>
    <w:rsid w:val="00E940FA"/>
    <w:rsid w:val="00E943D2"/>
    <w:rsid w:val="00E946BC"/>
    <w:rsid w:val="00E949E3"/>
    <w:rsid w:val="00E96A90"/>
    <w:rsid w:val="00EB6D79"/>
    <w:rsid w:val="00EB72EE"/>
    <w:rsid w:val="00EB7A75"/>
    <w:rsid w:val="00EC58B1"/>
    <w:rsid w:val="00ED40DB"/>
    <w:rsid w:val="00EE0D30"/>
    <w:rsid w:val="00EE6413"/>
    <w:rsid w:val="00F104FC"/>
    <w:rsid w:val="00F10A16"/>
    <w:rsid w:val="00F123DD"/>
    <w:rsid w:val="00F1372B"/>
    <w:rsid w:val="00F206AC"/>
    <w:rsid w:val="00F22F46"/>
    <w:rsid w:val="00F316B3"/>
    <w:rsid w:val="00F34B2C"/>
    <w:rsid w:val="00F42AC0"/>
    <w:rsid w:val="00F44354"/>
    <w:rsid w:val="00F574CB"/>
    <w:rsid w:val="00F617E7"/>
    <w:rsid w:val="00F6231E"/>
    <w:rsid w:val="00F636E6"/>
    <w:rsid w:val="00F67105"/>
    <w:rsid w:val="00F74F28"/>
    <w:rsid w:val="00F754DC"/>
    <w:rsid w:val="00F815A3"/>
    <w:rsid w:val="00F8531B"/>
    <w:rsid w:val="00F854EC"/>
    <w:rsid w:val="00F86436"/>
    <w:rsid w:val="00F940BB"/>
    <w:rsid w:val="00F979BE"/>
    <w:rsid w:val="00FA2E20"/>
    <w:rsid w:val="00FA7AD0"/>
    <w:rsid w:val="00FB3797"/>
    <w:rsid w:val="00FC79E4"/>
    <w:rsid w:val="00FD62FC"/>
    <w:rsid w:val="00F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40"/>
    <w:rPr>
      <w:sz w:val="22"/>
    </w:rPr>
  </w:style>
  <w:style w:type="paragraph" w:styleId="Heading1">
    <w:name w:val="heading 1"/>
    <w:basedOn w:val="Normal"/>
    <w:next w:val="Normal"/>
    <w:qFormat/>
    <w:rsid w:val="00D9024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90240"/>
    <w:pPr>
      <w:keepNext/>
      <w:widowControl w:val="0"/>
      <w:numPr>
        <w:ilvl w:val="1"/>
        <w:numId w:val="2"/>
      </w:numPr>
      <w:spacing w:after="220"/>
      <w:jc w:val="both"/>
      <w:outlineLvl w:val="1"/>
    </w:pPr>
    <w:rPr>
      <w:b/>
    </w:rPr>
  </w:style>
  <w:style w:type="paragraph" w:styleId="Heading3">
    <w:name w:val="heading 3"/>
    <w:basedOn w:val="Normal"/>
    <w:next w:val="Normal"/>
    <w:qFormat/>
    <w:rsid w:val="00D90240"/>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240"/>
    <w:pPr>
      <w:tabs>
        <w:tab w:val="center" w:pos="4320"/>
        <w:tab w:val="right" w:pos="8640"/>
      </w:tabs>
    </w:pPr>
  </w:style>
  <w:style w:type="paragraph" w:styleId="Footer">
    <w:name w:val="footer"/>
    <w:basedOn w:val="Normal"/>
    <w:rsid w:val="00D90240"/>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D90240"/>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D90240"/>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 w:type="paragraph" w:styleId="EndnoteText">
    <w:name w:val="endnote text"/>
    <w:basedOn w:val="Normal"/>
    <w:link w:val="EndnoteTextChar"/>
    <w:rsid w:val="00975738"/>
    <w:rPr>
      <w:sz w:val="20"/>
    </w:rPr>
  </w:style>
  <w:style w:type="character" w:customStyle="1" w:styleId="EndnoteTextChar">
    <w:name w:val="Endnote Text Char"/>
    <w:basedOn w:val="DefaultParagraphFont"/>
    <w:link w:val="EndnoteText"/>
    <w:rsid w:val="00975738"/>
  </w:style>
  <w:style w:type="character" w:styleId="EndnoteReference">
    <w:name w:val="endnote reference"/>
    <w:basedOn w:val="DefaultParagraphFont"/>
    <w:rsid w:val="00975738"/>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C641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40"/>
    <w:rPr>
      <w:sz w:val="22"/>
    </w:rPr>
  </w:style>
  <w:style w:type="paragraph" w:styleId="Heading1">
    <w:name w:val="heading 1"/>
    <w:basedOn w:val="Normal"/>
    <w:next w:val="Normal"/>
    <w:qFormat/>
    <w:rsid w:val="00D9024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90240"/>
    <w:pPr>
      <w:keepNext/>
      <w:widowControl w:val="0"/>
      <w:numPr>
        <w:ilvl w:val="1"/>
        <w:numId w:val="2"/>
      </w:numPr>
      <w:spacing w:after="220"/>
      <w:jc w:val="both"/>
      <w:outlineLvl w:val="1"/>
    </w:pPr>
    <w:rPr>
      <w:b/>
    </w:rPr>
  </w:style>
  <w:style w:type="paragraph" w:styleId="Heading3">
    <w:name w:val="heading 3"/>
    <w:basedOn w:val="Normal"/>
    <w:next w:val="Normal"/>
    <w:qFormat/>
    <w:rsid w:val="00D90240"/>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240"/>
    <w:pPr>
      <w:tabs>
        <w:tab w:val="center" w:pos="4320"/>
        <w:tab w:val="right" w:pos="8640"/>
      </w:tabs>
    </w:pPr>
  </w:style>
  <w:style w:type="paragraph" w:styleId="Footer">
    <w:name w:val="footer"/>
    <w:basedOn w:val="Normal"/>
    <w:rsid w:val="00D90240"/>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D90240"/>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D90240"/>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 w:type="paragraph" w:styleId="EndnoteText">
    <w:name w:val="endnote text"/>
    <w:basedOn w:val="Normal"/>
    <w:link w:val="EndnoteTextChar"/>
    <w:rsid w:val="00975738"/>
    <w:rPr>
      <w:sz w:val="20"/>
    </w:rPr>
  </w:style>
  <w:style w:type="character" w:customStyle="1" w:styleId="EndnoteTextChar">
    <w:name w:val="Endnote Text Char"/>
    <w:basedOn w:val="DefaultParagraphFont"/>
    <w:link w:val="EndnoteText"/>
    <w:rsid w:val="00975738"/>
  </w:style>
  <w:style w:type="character" w:styleId="EndnoteReference">
    <w:name w:val="endnote reference"/>
    <w:basedOn w:val="DefaultParagraphFont"/>
    <w:rsid w:val="00975738"/>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C64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4841</Characters>
  <Application>Microsoft Office Word</Application>
  <DocSecurity>0</DocSecurity>
  <Lines>87</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2013-07-31T11:53:00Z</cp:lastPrinted>
  <dcterms:created xsi:type="dcterms:W3CDTF">2013-07-31T11:59:00Z</dcterms:created>
  <dcterms:modified xsi:type="dcterms:W3CDTF">2013-07-31T11:59:00Z</dcterms:modified>
  <cp:category> </cp:category>
  <cp:contentStatus> </cp:contentStatus>
</cp:coreProperties>
</file>