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56" w:rsidRDefault="00CB2756">
      <w:pPr>
        <w:pStyle w:val="Header"/>
        <w:tabs>
          <w:tab w:val="clear" w:pos="4320"/>
          <w:tab w:val="clear" w:pos="8640"/>
        </w:tabs>
        <w:sectPr w:rsidR="00CB2756" w:rsidSect="00D550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docGrid w:linePitch="299"/>
        </w:sectPr>
      </w:pPr>
      <w:bookmarkStart w:id="1" w:name="_GoBack"/>
      <w:bookmarkEnd w:id="1"/>
    </w:p>
    <w:p w:rsidR="00CB2756" w:rsidRPr="009C16F5" w:rsidRDefault="00EA4C5E">
      <w:pPr>
        <w:jc w:val="right"/>
        <w:rPr>
          <w:b/>
          <w:szCs w:val="22"/>
        </w:rPr>
      </w:pPr>
      <w:r w:rsidRPr="009C16F5">
        <w:rPr>
          <w:b/>
          <w:szCs w:val="22"/>
        </w:rPr>
        <w:lastRenderedPageBreak/>
        <w:t>DA 13-1717</w:t>
      </w:r>
    </w:p>
    <w:p w:rsidR="00CB2756" w:rsidRPr="009C16F5" w:rsidRDefault="00EA4C5E">
      <w:pPr>
        <w:spacing w:before="60"/>
        <w:jc w:val="right"/>
        <w:rPr>
          <w:b/>
          <w:szCs w:val="22"/>
        </w:rPr>
      </w:pPr>
      <w:r w:rsidRPr="009C16F5">
        <w:rPr>
          <w:b/>
          <w:szCs w:val="22"/>
        </w:rPr>
        <w:t>August 7, 2013</w:t>
      </w:r>
    </w:p>
    <w:p w:rsidR="00CB2756" w:rsidRPr="009C16F5" w:rsidRDefault="00CB2756">
      <w:pPr>
        <w:jc w:val="right"/>
        <w:rPr>
          <w:szCs w:val="22"/>
        </w:rPr>
      </w:pPr>
    </w:p>
    <w:p w:rsidR="00CB2756" w:rsidRPr="009C16F5" w:rsidRDefault="00EA4C5E">
      <w:pPr>
        <w:spacing w:after="240"/>
        <w:jc w:val="center"/>
        <w:rPr>
          <w:b/>
          <w:szCs w:val="22"/>
        </w:rPr>
      </w:pPr>
      <w:r w:rsidRPr="009C16F5">
        <w:rPr>
          <w:b/>
          <w:szCs w:val="22"/>
        </w:rPr>
        <w:t xml:space="preserve">COMMENTS SOUGHT ON LIGHTSQUARED SUBSIDIARY LLC </w:t>
      </w:r>
      <w:r w:rsidRPr="009C16F5">
        <w:rPr>
          <w:b/>
          <w:i/>
          <w:szCs w:val="22"/>
        </w:rPr>
        <w:t xml:space="preserve">EX PARTE </w:t>
      </w:r>
      <w:r w:rsidRPr="009C16F5">
        <w:rPr>
          <w:b/>
          <w:szCs w:val="22"/>
        </w:rPr>
        <w:t>FILING</w:t>
      </w:r>
    </w:p>
    <w:p w:rsidR="00CB2756" w:rsidRPr="009C16F5" w:rsidRDefault="00EA4C5E" w:rsidP="00EA4C5E">
      <w:pPr>
        <w:jc w:val="center"/>
        <w:rPr>
          <w:b/>
          <w:szCs w:val="22"/>
        </w:rPr>
      </w:pPr>
      <w:r w:rsidRPr="009C16F5">
        <w:rPr>
          <w:b/>
          <w:szCs w:val="22"/>
        </w:rPr>
        <w:t>IB Docket Nos. 12-340, 11-109; IBFS File Nos. SAT-MOD-20120928-00160,-00161; SAT-MOD-20101118-00239; SES-MOD-20121001-00872; RM-11681; WT Docket No. 12-327</w:t>
      </w:r>
    </w:p>
    <w:p w:rsidR="00EA4C5E" w:rsidRPr="009C16F5" w:rsidRDefault="00EA4C5E" w:rsidP="007F4793">
      <w:pPr>
        <w:rPr>
          <w:szCs w:val="22"/>
        </w:rPr>
      </w:pPr>
    </w:p>
    <w:p w:rsidR="00CB2756" w:rsidRPr="009C16F5" w:rsidRDefault="00D07F38" w:rsidP="00EA4C5E">
      <w:pPr>
        <w:rPr>
          <w:b/>
          <w:szCs w:val="22"/>
        </w:rPr>
      </w:pPr>
      <w:r w:rsidRPr="009C16F5">
        <w:rPr>
          <w:b/>
          <w:szCs w:val="22"/>
        </w:rPr>
        <w:t xml:space="preserve">Report No. </w:t>
      </w:r>
      <w:r w:rsidR="00636608" w:rsidRPr="009C16F5">
        <w:rPr>
          <w:b/>
          <w:szCs w:val="22"/>
        </w:rPr>
        <w:t>SPB-</w:t>
      </w:r>
      <w:r w:rsidR="003E7BDF" w:rsidRPr="009C16F5">
        <w:rPr>
          <w:b/>
          <w:szCs w:val="22"/>
        </w:rPr>
        <w:t>253</w:t>
      </w:r>
    </w:p>
    <w:p w:rsidR="00EA4C5E" w:rsidRPr="009C16F5" w:rsidRDefault="00EA4C5E" w:rsidP="00EA4C5E">
      <w:pPr>
        <w:rPr>
          <w:b/>
          <w:szCs w:val="22"/>
        </w:rPr>
      </w:pPr>
    </w:p>
    <w:p w:rsidR="00EA4C5E" w:rsidRPr="009C16F5" w:rsidRDefault="00302FD4" w:rsidP="00EA4C5E">
      <w:pPr>
        <w:rPr>
          <w:b/>
          <w:szCs w:val="22"/>
        </w:rPr>
      </w:pPr>
      <w:r w:rsidRPr="009C16F5">
        <w:rPr>
          <w:b/>
          <w:szCs w:val="22"/>
        </w:rPr>
        <w:t>Comment Date</w:t>
      </w:r>
      <w:r w:rsidR="00EA4C5E" w:rsidRPr="009C16F5">
        <w:rPr>
          <w:b/>
          <w:szCs w:val="22"/>
        </w:rPr>
        <w:t>: September 6, 2013</w:t>
      </w:r>
    </w:p>
    <w:p w:rsidR="00EA4C5E" w:rsidRPr="009C16F5" w:rsidRDefault="00EA4C5E" w:rsidP="00EA4C5E">
      <w:pPr>
        <w:rPr>
          <w:b/>
          <w:szCs w:val="22"/>
        </w:rPr>
      </w:pPr>
      <w:r w:rsidRPr="009C16F5">
        <w:rPr>
          <w:b/>
          <w:szCs w:val="22"/>
        </w:rPr>
        <w:t xml:space="preserve">Reply </w:t>
      </w:r>
      <w:r w:rsidR="00302FD4" w:rsidRPr="009C16F5">
        <w:rPr>
          <w:b/>
          <w:szCs w:val="22"/>
        </w:rPr>
        <w:t>Comment Date</w:t>
      </w:r>
      <w:r w:rsidRPr="009C16F5">
        <w:rPr>
          <w:b/>
          <w:szCs w:val="22"/>
        </w:rPr>
        <w:t>: September 23, 2013</w:t>
      </w:r>
    </w:p>
    <w:p w:rsidR="00EA4C5E" w:rsidRPr="009C16F5" w:rsidRDefault="00EA4C5E" w:rsidP="00EA4C5E">
      <w:pPr>
        <w:rPr>
          <w:b/>
          <w:szCs w:val="22"/>
        </w:rPr>
      </w:pPr>
    </w:p>
    <w:p w:rsidR="00EA4C5E" w:rsidRPr="009C16F5" w:rsidRDefault="00EA4C5E" w:rsidP="00EA4C5E">
      <w:pPr>
        <w:rPr>
          <w:szCs w:val="22"/>
        </w:rPr>
      </w:pPr>
      <w:r w:rsidRPr="009C16F5">
        <w:rPr>
          <w:szCs w:val="22"/>
        </w:rPr>
        <w:t xml:space="preserve">On July 15, 2013, LightSquared Subsidiary LLC (LightSquared) filed an </w:t>
      </w:r>
      <w:r w:rsidRPr="009C16F5">
        <w:rPr>
          <w:i/>
          <w:szCs w:val="22"/>
        </w:rPr>
        <w:t xml:space="preserve">ex parte </w:t>
      </w:r>
      <w:r w:rsidRPr="009C16F5">
        <w:rPr>
          <w:szCs w:val="22"/>
        </w:rPr>
        <w:t>presentation in these proceedings that is related solely to terrestrial handsets (and does not address the technical matters associated with terrestrial base stations).</w:t>
      </w:r>
      <w:r w:rsidRPr="009C16F5">
        <w:rPr>
          <w:szCs w:val="22"/>
          <w:vertAlign w:val="superscript"/>
        </w:rPr>
        <w:footnoteReference w:id="1"/>
      </w:r>
      <w:r w:rsidRPr="009C16F5">
        <w:rPr>
          <w:szCs w:val="22"/>
        </w:rPr>
        <w:t xml:space="preserve">  Specifically, the report provides an “overview of the assessments” concerning the potential operations of LightSquared’s terrestrial wireless handsets in the 1626.5-1660.5 MHz Mobile Satellite Service (MSS) uplink portion of the L-band.</w:t>
      </w:r>
      <w:r w:rsidRPr="009C16F5">
        <w:rPr>
          <w:szCs w:val="22"/>
          <w:vertAlign w:val="superscript"/>
        </w:rPr>
        <w:footnoteReference w:id="2"/>
      </w:r>
      <w:r w:rsidRPr="009C16F5">
        <w:rPr>
          <w:szCs w:val="22"/>
        </w:rPr>
        <w:t xml:space="preserve">  In particular, the report provides technical analyses of the potential interaction of LightSquared terrestrial wireless devices with GPS devices used for general location/navigation, high precision and aviation services.</w:t>
      </w:r>
      <w:r w:rsidRPr="009C16F5">
        <w:rPr>
          <w:szCs w:val="22"/>
          <w:vertAlign w:val="superscript"/>
        </w:rPr>
        <w:footnoteReference w:id="3"/>
      </w:r>
      <w:r w:rsidRPr="009C16F5">
        <w:rPr>
          <w:szCs w:val="22"/>
        </w:rPr>
        <w:t xml:space="preserve">  LightSquared states that the presentation includes a focused response to questions raised by several government agencies.</w:t>
      </w:r>
      <w:r w:rsidRPr="009C16F5">
        <w:rPr>
          <w:szCs w:val="22"/>
          <w:vertAlign w:val="superscript"/>
        </w:rPr>
        <w:footnoteReference w:id="4"/>
      </w:r>
      <w:r w:rsidRPr="009C16F5">
        <w:rPr>
          <w:szCs w:val="22"/>
        </w:rPr>
        <w:t xml:space="preserve">  LightSquared concludes that the presentation provides validation to its proposed plan for proceeding with the modified deployment of its terrestrial network.</w:t>
      </w:r>
      <w:r w:rsidRPr="009C16F5">
        <w:rPr>
          <w:szCs w:val="22"/>
          <w:vertAlign w:val="superscript"/>
        </w:rPr>
        <w:footnoteReference w:id="5"/>
      </w:r>
      <w:r w:rsidRPr="009C16F5">
        <w:rPr>
          <w:szCs w:val="22"/>
        </w:rPr>
        <w:t xml:space="preserve">  We seek comment on the </w:t>
      </w:r>
      <w:r w:rsidRPr="009C16F5">
        <w:rPr>
          <w:i/>
          <w:szCs w:val="22"/>
        </w:rPr>
        <w:t>July 15, 2013 Presentation</w:t>
      </w:r>
      <w:r w:rsidRPr="009C16F5">
        <w:rPr>
          <w:szCs w:val="22"/>
        </w:rPr>
        <w:t xml:space="preserve">, including its analyses, assessments, and its conclusions.  </w:t>
      </w:r>
    </w:p>
    <w:p w:rsidR="00EA4C5E" w:rsidRDefault="00EA4C5E" w:rsidP="00EA4C5E">
      <w:pPr>
        <w:rPr>
          <w:b/>
          <w:szCs w:val="22"/>
        </w:rPr>
      </w:pPr>
    </w:p>
    <w:p w:rsidR="009C16F5" w:rsidRPr="009C16F5" w:rsidRDefault="009C16F5" w:rsidP="00EA4C5E">
      <w:pPr>
        <w:rPr>
          <w:b/>
          <w:szCs w:val="22"/>
        </w:rPr>
      </w:pPr>
    </w:p>
    <w:p w:rsidR="00EA4C5E" w:rsidRPr="009C16F5" w:rsidRDefault="00EA4C5E" w:rsidP="00EA4C5E">
      <w:pPr>
        <w:rPr>
          <w:b/>
          <w:szCs w:val="22"/>
        </w:rPr>
      </w:pPr>
      <w:r w:rsidRPr="009C16F5">
        <w:rPr>
          <w:b/>
          <w:szCs w:val="22"/>
        </w:rPr>
        <w:lastRenderedPageBreak/>
        <w:t>PROCEDURAL MATTERS</w:t>
      </w:r>
    </w:p>
    <w:p w:rsidR="000341BA" w:rsidRPr="009C16F5" w:rsidRDefault="000341BA" w:rsidP="00EA4C5E">
      <w:pPr>
        <w:rPr>
          <w:szCs w:val="22"/>
        </w:rPr>
      </w:pPr>
    </w:p>
    <w:p w:rsidR="00EA4C5E" w:rsidRPr="009C16F5" w:rsidRDefault="00EA4C5E" w:rsidP="00EA4C5E">
      <w:pPr>
        <w:rPr>
          <w:szCs w:val="22"/>
        </w:rPr>
      </w:pPr>
      <w:r w:rsidRPr="009C16F5">
        <w:rPr>
          <w:szCs w:val="22"/>
        </w:rPr>
        <w:t xml:space="preserve">These proceedings, with the exception of RM-11681, shall be treated as “permit-but-disclose” proceedings in accordance with the Commission’s </w:t>
      </w:r>
      <w:r w:rsidRPr="009C16F5">
        <w:rPr>
          <w:i/>
          <w:iCs/>
          <w:szCs w:val="22"/>
        </w:rPr>
        <w:t xml:space="preserve">ex parte </w:t>
      </w:r>
      <w:r w:rsidRPr="009C16F5">
        <w:rPr>
          <w:szCs w:val="22"/>
        </w:rPr>
        <w:t>rules.</w:t>
      </w:r>
      <w:r w:rsidRPr="009C16F5">
        <w:rPr>
          <w:szCs w:val="22"/>
          <w:vertAlign w:val="superscript"/>
        </w:rPr>
        <w:footnoteReference w:id="6"/>
      </w:r>
      <w:r w:rsidRPr="009C16F5">
        <w:rPr>
          <w:szCs w:val="22"/>
        </w:rPr>
        <w:t xml:space="preserve">  Persons making </w:t>
      </w:r>
      <w:r w:rsidRPr="009C16F5">
        <w:rPr>
          <w:i/>
          <w:szCs w:val="22"/>
        </w:rPr>
        <w:t xml:space="preserve">ex parte </w:t>
      </w:r>
      <w:r w:rsidRPr="009C16F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C16F5">
        <w:rPr>
          <w:i/>
          <w:iCs/>
          <w:szCs w:val="22"/>
        </w:rPr>
        <w:t xml:space="preserve">ex parte </w:t>
      </w:r>
      <w:r w:rsidRPr="009C16F5">
        <w:rPr>
          <w:szCs w:val="22"/>
        </w:rPr>
        <w:t xml:space="preserve">presentations are reminded that memoranda summarizing the presentation must (1) list all persons attending or otherwise participating in the meeting at which the </w:t>
      </w:r>
      <w:r w:rsidRPr="009C16F5">
        <w:rPr>
          <w:i/>
          <w:iCs/>
          <w:szCs w:val="22"/>
        </w:rPr>
        <w:t xml:space="preserve">ex parte </w:t>
      </w:r>
      <w:r w:rsidRPr="009C16F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proceedings,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C16F5">
        <w:rPr>
          <w:i/>
          <w:iCs/>
          <w:szCs w:val="22"/>
        </w:rPr>
        <w:t xml:space="preserve">ex parte </w:t>
      </w:r>
      <w:r w:rsidRPr="009C16F5">
        <w:rPr>
          <w:szCs w:val="22"/>
        </w:rPr>
        <w:t xml:space="preserve">meetings are deemed to be written </w:t>
      </w:r>
      <w:r w:rsidRPr="009C16F5">
        <w:rPr>
          <w:i/>
          <w:iCs/>
          <w:szCs w:val="22"/>
        </w:rPr>
        <w:t>ex parte</w:t>
      </w:r>
      <w:r w:rsidRPr="009C16F5">
        <w:rPr>
          <w:szCs w:val="22"/>
        </w:rPr>
        <w:t xml:space="preserve"> presentations and must be filed consistent with rule 1.1206(b).  In proceedings governed by rule 1.49(f) or for which the Commission has made available a method of electronic filing, written </w:t>
      </w:r>
      <w:r w:rsidRPr="009C16F5">
        <w:rPr>
          <w:i/>
          <w:iCs/>
          <w:szCs w:val="22"/>
        </w:rPr>
        <w:t xml:space="preserve">ex parte </w:t>
      </w:r>
      <w:r w:rsidRPr="009C16F5">
        <w:rPr>
          <w:szCs w:val="22"/>
        </w:rPr>
        <w:t xml:space="preserve">presentations and memoranda summarizing oral </w:t>
      </w:r>
      <w:r w:rsidRPr="009C16F5">
        <w:rPr>
          <w:i/>
          <w:iCs/>
          <w:szCs w:val="22"/>
        </w:rPr>
        <w:t xml:space="preserve">ex parte </w:t>
      </w:r>
      <w:r w:rsidRPr="009C16F5">
        <w:rPr>
          <w:szCs w:val="22"/>
        </w:rPr>
        <w:t>presentations, and all attachments thereto, must be filed through the electronic comment filing system available for that proceeding, and must be filed in their native format (</w:t>
      </w:r>
      <w:r w:rsidRPr="009C16F5">
        <w:rPr>
          <w:i/>
          <w:iCs/>
          <w:szCs w:val="22"/>
        </w:rPr>
        <w:t>e.g.</w:t>
      </w:r>
      <w:r w:rsidRPr="009C16F5">
        <w:rPr>
          <w:szCs w:val="22"/>
        </w:rPr>
        <w:t xml:space="preserve">, .doc, .xml, .ppt, searchable .pdf).  Participants in these proceedings should familiarize themselves with the Commission’s </w:t>
      </w:r>
      <w:r w:rsidRPr="009C16F5">
        <w:rPr>
          <w:i/>
          <w:iCs/>
          <w:szCs w:val="22"/>
        </w:rPr>
        <w:t xml:space="preserve">ex parte </w:t>
      </w:r>
      <w:r w:rsidRPr="009C16F5">
        <w:rPr>
          <w:szCs w:val="22"/>
        </w:rPr>
        <w:t>rules.</w:t>
      </w:r>
    </w:p>
    <w:p w:rsidR="00F36DC0" w:rsidRPr="009C16F5" w:rsidRDefault="00F36DC0" w:rsidP="00806E6E">
      <w:pPr>
        <w:rPr>
          <w:szCs w:val="22"/>
        </w:rPr>
      </w:pPr>
    </w:p>
    <w:p w:rsidR="006513B5" w:rsidRPr="009C16F5" w:rsidRDefault="006513B5" w:rsidP="006513B5">
      <w:pPr>
        <w:rPr>
          <w:szCs w:val="22"/>
        </w:rPr>
      </w:pPr>
      <w:r w:rsidRPr="009C16F5">
        <w:rPr>
          <w:szCs w:val="22"/>
        </w:rPr>
        <w:t>Interested parties must file comments no later than</w:t>
      </w:r>
      <w:r w:rsidRPr="009C16F5">
        <w:rPr>
          <w:b/>
          <w:szCs w:val="22"/>
        </w:rPr>
        <w:t xml:space="preserve"> September 6, 2013</w:t>
      </w:r>
      <w:r w:rsidRPr="009C16F5">
        <w:rPr>
          <w:szCs w:val="22"/>
        </w:rPr>
        <w:t>.  Replies to such pleadings must be filed no later than</w:t>
      </w:r>
      <w:r w:rsidRPr="009C16F5">
        <w:rPr>
          <w:b/>
          <w:szCs w:val="22"/>
        </w:rPr>
        <w:t xml:space="preserve"> September 23,</w:t>
      </w:r>
      <w:r w:rsidRPr="009C16F5">
        <w:rPr>
          <w:szCs w:val="22"/>
        </w:rPr>
        <w:t xml:space="preserve"> </w:t>
      </w:r>
      <w:r w:rsidRPr="009C16F5">
        <w:rPr>
          <w:b/>
          <w:szCs w:val="22"/>
        </w:rPr>
        <w:t>2013.</w:t>
      </w:r>
      <w:r w:rsidRPr="009C16F5">
        <w:rPr>
          <w:szCs w:val="22"/>
        </w:rPr>
        <w:t xml:space="preserve">  All filings concerning matters referenced in this Public Notice should refer to </w:t>
      </w:r>
      <w:r w:rsidRPr="009C16F5">
        <w:rPr>
          <w:b/>
          <w:szCs w:val="22"/>
        </w:rPr>
        <w:t xml:space="preserve">DA 13-1717, IB Docket Nos. 12-340, 11-109; IBFS File Nos. SAT-MOD 20120928-00160, -00161; SAT-MOD-20101118-00239; SES-MOD-20121001-00872; RM-11681; WT Docket No. 12-327 </w:t>
      </w:r>
      <w:r w:rsidRPr="009C16F5">
        <w:rPr>
          <w:szCs w:val="22"/>
        </w:rPr>
        <w:t xml:space="preserve">as well as the specific file numbers of the individual applications or other matters to which the filings pertain.  </w:t>
      </w:r>
    </w:p>
    <w:p w:rsidR="006513B5" w:rsidRPr="009C16F5" w:rsidRDefault="006513B5" w:rsidP="00806E6E">
      <w:pPr>
        <w:rPr>
          <w:szCs w:val="22"/>
        </w:rPr>
      </w:pPr>
    </w:p>
    <w:p w:rsidR="00806E6E" w:rsidRPr="009C16F5" w:rsidRDefault="00806E6E" w:rsidP="00806E6E">
      <w:pPr>
        <w:numPr>
          <w:ilvl w:val="0"/>
          <w:numId w:val="16"/>
        </w:numPr>
        <w:rPr>
          <w:szCs w:val="22"/>
        </w:rPr>
      </w:pPr>
      <w:r w:rsidRPr="009C16F5">
        <w:rPr>
          <w:szCs w:val="22"/>
        </w:rPr>
        <w:t xml:space="preserve">Electronic Filers:  Comments may be filed electronically using the Internet by accessing the ECFS:  </w:t>
      </w:r>
      <w:hyperlink r:id="rId14" w:history="1">
        <w:r w:rsidRPr="009C16F5">
          <w:rPr>
            <w:color w:val="0000FF"/>
            <w:szCs w:val="22"/>
            <w:u w:val="single"/>
          </w:rPr>
          <w:t>http://fjallfoss.fcc.gov/ecfs2/</w:t>
        </w:r>
      </w:hyperlink>
      <w:r w:rsidRPr="009C16F5">
        <w:rPr>
          <w:szCs w:val="22"/>
        </w:rPr>
        <w:t xml:space="preserve">.  </w:t>
      </w:r>
    </w:p>
    <w:p w:rsidR="00806E6E" w:rsidRPr="009C16F5" w:rsidRDefault="00806E6E" w:rsidP="00806E6E">
      <w:pPr>
        <w:rPr>
          <w:szCs w:val="22"/>
        </w:rPr>
      </w:pPr>
    </w:p>
    <w:p w:rsidR="00806E6E" w:rsidRPr="009C16F5" w:rsidRDefault="00806E6E" w:rsidP="00806E6E">
      <w:pPr>
        <w:numPr>
          <w:ilvl w:val="0"/>
          <w:numId w:val="14"/>
        </w:numPr>
        <w:rPr>
          <w:szCs w:val="22"/>
        </w:rPr>
      </w:pPr>
      <w:r w:rsidRPr="009C16F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6E6E" w:rsidRPr="009C16F5" w:rsidRDefault="00806E6E" w:rsidP="00806E6E">
      <w:pPr>
        <w:rPr>
          <w:szCs w:val="22"/>
        </w:rPr>
      </w:pPr>
    </w:p>
    <w:p w:rsidR="00806E6E" w:rsidRPr="009C16F5" w:rsidRDefault="00806E6E" w:rsidP="00806E6E">
      <w:pPr>
        <w:ind w:left="720"/>
        <w:rPr>
          <w:szCs w:val="22"/>
        </w:rPr>
      </w:pPr>
      <w:r w:rsidRPr="009C16F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06E6E" w:rsidRDefault="00806E6E" w:rsidP="00806E6E">
      <w:pPr>
        <w:rPr>
          <w:szCs w:val="22"/>
        </w:rPr>
      </w:pPr>
    </w:p>
    <w:p w:rsidR="00CE2AFE" w:rsidRPr="009C16F5" w:rsidRDefault="00CE2AFE" w:rsidP="00806E6E">
      <w:pPr>
        <w:rPr>
          <w:szCs w:val="22"/>
        </w:rPr>
      </w:pPr>
    </w:p>
    <w:p w:rsidR="00806E6E" w:rsidRPr="009C16F5" w:rsidRDefault="00806E6E" w:rsidP="00806E6E">
      <w:pPr>
        <w:numPr>
          <w:ilvl w:val="0"/>
          <w:numId w:val="15"/>
        </w:numPr>
        <w:rPr>
          <w:szCs w:val="22"/>
        </w:rPr>
      </w:pPr>
      <w:r w:rsidRPr="009C16F5">
        <w:rPr>
          <w:szCs w:val="22"/>
        </w:rPr>
        <w:lastRenderedPageBreak/>
        <w:t>All hand-delivered or messenger-delivered paper filings for the Commission’s Secretary must be delivered to FCC Headquarters at 445 12</w:t>
      </w:r>
      <w:r w:rsidRPr="009C16F5">
        <w:rPr>
          <w:szCs w:val="22"/>
          <w:vertAlign w:val="superscript"/>
        </w:rPr>
        <w:t>th</w:t>
      </w:r>
      <w:r w:rsidRPr="009C16F5">
        <w:rPr>
          <w:szCs w:val="22"/>
        </w:rPr>
        <w:t xml:space="preserve"> St., SW, Room TW-A325, Washington, DC 20554.  The filing hours are 8:00 a.m. to 7:00 p.m.   All hand deliveries must be held together with rubber bands or fasteners.  Any envelopes and boxes must be disposed of </w:t>
      </w:r>
      <w:r w:rsidRPr="009C16F5">
        <w:rPr>
          <w:szCs w:val="22"/>
          <w:u w:val="single"/>
        </w:rPr>
        <w:t>before</w:t>
      </w:r>
      <w:r w:rsidRPr="009C16F5">
        <w:rPr>
          <w:szCs w:val="22"/>
        </w:rPr>
        <w:t xml:space="preserve"> entering the building.  </w:t>
      </w:r>
    </w:p>
    <w:p w:rsidR="00806E6E" w:rsidRPr="009C16F5" w:rsidRDefault="00806E6E" w:rsidP="00806E6E">
      <w:pPr>
        <w:ind w:left="1080"/>
        <w:rPr>
          <w:szCs w:val="22"/>
        </w:rPr>
      </w:pPr>
    </w:p>
    <w:p w:rsidR="00806E6E" w:rsidRPr="009C16F5" w:rsidRDefault="00806E6E" w:rsidP="00806E6E">
      <w:pPr>
        <w:numPr>
          <w:ilvl w:val="0"/>
          <w:numId w:val="15"/>
        </w:numPr>
        <w:rPr>
          <w:szCs w:val="22"/>
        </w:rPr>
      </w:pPr>
      <w:r w:rsidRPr="009C16F5">
        <w:rPr>
          <w:szCs w:val="22"/>
        </w:rPr>
        <w:t>Commercial overnight mail (other than U.S. Postal Service Express Mail and Priority Mail) must be sent to 9300 East Hampton Drive, Capitol Heights, MD  20743.</w:t>
      </w:r>
    </w:p>
    <w:p w:rsidR="00806E6E" w:rsidRPr="009C16F5" w:rsidRDefault="00806E6E" w:rsidP="00806E6E">
      <w:pPr>
        <w:rPr>
          <w:szCs w:val="22"/>
        </w:rPr>
      </w:pPr>
    </w:p>
    <w:p w:rsidR="00806E6E" w:rsidRPr="009C16F5" w:rsidRDefault="00806E6E" w:rsidP="00806E6E">
      <w:pPr>
        <w:numPr>
          <w:ilvl w:val="0"/>
          <w:numId w:val="15"/>
        </w:numPr>
        <w:rPr>
          <w:szCs w:val="22"/>
        </w:rPr>
      </w:pPr>
      <w:r w:rsidRPr="009C16F5">
        <w:rPr>
          <w:szCs w:val="22"/>
        </w:rPr>
        <w:t>U.S. Postal Service first-class, Express, and Priority mail must be addressed to 445 12</w:t>
      </w:r>
      <w:r w:rsidRPr="009C16F5">
        <w:rPr>
          <w:szCs w:val="22"/>
          <w:vertAlign w:val="superscript"/>
        </w:rPr>
        <w:t>th</w:t>
      </w:r>
      <w:r w:rsidRPr="009C16F5">
        <w:rPr>
          <w:szCs w:val="22"/>
        </w:rPr>
        <w:t xml:space="preserve"> Street, SW, Washington DC  20554.</w:t>
      </w:r>
    </w:p>
    <w:p w:rsidR="00806E6E" w:rsidRPr="009C16F5" w:rsidRDefault="00806E6E" w:rsidP="00806E6E">
      <w:pPr>
        <w:rPr>
          <w:szCs w:val="22"/>
        </w:rPr>
      </w:pPr>
    </w:p>
    <w:p w:rsidR="00806E6E" w:rsidRPr="009C16F5" w:rsidRDefault="00806E6E" w:rsidP="00806E6E">
      <w:pPr>
        <w:rPr>
          <w:szCs w:val="22"/>
        </w:rPr>
      </w:pPr>
      <w:r w:rsidRPr="009C16F5">
        <w:rPr>
          <w:szCs w:val="22"/>
        </w:rPr>
        <w:t xml:space="preserve">People with Disabilities:  To request materials in accessible formats for people with disabilities (braille, large print, electronic files, audio format), send an e-mail to </w:t>
      </w:r>
      <w:hyperlink r:id="rId15" w:history="1">
        <w:r w:rsidRPr="009C16F5">
          <w:rPr>
            <w:color w:val="0000FF"/>
            <w:szCs w:val="22"/>
            <w:u w:val="single"/>
          </w:rPr>
          <w:t>fcc504@fcc.gov</w:t>
        </w:r>
      </w:hyperlink>
      <w:r w:rsidRPr="009C16F5">
        <w:rPr>
          <w:szCs w:val="22"/>
        </w:rPr>
        <w:t xml:space="preserve"> or call the Consumer &amp; Governmental Affairs Bureau at 202-418-0530 (voice), 202-418-0432 (tty).</w:t>
      </w:r>
    </w:p>
    <w:p w:rsidR="00806E6E" w:rsidRPr="009C16F5" w:rsidRDefault="00806E6E" w:rsidP="00806E6E">
      <w:pPr>
        <w:rPr>
          <w:szCs w:val="22"/>
        </w:rPr>
      </w:pPr>
    </w:p>
    <w:p w:rsidR="00EA4C5E" w:rsidRPr="009C16F5" w:rsidRDefault="00EA4C5E" w:rsidP="000341BA">
      <w:pPr>
        <w:rPr>
          <w:szCs w:val="22"/>
        </w:rPr>
      </w:pPr>
      <w:r w:rsidRPr="009C16F5">
        <w:rPr>
          <w:szCs w:val="22"/>
        </w:rPr>
        <w:t>For further information, contact:</w:t>
      </w:r>
    </w:p>
    <w:p w:rsidR="00EA4C5E" w:rsidRPr="009C16F5" w:rsidRDefault="00EA4C5E" w:rsidP="000341BA">
      <w:pPr>
        <w:rPr>
          <w:szCs w:val="22"/>
        </w:rPr>
      </w:pPr>
    </w:p>
    <w:p w:rsidR="00BD03F9" w:rsidRPr="009C16F5" w:rsidRDefault="00EA4C5E" w:rsidP="000341BA">
      <w:pPr>
        <w:rPr>
          <w:szCs w:val="22"/>
        </w:rPr>
      </w:pPr>
      <w:r w:rsidRPr="009C16F5">
        <w:rPr>
          <w:szCs w:val="22"/>
        </w:rPr>
        <w:t>International Bureau:  Robert Nelson, at Robert.Nelson@fcc.gov or (202) 418-2341</w:t>
      </w:r>
      <w:r w:rsidR="00806E6E" w:rsidRPr="009C16F5">
        <w:rPr>
          <w:szCs w:val="22"/>
        </w:rPr>
        <w:t xml:space="preserve"> </w:t>
      </w:r>
    </w:p>
    <w:p w:rsidR="00BD03F9" w:rsidRPr="009C16F5" w:rsidRDefault="00BD03F9" w:rsidP="000341BA">
      <w:pPr>
        <w:rPr>
          <w:szCs w:val="22"/>
        </w:rPr>
      </w:pPr>
    </w:p>
    <w:p w:rsidR="00BD03F9" w:rsidRPr="009C16F5" w:rsidRDefault="00806E6E" w:rsidP="000341BA">
      <w:pPr>
        <w:rPr>
          <w:szCs w:val="22"/>
        </w:rPr>
      </w:pPr>
      <w:r w:rsidRPr="009C16F5">
        <w:rPr>
          <w:szCs w:val="22"/>
        </w:rPr>
        <w:t>Office</w:t>
      </w:r>
      <w:r w:rsidR="00EA4C5E" w:rsidRPr="009C16F5">
        <w:rPr>
          <w:szCs w:val="22"/>
        </w:rPr>
        <w:t xml:space="preserve"> of Engineering and Technology: Ronald T. Repasi, at Ronald.Repasi@fcc.gov or (202) 418-0768</w:t>
      </w:r>
    </w:p>
    <w:p w:rsidR="00BD03F9" w:rsidRPr="009C16F5" w:rsidRDefault="00BD03F9" w:rsidP="000341BA">
      <w:pPr>
        <w:rPr>
          <w:szCs w:val="22"/>
        </w:rPr>
      </w:pPr>
    </w:p>
    <w:p w:rsidR="00BD03F9" w:rsidRPr="009C16F5" w:rsidRDefault="00806E6E" w:rsidP="000341BA">
      <w:pPr>
        <w:rPr>
          <w:szCs w:val="22"/>
        </w:rPr>
      </w:pPr>
      <w:r w:rsidRPr="009C16F5">
        <w:rPr>
          <w:szCs w:val="22"/>
        </w:rPr>
        <w:t>Office</w:t>
      </w:r>
      <w:r w:rsidR="00EA4C5E" w:rsidRPr="009C16F5">
        <w:rPr>
          <w:szCs w:val="22"/>
        </w:rPr>
        <w:t xml:space="preserve"> of Strategic Planning &amp; Policy An</w:t>
      </w:r>
      <w:r w:rsidR="00BD03F9" w:rsidRPr="009C16F5">
        <w:rPr>
          <w:szCs w:val="22"/>
        </w:rPr>
        <w:t xml:space="preserve">alysis:  Nicholas Alexander, at </w:t>
      </w:r>
      <w:r w:rsidR="00EA4C5E" w:rsidRPr="009C16F5">
        <w:rPr>
          <w:szCs w:val="22"/>
        </w:rPr>
        <w:t>Nicholas.Alexander@fcc.gov or (202) 418-2173</w:t>
      </w:r>
    </w:p>
    <w:p w:rsidR="00BD03F9" w:rsidRPr="009C16F5" w:rsidRDefault="00BD03F9" w:rsidP="000341BA">
      <w:pPr>
        <w:rPr>
          <w:szCs w:val="22"/>
        </w:rPr>
      </w:pPr>
    </w:p>
    <w:p w:rsidR="00EA4C5E" w:rsidRPr="009C16F5" w:rsidRDefault="00806E6E" w:rsidP="000341BA">
      <w:pPr>
        <w:rPr>
          <w:szCs w:val="22"/>
        </w:rPr>
      </w:pPr>
      <w:r w:rsidRPr="009C16F5">
        <w:rPr>
          <w:szCs w:val="22"/>
        </w:rPr>
        <w:t>Wireless</w:t>
      </w:r>
      <w:r w:rsidR="00EA4C5E" w:rsidRPr="009C16F5">
        <w:rPr>
          <w:szCs w:val="22"/>
        </w:rPr>
        <w:t xml:space="preserve"> Telecommunications Bureau: Charles Mathias, at Charles.Mathias@fcc.gov or (202) 418-7147.</w:t>
      </w:r>
    </w:p>
    <w:p w:rsidR="00EA4C5E" w:rsidRPr="009C16F5" w:rsidRDefault="00EA4C5E" w:rsidP="000341BA">
      <w:pPr>
        <w:rPr>
          <w:szCs w:val="22"/>
        </w:rPr>
      </w:pPr>
    </w:p>
    <w:p w:rsidR="00EA4C5E" w:rsidRPr="009C16F5" w:rsidRDefault="00EA4C5E" w:rsidP="000341BA">
      <w:pPr>
        <w:rPr>
          <w:szCs w:val="22"/>
        </w:rPr>
      </w:pPr>
      <w:r w:rsidRPr="009C16F5">
        <w:rPr>
          <w:szCs w:val="22"/>
        </w:rPr>
        <w:t>Action by the Chiefs, International Bureau, Office of Engineering and Technology, Office of Strategic Planning &amp; Policy Analysis and Wireless Telecommunications Bureau.</w:t>
      </w:r>
    </w:p>
    <w:p w:rsidR="00806E6E" w:rsidRPr="009C16F5" w:rsidRDefault="00806E6E" w:rsidP="000341BA">
      <w:pPr>
        <w:rPr>
          <w:szCs w:val="22"/>
        </w:rPr>
      </w:pPr>
    </w:p>
    <w:p w:rsidR="00806E6E" w:rsidRPr="009C16F5" w:rsidRDefault="00806E6E" w:rsidP="000341BA">
      <w:pPr>
        <w:rPr>
          <w:szCs w:val="22"/>
        </w:rPr>
      </w:pPr>
    </w:p>
    <w:p w:rsidR="00806E6E" w:rsidRPr="009C16F5" w:rsidRDefault="00806E6E" w:rsidP="000341BA">
      <w:pPr>
        <w:rPr>
          <w:szCs w:val="22"/>
        </w:rPr>
      </w:pPr>
    </w:p>
    <w:p w:rsidR="00806E6E" w:rsidRPr="009C16F5" w:rsidRDefault="00806E6E" w:rsidP="00806E6E">
      <w:pPr>
        <w:jc w:val="center"/>
        <w:rPr>
          <w:b/>
          <w:szCs w:val="22"/>
        </w:rPr>
      </w:pPr>
      <w:r w:rsidRPr="009C16F5">
        <w:rPr>
          <w:b/>
          <w:szCs w:val="22"/>
        </w:rPr>
        <w:t>-FCC-</w:t>
      </w:r>
    </w:p>
    <w:p w:rsidR="00EA4C5E" w:rsidRPr="009C16F5" w:rsidRDefault="00EA4C5E" w:rsidP="000341BA">
      <w:pPr>
        <w:rPr>
          <w:szCs w:val="22"/>
        </w:rPr>
      </w:pPr>
    </w:p>
    <w:p w:rsidR="00EA4C5E" w:rsidRPr="009C16F5" w:rsidRDefault="00EA4C5E" w:rsidP="000341BA">
      <w:pPr>
        <w:rPr>
          <w:szCs w:val="22"/>
        </w:rPr>
      </w:pPr>
    </w:p>
    <w:sectPr w:rsidR="00EA4C5E" w:rsidRPr="009C16F5" w:rsidSect="00D55014">
      <w:type w:val="continuous"/>
      <w:pgSz w:w="12240" w:h="15840" w:code="1"/>
      <w:pgMar w:top="720" w:right="1440" w:bottom="1440" w:left="1440"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5C" w:rsidRDefault="00466D5C">
      <w:r>
        <w:separator/>
      </w:r>
    </w:p>
  </w:endnote>
  <w:endnote w:type="continuationSeparator" w:id="0">
    <w:p w:rsidR="00466D5C" w:rsidRDefault="0046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FC" w:rsidRDefault="00834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223072"/>
      <w:docPartObj>
        <w:docPartGallery w:val="Page Numbers (Bottom of Page)"/>
        <w:docPartUnique/>
      </w:docPartObj>
    </w:sdtPr>
    <w:sdtEndPr>
      <w:rPr>
        <w:noProof/>
      </w:rPr>
    </w:sdtEndPr>
    <w:sdtContent>
      <w:p w:rsidR="00D55014" w:rsidRDefault="00D55014">
        <w:pPr>
          <w:pStyle w:val="Footer"/>
          <w:jc w:val="center"/>
        </w:pPr>
        <w:r>
          <w:fldChar w:fldCharType="begin"/>
        </w:r>
        <w:r>
          <w:instrText xml:space="preserve"> PAGE   \* MERGEFORMAT </w:instrText>
        </w:r>
        <w:r>
          <w:fldChar w:fldCharType="separate"/>
        </w:r>
        <w:r w:rsidR="006318DD">
          <w:rPr>
            <w:noProof/>
          </w:rPr>
          <w:t>2</w:t>
        </w:r>
        <w:r>
          <w:rPr>
            <w:noProof/>
          </w:rPr>
          <w:fldChar w:fldCharType="end"/>
        </w:r>
      </w:p>
    </w:sdtContent>
  </w:sdt>
  <w:p w:rsidR="00D55014" w:rsidRDefault="00D55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14" w:rsidRDefault="00D55014">
    <w:pPr>
      <w:pStyle w:val="Footer"/>
      <w:jc w:val="center"/>
    </w:pPr>
  </w:p>
  <w:p w:rsidR="00165DDF" w:rsidRDefault="00165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5C" w:rsidRDefault="00466D5C">
      <w:r>
        <w:separator/>
      </w:r>
    </w:p>
  </w:footnote>
  <w:footnote w:type="continuationSeparator" w:id="0">
    <w:p w:rsidR="00466D5C" w:rsidRDefault="00466D5C">
      <w:r>
        <w:continuationSeparator/>
      </w:r>
    </w:p>
  </w:footnote>
  <w:footnote w:id="1">
    <w:p w:rsidR="00EA4C5E" w:rsidRPr="002935D2" w:rsidRDefault="00EA4C5E" w:rsidP="00EA4C5E">
      <w:pPr>
        <w:pStyle w:val="FootnoteText"/>
        <w:spacing w:before="240" w:after="120"/>
        <w:rPr>
          <w:sz w:val="20"/>
        </w:rPr>
      </w:pPr>
      <w:r w:rsidRPr="002935D2">
        <w:rPr>
          <w:rStyle w:val="FootnoteReference"/>
          <w:sz w:val="20"/>
        </w:rPr>
        <w:footnoteRef/>
      </w:r>
      <w:r w:rsidRPr="002935D2">
        <w:rPr>
          <w:sz w:val="20"/>
        </w:rPr>
        <w:t xml:space="preserve"> Letter from John P. Janka, Counsel for LightSquared Subsidiary LLC, to Marlene H. Dortch, Secretary, Federal Communications Commission, IB Docket No. 12-340; IBFS File Nos. SAT-MOD-20120928-00160, -00161, SES-MOD-20121001-00872 (filed Jul. 15, 2013) (</w:t>
      </w:r>
      <w:r w:rsidRPr="002935D2">
        <w:rPr>
          <w:i/>
          <w:sz w:val="20"/>
        </w:rPr>
        <w:t>July 15, 2013 Presentation</w:t>
      </w:r>
      <w:r w:rsidRPr="002935D2">
        <w:rPr>
          <w:sz w:val="20"/>
        </w:rPr>
        <w:t xml:space="preserve">).  </w:t>
      </w:r>
    </w:p>
  </w:footnote>
  <w:footnote w:id="2">
    <w:p w:rsidR="00EA4C5E" w:rsidRPr="00834C2F" w:rsidRDefault="00EA4C5E" w:rsidP="00EA4C5E">
      <w:pPr>
        <w:pStyle w:val="FootnoteText"/>
        <w:rPr>
          <w:sz w:val="20"/>
        </w:rPr>
      </w:pPr>
      <w:r w:rsidRPr="00834C2F">
        <w:rPr>
          <w:rStyle w:val="FootnoteReference"/>
          <w:sz w:val="20"/>
        </w:rPr>
        <w:footnoteRef/>
      </w:r>
      <w:r w:rsidRPr="00834C2F">
        <w:rPr>
          <w:sz w:val="20"/>
        </w:rPr>
        <w:t xml:space="preserve"> </w:t>
      </w:r>
      <w:r w:rsidRPr="00834C2F">
        <w:rPr>
          <w:i/>
          <w:sz w:val="20"/>
        </w:rPr>
        <w:t xml:space="preserve">Id. </w:t>
      </w:r>
      <w:r w:rsidRPr="00834C2F">
        <w:rPr>
          <w:sz w:val="20"/>
        </w:rPr>
        <w:t>at 1.</w:t>
      </w:r>
    </w:p>
  </w:footnote>
  <w:footnote w:id="3">
    <w:p w:rsidR="00EA4C5E" w:rsidRPr="00834C2F" w:rsidRDefault="00EA4C5E" w:rsidP="00EA4C5E">
      <w:pPr>
        <w:pStyle w:val="FootnoteText"/>
        <w:rPr>
          <w:i/>
          <w:sz w:val="20"/>
        </w:rPr>
      </w:pPr>
      <w:r w:rsidRPr="00834C2F">
        <w:rPr>
          <w:rStyle w:val="FootnoteReference"/>
          <w:sz w:val="20"/>
        </w:rPr>
        <w:footnoteRef/>
      </w:r>
      <w:r w:rsidRPr="00834C2F">
        <w:rPr>
          <w:sz w:val="20"/>
        </w:rPr>
        <w:t xml:space="preserve"> </w:t>
      </w:r>
      <w:r w:rsidRPr="00834C2F">
        <w:rPr>
          <w:i/>
          <w:sz w:val="20"/>
        </w:rPr>
        <w:t>See generally id.</w:t>
      </w:r>
    </w:p>
  </w:footnote>
  <w:footnote w:id="4">
    <w:p w:rsidR="00EA4C5E" w:rsidRPr="00834C2F" w:rsidRDefault="00EA4C5E" w:rsidP="00EA4C5E">
      <w:pPr>
        <w:pStyle w:val="FootnoteText"/>
        <w:rPr>
          <w:sz w:val="20"/>
        </w:rPr>
      </w:pPr>
      <w:r w:rsidRPr="00834C2F">
        <w:rPr>
          <w:rStyle w:val="FootnoteReference"/>
          <w:sz w:val="20"/>
        </w:rPr>
        <w:footnoteRef/>
      </w:r>
      <w:r w:rsidRPr="00834C2F">
        <w:rPr>
          <w:sz w:val="20"/>
        </w:rPr>
        <w:t xml:space="preserve"> LightSquared indicates that since early 2012, it has sought a path to resolve the GPS issue and create a new deployment plan in cooperation with government and military stakeholders.  </w:t>
      </w:r>
      <w:r w:rsidRPr="00834C2F">
        <w:rPr>
          <w:i/>
          <w:sz w:val="20"/>
        </w:rPr>
        <w:t xml:space="preserve">Id. </w:t>
      </w:r>
      <w:r w:rsidRPr="00834C2F">
        <w:rPr>
          <w:sz w:val="20"/>
        </w:rPr>
        <w:t>at 1.</w:t>
      </w:r>
    </w:p>
  </w:footnote>
  <w:footnote w:id="5">
    <w:p w:rsidR="00EA4C5E" w:rsidRPr="00834C2F" w:rsidRDefault="00EA4C5E" w:rsidP="00EA4C5E">
      <w:pPr>
        <w:pStyle w:val="FootnoteText"/>
        <w:rPr>
          <w:sz w:val="20"/>
        </w:rPr>
      </w:pPr>
      <w:r w:rsidRPr="00834C2F">
        <w:rPr>
          <w:rStyle w:val="FootnoteReference"/>
          <w:sz w:val="20"/>
        </w:rPr>
        <w:footnoteRef/>
      </w:r>
      <w:r w:rsidRPr="00834C2F">
        <w:rPr>
          <w:sz w:val="20"/>
        </w:rPr>
        <w:t xml:space="preserve"> LightSquared further indicates that it has engaged with government stakeholders to build use cases to properly evaluate the potential for conflict between its proposed modified operation and those of existing users in other bands.  </w:t>
      </w:r>
      <w:r w:rsidRPr="00834C2F">
        <w:rPr>
          <w:i/>
          <w:sz w:val="20"/>
        </w:rPr>
        <w:t xml:space="preserve">Id. </w:t>
      </w:r>
      <w:r w:rsidRPr="00834C2F">
        <w:rPr>
          <w:sz w:val="20"/>
        </w:rPr>
        <w:t>at 20.</w:t>
      </w:r>
    </w:p>
  </w:footnote>
  <w:footnote w:id="6">
    <w:p w:rsidR="00EA4C5E" w:rsidRPr="002C4192" w:rsidRDefault="00EA4C5E" w:rsidP="00EA4C5E">
      <w:pPr>
        <w:rPr>
          <w:b/>
          <w:snapToGrid w:val="0"/>
          <w:kern w:val="28"/>
          <w:szCs w:val="22"/>
        </w:rPr>
      </w:pPr>
      <w:r>
        <w:rPr>
          <w:rStyle w:val="FootnoteReference"/>
          <w:sz w:val="20"/>
        </w:rPr>
        <w:footnoteRef/>
      </w:r>
      <w:r>
        <w:rPr>
          <w:sz w:val="20"/>
        </w:rPr>
        <w:t xml:space="preserve"> All of the proceedings listed in the caption above, with the exception of RM-11681, were designated as “permit-but-disclose.”  </w:t>
      </w:r>
      <w:r>
        <w:rPr>
          <w:i/>
          <w:sz w:val="20"/>
        </w:rPr>
        <w:t>See</w:t>
      </w:r>
      <w:r>
        <w:rPr>
          <w:sz w:val="20"/>
        </w:rPr>
        <w:t xml:space="preserve"> </w:t>
      </w:r>
      <w:r>
        <w:rPr>
          <w:i/>
          <w:sz w:val="20"/>
        </w:rPr>
        <w:t>Federal Communications Commission Invites Comment on LightSquared Request to Modify its ATC Authorization</w:t>
      </w:r>
      <w:r>
        <w:rPr>
          <w:sz w:val="20"/>
        </w:rPr>
        <w:t xml:space="preserve">, IB Docket 12-340, Public Notice, DA 12-1863 (Int’l Bur., Nov. 16, 2012); </w:t>
      </w:r>
      <w:r>
        <w:rPr>
          <w:i/>
          <w:sz w:val="20"/>
        </w:rPr>
        <w:t>Wireless Communications Bureau Seeks Comment on Request by OP LLC for Extension or Waiver of the Construction Deadline Concerning its 1670-1675 MHz Band License</w:t>
      </w:r>
      <w:r>
        <w:rPr>
          <w:sz w:val="20"/>
        </w:rPr>
        <w:t xml:space="preserve">, WT Docket No. 12-237, DA 12-1776 (WTB, Nov. 5, 2012);  </w:t>
      </w:r>
      <w:r>
        <w:rPr>
          <w:i/>
          <w:sz w:val="20"/>
        </w:rPr>
        <w:t>Comment Deadlines Established Regarding the LightSquared Technical Working Group Report</w:t>
      </w:r>
      <w:r>
        <w:rPr>
          <w:sz w:val="20"/>
        </w:rPr>
        <w:t xml:space="preserve">, IB Docket No. 11-109, DA 11-1133 (Int’l Bur., June 30, 2011); Report No. SAT-00738, </w:t>
      </w:r>
      <w:r>
        <w:rPr>
          <w:i/>
          <w:sz w:val="20"/>
        </w:rPr>
        <w:t xml:space="preserve">Public Notice </w:t>
      </w:r>
      <w:r>
        <w:rPr>
          <w:sz w:val="20"/>
        </w:rPr>
        <w:t>(Int’l. Bur., Nov. 19, 2010).</w:t>
      </w:r>
      <w:r w:rsidRPr="002C4192">
        <w:rPr>
          <w:b/>
          <w:snapToGrid w:val="0"/>
          <w:kern w:val="28"/>
          <w:szCs w:val="22"/>
        </w:rPr>
        <w:t xml:space="preserve"> </w:t>
      </w:r>
      <w:r>
        <w:rPr>
          <w:b/>
          <w:snapToGrid w:val="0"/>
          <w:kern w:val="28"/>
          <w:szCs w:val="22"/>
        </w:rPr>
        <w:t xml:space="preserve"> </w:t>
      </w:r>
      <w:r w:rsidRPr="00B924E4">
        <w:rPr>
          <w:snapToGrid w:val="0"/>
          <w:kern w:val="28"/>
          <w:sz w:val="20"/>
        </w:rPr>
        <w:t xml:space="preserve">RM-11681 is exempt from the Commission’s </w:t>
      </w:r>
      <w:r w:rsidRPr="00B924E4">
        <w:rPr>
          <w:i/>
          <w:snapToGrid w:val="0"/>
          <w:kern w:val="28"/>
          <w:sz w:val="20"/>
        </w:rPr>
        <w:t xml:space="preserve">ex parte </w:t>
      </w:r>
      <w:r w:rsidRPr="00B924E4">
        <w:rPr>
          <w:snapToGrid w:val="0"/>
          <w:kern w:val="28"/>
          <w:sz w:val="20"/>
        </w:rPr>
        <w:t>rules.</w:t>
      </w:r>
      <w:r w:rsidRPr="002B3B08">
        <w:rPr>
          <w:sz w:val="20"/>
        </w:rPr>
        <w:t xml:space="preserve"> </w:t>
      </w:r>
      <w:r w:rsidRPr="002B3B08">
        <w:rPr>
          <w:snapToGrid w:val="0"/>
          <w:kern w:val="28"/>
          <w:sz w:val="20"/>
        </w:rPr>
        <w:t>47 C.F.R. § 1.1204(b)(2).</w:t>
      </w:r>
    </w:p>
    <w:p w:rsidR="00EA4C5E" w:rsidRPr="00B74C5B" w:rsidRDefault="00EA4C5E" w:rsidP="00EA4C5E">
      <w:pPr>
        <w:ind w:right="72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FC" w:rsidRDefault="00834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FC" w:rsidRDefault="00834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56" w:rsidRDefault="000341B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4EFA70D" wp14:editId="38E86DF9">
          <wp:simplePos x="0" y="0"/>
          <wp:positionH relativeFrom="column">
            <wp:posOffset>30480</wp:posOffset>
          </wp:positionH>
          <wp:positionV relativeFrom="paragraph">
            <wp:posOffset>107950</wp:posOffset>
          </wp:positionV>
          <wp:extent cx="530225" cy="530225"/>
          <wp:effectExtent l="0" t="0" r="3175" b="3175"/>
          <wp:wrapTopAndBottom/>
          <wp:docPr id="7" name="Picture 7"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7CFB18A" wp14:editId="05DACAEF">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756" w:rsidRDefault="00D07F38">
                          <w:pPr>
                            <w:rPr>
                              <w:rFonts w:ascii="Arial" w:hAnsi="Arial"/>
                              <w:b/>
                            </w:rPr>
                          </w:pPr>
                          <w:r>
                            <w:rPr>
                              <w:rFonts w:ascii="Arial" w:hAnsi="Arial"/>
                              <w:b/>
                            </w:rPr>
                            <w:t>Federal Communications Commission</w:t>
                          </w:r>
                        </w:p>
                        <w:p w:rsidR="00CB2756" w:rsidRDefault="00D07F3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B2756" w:rsidRDefault="00D07F3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B2756" w:rsidRDefault="00D07F38">
                    <w:pPr>
                      <w:rPr>
                        <w:rFonts w:ascii="Arial" w:hAnsi="Arial"/>
                        <w:b/>
                      </w:rPr>
                    </w:pPr>
                    <w:r>
                      <w:rPr>
                        <w:rFonts w:ascii="Arial" w:hAnsi="Arial"/>
                        <w:b/>
                      </w:rPr>
                      <w:t>Federal Communications Commission</w:t>
                    </w:r>
                  </w:p>
                  <w:p w:rsidR="00CB2756" w:rsidRDefault="00D07F3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B2756" w:rsidRDefault="00D07F38">
                    <w:pPr>
                      <w:rPr>
                        <w:rFonts w:ascii="Arial" w:hAnsi="Arial"/>
                        <w:sz w:val="24"/>
                      </w:rPr>
                    </w:pPr>
                    <w:r>
                      <w:rPr>
                        <w:rFonts w:ascii="Arial" w:hAnsi="Arial"/>
                        <w:b/>
                      </w:rPr>
                      <w:t>Washington, D.C. 20554</w:t>
                    </w:r>
                  </w:p>
                </w:txbxContent>
              </v:textbox>
            </v:shape>
          </w:pict>
        </mc:Fallback>
      </mc:AlternateContent>
    </w:r>
    <w:r w:rsidR="00D07F38">
      <w:rPr>
        <w:rFonts w:ascii="News Gothic MT" w:hAnsi="News Gothic MT"/>
        <w:b/>
        <w:kern w:val="28"/>
        <w:sz w:val="96"/>
      </w:rPr>
      <w:t>PUBLIC NOTICE</w:t>
    </w:r>
  </w:p>
  <w:p w:rsidR="00CB2756" w:rsidRDefault="000341B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5A7F776" wp14:editId="07CD2C08">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51EF14A" wp14:editId="6F1BA189">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756" w:rsidRDefault="00D07F38">
                          <w:pPr>
                            <w:spacing w:before="40"/>
                            <w:jc w:val="right"/>
                            <w:rPr>
                              <w:rFonts w:ascii="Arial" w:hAnsi="Arial"/>
                              <w:b/>
                              <w:sz w:val="16"/>
                            </w:rPr>
                          </w:pPr>
                          <w:r>
                            <w:rPr>
                              <w:rFonts w:ascii="Arial" w:hAnsi="Arial"/>
                              <w:b/>
                              <w:sz w:val="16"/>
                            </w:rPr>
                            <w:t>News Media Information 202 / 418-0500</w:t>
                          </w:r>
                        </w:p>
                        <w:p w:rsidR="00CB2756" w:rsidRDefault="00D07F3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B2756" w:rsidRDefault="00D07F38">
                          <w:pPr>
                            <w:jc w:val="right"/>
                            <w:rPr>
                              <w:rFonts w:ascii="Arial" w:hAnsi="Arial"/>
                              <w:b/>
                              <w:sz w:val="16"/>
                            </w:rPr>
                          </w:pPr>
                          <w:r>
                            <w:rPr>
                              <w:rFonts w:ascii="Arial" w:hAnsi="Arial"/>
                              <w:b/>
                              <w:sz w:val="16"/>
                            </w:rPr>
                            <w:t>TTY: 1-888-835-5322</w:t>
                          </w:r>
                        </w:p>
                        <w:p w:rsidR="00CB2756" w:rsidRDefault="00CB275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B2756" w:rsidRDefault="00D07F38">
                    <w:pPr>
                      <w:spacing w:before="40"/>
                      <w:jc w:val="right"/>
                      <w:rPr>
                        <w:rFonts w:ascii="Arial" w:hAnsi="Arial"/>
                        <w:b/>
                        <w:sz w:val="16"/>
                      </w:rPr>
                    </w:pPr>
                    <w:r>
                      <w:rPr>
                        <w:rFonts w:ascii="Arial" w:hAnsi="Arial"/>
                        <w:b/>
                        <w:sz w:val="16"/>
                      </w:rPr>
                      <w:t>News Media Information 202 / 418-0500</w:t>
                    </w:r>
                  </w:p>
                  <w:p w:rsidR="00CB2756" w:rsidRDefault="00D07F3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B2756" w:rsidRDefault="00D07F38">
                    <w:pPr>
                      <w:jc w:val="right"/>
                      <w:rPr>
                        <w:rFonts w:ascii="Arial" w:hAnsi="Arial"/>
                        <w:b/>
                        <w:sz w:val="16"/>
                      </w:rPr>
                    </w:pPr>
                    <w:r>
                      <w:rPr>
                        <w:rFonts w:ascii="Arial" w:hAnsi="Arial"/>
                        <w:b/>
                        <w:sz w:val="16"/>
                      </w:rPr>
                      <w:t>TTY: 1-888-835-5322</w:t>
                    </w:r>
                  </w:p>
                  <w:p w:rsidR="00CB2756" w:rsidRDefault="00CB2756">
                    <w:pPr>
                      <w:jc w:val="right"/>
                    </w:pPr>
                  </w:p>
                </w:txbxContent>
              </v:textbox>
            </v:shape>
          </w:pict>
        </mc:Fallback>
      </mc:AlternateContent>
    </w:r>
  </w:p>
  <w:p w:rsidR="00CB2756" w:rsidRDefault="00CB275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5E"/>
    <w:rsid w:val="000341BA"/>
    <w:rsid w:val="0003663D"/>
    <w:rsid w:val="00046479"/>
    <w:rsid w:val="00073227"/>
    <w:rsid w:val="00165DDF"/>
    <w:rsid w:val="001D65F6"/>
    <w:rsid w:val="00213A8C"/>
    <w:rsid w:val="00302FD4"/>
    <w:rsid w:val="00314132"/>
    <w:rsid w:val="003E7BDF"/>
    <w:rsid w:val="004117E3"/>
    <w:rsid w:val="00466D5C"/>
    <w:rsid w:val="006318DD"/>
    <w:rsid w:val="00636608"/>
    <w:rsid w:val="006513B5"/>
    <w:rsid w:val="00705D8F"/>
    <w:rsid w:val="007C08FD"/>
    <w:rsid w:val="007F4793"/>
    <w:rsid w:val="00806E6E"/>
    <w:rsid w:val="008340FC"/>
    <w:rsid w:val="009A7EFD"/>
    <w:rsid w:val="009C16F5"/>
    <w:rsid w:val="00BB5542"/>
    <w:rsid w:val="00BC7F44"/>
    <w:rsid w:val="00BD03F9"/>
    <w:rsid w:val="00CB2756"/>
    <w:rsid w:val="00CE2AFE"/>
    <w:rsid w:val="00D07F38"/>
    <w:rsid w:val="00D55014"/>
    <w:rsid w:val="00EA4C5E"/>
    <w:rsid w:val="00F36DC0"/>
    <w:rsid w:val="00F5304A"/>
    <w:rsid w:val="00FD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
    <w:basedOn w:val="DefaultParagraphFont"/>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165DDF"/>
    <w:rPr>
      <w:sz w:val="22"/>
    </w:rPr>
  </w:style>
  <w:style w:type="paragraph" w:styleId="BalloonText">
    <w:name w:val="Balloon Text"/>
    <w:basedOn w:val="Normal"/>
    <w:link w:val="BalloonTextChar"/>
    <w:uiPriority w:val="99"/>
    <w:semiHidden/>
    <w:unhideWhenUsed/>
    <w:rsid w:val="00302FD4"/>
    <w:rPr>
      <w:rFonts w:ascii="Tahoma" w:hAnsi="Tahoma" w:cs="Tahoma"/>
      <w:sz w:val="16"/>
      <w:szCs w:val="16"/>
    </w:rPr>
  </w:style>
  <w:style w:type="character" w:customStyle="1" w:styleId="BalloonTextChar">
    <w:name w:val="Balloon Text Char"/>
    <w:basedOn w:val="DefaultParagraphFont"/>
    <w:link w:val="BalloonText"/>
    <w:uiPriority w:val="99"/>
    <w:semiHidden/>
    <w:rsid w:val="00302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
    <w:basedOn w:val="DefaultParagraphFont"/>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165DDF"/>
    <w:rPr>
      <w:sz w:val="22"/>
    </w:rPr>
  </w:style>
  <w:style w:type="paragraph" w:styleId="BalloonText">
    <w:name w:val="Balloon Text"/>
    <w:basedOn w:val="Normal"/>
    <w:link w:val="BalloonTextChar"/>
    <w:uiPriority w:val="99"/>
    <w:semiHidden/>
    <w:unhideWhenUsed/>
    <w:rsid w:val="00302FD4"/>
    <w:rPr>
      <w:rFonts w:ascii="Tahoma" w:hAnsi="Tahoma" w:cs="Tahoma"/>
      <w:sz w:val="16"/>
      <w:szCs w:val="16"/>
    </w:rPr>
  </w:style>
  <w:style w:type="character" w:customStyle="1" w:styleId="BalloonTextChar">
    <w:name w:val="Balloon Text Char"/>
    <w:basedOn w:val="DefaultParagraphFont"/>
    <w:link w:val="BalloonText"/>
    <w:uiPriority w:val="99"/>
    <w:semiHidden/>
    <w:rsid w:val="00302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864</Words>
  <Characters>5173</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6047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2013-08-07T20:24:00Z</cp:lastPrinted>
  <dcterms:created xsi:type="dcterms:W3CDTF">2013-08-07T20:30:00Z</dcterms:created>
  <dcterms:modified xsi:type="dcterms:W3CDTF">2013-08-07T20:30:00Z</dcterms:modified>
  <cp:category> </cp:category>
  <cp:contentStatus> </cp:contentStatus>
</cp:coreProperties>
</file>