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5F" w:rsidRDefault="004A3D5F" w:rsidP="0090354A">
      <w:pPr>
        <w:spacing w:before="120"/>
        <w:jc w:val="right"/>
        <w:rPr>
          <w:b/>
        </w:rPr>
      </w:pPr>
      <w:bookmarkStart w:id="0" w:name="_GoBack"/>
      <w:bookmarkEnd w:id="0"/>
    </w:p>
    <w:p w:rsidR="0090354A" w:rsidRDefault="0090354A" w:rsidP="0090354A">
      <w:pPr>
        <w:spacing w:before="120"/>
        <w:jc w:val="right"/>
        <w:rPr>
          <w:b/>
        </w:rPr>
      </w:pPr>
      <w:r>
        <w:rPr>
          <w:b/>
        </w:rPr>
        <w:t>DA 13-</w:t>
      </w:r>
      <w:r w:rsidR="00297CF8">
        <w:rPr>
          <w:b/>
        </w:rPr>
        <w:t>1763</w:t>
      </w:r>
    </w:p>
    <w:p w:rsidR="00A348C4" w:rsidRPr="005D086A" w:rsidRDefault="00A348C4" w:rsidP="0090354A">
      <w:pPr>
        <w:spacing w:before="120"/>
        <w:jc w:val="center"/>
        <w:rPr>
          <w:b/>
          <w:sz w:val="22"/>
          <w:szCs w:val="22"/>
        </w:rPr>
      </w:pPr>
      <w:r w:rsidRPr="005D086A">
        <w:rPr>
          <w:b/>
          <w:sz w:val="22"/>
          <w:szCs w:val="22"/>
        </w:rPr>
        <w:t xml:space="preserve">WIRELESS TELECOMMUNICATIONS BUREAU AND OFFICE OF ENGINEERING AND TECHNOLOGY </w:t>
      </w:r>
      <w:r w:rsidR="0090354A" w:rsidRPr="005D086A">
        <w:rPr>
          <w:b/>
          <w:sz w:val="22"/>
          <w:szCs w:val="22"/>
        </w:rPr>
        <w:t xml:space="preserve">EXEMPT </w:t>
      </w:r>
      <w:r w:rsidR="00BB546B" w:rsidRPr="005D086A">
        <w:rPr>
          <w:b/>
          <w:sz w:val="22"/>
          <w:szCs w:val="22"/>
        </w:rPr>
        <w:t xml:space="preserve">CERTAIN EX PARTE </w:t>
      </w:r>
      <w:r w:rsidR="0090354A" w:rsidRPr="005D086A">
        <w:rPr>
          <w:b/>
          <w:sz w:val="22"/>
          <w:szCs w:val="22"/>
        </w:rPr>
        <w:t>PRESENTATIONS IN</w:t>
      </w:r>
      <w:r w:rsidR="005164BB" w:rsidRPr="005D086A">
        <w:rPr>
          <w:b/>
          <w:sz w:val="22"/>
          <w:szCs w:val="22"/>
        </w:rPr>
        <w:t xml:space="preserve"> </w:t>
      </w:r>
      <w:r w:rsidR="0090354A" w:rsidRPr="005D086A">
        <w:rPr>
          <w:b/>
          <w:sz w:val="22"/>
          <w:szCs w:val="22"/>
        </w:rPr>
        <w:br/>
      </w:r>
      <w:r w:rsidR="005164BB" w:rsidRPr="005D086A">
        <w:rPr>
          <w:b/>
          <w:sz w:val="22"/>
          <w:szCs w:val="22"/>
        </w:rPr>
        <w:t>GN DOCKET NO. 13-185</w:t>
      </w:r>
    </w:p>
    <w:p w:rsidR="0090354A" w:rsidRPr="005D086A" w:rsidRDefault="0090354A" w:rsidP="00826AE2">
      <w:pPr>
        <w:spacing w:before="120"/>
        <w:jc w:val="center"/>
        <w:rPr>
          <w:sz w:val="22"/>
          <w:szCs w:val="22"/>
        </w:rPr>
      </w:pPr>
      <w:r w:rsidRPr="005D086A">
        <w:rPr>
          <w:sz w:val="22"/>
          <w:szCs w:val="22"/>
        </w:rPr>
        <w:t xml:space="preserve">August </w:t>
      </w:r>
      <w:r w:rsidR="0094142F">
        <w:rPr>
          <w:sz w:val="22"/>
          <w:szCs w:val="22"/>
        </w:rPr>
        <w:t>15</w:t>
      </w:r>
      <w:r w:rsidRPr="005D086A">
        <w:rPr>
          <w:sz w:val="22"/>
          <w:szCs w:val="22"/>
        </w:rPr>
        <w:t>, 2013</w:t>
      </w:r>
    </w:p>
    <w:p w:rsidR="00A348C4" w:rsidRPr="005D086A" w:rsidRDefault="00A348C4" w:rsidP="00826AE2">
      <w:pPr>
        <w:spacing w:before="120"/>
        <w:jc w:val="center"/>
        <w:rPr>
          <w:sz w:val="22"/>
          <w:szCs w:val="22"/>
        </w:rPr>
      </w:pPr>
    </w:p>
    <w:p w:rsidR="00102348" w:rsidRPr="005D086A" w:rsidRDefault="00A348C4" w:rsidP="00102348">
      <w:pPr>
        <w:spacing w:after="240"/>
        <w:rPr>
          <w:sz w:val="22"/>
          <w:szCs w:val="22"/>
        </w:rPr>
      </w:pPr>
      <w:r w:rsidRPr="005D086A">
        <w:rPr>
          <w:sz w:val="22"/>
          <w:szCs w:val="22"/>
        </w:rPr>
        <w:t xml:space="preserve">On July 23, 2013 the Commission adopted a </w:t>
      </w:r>
      <w:r w:rsidRPr="005D086A">
        <w:rPr>
          <w:i/>
          <w:sz w:val="22"/>
          <w:szCs w:val="22"/>
        </w:rPr>
        <w:t>Notice of Proposed Rulemaking</w:t>
      </w:r>
      <w:r w:rsidRPr="005D086A">
        <w:rPr>
          <w:sz w:val="22"/>
          <w:szCs w:val="22"/>
        </w:rPr>
        <w:t xml:space="preserve"> (</w:t>
      </w:r>
      <w:r w:rsidR="00EE4946" w:rsidRPr="005D086A">
        <w:rPr>
          <w:i/>
          <w:sz w:val="22"/>
          <w:szCs w:val="22"/>
        </w:rPr>
        <w:t>AWS-3 NPRM</w:t>
      </w:r>
      <w:r w:rsidRPr="005D086A">
        <w:rPr>
          <w:sz w:val="22"/>
          <w:szCs w:val="22"/>
        </w:rPr>
        <w:t>) proposing allocation, service, licensing, and technical rules for a number of spectrum bands, collectively referred to as AWS-3.</w:t>
      </w:r>
      <w:r w:rsidR="0099396F" w:rsidRPr="005D086A">
        <w:rPr>
          <w:rStyle w:val="FootnoteReference"/>
          <w:sz w:val="22"/>
          <w:szCs w:val="22"/>
        </w:rPr>
        <w:footnoteReference w:id="2"/>
      </w:r>
      <w:r w:rsidRPr="005D086A">
        <w:rPr>
          <w:sz w:val="22"/>
          <w:szCs w:val="22"/>
        </w:rPr>
        <w:t xml:space="preserve">  The </w:t>
      </w:r>
      <w:r w:rsidR="00EE4946" w:rsidRPr="005D086A">
        <w:rPr>
          <w:i/>
          <w:sz w:val="22"/>
          <w:szCs w:val="22"/>
        </w:rPr>
        <w:t xml:space="preserve">AWS-3 NPRM </w:t>
      </w:r>
      <w:r w:rsidRPr="005D086A">
        <w:rPr>
          <w:sz w:val="22"/>
          <w:szCs w:val="22"/>
        </w:rPr>
        <w:t xml:space="preserve">implements the Congressional directive in the Middle Class Tax Relief and Job Creation Act of 2012 to auction and license certain spectrum bands by February 2015.  </w:t>
      </w:r>
      <w:r w:rsidR="00102348" w:rsidRPr="005D086A">
        <w:rPr>
          <w:sz w:val="22"/>
          <w:szCs w:val="22"/>
        </w:rPr>
        <w:t xml:space="preserve">This </w:t>
      </w:r>
      <w:r w:rsidR="00102348" w:rsidRPr="005D086A">
        <w:rPr>
          <w:i/>
          <w:sz w:val="22"/>
          <w:szCs w:val="22"/>
        </w:rPr>
        <w:t>Public Notice</w:t>
      </w:r>
      <w:r w:rsidR="00102348" w:rsidRPr="005D086A">
        <w:rPr>
          <w:sz w:val="22"/>
          <w:szCs w:val="22"/>
        </w:rPr>
        <w:t xml:space="preserve"> clarifies the </w:t>
      </w:r>
      <w:r w:rsidR="00102348" w:rsidRPr="005D086A">
        <w:rPr>
          <w:i/>
          <w:sz w:val="22"/>
          <w:szCs w:val="22"/>
        </w:rPr>
        <w:t>ex parte</w:t>
      </w:r>
      <w:r w:rsidR="00102348" w:rsidRPr="005D086A">
        <w:rPr>
          <w:sz w:val="22"/>
          <w:szCs w:val="22"/>
        </w:rPr>
        <w:t xml:space="preserve"> status of certain presentations in this proceeding.</w:t>
      </w:r>
    </w:p>
    <w:p w:rsidR="00EE4946" w:rsidRPr="005D086A" w:rsidRDefault="00A348C4" w:rsidP="00BD2671">
      <w:pPr>
        <w:spacing w:after="240"/>
        <w:rPr>
          <w:sz w:val="22"/>
          <w:szCs w:val="22"/>
        </w:rPr>
      </w:pPr>
      <w:r w:rsidRPr="005D086A">
        <w:rPr>
          <w:sz w:val="22"/>
          <w:szCs w:val="22"/>
        </w:rPr>
        <w:t xml:space="preserve">The </w:t>
      </w:r>
      <w:r w:rsidR="00EE4946" w:rsidRPr="005D086A">
        <w:rPr>
          <w:i/>
          <w:sz w:val="22"/>
          <w:szCs w:val="22"/>
        </w:rPr>
        <w:t xml:space="preserve">AWS-3 NPRM </w:t>
      </w:r>
      <w:r w:rsidR="00EE4946" w:rsidRPr="005D086A">
        <w:rPr>
          <w:sz w:val="22"/>
          <w:szCs w:val="22"/>
        </w:rPr>
        <w:t xml:space="preserve"> proposes or seeks comment on recommendations that </w:t>
      </w:r>
      <w:r w:rsidRPr="005D086A">
        <w:rPr>
          <w:sz w:val="22"/>
          <w:szCs w:val="22"/>
        </w:rPr>
        <w:t xml:space="preserve">the </w:t>
      </w:r>
      <w:r w:rsidR="002A29EB" w:rsidRPr="005D086A">
        <w:rPr>
          <w:sz w:val="22"/>
          <w:szCs w:val="22"/>
        </w:rPr>
        <w:t>Commerce</w:t>
      </w:r>
      <w:r w:rsidRPr="005D086A">
        <w:rPr>
          <w:sz w:val="22"/>
          <w:szCs w:val="22"/>
        </w:rPr>
        <w:t xml:space="preserve"> Spectrum Manage</w:t>
      </w:r>
      <w:r w:rsidR="002A29EB" w:rsidRPr="005D086A">
        <w:rPr>
          <w:sz w:val="22"/>
          <w:szCs w:val="22"/>
        </w:rPr>
        <w:t>ment Advisory Committee (CSMAC)</w:t>
      </w:r>
      <w:r w:rsidR="00BD2671" w:rsidRPr="005D086A">
        <w:rPr>
          <w:sz w:val="22"/>
          <w:szCs w:val="22"/>
        </w:rPr>
        <w:t xml:space="preserve"> </w:t>
      </w:r>
      <w:r w:rsidR="00EE4946" w:rsidRPr="005D086A">
        <w:rPr>
          <w:sz w:val="22"/>
          <w:szCs w:val="22"/>
        </w:rPr>
        <w:t xml:space="preserve">made to the National Telecommunications and Information Administration (NTIA), and that NTIA endorsed and recommended to the FCC </w:t>
      </w:r>
      <w:r w:rsidR="00BD2671" w:rsidRPr="005D086A">
        <w:rPr>
          <w:sz w:val="22"/>
          <w:szCs w:val="22"/>
        </w:rPr>
        <w:t>regarding commercial wireless use of 1695-1710 MHz</w:t>
      </w:r>
      <w:r w:rsidR="002A29EB" w:rsidRPr="005D086A">
        <w:rPr>
          <w:sz w:val="22"/>
          <w:szCs w:val="22"/>
        </w:rPr>
        <w:t>.</w:t>
      </w:r>
      <w:r w:rsidR="00BD2671" w:rsidRPr="005D086A">
        <w:rPr>
          <w:rStyle w:val="FootnoteReference"/>
          <w:sz w:val="22"/>
          <w:szCs w:val="22"/>
        </w:rPr>
        <w:footnoteReference w:id="3"/>
      </w:r>
      <w:r w:rsidR="007C1750" w:rsidRPr="005D086A">
        <w:rPr>
          <w:sz w:val="22"/>
          <w:szCs w:val="22"/>
        </w:rPr>
        <w:t xml:space="preserve">  </w:t>
      </w:r>
      <w:r w:rsidR="00EE4946" w:rsidRPr="005D086A">
        <w:rPr>
          <w:sz w:val="22"/>
          <w:szCs w:val="22"/>
        </w:rPr>
        <w:t xml:space="preserve">The Commission states in the </w:t>
      </w:r>
      <w:r w:rsidR="00EE4946" w:rsidRPr="005D086A">
        <w:rPr>
          <w:i/>
          <w:sz w:val="22"/>
          <w:szCs w:val="22"/>
        </w:rPr>
        <w:t>AWS-3 NPRM</w:t>
      </w:r>
      <w:r w:rsidR="00EE4946" w:rsidRPr="005D086A">
        <w:rPr>
          <w:sz w:val="22"/>
          <w:szCs w:val="22"/>
        </w:rPr>
        <w:t xml:space="preserve"> that the record will be informed by future CSMAC reports on the 1755-1780/1850 MHz band and that, if NTIA endorses these recommendations, they will be added to record.</w:t>
      </w:r>
      <w:r w:rsidR="00792DD9" w:rsidRPr="005D086A">
        <w:rPr>
          <w:rStyle w:val="FootnoteReference"/>
          <w:sz w:val="22"/>
          <w:szCs w:val="22"/>
        </w:rPr>
        <w:footnoteReference w:id="4"/>
      </w:r>
      <w:r w:rsidR="00EE4946" w:rsidRPr="005D086A">
        <w:rPr>
          <w:sz w:val="22"/>
          <w:szCs w:val="22"/>
        </w:rPr>
        <w:t xml:space="preserve">  </w:t>
      </w:r>
    </w:p>
    <w:p w:rsidR="00A348C4" w:rsidRDefault="002A29EB" w:rsidP="00BD2671">
      <w:pPr>
        <w:spacing w:after="240"/>
        <w:rPr>
          <w:sz w:val="22"/>
          <w:szCs w:val="22"/>
        </w:rPr>
      </w:pPr>
      <w:r w:rsidRPr="005D086A">
        <w:rPr>
          <w:sz w:val="22"/>
          <w:szCs w:val="22"/>
        </w:rPr>
        <w:t>CSMAC is</w:t>
      </w:r>
      <w:r w:rsidR="00A348C4" w:rsidRPr="005D086A">
        <w:rPr>
          <w:sz w:val="22"/>
          <w:szCs w:val="22"/>
        </w:rPr>
        <w:t xml:space="preserve"> an advisory committee created for the purpose of </w:t>
      </w:r>
      <w:r w:rsidRPr="005D086A">
        <w:rPr>
          <w:sz w:val="22"/>
          <w:szCs w:val="22"/>
        </w:rPr>
        <w:t>advising NTIA on spectrum policy issues</w:t>
      </w:r>
      <w:r w:rsidR="00EE4946" w:rsidRPr="005D086A">
        <w:rPr>
          <w:sz w:val="22"/>
          <w:szCs w:val="22"/>
        </w:rPr>
        <w:t xml:space="preserve">.  CSMAC consists of private-sector </w:t>
      </w:r>
      <w:r w:rsidR="00FD51F8" w:rsidRPr="005D086A">
        <w:rPr>
          <w:sz w:val="22"/>
          <w:szCs w:val="22"/>
        </w:rPr>
        <w:t>“</w:t>
      </w:r>
      <w:r w:rsidR="00EE4946" w:rsidRPr="005D086A">
        <w:rPr>
          <w:sz w:val="22"/>
          <w:szCs w:val="22"/>
        </w:rPr>
        <w:t>S</w:t>
      </w:r>
      <w:r w:rsidR="00FD51F8" w:rsidRPr="005D086A">
        <w:rPr>
          <w:sz w:val="22"/>
          <w:szCs w:val="22"/>
        </w:rPr>
        <w:t xml:space="preserve">pecial </w:t>
      </w:r>
      <w:r w:rsidR="00EE4946" w:rsidRPr="005D086A">
        <w:rPr>
          <w:sz w:val="22"/>
          <w:szCs w:val="22"/>
        </w:rPr>
        <w:t>G</w:t>
      </w:r>
      <w:r w:rsidR="00FD51F8" w:rsidRPr="005D086A">
        <w:rPr>
          <w:sz w:val="22"/>
          <w:szCs w:val="22"/>
        </w:rPr>
        <w:t xml:space="preserve">overnment </w:t>
      </w:r>
      <w:r w:rsidR="00EE4946" w:rsidRPr="005D086A">
        <w:rPr>
          <w:sz w:val="22"/>
          <w:szCs w:val="22"/>
        </w:rPr>
        <w:t>E</w:t>
      </w:r>
      <w:r w:rsidR="00FD51F8" w:rsidRPr="005D086A">
        <w:rPr>
          <w:sz w:val="22"/>
          <w:szCs w:val="22"/>
        </w:rPr>
        <w:t>mployee</w:t>
      </w:r>
      <w:r w:rsidR="00EE4946" w:rsidRPr="005D086A">
        <w:rPr>
          <w:sz w:val="22"/>
          <w:szCs w:val="22"/>
        </w:rPr>
        <w:t>s</w:t>
      </w:r>
      <w:r w:rsidR="00FD51F8" w:rsidRPr="005D086A">
        <w:rPr>
          <w:sz w:val="22"/>
          <w:szCs w:val="22"/>
        </w:rPr>
        <w:t>”</w:t>
      </w:r>
      <w:r w:rsidR="00EE4946" w:rsidRPr="005D086A">
        <w:rPr>
          <w:sz w:val="22"/>
          <w:szCs w:val="22"/>
        </w:rPr>
        <w:t xml:space="preserve"> appointed by NTIA to provide advice and recommendations on U.S. spectrum management policy</w:t>
      </w:r>
      <w:r w:rsidR="00BD2671" w:rsidRPr="005D086A">
        <w:rPr>
          <w:sz w:val="22"/>
          <w:szCs w:val="22"/>
        </w:rPr>
        <w:t>.</w:t>
      </w:r>
      <w:r w:rsidR="00BD2671" w:rsidRPr="005D086A">
        <w:rPr>
          <w:rStyle w:val="FootnoteReference"/>
          <w:sz w:val="22"/>
          <w:szCs w:val="22"/>
        </w:rPr>
        <w:footnoteReference w:id="5"/>
      </w:r>
      <w:r w:rsidR="00BD2671" w:rsidRPr="005D086A">
        <w:rPr>
          <w:sz w:val="22"/>
          <w:szCs w:val="22"/>
        </w:rPr>
        <w:t xml:space="preserve"> </w:t>
      </w:r>
      <w:r w:rsidRPr="005D086A">
        <w:rPr>
          <w:sz w:val="22"/>
          <w:szCs w:val="22"/>
        </w:rPr>
        <w:t xml:space="preserve"> </w:t>
      </w:r>
      <w:r w:rsidR="00A348C4" w:rsidRPr="005D086A">
        <w:rPr>
          <w:sz w:val="22"/>
          <w:szCs w:val="22"/>
        </w:rPr>
        <w:t xml:space="preserve">Commission staff </w:t>
      </w:r>
      <w:r w:rsidR="00CE0EBD">
        <w:rPr>
          <w:sz w:val="22"/>
          <w:szCs w:val="22"/>
        </w:rPr>
        <w:t>has been</w:t>
      </w:r>
      <w:r w:rsidR="00BD2671" w:rsidRPr="005D086A">
        <w:rPr>
          <w:sz w:val="22"/>
          <w:szCs w:val="22"/>
        </w:rPr>
        <w:t xml:space="preserve"> present at meetings of the full CSMAC and </w:t>
      </w:r>
      <w:r w:rsidR="00A348C4" w:rsidRPr="005D086A">
        <w:rPr>
          <w:sz w:val="22"/>
          <w:szCs w:val="22"/>
        </w:rPr>
        <w:t xml:space="preserve">participates in </w:t>
      </w:r>
      <w:r w:rsidR="00EE4946" w:rsidRPr="005D086A">
        <w:rPr>
          <w:sz w:val="22"/>
          <w:szCs w:val="22"/>
        </w:rPr>
        <w:t xml:space="preserve">CSMAC’s </w:t>
      </w:r>
      <w:r w:rsidR="00BD2671" w:rsidRPr="005D086A">
        <w:rPr>
          <w:sz w:val="22"/>
          <w:szCs w:val="22"/>
        </w:rPr>
        <w:t>five working groups.</w:t>
      </w:r>
      <w:r w:rsidR="00034502">
        <w:rPr>
          <w:sz w:val="22"/>
          <w:szCs w:val="22"/>
        </w:rPr>
        <w:t xml:space="preserve">  Commission staff’s participation in these meetings, and the free flow of information during the meetings, is essential to gaining an understanding of the issues implicated in making 1695-1710 MHz and 1755-1780 MHz available for commercial </w:t>
      </w:r>
      <w:r w:rsidR="001533EA">
        <w:rPr>
          <w:sz w:val="22"/>
          <w:szCs w:val="22"/>
        </w:rPr>
        <w:t xml:space="preserve">wireless </w:t>
      </w:r>
      <w:r w:rsidR="00034502">
        <w:rPr>
          <w:sz w:val="22"/>
          <w:szCs w:val="22"/>
        </w:rPr>
        <w:t xml:space="preserve">use.  </w:t>
      </w:r>
    </w:p>
    <w:p w:rsidR="00034502" w:rsidRPr="005D086A" w:rsidRDefault="006037B7" w:rsidP="00BD2671">
      <w:pPr>
        <w:spacing w:after="240"/>
        <w:rPr>
          <w:sz w:val="22"/>
          <w:szCs w:val="22"/>
        </w:rPr>
      </w:pPr>
      <w:r>
        <w:rPr>
          <w:sz w:val="22"/>
          <w:szCs w:val="22"/>
        </w:rPr>
        <w:lastRenderedPageBreak/>
        <w:t>While t</w:t>
      </w:r>
      <w:r w:rsidR="00034502">
        <w:rPr>
          <w:sz w:val="22"/>
          <w:szCs w:val="22"/>
        </w:rPr>
        <w:t>he CSMAC’s meetings are open to the public</w:t>
      </w:r>
      <w:r>
        <w:rPr>
          <w:sz w:val="22"/>
          <w:szCs w:val="22"/>
        </w:rPr>
        <w:t xml:space="preserve">, </w:t>
      </w:r>
      <w:r w:rsidR="00034502">
        <w:rPr>
          <w:sz w:val="22"/>
          <w:szCs w:val="22"/>
        </w:rPr>
        <w:t xml:space="preserve">the FCC’s </w:t>
      </w:r>
      <w:r w:rsidR="00034502">
        <w:rPr>
          <w:i/>
          <w:sz w:val="22"/>
          <w:szCs w:val="22"/>
        </w:rPr>
        <w:t>ex parte</w:t>
      </w:r>
      <w:r w:rsidR="00034502">
        <w:rPr>
          <w:sz w:val="22"/>
          <w:szCs w:val="22"/>
        </w:rPr>
        <w:t xml:space="preserve"> requirements</w:t>
      </w:r>
      <w:r w:rsidR="00943739">
        <w:rPr>
          <w:sz w:val="22"/>
          <w:szCs w:val="22"/>
        </w:rPr>
        <w:t xml:space="preserve"> could, depending on the particular factual circumstances,</w:t>
      </w:r>
      <w:r>
        <w:rPr>
          <w:sz w:val="22"/>
          <w:szCs w:val="22"/>
        </w:rPr>
        <w:t xml:space="preserve"> </w:t>
      </w:r>
      <w:r w:rsidR="00A05AFF">
        <w:rPr>
          <w:sz w:val="22"/>
          <w:szCs w:val="22"/>
        </w:rPr>
        <w:t>be</w:t>
      </w:r>
      <w:r w:rsidR="00034502">
        <w:rPr>
          <w:sz w:val="22"/>
          <w:szCs w:val="22"/>
        </w:rPr>
        <w:t xml:space="preserve"> triggered</w:t>
      </w:r>
      <w:r>
        <w:rPr>
          <w:sz w:val="22"/>
          <w:szCs w:val="22"/>
        </w:rPr>
        <w:t xml:space="preserve"> if FCC decision makers are present, and oral or written presentations are made</w:t>
      </w:r>
      <w:r w:rsidR="00034502">
        <w:rPr>
          <w:sz w:val="22"/>
          <w:szCs w:val="22"/>
        </w:rPr>
        <w:t>.</w:t>
      </w:r>
      <w:r>
        <w:rPr>
          <w:rStyle w:val="FootnoteReference"/>
          <w:sz w:val="22"/>
          <w:szCs w:val="22"/>
        </w:rPr>
        <w:footnoteReference w:id="6"/>
      </w:r>
      <w:r w:rsidR="00034502">
        <w:rPr>
          <w:sz w:val="22"/>
          <w:szCs w:val="22"/>
        </w:rPr>
        <w:t xml:space="preserve">  </w:t>
      </w:r>
      <w:r>
        <w:rPr>
          <w:sz w:val="22"/>
          <w:szCs w:val="22"/>
        </w:rPr>
        <w:t>Similarly, meetings of the CSMAC</w:t>
      </w:r>
      <w:r w:rsidR="002254F2">
        <w:rPr>
          <w:sz w:val="22"/>
          <w:szCs w:val="22"/>
        </w:rPr>
        <w:t>’s five</w:t>
      </w:r>
      <w:r>
        <w:rPr>
          <w:sz w:val="22"/>
          <w:szCs w:val="22"/>
        </w:rPr>
        <w:t xml:space="preserve"> working groups </w:t>
      </w:r>
      <w:r w:rsidR="00943739">
        <w:rPr>
          <w:sz w:val="22"/>
          <w:szCs w:val="22"/>
        </w:rPr>
        <w:t xml:space="preserve">could, depending on the particular factual circumstances, </w:t>
      </w:r>
      <w:r>
        <w:rPr>
          <w:sz w:val="22"/>
          <w:szCs w:val="22"/>
        </w:rPr>
        <w:t xml:space="preserve">be subject to the Commission’s </w:t>
      </w:r>
      <w:r>
        <w:rPr>
          <w:i/>
          <w:sz w:val="22"/>
          <w:szCs w:val="22"/>
        </w:rPr>
        <w:t xml:space="preserve">ex parte </w:t>
      </w:r>
      <w:r>
        <w:rPr>
          <w:sz w:val="22"/>
          <w:szCs w:val="22"/>
        </w:rPr>
        <w:t xml:space="preserve">rules </w:t>
      </w:r>
      <w:r w:rsidR="00810469">
        <w:rPr>
          <w:sz w:val="22"/>
          <w:szCs w:val="22"/>
        </w:rPr>
        <w:t xml:space="preserve">when FCC decision makers are present, </w:t>
      </w:r>
      <w:r>
        <w:rPr>
          <w:sz w:val="22"/>
          <w:szCs w:val="22"/>
        </w:rPr>
        <w:t xml:space="preserve">if </w:t>
      </w:r>
      <w:r w:rsidR="00810469">
        <w:rPr>
          <w:sz w:val="22"/>
          <w:szCs w:val="22"/>
        </w:rPr>
        <w:t xml:space="preserve">oral or written </w:t>
      </w:r>
      <w:r w:rsidR="00810469">
        <w:rPr>
          <w:i/>
          <w:sz w:val="22"/>
          <w:szCs w:val="22"/>
        </w:rPr>
        <w:t xml:space="preserve">ex parte </w:t>
      </w:r>
      <w:r w:rsidR="00810469">
        <w:rPr>
          <w:sz w:val="22"/>
          <w:szCs w:val="22"/>
        </w:rPr>
        <w:t>presentations are made.</w:t>
      </w:r>
      <w:r>
        <w:rPr>
          <w:sz w:val="22"/>
          <w:szCs w:val="22"/>
        </w:rPr>
        <w:t xml:space="preserve"> </w:t>
      </w:r>
      <w:r w:rsidR="00810469">
        <w:rPr>
          <w:sz w:val="22"/>
          <w:szCs w:val="22"/>
        </w:rPr>
        <w:t xml:space="preserve"> </w:t>
      </w:r>
      <w:r>
        <w:rPr>
          <w:sz w:val="22"/>
          <w:szCs w:val="22"/>
        </w:rPr>
        <w:t>P</w:t>
      </w:r>
      <w:r w:rsidR="00034502" w:rsidRPr="00034502">
        <w:rPr>
          <w:sz w:val="22"/>
          <w:szCs w:val="22"/>
        </w:rPr>
        <w:t>ursuant to our authority under Section 1.1200 of the Commission’s rules</w:t>
      </w:r>
      <w:r>
        <w:rPr>
          <w:sz w:val="22"/>
          <w:szCs w:val="22"/>
        </w:rPr>
        <w:t>,</w:t>
      </w:r>
      <w:r w:rsidR="00034502" w:rsidRPr="00034502">
        <w:rPr>
          <w:sz w:val="22"/>
          <w:szCs w:val="22"/>
        </w:rPr>
        <w:t xml:space="preserve"> we </w:t>
      </w:r>
      <w:r w:rsidR="00810469">
        <w:rPr>
          <w:sz w:val="22"/>
          <w:szCs w:val="22"/>
        </w:rPr>
        <w:t xml:space="preserve">establish a limited </w:t>
      </w:r>
      <w:r w:rsidR="00034502" w:rsidRPr="00034502">
        <w:rPr>
          <w:sz w:val="22"/>
          <w:szCs w:val="22"/>
        </w:rPr>
        <w:t>exempt</w:t>
      </w:r>
      <w:r w:rsidR="00810469">
        <w:rPr>
          <w:sz w:val="22"/>
          <w:szCs w:val="22"/>
        </w:rPr>
        <w:t>ion in the AWS-3 proceeding</w:t>
      </w:r>
      <w:r w:rsidR="00034502" w:rsidRPr="00034502">
        <w:rPr>
          <w:sz w:val="22"/>
          <w:szCs w:val="22"/>
        </w:rPr>
        <w:t xml:space="preserve"> </w:t>
      </w:r>
      <w:r w:rsidR="00810469">
        <w:rPr>
          <w:sz w:val="22"/>
          <w:szCs w:val="22"/>
        </w:rPr>
        <w:t xml:space="preserve">(GN Docket No. 13-185) </w:t>
      </w:r>
      <w:r w:rsidR="00034502" w:rsidRPr="00034502">
        <w:rPr>
          <w:sz w:val="22"/>
          <w:szCs w:val="22"/>
        </w:rPr>
        <w:t xml:space="preserve">from the </w:t>
      </w:r>
      <w:r w:rsidR="00034502" w:rsidRPr="00034502">
        <w:rPr>
          <w:i/>
          <w:sz w:val="22"/>
          <w:szCs w:val="22"/>
        </w:rPr>
        <w:t xml:space="preserve">ex parte </w:t>
      </w:r>
      <w:r w:rsidR="00034502" w:rsidRPr="00034502">
        <w:rPr>
          <w:sz w:val="22"/>
          <w:szCs w:val="22"/>
        </w:rPr>
        <w:t>disclosure requirements of Section 1.1206 presentations made in formally organized meetings of the CSMAC at which FCC staff is present, and meetings held in connection with CSMAC, including working groups in which FCC staff is a participant.</w:t>
      </w:r>
      <w:r w:rsidR="00034502" w:rsidRPr="00034502">
        <w:rPr>
          <w:sz w:val="22"/>
          <w:szCs w:val="22"/>
          <w:vertAlign w:val="superscript"/>
        </w:rPr>
        <w:footnoteReference w:id="7"/>
      </w:r>
      <w:r w:rsidR="00034502" w:rsidRPr="00034502">
        <w:rPr>
          <w:sz w:val="22"/>
          <w:szCs w:val="22"/>
        </w:rPr>
        <w:t xml:space="preserve">  </w:t>
      </w:r>
      <w:r w:rsidR="00810469">
        <w:rPr>
          <w:sz w:val="22"/>
          <w:szCs w:val="22"/>
        </w:rPr>
        <w:t xml:space="preserve">Such presentations will be exempt to the same extent as presentations </w:t>
      </w:r>
      <w:r w:rsidR="005D4DCA">
        <w:rPr>
          <w:sz w:val="22"/>
          <w:szCs w:val="22"/>
        </w:rPr>
        <w:t xml:space="preserve">are </w:t>
      </w:r>
      <w:r w:rsidR="00810469">
        <w:rPr>
          <w:sz w:val="22"/>
          <w:szCs w:val="22"/>
        </w:rPr>
        <w:t>exempt under the shared jurisdiction exemption of Section 1.1204(a)(5)</w:t>
      </w:r>
      <w:r w:rsidR="002254F2">
        <w:rPr>
          <w:sz w:val="22"/>
          <w:szCs w:val="22"/>
        </w:rPr>
        <w:t>.</w:t>
      </w:r>
      <w:r w:rsidR="000C0E51">
        <w:rPr>
          <w:rStyle w:val="FootnoteReference"/>
          <w:sz w:val="22"/>
          <w:szCs w:val="22"/>
        </w:rPr>
        <w:footnoteReference w:id="8"/>
      </w:r>
      <w:r w:rsidR="000C0E51">
        <w:rPr>
          <w:sz w:val="22"/>
          <w:szCs w:val="22"/>
        </w:rPr>
        <w:t xml:space="preserve">  </w:t>
      </w:r>
      <w:r w:rsidR="00034502">
        <w:rPr>
          <w:sz w:val="22"/>
          <w:szCs w:val="22"/>
        </w:rPr>
        <w:t xml:space="preserve">We note that this exemption </w:t>
      </w:r>
      <w:r w:rsidR="001533EA">
        <w:rPr>
          <w:sz w:val="22"/>
          <w:szCs w:val="22"/>
        </w:rPr>
        <w:t>does not change</w:t>
      </w:r>
      <w:r w:rsidR="00034502">
        <w:rPr>
          <w:sz w:val="22"/>
          <w:szCs w:val="22"/>
        </w:rPr>
        <w:t xml:space="preserve"> the nature of </w:t>
      </w:r>
      <w:r w:rsidR="00521381">
        <w:rPr>
          <w:sz w:val="22"/>
          <w:szCs w:val="22"/>
        </w:rPr>
        <w:t>public</w:t>
      </w:r>
      <w:r w:rsidR="00034502">
        <w:rPr>
          <w:sz w:val="22"/>
          <w:szCs w:val="22"/>
        </w:rPr>
        <w:t xml:space="preserve"> CSMAC proceedings</w:t>
      </w:r>
      <w:r w:rsidR="00363722">
        <w:rPr>
          <w:sz w:val="22"/>
          <w:szCs w:val="22"/>
        </w:rPr>
        <w:t xml:space="preserve">; it simply allows FCC staff to participate without triggering disclosure requirements under the Commission’s </w:t>
      </w:r>
      <w:r w:rsidR="00363722">
        <w:rPr>
          <w:i/>
          <w:sz w:val="22"/>
          <w:szCs w:val="22"/>
        </w:rPr>
        <w:t xml:space="preserve">ex parte </w:t>
      </w:r>
      <w:r w:rsidR="00363722">
        <w:rPr>
          <w:sz w:val="22"/>
          <w:szCs w:val="22"/>
        </w:rPr>
        <w:t>rules</w:t>
      </w:r>
      <w:r w:rsidR="00034502">
        <w:rPr>
          <w:sz w:val="22"/>
          <w:szCs w:val="22"/>
        </w:rPr>
        <w:t>.</w:t>
      </w:r>
    </w:p>
    <w:p w:rsidR="003A1501" w:rsidRPr="005D086A" w:rsidRDefault="001D1BE1" w:rsidP="00BD2671">
      <w:pPr>
        <w:spacing w:after="240"/>
        <w:rPr>
          <w:sz w:val="22"/>
          <w:szCs w:val="22"/>
        </w:rPr>
      </w:pPr>
      <w:r w:rsidRPr="005D086A">
        <w:rPr>
          <w:sz w:val="22"/>
          <w:szCs w:val="22"/>
        </w:rPr>
        <w:t xml:space="preserve">The </w:t>
      </w:r>
      <w:r w:rsidRPr="005D086A">
        <w:rPr>
          <w:i/>
          <w:sz w:val="22"/>
          <w:szCs w:val="22"/>
        </w:rPr>
        <w:t>AWS-3 NPRM</w:t>
      </w:r>
      <w:r w:rsidRPr="005D086A">
        <w:rPr>
          <w:sz w:val="22"/>
          <w:szCs w:val="22"/>
        </w:rPr>
        <w:t xml:space="preserve"> </w:t>
      </w:r>
      <w:r w:rsidR="00034502">
        <w:rPr>
          <w:sz w:val="22"/>
          <w:szCs w:val="22"/>
        </w:rPr>
        <w:t xml:space="preserve">also </w:t>
      </w:r>
      <w:r w:rsidR="00DD05F2">
        <w:rPr>
          <w:sz w:val="22"/>
          <w:szCs w:val="22"/>
        </w:rPr>
        <w:t xml:space="preserve">seeks comment on issues regarding relocating </w:t>
      </w:r>
      <w:r w:rsidR="003D47FE">
        <w:rPr>
          <w:sz w:val="22"/>
          <w:szCs w:val="22"/>
        </w:rPr>
        <w:t>f</w:t>
      </w:r>
      <w:r w:rsidR="00DD05F2">
        <w:rPr>
          <w:sz w:val="22"/>
          <w:szCs w:val="22"/>
        </w:rPr>
        <w:t>ederal users</w:t>
      </w:r>
      <w:r w:rsidR="0068504A">
        <w:rPr>
          <w:sz w:val="22"/>
          <w:szCs w:val="22"/>
        </w:rPr>
        <w:t xml:space="preserve"> in 1695-1710 MHz and 1755-1780 MHz</w:t>
      </w:r>
      <w:r w:rsidR="00DD05F2">
        <w:rPr>
          <w:sz w:val="22"/>
          <w:szCs w:val="22"/>
        </w:rPr>
        <w:t>, spectrum sharing between commercial and federal users</w:t>
      </w:r>
      <w:r w:rsidR="0068504A">
        <w:rPr>
          <w:sz w:val="22"/>
          <w:szCs w:val="22"/>
        </w:rPr>
        <w:t xml:space="preserve"> in 1695-1710 MHz and 1755-1780 MHz</w:t>
      </w:r>
      <w:r w:rsidR="00DD05F2">
        <w:rPr>
          <w:sz w:val="22"/>
          <w:szCs w:val="22"/>
        </w:rPr>
        <w:t>,</w:t>
      </w:r>
      <w:r w:rsidRPr="005D086A">
        <w:rPr>
          <w:sz w:val="22"/>
          <w:szCs w:val="22"/>
        </w:rPr>
        <w:t xml:space="preserve"> and implementation matters related to the Spectrum Relocation Fund and the Public Safety Trust Fund.  Discussions regarding these matters</w:t>
      </w:r>
      <w:r w:rsidR="000C0E51">
        <w:rPr>
          <w:sz w:val="22"/>
          <w:szCs w:val="22"/>
        </w:rPr>
        <w:t xml:space="preserve">, not open to the public, occur between or among </w:t>
      </w:r>
      <w:r w:rsidRPr="005D086A">
        <w:rPr>
          <w:sz w:val="22"/>
          <w:szCs w:val="22"/>
        </w:rPr>
        <w:t xml:space="preserve">several agencies or branches of the Federal Government.  </w:t>
      </w:r>
      <w:r w:rsidR="00A348C4" w:rsidRPr="005D086A">
        <w:rPr>
          <w:sz w:val="22"/>
          <w:szCs w:val="22"/>
        </w:rPr>
        <w:t>Commission staff is regularly engaged with staff from NTIA, the Department of Defense</w:t>
      </w:r>
      <w:r w:rsidR="0090354A" w:rsidRPr="005D086A">
        <w:rPr>
          <w:sz w:val="22"/>
          <w:szCs w:val="22"/>
        </w:rPr>
        <w:t xml:space="preserve"> (DoD)</w:t>
      </w:r>
      <w:r w:rsidR="00A348C4" w:rsidRPr="005D086A">
        <w:rPr>
          <w:sz w:val="22"/>
          <w:szCs w:val="22"/>
        </w:rPr>
        <w:t>, the Office of Management and Budget</w:t>
      </w:r>
      <w:r w:rsidR="0090354A" w:rsidRPr="005D086A">
        <w:rPr>
          <w:sz w:val="22"/>
          <w:szCs w:val="22"/>
        </w:rPr>
        <w:t xml:space="preserve"> (OMB)</w:t>
      </w:r>
      <w:r w:rsidR="00A348C4" w:rsidRPr="005D086A">
        <w:rPr>
          <w:sz w:val="22"/>
          <w:szCs w:val="22"/>
        </w:rPr>
        <w:t>, the Office of Science and Technology Policy</w:t>
      </w:r>
      <w:r w:rsidR="0090354A" w:rsidRPr="005D086A">
        <w:rPr>
          <w:sz w:val="22"/>
          <w:szCs w:val="22"/>
        </w:rPr>
        <w:t xml:space="preserve"> (OSTP)</w:t>
      </w:r>
      <w:r w:rsidR="00BD2671" w:rsidRPr="005D086A">
        <w:rPr>
          <w:sz w:val="22"/>
          <w:szCs w:val="22"/>
        </w:rPr>
        <w:t xml:space="preserve">, </w:t>
      </w:r>
      <w:r w:rsidRPr="005D086A">
        <w:rPr>
          <w:sz w:val="22"/>
          <w:szCs w:val="22"/>
        </w:rPr>
        <w:t xml:space="preserve">the Department of Justice (DoJ), the National Oceanic and Atmospheric Administration (NOAA), </w:t>
      </w:r>
      <w:r w:rsidR="00BD2671" w:rsidRPr="005D086A">
        <w:rPr>
          <w:sz w:val="22"/>
          <w:szCs w:val="22"/>
        </w:rPr>
        <w:t xml:space="preserve">and other </w:t>
      </w:r>
      <w:r w:rsidR="0015491E">
        <w:rPr>
          <w:sz w:val="22"/>
          <w:szCs w:val="22"/>
        </w:rPr>
        <w:t>f</w:t>
      </w:r>
      <w:r w:rsidR="00BD2671" w:rsidRPr="005D086A">
        <w:rPr>
          <w:sz w:val="22"/>
          <w:szCs w:val="22"/>
        </w:rPr>
        <w:t xml:space="preserve">ederal agencies </w:t>
      </w:r>
      <w:r w:rsidR="007C1750" w:rsidRPr="005D086A">
        <w:rPr>
          <w:sz w:val="22"/>
          <w:szCs w:val="22"/>
        </w:rPr>
        <w:t xml:space="preserve">and offices </w:t>
      </w:r>
      <w:r w:rsidR="00BD2671" w:rsidRPr="005D086A">
        <w:rPr>
          <w:sz w:val="22"/>
          <w:szCs w:val="22"/>
        </w:rPr>
        <w:t xml:space="preserve">for the purpose of </w:t>
      </w:r>
      <w:r w:rsidR="002F31DA" w:rsidRPr="005D086A">
        <w:rPr>
          <w:sz w:val="22"/>
          <w:szCs w:val="22"/>
        </w:rPr>
        <w:t xml:space="preserve">coordinating these matters, including but not limited to </w:t>
      </w:r>
      <w:r w:rsidR="00BD2671" w:rsidRPr="005D086A">
        <w:rPr>
          <w:sz w:val="22"/>
          <w:szCs w:val="22"/>
        </w:rPr>
        <w:t>f</w:t>
      </w:r>
      <w:r w:rsidR="007C1750" w:rsidRPr="005D086A">
        <w:rPr>
          <w:sz w:val="22"/>
          <w:szCs w:val="22"/>
        </w:rPr>
        <w:t xml:space="preserve">acilitating </w:t>
      </w:r>
      <w:r w:rsidR="00BD2671" w:rsidRPr="005D086A">
        <w:rPr>
          <w:sz w:val="22"/>
          <w:szCs w:val="22"/>
        </w:rPr>
        <w:t>commercial use of the 1695-1710 MHz and 1755-1780 MHz bands</w:t>
      </w:r>
      <w:r w:rsidR="00A348C4" w:rsidRPr="005D086A">
        <w:rPr>
          <w:sz w:val="22"/>
          <w:szCs w:val="22"/>
        </w:rPr>
        <w:t>.</w:t>
      </w:r>
      <w:r w:rsidR="003A1501" w:rsidRPr="005D086A">
        <w:rPr>
          <w:sz w:val="22"/>
          <w:szCs w:val="22"/>
        </w:rPr>
        <w:t xml:space="preserve">  In addition, relevant Congressional committees have sought to further</w:t>
      </w:r>
      <w:r w:rsidR="004E2658" w:rsidRPr="005D086A">
        <w:rPr>
          <w:sz w:val="22"/>
          <w:szCs w:val="22"/>
        </w:rPr>
        <w:t xml:space="preserve"> facilitate discussion </w:t>
      </w:r>
      <w:r w:rsidR="004A3D5F">
        <w:rPr>
          <w:sz w:val="22"/>
          <w:szCs w:val="22"/>
        </w:rPr>
        <w:t xml:space="preserve">among </w:t>
      </w:r>
      <w:r w:rsidR="004E2658" w:rsidRPr="005D086A">
        <w:rPr>
          <w:sz w:val="22"/>
          <w:szCs w:val="22"/>
        </w:rPr>
        <w:t>Federal Government stakeholders.</w:t>
      </w:r>
      <w:r w:rsidR="001533EA">
        <w:rPr>
          <w:sz w:val="22"/>
          <w:szCs w:val="22"/>
        </w:rPr>
        <w:t xml:space="preserve">  Some of these discussions may</w:t>
      </w:r>
      <w:r w:rsidR="00521381">
        <w:rPr>
          <w:sz w:val="22"/>
          <w:szCs w:val="22"/>
        </w:rPr>
        <w:t xml:space="preserve"> already</w:t>
      </w:r>
      <w:r w:rsidR="001533EA">
        <w:rPr>
          <w:sz w:val="22"/>
          <w:szCs w:val="22"/>
        </w:rPr>
        <w:t xml:space="preserve"> be subject to </w:t>
      </w:r>
      <w:r w:rsidR="000C0E51">
        <w:rPr>
          <w:sz w:val="22"/>
          <w:szCs w:val="22"/>
        </w:rPr>
        <w:t xml:space="preserve">the Section 1.1204(a)(5) </w:t>
      </w:r>
      <w:r w:rsidR="001533EA">
        <w:rPr>
          <w:i/>
          <w:sz w:val="22"/>
          <w:szCs w:val="22"/>
        </w:rPr>
        <w:t xml:space="preserve">ex parte </w:t>
      </w:r>
      <w:r w:rsidR="001533EA">
        <w:rPr>
          <w:sz w:val="22"/>
          <w:szCs w:val="22"/>
        </w:rPr>
        <w:t>exemption in the Commission’s rules</w:t>
      </w:r>
      <w:r w:rsidR="000C0E51">
        <w:rPr>
          <w:sz w:val="22"/>
          <w:szCs w:val="22"/>
        </w:rPr>
        <w:t>,</w:t>
      </w:r>
      <w:r w:rsidR="001533EA">
        <w:rPr>
          <w:sz w:val="22"/>
          <w:szCs w:val="22"/>
        </w:rPr>
        <w:t xml:space="preserve"> to the extent that they involve a </w:t>
      </w:r>
      <w:r w:rsidR="001533EA" w:rsidRPr="001533EA">
        <w:rPr>
          <w:sz w:val="22"/>
          <w:szCs w:val="22"/>
        </w:rPr>
        <w:t>matter over which that agency or branch and the Commission share jurisdiction</w:t>
      </w:r>
      <w:r w:rsidR="001533EA">
        <w:rPr>
          <w:sz w:val="22"/>
          <w:szCs w:val="22"/>
        </w:rPr>
        <w:t>, while others may not.</w:t>
      </w:r>
      <w:r w:rsidR="001533EA">
        <w:rPr>
          <w:rStyle w:val="FootnoteReference"/>
          <w:sz w:val="22"/>
          <w:szCs w:val="22"/>
        </w:rPr>
        <w:footnoteReference w:id="9"/>
      </w:r>
    </w:p>
    <w:p w:rsidR="00A348C4" w:rsidRPr="005D086A" w:rsidRDefault="008B67E9" w:rsidP="00BD2671">
      <w:pPr>
        <w:spacing w:after="240"/>
        <w:rPr>
          <w:sz w:val="22"/>
          <w:szCs w:val="22"/>
        </w:rPr>
      </w:pPr>
      <w:r w:rsidRPr="005D086A">
        <w:rPr>
          <w:sz w:val="22"/>
          <w:szCs w:val="22"/>
        </w:rPr>
        <w:t xml:space="preserve">We believe that these discussions </w:t>
      </w:r>
      <w:r w:rsidR="000C0E51">
        <w:rPr>
          <w:sz w:val="22"/>
          <w:szCs w:val="22"/>
        </w:rPr>
        <w:t xml:space="preserve">among </w:t>
      </w:r>
      <w:r w:rsidR="00921DE3">
        <w:rPr>
          <w:sz w:val="22"/>
          <w:szCs w:val="22"/>
        </w:rPr>
        <w:t xml:space="preserve">Federal Government personnel </w:t>
      </w:r>
      <w:r w:rsidRPr="005D086A">
        <w:rPr>
          <w:sz w:val="22"/>
          <w:szCs w:val="22"/>
        </w:rPr>
        <w:t xml:space="preserve">will benefit from </w:t>
      </w:r>
      <w:r w:rsidR="00921DE3">
        <w:rPr>
          <w:sz w:val="22"/>
          <w:szCs w:val="22"/>
        </w:rPr>
        <w:t xml:space="preserve">an uninhibited </w:t>
      </w:r>
      <w:r w:rsidRPr="005D086A">
        <w:rPr>
          <w:sz w:val="22"/>
          <w:szCs w:val="22"/>
        </w:rPr>
        <w:t xml:space="preserve">flow of information between and among all participants, </w:t>
      </w:r>
      <w:r w:rsidR="007C1750" w:rsidRPr="005D086A">
        <w:rPr>
          <w:sz w:val="22"/>
          <w:szCs w:val="22"/>
        </w:rPr>
        <w:t>including potentially sensitive information regarding strategic federal use of these bands</w:t>
      </w:r>
      <w:r w:rsidR="00CC4EB0" w:rsidRPr="005D086A">
        <w:rPr>
          <w:sz w:val="22"/>
          <w:szCs w:val="22"/>
        </w:rPr>
        <w:t xml:space="preserve">.  </w:t>
      </w:r>
      <w:r w:rsidR="00B1479B" w:rsidRPr="005D086A">
        <w:rPr>
          <w:sz w:val="22"/>
          <w:szCs w:val="22"/>
        </w:rPr>
        <w:t>Therefore, p</w:t>
      </w:r>
      <w:r w:rsidR="00A8625E" w:rsidRPr="005D086A">
        <w:rPr>
          <w:sz w:val="22"/>
          <w:szCs w:val="22"/>
        </w:rPr>
        <w:t xml:space="preserve">ursuant to </w:t>
      </w:r>
      <w:r w:rsidR="0090354A" w:rsidRPr="005D086A">
        <w:rPr>
          <w:sz w:val="22"/>
          <w:szCs w:val="22"/>
        </w:rPr>
        <w:t xml:space="preserve">our authority under </w:t>
      </w:r>
      <w:r w:rsidR="00A8625E" w:rsidRPr="005D086A">
        <w:rPr>
          <w:sz w:val="22"/>
          <w:szCs w:val="22"/>
        </w:rPr>
        <w:t>Section 1.</w:t>
      </w:r>
      <w:r w:rsidR="007C1750" w:rsidRPr="005D086A">
        <w:rPr>
          <w:sz w:val="22"/>
          <w:szCs w:val="22"/>
        </w:rPr>
        <w:t>1200</w:t>
      </w:r>
      <w:r w:rsidR="00A8625E" w:rsidRPr="005D086A">
        <w:rPr>
          <w:sz w:val="22"/>
          <w:szCs w:val="22"/>
        </w:rPr>
        <w:t xml:space="preserve"> of the Commission’</w:t>
      </w:r>
      <w:r w:rsidR="00AA6733" w:rsidRPr="005D086A">
        <w:rPr>
          <w:sz w:val="22"/>
          <w:szCs w:val="22"/>
        </w:rPr>
        <w:t>s rules</w:t>
      </w:r>
      <w:r w:rsidR="005D4DCA">
        <w:rPr>
          <w:sz w:val="22"/>
          <w:szCs w:val="22"/>
        </w:rPr>
        <w:t>,</w:t>
      </w:r>
      <w:r w:rsidR="00AA6733" w:rsidRPr="005D086A">
        <w:rPr>
          <w:sz w:val="22"/>
          <w:szCs w:val="22"/>
        </w:rPr>
        <w:t xml:space="preserve"> we exempt from the </w:t>
      </w:r>
      <w:r w:rsidR="0099396F" w:rsidRPr="005D086A">
        <w:rPr>
          <w:i/>
          <w:sz w:val="22"/>
          <w:szCs w:val="22"/>
        </w:rPr>
        <w:t xml:space="preserve">ex parte </w:t>
      </w:r>
      <w:r w:rsidR="00AA6733" w:rsidRPr="005D086A">
        <w:rPr>
          <w:sz w:val="22"/>
          <w:szCs w:val="22"/>
        </w:rPr>
        <w:t>disclosur</w:t>
      </w:r>
      <w:r w:rsidR="007C1750" w:rsidRPr="005D086A">
        <w:rPr>
          <w:sz w:val="22"/>
          <w:szCs w:val="22"/>
        </w:rPr>
        <w:t>e requirements of Section 1.1206</w:t>
      </w:r>
      <w:r w:rsidR="00AA6733" w:rsidRPr="005D086A">
        <w:rPr>
          <w:sz w:val="22"/>
          <w:szCs w:val="22"/>
        </w:rPr>
        <w:t xml:space="preserve"> </w:t>
      </w:r>
      <w:r w:rsidR="00A8625E" w:rsidRPr="005D086A">
        <w:rPr>
          <w:sz w:val="22"/>
          <w:szCs w:val="22"/>
        </w:rPr>
        <w:t xml:space="preserve">presentations </w:t>
      </w:r>
      <w:r w:rsidR="00D2094C" w:rsidRPr="005D086A">
        <w:rPr>
          <w:sz w:val="22"/>
          <w:szCs w:val="22"/>
        </w:rPr>
        <w:t>regarding the</w:t>
      </w:r>
      <w:r w:rsidR="00921DE3" w:rsidRPr="00921DE3">
        <w:rPr>
          <w:sz w:val="22"/>
          <w:szCs w:val="22"/>
        </w:rPr>
        <w:t xml:space="preserve"> </w:t>
      </w:r>
      <w:r w:rsidR="00921DE3" w:rsidRPr="0094142F">
        <w:rPr>
          <w:sz w:val="22"/>
        </w:rPr>
        <w:t xml:space="preserve">AWS-3 </w:t>
      </w:r>
      <w:r w:rsidR="00921DE3">
        <w:rPr>
          <w:sz w:val="22"/>
          <w:szCs w:val="22"/>
        </w:rPr>
        <w:t>proceeding</w:t>
      </w:r>
      <w:r w:rsidR="00921DE3" w:rsidRPr="00034502">
        <w:rPr>
          <w:sz w:val="22"/>
          <w:szCs w:val="22"/>
        </w:rPr>
        <w:t xml:space="preserve"> </w:t>
      </w:r>
      <w:r w:rsidR="00921DE3">
        <w:rPr>
          <w:sz w:val="22"/>
          <w:szCs w:val="22"/>
        </w:rPr>
        <w:t>(GN Docket No. 13-185)</w:t>
      </w:r>
      <w:r w:rsidR="00D2094C" w:rsidRPr="005D086A">
        <w:rPr>
          <w:sz w:val="22"/>
          <w:szCs w:val="22"/>
        </w:rPr>
        <w:t xml:space="preserve"> </w:t>
      </w:r>
      <w:r w:rsidR="00580277" w:rsidRPr="005D086A">
        <w:rPr>
          <w:sz w:val="22"/>
          <w:szCs w:val="22"/>
        </w:rPr>
        <w:t xml:space="preserve">made </w:t>
      </w:r>
      <w:r w:rsidR="0080076E">
        <w:rPr>
          <w:sz w:val="22"/>
          <w:szCs w:val="22"/>
        </w:rPr>
        <w:t>between</w:t>
      </w:r>
      <w:r w:rsidR="0080076E" w:rsidRPr="005D086A">
        <w:rPr>
          <w:sz w:val="22"/>
          <w:szCs w:val="22"/>
        </w:rPr>
        <w:t xml:space="preserve"> </w:t>
      </w:r>
      <w:r w:rsidR="00A37156" w:rsidRPr="005D086A">
        <w:rPr>
          <w:sz w:val="22"/>
          <w:szCs w:val="22"/>
        </w:rPr>
        <w:t>representatives</w:t>
      </w:r>
      <w:r w:rsidR="00580277" w:rsidRPr="005D086A">
        <w:rPr>
          <w:sz w:val="22"/>
          <w:szCs w:val="22"/>
        </w:rPr>
        <w:t xml:space="preserve"> from</w:t>
      </w:r>
      <w:r w:rsidR="0080076E">
        <w:rPr>
          <w:sz w:val="22"/>
          <w:szCs w:val="22"/>
        </w:rPr>
        <w:t xml:space="preserve"> the FCC and</w:t>
      </w:r>
      <w:r w:rsidR="00580277" w:rsidRPr="005D086A">
        <w:rPr>
          <w:sz w:val="22"/>
          <w:szCs w:val="22"/>
        </w:rPr>
        <w:t xml:space="preserve"> NTIA, </w:t>
      </w:r>
      <w:r w:rsidR="0090354A" w:rsidRPr="005D086A">
        <w:rPr>
          <w:sz w:val="22"/>
          <w:szCs w:val="22"/>
        </w:rPr>
        <w:t>OMB</w:t>
      </w:r>
      <w:r w:rsidR="00580277" w:rsidRPr="005D086A">
        <w:rPr>
          <w:sz w:val="22"/>
          <w:szCs w:val="22"/>
        </w:rPr>
        <w:t xml:space="preserve">, </w:t>
      </w:r>
      <w:r w:rsidR="0090354A" w:rsidRPr="005D086A">
        <w:rPr>
          <w:sz w:val="22"/>
          <w:szCs w:val="22"/>
        </w:rPr>
        <w:t>OSTP, Do</w:t>
      </w:r>
      <w:r w:rsidR="00CF0BD1" w:rsidRPr="005D086A">
        <w:rPr>
          <w:sz w:val="22"/>
          <w:szCs w:val="22"/>
        </w:rPr>
        <w:t>D</w:t>
      </w:r>
      <w:r w:rsidR="0090354A" w:rsidRPr="005D086A">
        <w:rPr>
          <w:sz w:val="22"/>
          <w:szCs w:val="22"/>
        </w:rPr>
        <w:t>,</w:t>
      </w:r>
      <w:r w:rsidR="004872ED" w:rsidRPr="005D086A">
        <w:rPr>
          <w:sz w:val="22"/>
          <w:szCs w:val="22"/>
        </w:rPr>
        <w:t xml:space="preserve"> DoJ, NOAA,</w:t>
      </w:r>
      <w:r w:rsidR="0090354A" w:rsidRPr="005D086A">
        <w:rPr>
          <w:sz w:val="22"/>
          <w:szCs w:val="22"/>
        </w:rPr>
        <w:t xml:space="preserve"> other </w:t>
      </w:r>
      <w:r w:rsidR="0015491E">
        <w:rPr>
          <w:sz w:val="22"/>
          <w:szCs w:val="22"/>
        </w:rPr>
        <w:t>f</w:t>
      </w:r>
      <w:r w:rsidR="0090354A" w:rsidRPr="005D086A">
        <w:rPr>
          <w:sz w:val="22"/>
          <w:szCs w:val="22"/>
        </w:rPr>
        <w:t xml:space="preserve">ederal offices and </w:t>
      </w:r>
      <w:r w:rsidR="0099396F" w:rsidRPr="005D086A">
        <w:rPr>
          <w:sz w:val="22"/>
          <w:szCs w:val="22"/>
        </w:rPr>
        <w:t>agencies</w:t>
      </w:r>
      <w:r w:rsidR="004E2658" w:rsidRPr="005D086A">
        <w:rPr>
          <w:sz w:val="22"/>
          <w:szCs w:val="22"/>
        </w:rPr>
        <w:t xml:space="preserve">, </w:t>
      </w:r>
      <w:r w:rsidR="0080076E">
        <w:rPr>
          <w:sz w:val="22"/>
          <w:szCs w:val="22"/>
        </w:rPr>
        <w:t>or</w:t>
      </w:r>
      <w:r w:rsidR="004E2658" w:rsidRPr="005D086A">
        <w:rPr>
          <w:sz w:val="22"/>
          <w:szCs w:val="22"/>
        </w:rPr>
        <w:t xml:space="preserve"> </w:t>
      </w:r>
      <w:r w:rsidR="00792DD9" w:rsidRPr="005D086A">
        <w:rPr>
          <w:sz w:val="22"/>
          <w:szCs w:val="22"/>
        </w:rPr>
        <w:t>Congressional committee members</w:t>
      </w:r>
      <w:r w:rsidR="00102348" w:rsidRPr="005D086A">
        <w:rPr>
          <w:sz w:val="22"/>
          <w:szCs w:val="22"/>
        </w:rPr>
        <w:t xml:space="preserve"> and committee staff</w:t>
      </w:r>
      <w:r w:rsidR="00921DE3">
        <w:rPr>
          <w:sz w:val="22"/>
          <w:szCs w:val="22"/>
        </w:rPr>
        <w:t xml:space="preserve">, to the same extent as presentations </w:t>
      </w:r>
      <w:r w:rsidR="005D4DCA">
        <w:rPr>
          <w:sz w:val="22"/>
          <w:szCs w:val="22"/>
        </w:rPr>
        <w:t xml:space="preserve">are </w:t>
      </w:r>
      <w:r w:rsidR="00921DE3">
        <w:rPr>
          <w:sz w:val="22"/>
          <w:szCs w:val="22"/>
        </w:rPr>
        <w:t>exempt under the shared jurisdiction exemption of Section 1.1204(a)(5)</w:t>
      </w:r>
      <w:r w:rsidR="002B41AF">
        <w:rPr>
          <w:sz w:val="22"/>
          <w:szCs w:val="22"/>
        </w:rPr>
        <w:t>.</w:t>
      </w:r>
      <w:r w:rsidR="00921DE3">
        <w:rPr>
          <w:rStyle w:val="FootnoteReference"/>
          <w:sz w:val="22"/>
          <w:szCs w:val="22"/>
        </w:rPr>
        <w:footnoteReference w:id="10"/>
      </w:r>
      <w:r w:rsidR="00D2094C" w:rsidRPr="005D086A">
        <w:rPr>
          <w:sz w:val="22"/>
          <w:szCs w:val="22"/>
        </w:rPr>
        <w:t xml:space="preserve">  </w:t>
      </w:r>
    </w:p>
    <w:p w:rsidR="00BF7FF1" w:rsidRDefault="00D2094C" w:rsidP="00BD2671">
      <w:pPr>
        <w:spacing w:after="240"/>
        <w:rPr>
          <w:sz w:val="22"/>
          <w:szCs w:val="22"/>
        </w:rPr>
      </w:pPr>
      <w:r w:rsidRPr="005D086A">
        <w:rPr>
          <w:sz w:val="22"/>
          <w:szCs w:val="22"/>
        </w:rPr>
        <w:t>To the extent that</w:t>
      </w:r>
      <w:r w:rsidR="0025678F">
        <w:rPr>
          <w:sz w:val="22"/>
          <w:szCs w:val="22"/>
        </w:rPr>
        <w:t xml:space="preserve"> any </w:t>
      </w:r>
      <w:r w:rsidR="005D4DCA">
        <w:rPr>
          <w:sz w:val="22"/>
          <w:szCs w:val="22"/>
        </w:rPr>
        <w:t xml:space="preserve">of the </w:t>
      </w:r>
      <w:r w:rsidR="0025678F">
        <w:rPr>
          <w:sz w:val="22"/>
          <w:szCs w:val="22"/>
        </w:rPr>
        <w:t>part</w:t>
      </w:r>
      <w:r w:rsidR="005D4DCA">
        <w:rPr>
          <w:sz w:val="22"/>
          <w:szCs w:val="22"/>
        </w:rPr>
        <w:t xml:space="preserve">icipants in the above-described meetings </w:t>
      </w:r>
      <w:r w:rsidR="0025678F">
        <w:rPr>
          <w:sz w:val="22"/>
          <w:szCs w:val="22"/>
        </w:rPr>
        <w:t>intends the Commission</w:t>
      </w:r>
      <w:r w:rsidR="00AC13D2">
        <w:rPr>
          <w:sz w:val="22"/>
          <w:szCs w:val="22"/>
        </w:rPr>
        <w:t>, with respect to any decision it makes in the AWS-3 proceeding,</w:t>
      </w:r>
      <w:r w:rsidR="0025678F">
        <w:rPr>
          <w:sz w:val="22"/>
          <w:szCs w:val="22"/>
        </w:rPr>
        <w:t xml:space="preserve"> </w:t>
      </w:r>
      <w:r w:rsidR="00AC13D2">
        <w:rPr>
          <w:sz w:val="22"/>
          <w:szCs w:val="22"/>
        </w:rPr>
        <w:t xml:space="preserve">to </w:t>
      </w:r>
      <w:r w:rsidR="00775370">
        <w:rPr>
          <w:sz w:val="22"/>
          <w:szCs w:val="22"/>
        </w:rPr>
        <w:t>rely</w:t>
      </w:r>
      <w:r w:rsidRPr="005D086A">
        <w:rPr>
          <w:sz w:val="22"/>
          <w:szCs w:val="22"/>
        </w:rPr>
        <w:t xml:space="preserve"> </w:t>
      </w:r>
      <w:r w:rsidR="004A3D5F">
        <w:rPr>
          <w:sz w:val="22"/>
          <w:szCs w:val="22"/>
        </w:rPr>
        <w:t xml:space="preserve">on </w:t>
      </w:r>
      <w:r w:rsidRPr="005D086A">
        <w:rPr>
          <w:sz w:val="22"/>
          <w:szCs w:val="22"/>
        </w:rPr>
        <w:t xml:space="preserve">an </w:t>
      </w:r>
      <w:r w:rsidRPr="005D086A">
        <w:rPr>
          <w:i/>
          <w:sz w:val="22"/>
          <w:szCs w:val="22"/>
        </w:rPr>
        <w:t>ex parte</w:t>
      </w:r>
      <w:r w:rsidRPr="005D086A">
        <w:rPr>
          <w:sz w:val="22"/>
          <w:szCs w:val="22"/>
        </w:rPr>
        <w:t xml:space="preserve"> presentation </w:t>
      </w:r>
      <w:r w:rsidR="00AC13D2">
        <w:rPr>
          <w:sz w:val="22"/>
          <w:szCs w:val="22"/>
        </w:rPr>
        <w:t xml:space="preserve">to which we have extended an exemption herein, </w:t>
      </w:r>
      <w:r w:rsidR="00775370">
        <w:rPr>
          <w:sz w:val="22"/>
          <w:szCs w:val="22"/>
        </w:rPr>
        <w:t>we encourage that party</w:t>
      </w:r>
      <w:r w:rsidR="00860EFE">
        <w:rPr>
          <w:sz w:val="22"/>
          <w:szCs w:val="22"/>
        </w:rPr>
        <w:t xml:space="preserve"> to </w:t>
      </w:r>
      <w:r w:rsidR="007C1750" w:rsidRPr="005D086A">
        <w:rPr>
          <w:sz w:val="22"/>
          <w:szCs w:val="22"/>
        </w:rPr>
        <w:t xml:space="preserve">file the presentation </w:t>
      </w:r>
      <w:r w:rsidR="0025678F">
        <w:rPr>
          <w:sz w:val="22"/>
          <w:szCs w:val="22"/>
        </w:rPr>
        <w:t>(or, if oral, summary of it) i</w:t>
      </w:r>
      <w:r w:rsidR="007C1750" w:rsidRPr="005D086A">
        <w:rPr>
          <w:sz w:val="22"/>
          <w:szCs w:val="22"/>
        </w:rPr>
        <w:t xml:space="preserve">n the record </w:t>
      </w:r>
      <w:r w:rsidR="003B1499" w:rsidRPr="005D086A">
        <w:rPr>
          <w:sz w:val="22"/>
          <w:szCs w:val="22"/>
        </w:rPr>
        <w:t xml:space="preserve">with </w:t>
      </w:r>
      <w:r w:rsidR="0025678F">
        <w:rPr>
          <w:sz w:val="22"/>
          <w:szCs w:val="22"/>
        </w:rPr>
        <w:lastRenderedPageBreak/>
        <w:t xml:space="preserve">ample </w:t>
      </w:r>
      <w:r w:rsidR="003B1499" w:rsidRPr="005D086A">
        <w:rPr>
          <w:sz w:val="22"/>
          <w:szCs w:val="22"/>
        </w:rPr>
        <w:t xml:space="preserve">time for </w:t>
      </w:r>
      <w:r w:rsidR="003D47FE" w:rsidRPr="003D47FE">
        <w:rPr>
          <w:sz w:val="22"/>
          <w:szCs w:val="22"/>
        </w:rPr>
        <w:t xml:space="preserve">other interested parties to the proceeding to review and respond, as appropriate, and for </w:t>
      </w:r>
      <w:r w:rsidR="003B1499" w:rsidRPr="005D086A">
        <w:rPr>
          <w:sz w:val="22"/>
          <w:szCs w:val="22"/>
        </w:rPr>
        <w:t xml:space="preserve">Commission staff to fully analyze and incorporate </w:t>
      </w:r>
      <w:r w:rsidR="004872ED" w:rsidRPr="005D086A">
        <w:rPr>
          <w:sz w:val="22"/>
          <w:szCs w:val="22"/>
        </w:rPr>
        <w:t xml:space="preserve">as necessary </w:t>
      </w:r>
      <w:r w:rsidR="003B1499" w:rsidRPr="005D086A">
        <w:rPr>
          <w:sz w:val="22"/>
          <w:szCs w:val="22"/>
        </w:rPr>
        <w:t>into any subsequent Commission decision</w:t>
      </w:r>
      <w:r w:rsidR="007C1750" w:rsidRPr="005D086A">
        <w:rPr>
          <w:sz w:val="22"/>
          <w:szCs w:val="22"/>
        </w:rPr>
        <w:t>.</w:t>
      </w:r>
      <w:r w:rsidR="002F31DA" w:rsidRPr="005D086A">
        <w:rPr>
          <w:sz w:val="22"/>
          <w:szCs w:val="22"/>
        </w:rPr>
        <w:t xml:space="preserve">  </w:t>
      </w:r>
      <w:r w:rsidR="0025678F">
        <w:rPr>
          <w:sz w:val="22"/>
          <w:szCs w:val="22"/>
        </w:rPr>
        <w:t xml:space="preserve">In this regard, we </w:t>
      </w:r>
      <w:r w:rsidR="00AC13D2">
        <w:rPr>
          <w:sz w:val="22"/>
          <w:szCs w:val="22"/>
        </w:rPr>
        <w:t xml:space="preserve">advise these participants </w:t>
      </w:r>
      <w:r w:rsidR="00AC7B94">
        <w:rPr>
          <w:sz w:val="22"/>
          <w:szCs w:val="22"/>
        </w:rPr>
        <w:t>that, consistent with the limitations of the exemption that we have established herein for the AWS-3 proceeding</w:t>
      </w:r>
      <w:r w:rsidR="00D642E9">
        <w:rPr>
          <w:sz w:val="22"/>
          <w:szCs w:val="22"/>
        </w:rPr>
        <w:t>,</w:t>
      </w:r>
      <w:r w:rsidR="00D642E9">
        <w:rPr>
          <w:rStyle w:val="FootnoteReference"/>
          <w:sz w:val="22"/>
          <w:szCs w:val="22"/>
        </w:rPr>
        <w:footnoteReference w:id="11"/>
      </w:r>
      <w:r w:rsidR="00AC7B94">
        <w:rPr>
          <w:sz w:val="22"/>
          <w:szCs w:val="22"/>
        </w:rPr>
        <w:t xml:space="preserve"> </w:t>
      </w:r>
      <w:r w:rsidR="002B41AF">
        <w:rPr>
          <w:sz w:val="22"/>
          <w:szCs w:val="22"/>
        </w:rPr>
        <w:t xml:space="preserve">in rendering a decision in this proceeding </w:t>
      </w:r>
      <w:r w:rsidR="0025678F">
        <w:rPr>
          <w:sz w:val="22"/>
          <w:szCs w:val="22"/>
        </w:rPr>
        <w:t>the Commission</w:t>
      </w:r>
      <w:r w:rsidR="004D4513">
        <w:rPr>
          <w:sz w:val="22"/>
          <w:szCs w:val="22"/>
        </w:rPr>
        <w:t xml:space="preserve"> </w:t>
      </w:r>
      <w:r w:rsidR="00AC7B94">
        <w:rPr>
          <w:sz w:val="22"/>
          <w:szCs w:val="22"/>
        </w:rPr>
        <w:t xml:space="preserve">will not </w:t>
      </w:r>
      <w:r w:rsidR="0025678F">
        <w:rPr>
          <w:sz w:val="22"/>
          <w:szCs w:val="22"/>
        </w:rPr>
        <w:t xml:space="preserve">rely on an </w:t>
      </w:r>
      <w:r w:rsidR="0025678F">
        <w:rPr>
          <w:i/>
          <w:sz w:val="22"/>
          <w:szCs w:val="22"/>
        </w:rPr>
        <w:t xml:space="preserve">ex parte </w:t>
      </w:r>
      <w:r w:rsidR="0025678F">
        <w:rPr>
          <w:sz w:val="22"/>
          <w:szCs w:val="22"/>
        </w:rPr>
        <w:t xml:space="preserve">presentation </w:t>
      </w:r>
      <w:r w:rsidR="004D4513">
        <w:rPr>
          <w:sz w:val="22"/>
          <w:szCs w:val="22"/>
        </w:rPr>
        <w:t xml:space="preserve">covered by this exemption </w:t>
      </w:r>
      <w:r w:rsidR="0025678F">
        <w:rPr>
          <w:sz w:val="22"/>
          <w:szCs w:val="22"/>
        </w:rPr>
        <w:t xml:space="preserve">unless it is </w:t>
      </w:r>
      <w:r w:rsidR="004D4513">
        <w:rPr>
          <w:sz w:val="22"/>
          <w:szCs w:val="22"/>
        </w:rPr>
        <w:t xml:space="preserve">added to </w:t>
      </w:r>
      <w:r w:rsidR="0025678F">
        <w:rPr>
          <w:sz w:val="22"/>
          <w:szCs w:val="22"/>
        </w:rPr>
        <w:t>the record, at the latest, prior to the release of the decision.</w:t>
      </w:r>
    </w:p>
    <w:p w:rsidR="008A0BEF" w:rsidRPr="005D086A" w:rsidRDefault="0080076E" w:rsidP="00BD2671">
      <w:pPr>
        <w:spacing w:after="240"/>
        <w:rPr>
          <w:sz w:val="22"/>
          <w:szCs w:val="22"/>
        </w:rPr>
      </w:pPr>
      <w:r>
        <w:rPr>
          <w:sz w:val="22"/>
          <w:szCs w:val="22"/>
        </w:rPr>
        <w:t>Except as discussed herein, the above</w:t>
      </w:r>
      <w:r w:rsidR="00D642E9">
        <w:rPr>
          <w:sz w:val="22"/>
          <w:szCs w:val="22"/>
        </w:rPr>
        <w:t>-</w:t>
      </w:r>
      <w:r>
        <w:rPr>
          <w:sz w:val="22"/>
          <w:szCs w:val="22"/>
        </w:rPr>
        <w:t>capt</w:t>
      </w:r>
      <w:r w:rsidR="00D714F9">
        <w:rPr>
          <w:sz w:val="22"/>
          <w:szCs w:val="22"/>
        </w:rPr>
        <w:t>ioned proceeding remains a permit-but-</w:t>
      </w:r>
      <w:r>
        <w:rPr>
          <w:sz w:val="22"/>
          <w:szCs w:val="22"/>
        </w:rPr>
        <w:t xml:space="preserve">disclose </w:t>
      </w:r>
      <w:r w:rsidR="00D714F9">
        <w:rPr>
          <w:sz w:val="22"/>
          <w:szCs w:val="22"/>
        </w:rPr>
        <w:t xml:space="preserve">proceeding </w:t>
      </w:r>
      <w:r>
        <w:rPr>
          <w:sz w:val="22"/>
          <w:szCs w:val="22"/>
        </w:rPr>
        <w:t>in accordance with the Commission</w:t>
      </w:r>
      <w:r w:rsidR="00D714F9">
        <w:rPr>
          <w:sz w:val="22"/>
          <w:szCs w:val="22"/>
        </w:rPr>
        <w:t>’</w:t>
      </w:r>
      <w:r>
        <w:rPr>
          <w:sz w:val="22"/>
          <w:szCs w:val="22"/>
        </w:rPr>
        <w:t>s</w:t>
      </w:r>
      <w:r w:rsidR="00D714F9">
        <w:rPr>
          <w:sz w:val="22"/>
          <w:szCs w:val="22"/>
        </w:rPr>
        <w:t xml:space="preserve"> rules under Section 1.1200.</w:t>
      </w:r>
      <w:r w:rsidR="00D714F9">
        <w:rPr>
          <w:rStyle w:val="FootnoteReference"/>
          <w:sz w:val="22"/>
          <w:szCs w:val="22"/>
        </w:rPr>
        <w:footnoteReference w:id="12"/>
      </w:r>
    </w:p>
    <w:p w:rsidR="00AA4964" w:rsidRPr="005D086A" w:rsidRDefault="008A0BEF" w:rsidP="00BD2671">
      <w:pPr>
        <w:spacing w:after="240"/>
        <w:rPr>
          <w:sz w:val="22"/>
          <w:szCs w:val="22"/>
        </w:rPr>
      </w:pPr>
      <w:r w:rsidRPr="005D086A">
        <w:rPr>
          <w:sz w:val="22"/>
          <w:szCs w:val="22"/>
        </w:rPr>
        <w:t xml:space="preserve">Contact:  Brian Regan, </w:t>
      </w:r>
      <w:hyperlink r:id="rId7" w:history="1">
        <w:r w:rsidRPr="005D086A">
          <w:rPr>
            <w:rStyle w:val="Hyperlink"/>
            <w:sz w:val="22"/>
            <w:szCs w:val="22"/>
          </w:rPr>
          <w:t>brian.regan@fcc.gov</w:t>
        </w:r>
      </w:hyperlink>
      <w:r w:rsidRPr="005D086A">
        <w:rPr>
          <w:sz w:val="22"/>
          <w:szCs w:val="22"/>
        </w:rPr>
        <w:t>, 202-418-2849.</w:t>
      </w:r>
    </w:p>
    <w:sectPr w:rsidR="00AA4964" w:rsidRPr="005D086A" w:rsidSect="001430D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14" w:rsidRDefault="00991A14">
      <w:r>
        <w:separator/>
      </w:r>
    </w:p>
  </w:endnote>
  <w:endnote w:type="continuationSeparator" w:id="0">
    <w:p w:rsidR="00991A14" w:rsidRDefault="00991A14">
      <w:r>
        <w:continuationSeparator/>
      </w:r>
    </w:p>
  </w:endnote>
  <w:endnote w:type="continuationNotice" w:id="1">
    <w:p w:rsidR="00991A14" w:rsidRDefault="0099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EF" w:rsidRDefault="008A0BEF" w:rsidP="008D0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BEF" w:rsidRDefault="008A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EF" w:rsidRDefault="008A0BEF" w:rsidP="008D0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EBE">
      <w:rPr>
        <w:rStyle w:val="PageNumber"/>
        <w:noProof/>
      </w:rPr>
      <w:t>2</w:t>
    </w:r>
    <w:r>
      <w:rPr>
        <w:rStyle w:val="PageNumber"/>
      </w:rPr>
      <w:fldChar w:fldCharType="end"/>
    </w:r>
  </w:p>
  <w:p w:rsidR="008A0BEF" w:rsidRDefault="008A0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9" w:rsidRDefault="000D7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14" w:rsidRDefault="00991A14">
      <w:r>
        <w:separator/>
      </w:r>
    </w:p>
  </w:footnote>
  <w:footnote w:type="continuationSeparator" w:id="0">
    <w:p w:rsidR="00991A14" w:rsidRDefault="00991A14">
      <w:r>
        <w:continuationSeparator/>
      </w:r>
    </w:p>
  </w:footnote>
  <w:footnote w:type="continuationNotice" w:id="1">
    <w:p w:rsidR="00991A14" w:rsidRDefault="00991A14"/>
  </w:footnote>
  <w:footnote w:id="2">
    <w:p w:rsidR="007C1750" w:rsidRPr="0012338F" w:rsidRDefault="007C1750" w:rsidP="000D0CED">
      <w:pPr>
        <w:pStyle w:val="NormalWeb"/>
        <w:spacing w:beforeLines="0" w:afterLines="0" w:after="120"/>
        <w:rPr>
          <w:rFonts w:ascii="Times New Roman" w:hAnsi="Times New Roman"/>
          <w:sz w:val="20"/>
          <w:szCs w:val="20"/>
        </w:rPr>
      </w:pPr>
      <w:r w:rsidRPr="0012338F">
        <w:rPr>
          <w:rStyle w:val="FootnoteReference"/>
          <w:rFonts w:ascii="Times New Roman" w:hAnsi="Times New Roman"/>
          <w:sz w:val="20"/>
          <w:szCs w:val="20"/>
        </w:rPr>
        <w:footnoteRef/>
      </w:r>
      <w:r w:rsidRPr="0012338F">
        <w:rPr>
          <w:rFonts w:ascii="Times New Roman" w:hAnsi="Times New Roman"/>
          <w:sz w:val="20"/>
          <w:szCs w:val="20"/>
        </w:rPr>
        <w:t xml:space="preserve"> </w:t>
      </w:r>
      <w:r w:rsidRPr="0012338F">
        <w:rPr>
          <w:rFonts w:ascii="Times New Roman" w:hAnsi="Times New Roman"/>
          <w:i/>
          <w:sz w:val="20"/>
          <w:szCs w:val="20"/>
        </w:rPr>
        <w:t xml:space="preserve">See </w:t>
      </w:r>
      <w:r w:rsidRPr="0012338F">
        <w:rPr>
          <w:rFonts w:ascii="Times New Roman" w:hAnsi="Times New Roman"/>
          <w:sz w:val="20"/>
          <w:szCs w:val="20"/>
        </w:rPr>
        <w:t>Amendment of the Commission’s Rules with Regard to Commercial Operations in the 1695-1710 MHz, 1755-1780 MHz, and 2155-2180 MHz Bands; Service Rules for Advanced Wireless Services in the 1915-1920 MHz, 1995-2000 MHz, 2020-2025 MHz, and 2175-2180 MHz Bands; Applications for License and Authority to Operate in the 2155-2175 MHz Band; Petitions for Forbearance Under 47 U.S.C. § 160; GN Docket No. 13-185, WT Docket No. 07-195 (Proceeding Terminated), WT Docket No. 04-356 (Proceeding Terminated), WT Docket No. 07-16 (Proceeding Terminated), WT Docket No. 07-30 (Proceeding Terminated); FCC 13-102,</w:t>
      </w:r>
      <w:r w:rsidR="00275FC6">
        <w:rPr>
          <w:rFonts w:ascii="Times New Roman" w:hAnsi="Times New Roman"/>
          <w:sz w:val="20"/>
          <w:szCs w:val="20"/>
        </w:rPr>
        <w:t xml:space="preserve"> </w:t>
      </w:r>
      <w:r w:rsidRPr="0012338F">
        <w:rPr>
          <w:rFonts w:ascii="Times New Roman" w:hAnsi="Times New Roman"/>
          <w:sz w:val="20"/>
          <w:szCs w:val="20"/>
        </w:rPr>
        <w:t xml:space="preserve"> </w:t>
      </w:r>
      <w:r w:rsidRPr="0012338F">
        <w:rPr>
          <w:rFonts w:ascii="Times New Roman" w:hAnsi="Times New Roman"/>
          <w:i/>
          <w:sz w:val="20"/>
          <w:szCs w:val="20"/>
        </w:rPr>
        <w:t>Notice of Proposed Rulemaking and Order on Reconsideration</w:t>
      </w:r>
      <w:r w:rsidRPr="0012338F">
        <w:rPr>
          <w:rFonts w:ascii="Times New Roman" w:hAnsi="Times New Roman"/>
          <w:sz w:val="20"/>
          <w:szCs w:val="20"/>
        </w:rPr>
        <w:t>, __ F</w:t>
      </w:r>
      <w:r w:rsidR="0090354A" w:rsidRPr="0012338F">
        <w:rPr>
          <w:rFonts w:ascii="Times New Roman" w:hAnsi="Times New Roman"/>
          <w:sz w:val="20"/>
          <w:szCs w:val="20"/>
        </w:rPr>
        <w:t>CC Rcd __ (rel. July 23, 2013)</w:t>
      </w:r>
      <w:r w:rsidR="0043035B">
        <w:rPr>
          <w:rFonts w:ascii="Times New Roman" w:hAnsi="Times New Roman"/>
          <w:sz w:val="20"/>
          <w:szCs w:val="20"/>
        </w:rPr>
        <w:t xml:space="preserve"> (</w:t>
      </w:r>
      <w:r w:rsidR="0043035B">
        <w:rPr>
          <w:rFonts w:ascii="Times New Roman" w:hAnsi="Times New Roman"/>
          <w:i/>
          <w:sz w:val="20"/>
          <w:szCs w:val="20"/>
        </w:rPr>
        <w:t>AWS-3 NPRM</w:t>
      </w:r>
      <w:r w:rsidR="0043035B">
        <w:rPr>
          <w:rFonts w:ascii="Times New Roman" w:hAnsi="Times New Roman"/>
          <w:sz w:val="20"/>
          <w:szCs w:val="20"/>
        </w:rPr>
        <w:t>)</w:t>
      </w:r>
      <w:r w:rsidR="0090354A" w:rsidRPr="0012338F">
        <w:rPr>
          <w:rFonts w:ascii="Times New Roman" w:hAnsi="Times New Roman"/>
          <w:sz w:val="20"/>
          <w:szCs w:val="20"/>
        </w:rPr>
        <w:t>.</w:t>
      </w:r>
    </w:p>
  </w:footnote>
  <w:footnote w:id="3">
    <w:p w:rsidR="007C1750" w:rsidRPr="0012338F" w:rsidRDefault="007C1750" w:rsidP="000D0CED">
      <w:pPr>
        <w:pStyle w:val="FootnoteText"/>
        <w:spacing w:before="120" w:after="120"/>
        <w:rPr>
          <w:sz w:val="20"/>
          <w:szCs w:val="20"/>
        </w:rPr>
      </w:pPr>
      <w:r w:rsidRPr="0012338F">
        <w:rPr>
          <w:rStyle w:val="FootnoteReference"/>
          <w:sz w:val="20"/>
          <w:szCs w:val="20"/>
        </w:rPr>
        <w:footnoteRef/>
      </w:r>
      <w:r w:rsidRPr="0012338F">
        <w:rPr>
          <w:sz w:val="20"/>
          <w:szCs w:val="20"/>
        </w:rPr>
        <w:t xml:space="preserve"> </w:t>
      </w:r>
      <w:r w:rsidR="0090354A" w:rsidRPr="0012338F">
        <w:rPr>
          <w:i/>
          <w:sz w:val="20"/>
          <w:szCs w:val="20"/>
        </w:rPr>
        <w:t>See, e.g.</w:t>
      </w:r>
      <w:r w:rsidR="0090354A" w:rsidRPr="0012338F">
        <w:rPr>
          <w:sz w:val="20"/>
          <w:szCs w:val="20"/>
        </w:rPr>
        <w:t>,</w:t>
      </w:r>
      <w:r w:rsidR="0090354A" w:rsidRPr="0012338F">
        <w:rPr>
          <w:i/>
          <w:sz w:val="20"/>
          <w:szCs w:val="20"/>
        </w:rPr>
        <w:t xml:space="preserve"> i</w:t>
      </w:r>
      <w:r w:rsidRPr="0012338F">
        <w:rPr>
          <w:i/>
          <w:sz w:val="20"/>
          <w:szCs w:val="20"/>
        </w:rPr>
        <w:t>d</w:t>
      </w:r>
      <w:r w:rsidRPr="0012338F">
        <w:rPr>
          <w:sz w:val="20"/>
          <w:szCs w:val="20"/>
        </w:rPr>
        <w:t xml:space="preserve">. at ¶ </w:t>
      </w:r>
      <w:r w:rsidR="0090354A" w:rsidRPr="0012338F">
        <w:rPr>
          <w:sz w:val="20"/>
          <w:szCs w:val="20"/>
        </w:rPr>
        <w:t>58-59.</w:t>
      </w:r>
    </w:p>
  </w:footnote>
  <w:footnote w:id="4">
    <w:p w:rsidR="00792DD9" w:rsidRPr="0012338F" w:rsidRDefault="00792DD9" w:rsidP="000D0CED">
      <w:pPr>
        <w:pStyle w:val="FootnoteText"/>
        <w:spacing w:after="120"/>
        <w:rPr>
          <w:sz w:val="20"/>
          <w:szCs w:val="20"/>
        </w:rPr>
      </w:pPr>
      <w:r w:rsidRPr="0012338F">
        <w:rPr>
          <w:rStyle w:val="FootnoteReference"/>
          <w:sz w:val="20"/>
          <w:szCs w:val="20"/>
        </w:rPr>
        <w:footnoteRef/>
      </w:r>
      <w:r w:rsidRPr="0012338F">
        <w:rPr>
          <w:sz w:val="20"/>
          <w:szCs w:val="20"/>
        </w:rPr>
        <w:t xml:space="preserve"> </w:t>
      </w:r>
      <w:r w:rsidR="0012338F" w:rsidRPr="0012338F">
        <w:rPr>
          <w:i/>
          <w:sz w:val="20"/>
          <w:szCs w:val="20"/>
        </w:rPr>
        <w:t>See id.</w:t>
      </w:r>
      <w:r w:rsidR="0012338F" w:rsidRPr="0012338F">
        <w:rPr>
          <w:sz w:val="20"/>
          <w:szCs w:val="20"/>
        </w:rPr>
        <w:t xml:space="preserve"> at ¶ 2.</w:t>
      </w:r>
    </w:p>
  </w:footnote>
  <w:footnote w:id="5">
    <w:p w:rsidR="007C1750" w:rsidRPr="0012338F" w:rsidRDefault="007C1750" w:rsidP="000D0CED">
      <w:pPr>
        <w:pStyle w:val="FootnoteText"/>
        <w:spacing w:before="120" w:after="120"/>
        <w:rPr>
          <w:sz w:val="20"/>
          <w:szCs w:val="20"/>
        </w:rPr>
      </w:pPr>
      <w:r w:rsidRPr="0012338F">
        <w:rPr>
          <w:rStyle w:val="FootnoteReference"/>
          <w:sz w:val="20"/>
          <w:szCs w:val="20"/>
        </w:rPr>
        <w:footnoteRef/>
      </w:r>
      <w:r w:rsidRPr="0012338F">
        <w:rPr>
          <w:sz w:val="20"/>
          <w:szCs w:val="20"/>
        </w:rPr>
        <w:t xml:space="preserve"> </w:t>
      </w:r>
      <w:r w:rsidR="00792DD9" w:rsidRPr="0012338F">
        <w:rPr>
          <w:i/>
          <w:sz w:val="20"/>
          <w:szCs w:val="20"/>
        </w:rPr>
        <w:t>See</w:t>
      </w:r>
      <w:r w:rsidR="00792DD9" w:rsidRPr="0012338F">
        <w:rPr>
          <w:sz w:val="20"/>
          <w:szCs w:val="20"/>
        </w:rPr>
        <w:t xml:space="preserve"> U.S. Department of Commerce, Charter of the Commerce Spectrum Management Advisory Committee (2013), </w:t>
      </w:r>
      <w:hyperlink r:id="rId1" w:history="1">
        <w:r w:rsidR="00792DD9" w:rsidRPr="0012338F">
          <w:rPr>
            <w:rStyle w:val="Hyperlink"/>
            <w:sz w:val="20"/>
            <w:szCs w:val="20"/>
          </w:rPr>
          <w:t>http://www.ntia.doc.gov/files/ntia/publications/csmac_2013_charter.pdf</w:t>
        </w:r>
      </w:hyperlink>
      <w:r w:rsidR="00792DD9" w:rsidRPr="0012338F">
        <w:rPr>
          <w:sz w:val="20"/>
          <w:szCs w:val="20"/>
        </w:rPr>
        <w:t>.</w:t>
      </w:r>
    </w:p>
  </w:footnote>
  <w:footnote w:id="6">
    <w:p w:rsidR="00AC7B94" w:rsidRPr="00AC7B94" w:rsidRDefault="006037B7" w:rsidP="000D0CED">
      <w:pPr>
        <w:pStyle w:val="FootnoteText"/>
        <w:spacing w:after="120"/>
        <w:rPr>
          <w:sz w:val="20"/>
          <w:szCs w:val="20"/>
        </w:rPr>
      </w:pPr>
      <w:r w:rsidRPr="00AC7B94">
        <w:rPr>
          <w:rStyle w:val="FootnoteReference"/>
          <w:sz w:val="20"/>
          <w:szCs w:val="20"/>
        </w:rPr>
        <w:footnoteRef/>
      </w:r>
      <w:r>
        <w:t xml:space="preserve"> </w:t>
      </w:r>
      <w:r w:rsidRPr="0043035B">
        <w:rPr>
          <w:sz w:val="20"/>
          <w:szCs w:val="20"/>
        </w:rPr>
        <w:t>47 C.F.R. § 1.1206.</w:t>
      </w:r>
    </w:p>
  </w:footnote>
  <w:footnote w:id="7">
    <w:p w:rsidR="00034502" w:rsidRPr="0043035B" w:rsidRDefault="00034502" w:rsidP="000D0CED">
      <w:pPr>
        <w:pStyle w:val="FootnoteText"/>
        <w:spacing w:before="120" w:after="120"/>
        <w:rPr>
          <w:sz w:val="20"/>
          <w:szCs w:val="20"/>
        </w:rPr>
      </w:pPr>
      <w:r w:rsidRPr="0043035B">
        <w:rPr>
          <w:rStyle w:val="FootnoteReference"/>
          <w:sz w:val="20"/>
          <w:szCs w:val="20"/>
        </w:rPr>
        <w:footnoteRef/>
      </w:r>
      <w:r w:rsidRPr="0043035B">
        <w:rPr>
          <w:sz w:val="20"/>
          <w:szCs w:val="20"/>
        </w:rPr>
        <w:t xml:space="preserve"> 47 C.F.R. §§ 1.1200, 1.1206.</w:t>
      </w:r>
    </w:p>
  </w:footnote>
  <w:footnote w:id="8">
    <w:p w:rsidR="00AC7B94" w:rsidRPr="002254F2" w:rsidRDefault="000C0E51" w:rsidP="000D0CED">
      <w:pPr>
        <w:pStyle w:val="FootnoteText"/>
        <w:spacing w:after="120"/>
        <w:rPr>
          <w:sz w:val="20"/>
          <w:szCs w:val="20"/>
        </w:rPr>
      </w:pPr>
      <w:r w:rsidRPr="00AC7B94">
        <w:rPr>
          <w:rStyle w:val="FootnoteReference"/>
          <w:sz w:val="20"/>
          <w:szCs w:val="20"/>
        </w:rPr>
        <w:footnoteRef/>
      </w:r>
      <w:r>
        <w:t xml:space="preserve"> </w:t>
      </w:r>
      <w:r>
        <w:rPr>
          <w:i/>
          <w:sz w:val="20"/>
          <w:szCs w:val="20"/>
        </w:rPr>
        <w:t>See id</w:t>
      </w:r>
      <w:r w:rsidRPr="001A612A">
        <w:rPr>
          <w:i/>
          <w:sz w:val="20"/>
          <w:szCs w:val="20"/>
        </w:rPr>
        <w:t>.</w:t>
      </w:r>
      <w:r w:rsidRPr="001A612A">
        <w:rPr>
          <w:sz w:val="20"/>
          <w:szCs w:val="20"/>
        </w:rPr>
        <w:t xml:space="preserve"> § 1.1204</w:t>
      </w:r>
      <w:r>
        <w:rPr>
          <w:sz w:val="20"/>
          <w:szCs w:val="20"/>
        </w:rPr>
        <w:t>(a)(5)</w:t>
      </w:r>
      <w:r w:rsidRPr="001A612A">
        <w:rPr>
          <w:sz w:val="20"/>
          <w:szCs w:val="20"/>
        </w:rPr>
        <w:t>.</w:t>
      </w:r>
      <w:r w:rsidR="002254F2">
        <w:rPr>
          <w:sz w:val="20"/>
          <w:szCs w:val="20"/>
        </w:rPr>
        <w:t xml:space="preserve">  Specifically, </w:t>
      </w:r>
      <w:r w:rsidR="002254F2" w:rsidRPr="002254F2">
        <w:rPr>
          <w:sz w:val="20"/>
          <w:szCs w:val="20"/>
        </w:rPr>
        <w:t xml:space="preserve">the </w:t>
      </w:r>
      <w:r w:rsidR="002254F2" w:rsidRPr="002254F2">
        <w:rPr>
          <w:i/>
          <w:sz w:val="20"/>
          <w:szCs w:val="20"/>
        </w:rPr>
        <w:t xml:space="preserve">ex parte </w:t>
      </w:r>
      <w:r w:rsidR="002254F2" w:rsidRPr="002254F2">
        <w:rPr>
          <w:sz w:val="20"/>
          <w:szCs w:val="20"/>
        </w:rPr>
        <w:t>requirements do not apply provided that “any new factual information obtained through such a presentation that is relied on by the Commission in its decision-making process will, if not otherwise submitted for the record, be disclosed by the Commission no later than at the time of the release of the Commission’s decision</w:t>
      </w:r>
      <w:r w:rsidR="002254F2">
        <w:rPr>
          <w:sz w:val="20"/>
          <w:szCs w:val="20"/>
        </w:rPr>
        <w:t xml:space="preserve">.” </w:t>
      </w:r>
      <w:r w:rsidR="002254F2">
        <w:rPr>
          <w:i/>
          <w:sz w:val="20"/>
          <w:szCs w:val="20"/>
        </w:rPr>
        <w:t>Id.</w:t>
      </w:r>
    </w:p>
  </w:footnote>
  <w:footnote w:id="9">
    <w:p w:rsidR="001533EA" w:rsidRPr="001A612A" w:rsidRDefault="001533EA" w:rsidP="000D0CED">
      <w:pPr>
        <w:pStyle w:val="FootnoteText"/>
        <w:spacing w:after="120"/>
        <w:rPr>
          <w:sz w:val="20"/>
          <w:szCs w:val="20"/>
        </w:rPr>
      </w:pPr>
      <w:r w:rsidRPr="001A612A">
        <w:rPr>
          <w:rStyle w:val="FootnoteReference"/>
          <w:sz w:val="20"/>
          <w:szCs w:val="20"/>
        </w:rPr>
        <w:footnoteRef/>
      </w:r>
      <w:r w:rsidRPr="001A612A">
        <w:rPr>
          <w:sz w:val="20"/>
          <w:szCs w:val="20"/>
        </w:rPr>
        <w:t xml:space="preserve"> </w:t>
      </w:r>
      <w:r w:rsidRPr="001A612A">
        <w:rPr>
          <w:i/>
          <w:sz w:val="20"/>
          <w:szCs w:val="20"/>
        </w:rPr>
        <w:t>See</w:t>
      </w:r>
      <w:r w:rsidRPr="001A612A">
        <w:rPr>
          <w:sz w:val="20"/>
          <w:szCs w:val="20"/>
        </w:rPr>
        <w:t xml:space="preserve"> </w:t>
      </w:r>
      <w:r w:rsidRPr="001A612A">
        <w:rPr>
          <w:i/>
          <w:sz w:val="20"/>
          <w:szCs w:val="20"/>
        </w:rPr>
        <w:t>id.</w:t>
      </w:r>
    </w:p>
  </w:footnote>
  <w:footnote w:id="10">
    <w:p w:rsidR="00921DE3" w:rsidRDefault="00921DE3" w:rsidP="000D0CED">
      <w:pPr>
        <w:pStyle w:val="FootnoteText"/>
        <w:spacing w:after="120"/>
      </w:pPr>
      <w:r w:rsidRPr="00AC7B94">
        <w:rPr>
          <w:rStyle w:val="FootnoteReference"/>
          <w:sz w:val="20"/>
          <w:szCs w:val="20"/>
        </w:rPr>
        <w:footnoteRef/>
      </w:r>
      <w:r>
        <w:t xml:space="preserve"> </w:t>
      </w:r>
      <w:r>
        <w:rPr>
          <w:i/>
          <w:sz w:val="20"/>
          <w:szCs w:val="20"/>
        </w:rPr>
        <w:t>See id</w:t>
      </w:r>
      <w:r w:rsidR="002B41AF">
        <w:rPr>
          <w:i/>
          <w:sz w:val="20"/>
          <w:szCs w:val="20"/>
        </w:rPr>
        <w:t xml:space="preserve">; supra </w:t>
      </w:r>
      <w:r w:rsidR="002B41AF">
        <w:rPr>
          <w:sz w:val="20"/>
          <w:szCs w:val="20"/>
        </w:rPr>
        <w:t>note 7.</w:t>
      </w:r>
    </w:p>
  </w:footnote>
  <w:footnote w:id="11">
    <w:p w:rsidR="00D642E9" w:rsidRPr="00AC7B94" w:rsidRDefault="00D642E9" w:rsidP="000D0CED">
      <w:pPr>
        <w:pStyle w:val="FootnoteText"/>
        <w:spacing w:after="120"/>
        <w:rPr>
          <w:sz w:val="20"/>
          <w:szCs w:val="20"/>
        </w:rPr>
      </w:pPr>
      <w:r w:rsidRPr="00AC7B94">
        <w:rPr>
          <w:rStyle w:val="FootnoteReference"/>
          <w:sz w:val="20"/>
          <w:szCs w:val="20"/>
        </w:rPr>
        <w:footnoteRef/>
      </w:r>
      <w:r w:rsidRPr="00AC7B94">
        <w:rPr>
          <w:sz w:val="20"/>
          <w:szCs w:val="20"/>
        </w:rPr>
        <w:t xml:space="preserve"> </w:t>
      </w:r>
      <w:r>
        <w:rPr>
          <w:i/>
          <w:sz w:val="20"/>
          <w:szCs w:val="20"/>
        </w:rPr>
        <w:t>See supra</w:t>
      </w:r>
      <w:r>
        <w:rPr>
          <w:sz w:val="20"/>
          <w:szCs w:val="20"/>
        </w:rPr>
        <w:t xml:space="preserve"> notes 7-9 and accompanying text.</w:t>
      </w:r>
    </w:p>
  </w:footnote>
  <w:footnote w:id="12">
    <w:p w:rsidR="00D714F9" w:rsidRPr="0043035B" w:rsidRDefault="00D714F9" w:rsidP="000D0CED">
      <w:pPr>
        <w:pStyle w:val="FootnoteText"/>
        <w:spacing w:after="120"/>
      </w:pPr>
      <w:r w:rsidRPr="005D086A">
        <w:rPr>
          <w:rStyle w:val="FootnoteReference"/>
          <w:sz w:val="20"/>
          <w:szCs w:val="20"/>
        </w:rPr>
        <w:footnoteRef/>
      </w:r>
      <w:r w:rsidRPr="005D086A">
        <w:rPr>
          <w:sz w:val="20"/>
          <w:szCs w:val="20"/>
        </w:rPr>
        <w:t xml:space="preserve"> </w:t>
      </w:r>
      <w:r w:rsidR="0043035B" w:rsidRPr="0043035B">
        <w:rPr>
          <w:i/>
          <w:sz w:val="20"/>
          <w:szCs w:val="20"/>
        </w:rPr>
        <w:t>See</w:t>
      </w:r>
      <w:r w:rsidR="0043035B">
        <w:rPr>
          <w:sz w:val="20"/>
          <w:szCs w:val="20"/>
        </w:rPr>
        <w:t xml:space="preserve"> </w:t>
      </w:r>
      <w:r w:rsidRPr="005D086A">
        <w:rPr>
          <w:sz w:val="20"/>
          <w:szCs w:val="20"/>
        </w:rPr>
        <w:t xml:space="preserve">47 U.S.C. § 1.1200 </w:t>
      </w:r>
      <w:r w:rsidRPr="005D086A">
        <w:rPr>
          <w:i/>
          <w:sz w:val="20"/>
          <w:szCs w:val="20"/>
        </w:rPr>
        <w:t>et seq</w:t>
      </w:r>
      <w:r w:rsidR="0090177E">
        <w:rPr>
          <w:i/>
          <w:sz w:val="20"/>
          <w:szCs w:val="20"/>
        </w:rPr>
        <w:t>.</w:t>
      </w:r>
      <w:r w:rsidR="0043035B">
        <w:rPr>
          <w:sz w:val="20"/>
          <w:szCs w:val="20"/>
        </w:rPr>
        <w:t xml:space="preserve">; </w:t>
      </w:r>
      <w:r w:rsidR="0043035B">
        <w:rPr>
          <w:i/>
          <w:sz w:val="20"/>
          <w:szCs w:val="20"/>
        </w:rPr>
        <w:t xml:space="preserve">AWS-3 NPRM </w:t>
      </w:r>
      <w:r w:rsidR="0043035B">
        <w:rPr>
          <w:sz w:val="20"/>
          <w:szCs w:val="20"/>
        </w:rPr>
        <w:t>¶ 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9" w:rsidRDefault="000D7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9" w:rsidRDefault="000D7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50" w:rsidRDefault="0079761E">
    <w:pPr>
      <w:pStyle w:val="Header"/>
      <w:tabs>
        <w:tab w:val="clear" w:pos="4320"/>
        <w:tab w:val="clear" w:pos="8640"/>
        <w:tab w:val="left" w:pos="1080"/>
      </w:tabs>
      <w:spacing w:line="1120" w:lineRule="exact"/>
      <w:ind w:left="720"/>
      <w:rPr>
        <w:rFonts w:ascii="Arial" w:hAnsi="Arial"/>
        <w:b/>
        <w:sz w:val="96"/>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50165</wp:posOffset>
              </wp:positionH>
              <wp:positionV relativeFrom="paragraph">
                <wp:posOffset>703580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750" w:rsidRDefault="007C1750">
                          <w:pPr>
                            <w:rPr>
                              <w:rFonts w:ascii="Arial" w:hAnsi="Arial"/>
                              <w:b/>
                            </w:rPr>
                          </w:pPr>
                          <w:r>
                            <w:rPr>
                              <w:rFonts w:ascii="Arial" w:hAnsi="Arial"/>
                              <w:b/>
                            </w:rPr>
                            <w:t>Federal Communications Commission</w:t>
                          </w:r>
                        </w:p>
                        <w:p w:rsidR="007C1750" w:rsidRDefault="007C1750">
                          <w:pPr>
                            <w:rPr>
                              <w:rFonts w:ascii="Arial" w:hAnsi="Arial"/>
                              <w:b/>
                            </w:rPr>
                          </w:pPr>
                          <w:r>
                            <w:rPr>
                              <w:rFonts w:ascii="Arial" w:hAnsi="Arial"/>
                              <w:b/>
                            </w:rPr>
                            <w:t>445 12th St., S.W.</w:t>
                          </w:r>
                        </w:p>
                        <w:p w:rsidR="007C1750" w:rsidRDefault="007C1750">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55.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" o:allowincell="f" stroked="f">
              <v:textbox>
                <w:txbxContent>
                  <w:p w14:paraId="28AD4D37" w14:textId="77777777" w:rsidR="007C1750" w:rsidRDefault="007C1750">
                    <w:pPr>
                      <w:rPr>
                        <w:rFonts w:ascii="Arial" w:hAnsi="Arial"/>
                        <w:b/>
                      </w:rPr>
                    </w:pPr>
                    <w:r>
                      <w:rPr>
                        <w:rFonts w:ascii="Arial" w:hAnsi="Arial"/>
                        <w:b/>
                      </w:rPr>
                      <w:t>Federal Communications Commission</w:t>
                    </w:r>
                  </w:p>
                  <w:p w14:paraId="1B77FA45" w14:textId="77777777" w:rsidR="007C1750" w:rsidRDefault="007C1750">
                    <w:pPr>
                      <w:rPr>
                        <w:rFonts w:ascii="Arial" w:hAnsi="Arial"/>
                        <w:b/>
                      </w:rPr>
                    </w:pPr>
                    <w:r>
                      <w:rPr>
                        <w:rFonts w:ascii="Arial" w:hAnsi="Arial"/>
                        <w:b/>
                      </w:rPr>
                      <w:t>445 12th St., S.W.</w:t>
                    </w:r>
                  </w:p>
                  <w:p w14:paraId="64C8E0E3" w14:textId="77777777" w:rsidR="007C1750" w:rsidRDefault="007C1750">
                    <w:pPr>
                      <w:rPr>
                        <w:rFonts w:ascii="Arial" w:hAnsi="Arial"/>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8240" behindDoc="0" locked="0" layoutInCell="0" allowOverlap="1">
              <wp:simplePos x="0" y="0"/>
              <wp:positionH relativeFrom="column">
                <wp:posOffset>3848100</wp:posOffset>
              </wp:positionH>
              <wp:positionV relativeFrom="paragraph">
                <wp:posOffset>703580</wp:posOffset>
              </wp:positionV>
              <wp:extent cx="274320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750" w:rsidRDefault="007C1750">
                          <w:pPr>
                            <w:spacing w:before="40"/>
                            <w:jc w:val="right"/>
                            <w:rPr>
                              <w:rFonts w:ascii="Arial" w:hAnsi="Arial"/>
                              <w:sz w:val="16"/>
                            </w:rPr>
                          </w:pPr>
                          <w:r>
                            <w:rPr>
                              <w:rFonts w:ascii="Arial" w:hAnsi="Arial"/>
                              <w:sz w:val="16"/>
                            </w:rPr>
                            <w:tab/>
                          </w:r>
                        </w:p>
                        <w:p w:rsidR="007C1750" w:rsidRDefault="007C1750">
                          <w:pPr>
                            <w:spacing w:before="40"/>
                            <w:jc w:val="right"/>
                            <w:rPr>
                              <w:rFonts w:ascii="Arial" w:hAnsi="Arial"/>
                              <w:b/>
                              <w:sz w:val="16"/>
                            </w:rPr>
                          </w:pPr>
                          <w:r>
                            <w:rPr>
                              <w:rFonts w:ascii="Arial" w:hAnsi="Arial"/>
                              <w:b/>
                              <w:sz w:val="16"/>
                            </w:rPr>
                            <w:t>News Media Information 202 / 418-0500</w:t>
                          </w:r>
                        </w:p>
                        <w:p w:rsidR="007C1750" w:rsidRDefault="007C17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C1750" w:rsidRDefault="007C1750">
                          <w:pPr>
                            <w:jc w:val="right"/>
                            <w:rPr>
                              <w:rFonts w:ascii="Arial" w:hAnsi="Arial"/>
                              <w:b/>
                              <w:sz w:val="16"/>
                            </w:rPr>
                          </w:pPr>
                          <w:r>
                            <w:rPr>
                              <w:rFonts w:ascii="Arial" w:hAnsi="Arial"/>
                              <w:b/>
                              <w:sz w:val="16"/>
                            </w:rPr>
                            <w:t>TTY: 1-888-835-5322</w:t>
                          </w:r>
                        </w:p>
                        <w:p w:rsidR="007C1750" w:rsidRDefault="007C1750">
                          <w:pPr>
                            <w:jc w:val="right"/>
                          </w:pPr>
                        </w:p>
                        <w:p w:rsidR="007C1750" w:rsidRDefault="007C1750">
                          <w:pPr>
                            <w:jc w:val="right"/>
                            <w:rPr>
                              <w:rFonts w:ascii="Arial" w:hAnsi="Arial"/>
                              <w:sz w:val="16"/>
                            </w:rPr>
                          </w:pPr>
                        </w:p>
                        <w:p w:rsidR="007C1750" w:rsidRDefault="007C1750">
                          <w:pPr>
                            <w:jc w:val="right"/>
                            <w:rPr>
                              <w:rFonts w:ascii="Arial" w:hAnsi="Arial"/>
                              <w:sz w:val="16"/>
                            </w:rPr>
                          </w:pPr>
                          <w:r>
                            <w:rPr>
                              <w:rFonts w:ascii="Arial" w:hAnsi="Arial"/>
                              <w:sz w:val="16"/>
                            </w:rPr>
                            <w:tab/>
                          </w:r>
                        </w:p>
                        <w:p w:rsidR="007C1750" w:rsidRDefault="007C1750">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3pt;margin-top:55.4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eg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bx4BXRjRME2my3S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" o:allowincell="f" stroked="f">
              <v:textbox>
                <w:txbxContent>
                  <w:p w14:paraId="010552AC" w14:textId="77777777" w:rsidR="007C1750" w:rsidRDefault="007C1750">
                    <w:pPr>
                      <w:spacing w:before="40"/>
                      <w:jc w:val="right"/>
                      <w:rPr>
                        <w:rFonts w:ascii="Arial" w:hAnsi="Arial"/>
                        <w:sz w:val="16"/>
                      </w:rPr>
                    </w:pPr>
                    <w:r>
                      <w:rPr>
                        <w:rFonts w:ascii="Arial" w:hAnsi="Arial"/>
                        <w:sz w:val="16"/>
                      </w:rPr>
                      <w:tab/>
                    </w:r>
                  </w:p>
                  <w:p w14:paraId="44414E13" w14:textId="77777777" w:rsidR="007C1750" w:rsidRDefault="007C1750">
                    <w:pPr>
                      <w:spacing w:before="40"/>
                      <w:jc w:val="right"/>
                      <w:rPr>
                        <w:rFonts w:ascii="Arial" w:hAnsi="Arial"/>
                        <w:b/>
                        <w:sz w:val="16"/>
                      </w:rPr>
                    </w:pPr>
                    <w:r>
                      <w:rPr>
                        <w:rFonts w:ascii="Arial" w:hAnsi="Arial"/>
                        <w:b/>
                        <w:sz w:val="16"/>
                      </w:rPr>
                      <w:t>News Media Information 202 / 418-0500</w:t>
                    </w:r>
                  </w:p>
                  <w:p w14:paraId="185D1495" w14:textId="77777777" w:rsidR="007C1750" w:rsidRDefault="007C1750">
                    <w:pPr>
                      <w:jc w:val="right"/>
                      <w:rPr>
                        <w:rFonts w:ascii="Arial" w:hAnsi="Arial"/>
                        <w:b/>
                        <w:sz w:val="16"/>
                      </w:rPr>
                    </w:pPr>
                    <w:r>
                      <w:rPr>
                        <w:rFonts w:ascii="Arial" w:hAnsi="Arial"/>
                        <w:b/>
                        <w:sz w:val="16"/>
                      </w:rPr>
                      <w:tab/>
                      <w:t xml:space="preserve">Internet: </w:t>
                    </w:r>
                    <w:bookmarkStart w:id="73" w:name="_Hlt233824"/>
                    <w:r>
                      <w:rPr>
                        <w:rFonts w:ascii="Arial" w:hAnsi="Arial"/>
                        <w:b/>
                        <w:sz w:val="16"/>
                      </w:rPr>
                      <w:t>h</w:t>
                    </w:r>
                    <w:bookmarkEnd w:id="73"/>
                    <w:r>
                      <w:rPr>
                        <w:rFonts w:ascii="Arial" w:hAnsi="Arial"/>
                        <w:b/>
                        <w:sz w:val="16"/>
                      </w:rPr>
                      <w:t>ttp://www.fcc.gov</w:t>
                    </w:r>
                  </w:p>
                  <w:p w14:paraId="45EB69BA" w14:textId="77777777" w:rsidR="007C1750" w:rsidRDefault="007C1750">
                    <w:pPr>
                      <w:jc w:val="right"/>
                      <w:rPr>
                        <w:rFonts w:ascii="Arial" w:hAnsi="Arial"/>
                        <w:b/>
                        <w:sz w:val="16"/>
                      </w:rPr>
                    </w:pPr>
                    <w:r>
                      <w:rPr>
                        <w:rFonts w:ascii="Arial" w:hAnsi="Arial"/>
                        <w:b/>
                        <w:sz w:val="16"/>
                      </w:rPr>
                      <w:t>TTY: 1-888-835-5322</w:t>
                    </w:r>
                  </w:p>
                  <w:p w14:paraId="7343D6FD" w14:textId="77777777" w:rsidR="007C1750" w:rsidRDefault="007C1750">
                    <w:pPr>
                      <w:jc w:val="right"/>
                    </w:pPr>
                  </w:p>
                  <w:p w14:paraId="0C9BA0A0" w14:textId="77777777" w:rsidR="007C1750" w:rsidRDefault="007C1750">
                    <w:pPr>
                      <w:jc w:val="right"/>
                      <w:rPr>
                        <w:rFonts w:ascii="Arial" w:hAnsi="Arial"/>
                        <w:sz w:val="16"/>
                      </w:rPr>
                    </w:pPr>
                  </w:p>
                  <w:p w14:paraId="496DBF37" w14:textId="77777777" w:rsidR="007C1750" w:rsidRDefault="007C1750">
                    <w:pPr>
                      <w:jc w:val="right"/>
                      <w:rPr>
                        <w:rFonts w:ascii="Arial" w:hAnsi="Arial"/>
                        <w:sz w:val="16"/>
                      </w:rPr>
                    </w:pPr>
                    <w:r>
                      <w:rPr>
                        <w:rFonts w:ascii="Arial" w:hAnsi="Arial"/>
                        <w:sz w:val="16"/>
                      </w:rPr>
                      <w:tab/>
                    </w:r>
                  </w:p>
                  <w:p w14:paraId="124D7773" w14:textId="77777777" w:rsidR="007C1750" w:rsidRDefault="007C1750">
                    <w:pPr>
                      <w:jc w:val="right"/>
                      <w:rPr>
                        <w:rFonts w:ascii="Arial" w:hAnsi="Arial"/>
                        <w:sz w:val="16"/>
                      </w:rPr>
                    </w:pPr>
                    <w:r>
                      <w:rPr>
                        <w:rFonts w:ascii="Arial" w:hAnsi="Arial"/>
                        <w:sz w:val="16"/>
                      </w:rPr>
                      <w:tab/>
                    </w:r>
                  </w:p>
                </w:txbxContent>
              </v:textbox>
            </v:shape>
          </w:pict>
        </mc:Fallback>
      </mc:AlternateContent>
    </w:r>
    <w:r w:rsidR="007C1750">
      <w:rPr>
        <w:rFonts w:ascii="Arial" w:hAnsi="Arial"/>
        <w:b/>
        <w:noProof/>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7C1750">
      <w:tab/>
    </w:r>
    <w:r w:rsidR="007C1750">
      <w:rPr>
        <w:rFonts w:ascii="Arial" w:hAnsi="Arial"/>
        <w:b/>
        <w:sz w:val="96"/>
      </w:rPr>
      <w:t>PUBLIC NOTICE</w:t>
    </w:r>
  </w:p>
  <w:p w:rsidR="007C1750" w:rsidRDefault="007C1750">
    <w:pPr>
      <w:pStyle w:val="Header"/>
      <w:tabs>
        <w:tab w:val="clear" w:pos="4320"/>
        <w:tab w:val="clear" w:pos="8640"/>
        <w:tab w:val="left" w:pos="1080"/>
      </w:tabs>
      <w:spacing w:line="1120" w:lineRule="exact"/>
      <w:ind w:left="720"/>
      <w:rPr>
        <w:rFonts w:ascii="Arial" w:hAnsi="Arial"/>
        <w:b/>
        <w:sz w:val="28"/>
      </w:rPr>
    </w:pPr>
  </w:p>
  <w:p w:rsidR="007C1750" w:rsidRDefault="0079761E">
    <w:pPr>
      <w:pStyle w:val="Header"/>
      <w:tabs>
        <w:tab w:val="clear" w:pos="4320"/>
        <w:tab w:val="clear" w:pos="8640"/>
        <w:tab w:val="left" w:pos="1080"/>
      </w:tabs>
      <w:ind w:left="720"/>
      <w:rPr>
        <w:rFonts w:ascii="Arial" w:hAnsi="Arial"/>
        <w:b/>
      </w:rPr>
    </w:pPr>
    <w:r>
      <w:rPr>
        <w:rFonts w:ascii="Arial" w:hAnsi="Arial"/>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50165</wp:posOffset>
              </wp:positionH>
              <wp:positionV relativeFrom="paragraph">
                <wp:posOffset>38099</wp:posOffset>
              </wp:positionV>
              <wp:extent cx="646747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pt" to="51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" o:allowincell="f"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E2"/>
    <w:rsid w:val="00034502"/>
    <w:rsid w:val="000459D8"/>
    <w:rsid w:val="00051FFE"/>
    <w:rsid w:val="000C0E51"/>
    <w:rsid w:val="000D0B0C"/>
    <w:rsid w:val="000D0CED"/>
    <w:rsid w:val="000D7AA9"/>
    <w:rsid w:val="000E63FA"/>
    <w:rsid w:val="00100F0C"/>
    <w:rsid w:val="00102348"/>
    <w:rsid w:val="0012338F"/>
    <w:rsid w:val="001430DE"/>
    <w:rsid w:val="001533EA"/>
    <w:rsid w:val="0015491E"/>
    <w:rsid w:val="001A612A"/>
    <w:rsid w:val="001B59E0"/>
    <w:rsid w:val="001D1BE1"/>
    <w:rsid w:val="001F7620"/>
    <w:rsid w:val="002254F2"/>
    <w:rsid w:val="0025678F"/>
    <w:rsid w:val="00275FC6"/>
    <w:rsid w:val="002760B6"/>
    <w:rsid w:val="00297CF8"/>
    <w:rsid w:val="002A29EB"/>
    <w:rsid w:val="002B41AF"/>
    <w:rsid w:val="002C1A54"/>
    <w:rsid w:val="002C4C7D"/>
    <w:rsid w:val="002E589A"/>
    <w:rsid w:val="002F31DA"/>
    <w:rsid w:val="00363722"/>
    <w:rsid w:val="003A1501"/>
    <w:rsid w:val="003B1499"/>
    <w:rsid w:val="003D1055"/>
    <w:rsid w:val="003D47FE"/>
    <w:rsid w:val="004011C9"/>
    <w:rsid w:val="0043035B"/>
    <w:rsid w:val="004872ED"/>
    <w:rsid w:val="004A3D5F"/>
    <w:rsid w:val="004C286F"/>
    <w:rsid w:val="004D4513"/>
    <w:rsid w:val="004E2658"/>
    <w:rsid w:val="005164BB"/>
    <w:rsid w:val="00521381"/>
    <w:rsid w:val="00562063"/>
    <w:rsid w:val="00580277"/>
    <w:rsid w:val="005D086A"/>
    <w:rsid w:val="005D4DCA"/>
    <w:rsid w:val="006037B7"/>
    <w:rsid w:val="00653EBE"/>
    <w:rsid w:val="0068504A"/>
    <w:rsid w:val="00690AB6"/>
    <w:rsid w:val="00692687"/>
    <w:rsid w:val="00775370"/>
    <w:rsid w:val="00792DD9"/>
    <w:rsid w:val="0079761E"/>
    <w:rsid w:val="007C1750"/>
    <w:rsid w:val="0080076E"/>
    <w:rsid w:val="00810469"/>
    <w:rsid w:val="0082152D"/>
    <w:rsid w:val="00826AE2"/>
    <w:rsid w:val="00860EFE"/>
    <w:rsid w:val="00890C91"/>
    <w:rsid w:val="008A0BEF"/>
    <w:rsid w:val="008B67E9"/>
    <w:rsid w:val="0090177E"/>
    <w:rsid w:val="0090354A"/>
    <w:rsid w:val="00921DE3"/>
    <w:rsid w:val="0094142F"/>
    <w:rsid w:val="00943739"/>
    <w:rsid w:val="00973E5F"/>
    <w:rsid w:val="00991A14"/>
    <w:rsid w:val="0099396F"/>
    <w:rsid w:val="009F5FD2"/>
    <w:rsid w:val="00A05AFF"/>
    <w:rsid w:val="00A348C4"/>
    <w:rsid w:val="00A37156"/>
    <w:rsid w:val="00A82F56"/>
    <w:rsid w:val="00A8625E"/>
    <w:rsid w:val="00A912F2"/>
    <w:rsid w:val="00AA4964"/>
    <w:rsid w:val="00AA6733"/>
    <w:rsid w:val="00AC13D2"/>
    <w:rsid w:val="00AC7B94"/>
    <w:rsid w:val="00B1479B"/>
    <w:rsid w:val="00BB546B"/>
    <w:rsid w:val="00BC1F49"/>
    <w:rsid w:val="00BD2671"/>
    <w:rsid w:val="00BF7FF1"/>
    <w:rsid w:val="00C17626"/>
    <w:rsid w:val="00C2356A"/>
    <w:rsid w:val="00C4773B"/>
    <w:rsid w:val="00C52A2B"/>
    <w:rsid w:val="00C65551"/>
    <w:rsid w:val="00CC4EB0"/>
    <w:rsid w:val="00CD35E0"/>
    <w:rsid w:val="00CE0EBD"/>
    <w:rsid w:val="00CF0BD1"/>
    <w:rsid w:val="00D05ADC"/>
    <w:rsid w:val="00D2094C"/>
    <w:rsid w:val="00D5152D"/>
    <w:rsid w:val="00D642E9"/>
    <w:rsid w:val="00D714F9"/>
    <w:rsid w:val="00DD05F2"/>
    <w:rsid w:val="00DF51AD"/>
    <w:rsid w:val="00E745C3"/>
    <w:rsid w:val="00EB35ED"/>
    <w:rsid w:val="00EE4946"/>
    <w:rsid w:val="00EF4A66"/>
    <w:rsid w:val="00F874F6"/>
    <w:rsid w:val="00FD4E9A"/>
    <w:rsid w:val="00FD51F8"/>
    <w:rsid w:val="00FF1C99"/>
    <w:rsid w:val="00FF5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note reference" w:uiPriority="99"/>
    <w:lsdException w:name="Default Paragraph Font" w:uiPriority="1"/>
    <w:lsdException w:name="Normal (Web)" w:uiPriority="99"/>
    <w:lsdException w:name="No List" w:uiPriority="99"/>
  </w:latentStyles>
  <w:style w:type="paragraph" w:default="1" w:styleId="Normal">
    <w:name w:val="Normal"/>
    <w:qFormat/>
    <w:rsid w:val="0069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2687"/>
    <w:pPr>
      <w:tabs>
        <w:tab w:val="center" w:pos="4320"/>
        <w:tab w:val="right" w:pos="8640"/>
      </w:tabs>
    </w:pPr>
  </w:style>
  <w:style w:type="paragraph" w:styleId="Footer">
    <w:name w:val="footer"/>
    <w:basedOn w:val="Normal"/>
    <w:semiHidden/>
    <w:rsid w:val="00692687"/>
    <w:pPr>
      <w:tabs>
        <w:tab w:val="center" w:pos="4320"/>
        <w:tab w:val="right" w:pos="8640"/>
      </w:tabs>
    </w:pPr>
  </w:style>
  <w:style w:type="character" w:styleId="Hyperlink">
    <w:name w:val="Hyperlink"/>
    <w:basedOn w:val="DefaultParagraphFont"/>
    <w:semiHidden/>
    <w:rsid w:val="00692687"/>
    <w:rPr>
      <w:color w:val="0000FF"/>
      <w:u w:val="single"/>
    </w:rPr>
  </w:style>
  <w:style w:type="paragraph" w:styleId="FootnoteText">
    <w:name w:val="footnote text"/>
    <w:basedOn w:val="Normal"/>
    <w:link w:val="FootnoteTextChar"/>
    <w:uiPriority w:val="99"/>
    <w:semiHidden/>
    <w:unhideWhenUsed/>
    <w:rsid w:val="0099396F"/>
  </w:style>
  <w:style w:type="character" w:customStyle="1" w:styleId="FootnoteTextChar">
    <w:name w:val="Footnote Text Char"/>
    <w:basedOn w:val="DefaultParagraphFont"/>
    <w:link w:val="FootnoteText"/>
    <w:uiPriority w:val="99"/>
    <w:semiHidden/>
    <w:rsid w:val="0099396F"/>
    <w:rPr>
      <w:sz w:val="24"/>
      <w:szCs w:val="24"/>
    </w:rPr>
  </w:style>
  <w:style w:type="character" w:styleId="FootnoteReference">
    <w:name w:val="footnote reference"/>
    <w:basedOn w:val="DefaultParagraphFont"/>
    <w:uiPriority w:val="99"/>
    <w:semiHidden/>
    <w:unhideWhenUsed/>
    <w:rsid w:val="0099396F"/>
    <w:rPr>
      <w:vertAlign w:val="superscript"/>
    </w:rPr>
  </w:style>
  <w:style w:type="paragraph" w:styleId="NormalWeb">
    <w:name w:val="Normal (Web)"/>
    <w:basedOn w:val="Normal"/>
    <w:uiPriority w:val="99"/>
    <w:rsid w:val="0099396F"/>
    <w:pPr>
      <w:spacing w:beforeLines="1" w:afterLines="1"/>
    </w:pPr>
    <w:rPr>
      <w:rFonts w:ascii="Times" w:hAnsi="Times"/>
    </w:rPr>
  </w:style>
  <w:style w:type="character" w:styleId="PageNumber">
    <w:name w:val="page number"/>
    <w:basedOn w:val="DefaultParagraphFont"/>
    <w:rsid w:val="008A0BEF"/>
  </w:style>
  <w:style w:type="character" w:styleId="CommentReference">
    <w:name w:val="annotation reference"/>
    <w:basedOn w:val="DefaultParagraphFont"/>
    <w:rsid w:val="008A0BEF"/>
    <w:rPr>
      <w:sz w:val="18"/>
      <w:szCs w:val="18"/>
    </w:rPr>
  </w:style>
  <w:style w:type="paragraph" w:styleId="CommentText">
    <w:name w:val="annotation text"/>
    <w:basedOn w:val="Normal"/>
    <w:link w:val="CommentTextChar"/>
    <w:rsid w:val="008A0BEF"/>
  </w:style>
  <w:style w:type="character" w:customStyle="1" w:styleId="CommentTextChar">
    <w:name w:val="Comment Text Char"/>
    <w:basedOn w:val="DefaultParagraphFont"/>
    <w:link w:val="CommentText"/>
    <w:rsid w:val="008A0BEF"/>
  </w:style>
  <w:style w:type="paragraph" w:styleId="CommentSubject">
    <w:name w:val="annotation subject"/>
    <w:basedOn w:val="CommentText"/>
    <w:next w:val="CommentText"/>
    <w:link w:val="CommentSubjectChar"/>
    <w:rsid w:val="008A0BEF"/>
    <w:rPr>
      <w:b/>
      <w:bCs/>
      <w:sz w:val="20"/>
      <w:szCs w:val="20"/>
    </w:rPr>
  </w:style>
  <w:style w:type="character" w:customStyle="1" w:styleId="CommentSubjectChar">
    <w:name w:val="Comment Subject Char"/>
    <w:basedOn w:val="CommentTextChar"/>
    <w:link w:val="CommentSubject"/>
    <w:rsid w:val="008A0BEF"/>
    <w:rPr>
      <w:b/>
      <w:bCs/>
      <w:sz w:val="20"/>
      <w:szCs w:val="20"/>
    </w:rPr>
  </w:style>
  <w:style w:type="paragraph" w:styleId="BalloonText">
    <w:name w:val="Balloon Text"/>
    <w:basedOn w:val="Normal"/>
    <w:link w:val="BalloonTextChar"/>
    <w:rsid w:val="008A0BEF"/>
    <w:rPr>
      <w:rFonts w:ascii="Lucida Grande" w:hAnsi="Lucida Grande"/>
      <w:sz w:val="18"/>
      <w:szCs w:val="18"/>
    </w:rPr>
  </w:style>
  <w:style w:type="character" w:customStyle="1" w:styleId="BalloonTextChar">
    <w:name w:val="Balloon Text Char"/>
    <w:basedOn w:val="DefaultParagraphFont"/>
    <w:link w:val="BalloonText"/>
    <w:rsid w:val="008A0BEF"/>
    <w:rPr>
      <w:rFonts w:ascii="Lucida Grande" w:hAnsi="Lucida Grande"/>
      <w:sz w:val="18"/>
      <w:szCs w:val="18"/>
    </w:rPr>
  </w:style>
  <w:style w:type="paragraph" w:styleId="Revision">
    <w:name w:val="Revision"/>
    <w:hidden/>
    <w:rsid w:val="002B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note reference" w:uiPriority="99"/>
    <w:lsdException w:name="Default Paragraph Font" w:uiPriority="1"/>
    <w:lsdException w:name="Normal (Web)" w:uiPriority="99"/>
    <w:lsdException w:name="No List" w:uiPriority="99"/>
  </w:latentStyles>
  <w:style w:type="paragraph" w:default="1" w:styleId="Normal">
    <w:name w:val="Normal"/>
    <w:qFormat/>
    <w:rsid w:val="0069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2687"/>
    <w:pPr>
      <w:tabs>
        <w:tab w:val="center" w:pos="4320"/>
        <w:tab w:val="right" w:pos="8640"/>
      </w:tabs>
    </w:pPr>
  </w:style>
  <w:style w:type="paragraph" w:styleId="Footer">
    <w:name w:val="footer"/>
    <w:basedOn w:val="Normal"/>
    <w:semiHidden/>
    <w:rsid w:val="00692687"/>
    <w:pPr>
      <w:tabs>
        <w:tab w:val="center" w:pos="4320"/>
        <w:tab w:val="right" w:pos="8640"/>
      </w:tabs>
    </w:pPr>
  </w:style>
  <w:style w:type="character" w:styleId="Hyperlink">
    <w:name w:val="Hyperlink"/>
    <w:basedOn w:val="DefaultParagraphFont"/>
    <w:semiHidden/>
    <w:rsid w:val="00692687"/>
    <w:rPr>
      <w:color w:val="0000FF"/>
      <w:u w:val="single"/>
    </w:rPr>
  </w:style>
  <w:style w:type="paragraph" w:styleId="FootnoteText">
    <w:name w:val="footnote text"/>
    <w:basedOn w:val="Normal"/>
    <w:link w:val="FootnoteTextChar"/>
    <w:uiPriority w:val="99"/>
    <w:semiHidden/>
    <w:unhideWhenUsed/>
    <w:rsid w:val="0099396F"/>
  </w:style>
  <w:style w:type="character" w:customStyle="1" w:styleId="FootnoteTextChar">
    <w:name w:val="Footnote Text Char"/>
    <w:basedOn w:val="DefaultParagraphFont"/>
    <w:link w:val="FootnoteText"/>
    <w:uiPriority w:val="99"/>
    <w:semiHidden/>
    <w:rsid w:val="0099396F"/>
    <w:rPr>
      <w:sz w:val="24"/>
      <w:szCs w:val="24"/>
    </w:rPr>
  </w:style>
  <w:style w:type="character" w:styleId="FootnoteReference">
    <w:name w:val="footnote reference"/>
    <w:basedOn w:val="DefaultParagraphFont"/>
    <w:uiPriority w:val="99"/>
    <w:semiHidden/>
    <w:unhideWhenUsed/>
    <w:rsid w:val="0099396F"/>
    <w:rPr>
      <w:vertAlign w:val="superscript"/>
    </w:rPr>
  </w:style>
  <w:style w:type="paragraph" w:styleId="NormalWeb">
    <w:name w:val="Normal (Web)"/>
    <w:basedOn w:val="Normal"/>
    <w:uiPriority w:val="99"/>
    <w:rsid w:val="0099396F"/>
    <w:pPr>
      <w:spacing w:beforeLines="1" w:afterLines="1"/>
    </w:pPr>
    <w:rPr>
      <w:rFonts w:ascii="Times" w:hAnsi="Times"/>
    </w:rPr>
  </w:style>
  <w:style w:type="character" w:styleId="PageNumber">
    <w:name w:val="page number"/>
    <w:basedOn w:val="DefaultParagraphFont"/>
    <w:rsid w:val="008A0BEF"/>
  </w:style>
  <w:style w:type="character" w:styleId="CommentReference">
    <w:name w:val="annotation reference"/>
    <w:basedOn w:val="DefaultParagraphFont"/>
    <w:rsid w:val="008A0BEF"/>
    <w:rPr>
      <w:sz w:val="18"/>
      <w:szCs w:val="18"/>
    </w:rPr>
  </w:style>
  <w:style w:type="paragraph" w:styleId="CommentText">
    <w:name w:val="annotation text"/>
    <w:basedOn w:val="Normal"/>
    <w:link w:val="CommentTextChar"/>
    <w:rsid w:val="008A0BEF"/>
  </w:style>
  <w:style w:type="character" w:customStyle="1" w:styleId="CommentTextChar">
    <w:name w:val="Comment Text Char"/>
    <w:basedOn w:val="DefaultParagraphFont"/>
    <w:link w:val="CommentText"/>
    <w:rsid w:val="008A0BEF"/>
  </w:style>
  <w:style w:type="paragraph" w:styleId="CommentSubject">
    <w:name w:val="annotation subject"/>
    <w:basedOn w:val="CommentText"/>
    <w:next w:val="CommentText"/>
    <w:link w:val="CommentSubjectChar"/>
    <w:rsid w:val="008A0BEF"/>
    <w:rPr>
      <w:b/>
      <w:bCs/>
      <w:sz w:val="20"/>
      <w:szCs w:val="20"/>
    </w:rPr>
  </w:style>
  <w:style w:type="character" w:customStyle="1" w:styleId="CommentSubjectChar">
    <w:name w:val="Comment Subject Char"/>
    <w:basedOn w:val="CommentTextChar"/>
    <w:link w:val="CommentSubject"/>
    <w:rsid w:val="008A0BEF"/>
    <w:rPr>
      <w:b/>
      <w:bCs/>
      <w:sz w:val="20"/>
      <w:szCs w:val="20"/>
    </w:rPr>
  </w:style>
  <w:style w:type="paragraph" w:styleId="BalloonText">
    <w:name w:val="Balloon Text"/>
    <w:basedOn w:val="Normal"/>
    <w:link w:val="BalloonTextChar"/>
    <w:rsid w:val="008A0BEF"/>
    <w:rPr>
      <w:rFonts w:ascii="Lucida Grande" w:hAnsi="Lucida Grande"/>
      <w:sz w:val="18"/>
      <w:szCs w:val="18"/>
    </w:rPr>
  </w:style>
  <w:style w:type="character" w:customStyle="1" w:styleId="BalloonTextChar">
    <w:name w:val="Balloon Text Char"/>
    <w:basedOn w:val="DefaultParagraphFont"/>
    <w:link w:val="BalloonText"/>
    <w:rsid w:val="008A0BEF"/>
    <w:rPr>
      <w:rFonts w:ascii="Lucida Grande" w:hAnsi="Lucida Grande"/>
      <w:sz w:val="18"/>
      <w:szCs w:val="18"/>
    </w:rPr>
  </w:style>
  <w:style w:type="paragraph" w:styleId="Revision">
    <w:name w:val="Revision"/>
    <w:hidden/>
    <w:rsid w:val="002B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2863">
      <w:bodyDiv w:val="1"/>
      <w:marLeft w:val="0"/>
      <w:marRight w:val="0"/>
      <w:marTop w:val="0"/>
      <w:marBottom w:val="0"/>
      <w:divBdr>
        <w:top w:val="none" w:sz="0" w:space="0" w:color="auto"/>
        <w:left w:val="none" w:sz="0" w:space="0" w:color="auto"/>
        <w:bottom w:val="none" w:sz="0" w:space="0" w:color="auto"/>
        <w:right w:val="none" w:sz="0" w:space="0" w:color="auto"/>
      </w:divBdr>
    </w:div>
    <w:div w:id="952203063">
      <w:bodyDiv w:val="1"/>
      <w:marLeft w:val="0"/>
      <w:marRight w:val="0"/>
      <w:marTop w:val="0"/>
      <w:marBottom w:val="0"/>
      <w:divBdr>
        <w:top w:val="none" w:sz="0" w:space="0" w:color="auto"/>
        <w:left w:val="none" w:sz="0" w:space="0" w:color="auto"/>
        <w:bottom w:val="none" w:sz="0" w:space="0" w:color="auto"/>
        <w:right w:val="none" w:sz="0" w:space="0" w:color="auto"/>
      </w:divBdr>
    </w:div>
    <w:div w:id="1178888116">
      <w:bodyDiv w:val="1"/>
      <w:marLeft w:val="0"/>
      <w:marRight w:val="0"/>
      <w:marTop w:val="0"/>
      <w:marBottom w:val="0"/>
      <w:divBdr>
        <w:top w:val="none" w:sz="0" w:space="0" w:color="auto"/>
        <w:left w:val="none" w:sz="0" w:space="0" w:color="auto"/>
        <w:bottom w:val="none" w:sz="0" w:space="0" w:color="auto"/>
        <w:right w:val="none" w:sz="0" w:space="0" w:color="auto"/>
      </w:divBdr>
    </w:div>
    <w:div w:id="1204901980">
      <w:bodyDiv w:val="1"/>
      <w:marLeft w:val="0"/>
      <w:marRight w:val="0"/>
      <w:marTop w:val="0"/>
      <w:marBottom w:val="0"/>
      <w:divBdr>
        <w:top w:val="none" w:sz="0" w:space="0" w:color="auto"/>
        <w:left w:val="none" w:sz="0" w:space="0" w:color="auto"/>
        <w:bottom w:val="none" w:sz="0" w:space="0" w:color="auto"/>
        <w:right w:val="none" w:sz="0" w:space="0" w:color="auto"/>
      </w:divBdr>
    </w:div>
    <w:div w:id="1751921983">
      <w:bodyDiv w:val="1"/>
      <w:marLeft w:val="0"/>
      <w:marRight w:val="0"/>
      <w:marTop w:val="0"/>
      <w:marBottom w:val="0"/>
      <w:divBdr>
        <w:top w:val="none" w:sz="0" w:space="0" w:color="auto"/>
        <w:left w:val="none" w:sz="0" w:space="0" w:color="auto"/>
        <w:bottom w:val="none" w:sz="0" w:space="0" w:color="auto"/>
        <w:right w:val="none" w:sz="0" w:space="0" w:color="auto"/>
      </w:divBdr>
    </w:div>
    <w:div w:id="18202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an.regan@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files/ntia/publications/csmac_2013_chart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3</Pages>
  <Words>935</Words>
  <Characters>5317</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2013-08-14T15:57:00Z</cp:lastPrinted>
  <dcterms:created xsi:type="dcterms:W3CDTF">2013-08-15T17:38:00Z</dcterms:created>
  <dcterms:modified xsi:type="dcterms:W3CDTF">2013-08-15T17:38:00Z</dcterms:modified>
  <cp:category> </cp:category>
  <cp:contentStatus> </cp:contentStatus>
</cp:coreProperties>
</file>