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B4D" w:rsidRDefault="00365B4D" w:rsidP="00910F0B">
      <w:pPr>
        <w:jc w:val="center"/>
        <w:rPr>
          <w:b/>
        </w:rPr>
      </w:pPr>
      <w:bookmarkStart w:id="0" w:name="_GoBack"/>
      <w:bookmarkEnd w:id="0"/>
      <w:r>
        <w:rPr>
          <w:b/>
        </w:rPr>
        <w:t>Before the</w:t>
      </w:r>
    </w:p>
    <w:p w:rsidR="00365B4D" w:rsidRDefault="00365B4D" w:rsidP="00910F0B">
      <w:pPr>
        <w:jc w:val="center"/>
        <w:rPr>
          <w:b/>
        </w:rPr>
      </w:pPr>
      <w:r>
        <w:rPr>
          <w:b/>
        </w:rPr>
        <w:t>Federal Communications Commission</w:t>
      </w:r>
    </w:p>
    <w:p w:rsidR="00365B4D" w:rsidRDefault="00365B4D" w:rsidP="00910F0B">
      <w:pPr>
        <w:jc w:val="center"/>
        <w:rPr>
          <w:b/>
        </w:rPr>
      </w:pPr>
      <w:r>
        <w:rPr>
          <w:b/>
        </w:rPr>
        <w:t>Washington, D.C. 20554</w:t>
      </w:r>
    </w:p>
    <w:p w:rsidR="00365B4D" w:rsidRDefault="00365B4D" w:rsidP="00910F0B">
      <w:pPr>
        <w:jc w:val="center"/>
      </w:pPr>
    </w:p>
    <w:p w:rsidR="00365B4D" w:rsidRDefault="00365B4D" w:rsidP="004539F1"/>
    <w:tbl>
      <w:tblPr>
        <w:tblW w:w="0" w:type="auto"/>
        <w:tblLayout w:type="fixed"/>
        <w:tblLook w:val="0000" w:firstRow="0" w:lastRow="0" w:firstColumn="0" w:lastColumn="0" w:noHBand="0" w:noVBand="0"/>
      </w:tblPr>
      <w:tblGrid>
        <w:gridCol w:w="4698"/>
        <w:gridCol w:w="720"/>
        <w:gridCol w:w="4230"/>
      </w:tblGrid>
      <w:tr w:rsidR="00365B4D" w:rsidTr="00860877">
        <w:trPr>
          <w:trHeight w:val="2961"/>
        </w:trPr>
        <w:tc>
          <w:tcPr>
            <w:tcW w:w="4698" w:type="dxa"/>
          </w:tcPr>
          <w:p w:rsidR="00365B4D" w:rsidRDefault="00365B4D" w:rsidP="004539F1">
            <w:pPr>
              <w:ind w:right="-18"/>
            </w:pPr>
            <w:r>
              <w:t xml:space="preserve">In </w:t>
            </w:r>
            <w:r w:rsidR="009842D6">
              <w:t>the Matter of</w:t>
            </w:r>
          </w:p>
          <w:p w:rsidR="009842D6" w:rsidRDefault="009842D6" w:rsidP="004539F1">
            <w:pPr>
              <w:ind w:right="-18"/>
            </w:pPr>
          </w:p>
          <w:p w:rsidR="009842D6" w:rsidRDefault="009842D6" w:rsidP="004539F1">
            <w:pPr>
              <w:ind w:right="-18"/>
            </w:pPr>
            <w:r>
              <w:t>PAGING SYSTEMS, INC.</w:t>
            </w:r>
          </w:p>
          <w:p w:rsidR="009842D6" w:rsidRDefault="009842D6" w:rsidP="004539F1">
            <w:pPr>
              <w:ind w:right="-18"/>
            </w:pPr>
          </w:p>
          <w:p w:rsidR="009842D6" w:rsidRDefault="009842D6" w:rsidP="004539F1">
            <w:pPr>
              <w:ind w:right="-18"/>
            </w:pPr>
            <w:r>
              <w:t>VERDE SYSTEMS LLC</w:t>
            </w:r>
          </w:p>
          <w:p w:rsidR="009842D6" w:rsidRDefault="009842D6" w:rsidP="004539F1">
            <w:pPr>
              <w:ind w:right="-18"/>
            </w:pPr>
          </w:p>
          <w:p w:rsidR="009842D6" w:rsidRDefault="00860877" w:rsidP="004539F1">
            <w:pPr>
              <w:ind w:right="-18"/>
            </w:pPr>
            <w:r>
              <w:t>a</w:t>
            </w:r>
            <w:r w:rsidR="009842D6">
              <w:t xml:space="preserve">nd </w:t>
            </w:r>
          </w:p>
          <w:p w:rsidR="009842D6" w:rsidRDefault="009842D6" w:rsidP="004539F1">
            <w:pPr>
              <w:ind w:right="-18"/>
            </w:pPr>
          </w:p>
          <w:p w:rsidR="009842D6" w:rsidRDefault="00037FE5" w:rsidP="004539F1">
            <w:pPr>
              <w:ind w:right="-18"/>
            </w:pPr>
            <w:r>
              <w:t>SKYBRIDGE SPECTRUM FOUNDATION</w:t>
            </w:r>
          </w:p>
          <w:p w:rsidR="009842D6" w:rsidRDefault="009842D6" w:rsidP="004539F1">
            <w:pPr>
              <w:ind w:right="-18"/>
            </w:pPr>
          </w:p>
          <w:p w:rsidR="0039107A" w:rsidRDefault="009842D6" w:rsidP="004539F1">
            <w:pPr>
              <w:ind w:right="-18"/>
            </w:pPr>
            <w:r>
              <w:t>Applications for Assignment of Licenses</w:t>
            </w:r>
          </w:p>
        </w:tc>
        <w:tc>
          <w:tcPr>
            <w:tcW w:w="720" w:type="dxa"/>
          </w:tcPr>
          <w:p w:rsidR="00365B4D" w:rsidRDefault="00365B4D" w:rsidP="004539F1">
            <w:pPr>
              <w:rPr>
                <w:b/>
              </w:rPr>
            </w:pPr>
            <w:r>
              <w:rPr>
                <w:b/>
              </w:rPr>
              <w:t>)</w:t>
            </w:r>
          </w:p>
          <w:p w:rsidR="00365B4D" w:rsidRDefault="00365B4D" w:rsidP="004539F1">
            <w:pPr>
              <w:rPr>
                <w:b/>
              </w:rPr>
            </w:pPr>
            <w:r>
              <w:rPr>
                <w:b/>
              </w:rPr>
              <w:t>)</w:t>
            </w:r>
          </w:p>
          <w:p w:rsidR="00365B4D" w:rsidRDefault="00365B4D" w:rsidP="004539F1">
            <w:pPr>
              <w:rPr>
                <w:b/>
              </w:rPr>
            </w:pPr>
            <w:r>
              <w:rPr>
                <w:b/>
              </w:rPr>
              <w:t>)</w:t>
            </w:r>
          </w:p>
          <w:p w:rsidR="00365B4D" w:rsidRDefault="00365B4D" w:rsidP="004539F1">
            <w:pPr>
              <w:rPr>
                <w:b/>
              </w:rPr>
            </w:pPr>
            <w:r>
              <w:rPr>
                <w:b/>
              </w:rPr>
              <w:t>)</w:t>
            </w:r>
          </w:p>
          <w:p w:rsidR="00365B4D" w:rsidRDefault="00365B4D" w:rsidP="004539F1">
            <w:pPr>
              <w:rPr>
                <w:b/>
              </w:rPr>
            </w:pPr>
            <w:r>
              <w:rPr>
                <w:b/>
              </w:rPr>
              <w:t>)</w:t>
            </w:r>
          </w:p>
          <w:p w:rsidR="00365B4D" w:rsidRDefault="00365B4D" w:rsidP="004539F1">
            <w:pPr>
              <w:rPr>
                <w:b/>
              </w:rPr>
            </w:pPr>
            <w:r>
              <w:rPr>
                <w:b/>
              </w:rPr>
              <w:t>)</w:t>
            </w:r>
          </w:p>
          <w:p w:rsidR="00365B4D" w:rsidRDefault="009842D6" w:rsidP="004539F1">
            <w:pPr>
              <w:rPr>
                <w:b/>
              </w:rPr>
            </w:pPr>
            <w:r>
              <w:rPr>
                <w:b/>
              </w:rPr>
              <w:t>)</w:t>
            </w:r>
          </w:p>
          <w:p w:rsidR="009842D6" w:rsidRDefault="009842D6" w:rsidP="004539F1">
            <w:pPr>
              <w:rPr>
                <w:b/>
              </w:rPr>
            </w:pPr>
            <w:r>
              <w:rPr>
                <w:b/>
              </w:rPr>
              <w:t>)</w:t>
            </w:r>
          </w:p>
          <w:p w:rsidR="009842D6" w:rsidRDefault="009842D6" w:rsidP="004539F1">
            <w:pPr>
              <w:rPr>
                <w:b/>
              </w:rPr>
            </w:pPr>
            <w:r>
              <w:rPr>
                <w:b/>
              </w:rPr>
              <w:t>)</w:t>
            </w:r>
          </w:p>
          <w:p w:rsidR="009842D6" w:rsidRDefault="009842D6" w:rsidP="004539F1">
            <w:pPr>
              <w:rPr>
                <w:b/>
              </w:rPr>
            </w:pPr>
            <w:r>
              <w:rPr>
                <w:b/>
              </w:rPr>
              <w:t>)</w:t>
            </w:r>
          </w:p>
          <w:p w:rsidR="009842D6" w:rsidRDefault="009842D6" w:rsidP="004539F1">
            <w:pPr>
              <w:rPr>
                <w:b/>
              </w:rPr>
            </w:pPr>
            <w:r>
              <w:rPr>
                <w:b/>
              </w:rPr>
              <w:t>)</w:t>
            </w:r>
          </w:p>
          <w:p w:rsidR="009842D6" w:rsidRDefault="009842D6" w:rsidP="004539F1">
            <w:pPr>
              <w:rPr>
                <w:b/>
              </w:rPr>
            </w:pPr>
          </w:p>
        </w:tc>
        <w:tc>
          <w:tcPr>
            <w:tcW w:w="4230" w:type="dxa"/>
          </w:tcPr>
          <w:p w:rsidR="00365B4D" w:rsidRDefault="00365B4D" w:rsidP="004539F1"/>
          <w:p w:rsidR="00365B4D" w:rsidRDefault="00365B4D" w:rsidP="004539F1"/>
          <w:p w:rsidR="00365B4D" w:rsidRDefault="009842D6" w:rsidP="00D75712">
            <w:pPr>
              <w:rPr>
                <w:spacing w:val="-2"/>
              </w:rPr>
            </w:pPr>
            <w:r>
              <w:rPr>
                <w:spacing w:val="-2"/>
              </w:rPr>
              <w:t>File No. 0005733853</w:t>
            </w:r>
          </w:p>
          <w:p w:rsidR="009842D6" w:rsidRDefault="009842D6" w:rsidP="00D75712">
            <w:pPr>
              <w:rPr>
                <w:spacing w:val="-2"/>
              </w:rPr>
            </w:pPr>
          </w:p>
          <w:p w:rsidR="009842D6" w:rsidRDefault="009842D6" w:rsidP="00D75712">
            <w:pPr>
              <w:rPr>
                <w:spacing w:val="-2"/>
              </w:rPr>
            </w:pPr>
            <w:r>
              <w:rPr>
                <w:spacing w:val="-2"/>
              </w:rPr>
              <w:t>File No. 0005735474</w:t>
            </w:r>
          </w:p>
          <w:p w:rsidR="009842D6" w:rsidRDefault="009842D6" w:rsidP="00D75712">
            <w:pPr>
              <w:rPr>
                <w:spacing w:val="-2"/>
              </w:rPr>
            </w:pPr>
          </w:p>
          <w:p w:rsidR="009842D6" w:rsidRDefault="009842D6" w:rsidP="00D75712">
            <w:pPr>
              <w:rPr>
                <w:spacing w:val="-2"/>
              </w:rPr>
            </w:pPr>
          </w:p>
          <w:p w:rsidR="009842D6" w:rsidRDefault="009842D6" w:rsidP="00D75712">
            <w:pPr>
              <w:rPr>
                <w:spacing w:val="-2"/>
              </w:rPr>
            </w:pPr>
          </w:p>
          <w:p w:rsidR="009842D6" w:rsidRDefault="009842D6" w:rsidP="00D75712">
            <w:r>
              <w:rPr>
                <w:spacing w:val="-2"/>
              </w:rPr>
              <w:t>File No. 0005735519</w:t>
            </w:r>
          </w:p>
        </w:tc>
      </w:tr>
    </w:tbl>
    <w:p w:rsidR="00365B4D" w:rsidRDefault="0039107A" w:rsidP="00910F0B">
      <w:pPr>
        <w:spacing w:before="120"/>
        <w:jc w:val="center"/>
        <w:rPr>
          <w:b/>
        </w:rPr>
      </w:pPr>
      <w:r>
        <w:rPr>
          <w:b/>
          <w:spacing w:val="-2"/>
        </w:rPr>
        <w:t>ORDER</w:t>
      </w:r>
      <w:r w:rsidR="00860877">
        <w:rPr>
          <w:b/>
          <w:spacing w:val="-2"/>
        </w:rPr>
        <w:t xml:space="preserve"> AND ORDER ON RECONSIDERATION</w:t>
      </w:r>
    </w:p>
    <w:p w:rsidR="00365B4D" w:rsidRDefault="00365B4D" w:rsidP="004539F1"/>
    <w:p w:rsidR="00365B4D" w:rsidRDefault="00365B4D" w:rsidP="004539F1">
      <w:pPr>
        <w:tabs>
          <w:tab w:val="left" w:pos="5760"/>
        </w:tabs>
        <w:rPr>
          <w:b/>
        </w:rPr>
      </w:pPr>
      <w:r>
        <w:rPr>
          <w:b/>
        </w:rPr>
        <w:t xml:space="preserve">Adopted:  </w:t>
      </w:r>
      <w:r w:rsidR="00652366">
        <w:rPr>
          <w:b/>
        </w:rPr>
        <w:t>August 21</w:t>
      </w:r>
      <w:r w:rsidR="0099347B">
        <w:rPr>
          <w:b/>
        </w:rPr>
        <w:t>, 2013</w:t>
      </w:r>
      <w:r>
        <w:rPr>
          <w:b/>
        </w:rPr>
        <w:tab/>
      </w:r>
      <w:r w:rsidR="0099347B">
        <w:rPr>
          <w:b/>
        </w:rPr>
        <w:t xml:space="preserve">   </w:t>
      </w:r>
      <w:r w:rsidR="006373A1">
        <w:rPr>
          <w:b/>
        </w:rPr>
        <w:t xml:space="preserve">      </w:t>
      </w:r>
      <w:r w:rsidR="0099347B">
        <w:rPr>
          <w:b/>
        </w:rPr>
        <w:t xml:space="preserve">          </w:t>
      </w:r>
      <w:r>
        <w:rPr>
          <w:b/>
        </w:rPr>
        <w:t xml:space="preserve">Released:  </w:t>
      </w:r>
      <w:r w:rsidR="00652366">
        <w:rPr>
          <w:b/>
        </w:rPr>
        <w:t>August 22</w:t>
      </w:r>
      <w:r w:rsidR="0099347B">
        <w:rPr>
          <w:b/>
        </w:rPr>
        <w:t>, 2013</w:t>
      </w:r>
    </w:p>
    <w:p w:rsidR="00365B4D" w:rsidRDefault="00365B4D" w:rsidP="004539F1">
      <w:pPr>
        <w:tabs>
          <w:tab w:val="left" w:pos="5760"/>
        </w:tabs>
        <w:rPr>
          <w:b/>
        </w:rPr>
      </w:pPr>
    </w:p>
    <w:p w:rsidR="00365B4D" w:rsidRDefault="00365B4D" w:rsidP="004539F1">
      <w:pPr>
        <w:tabs>
          <w:tab w:val="left" w:pos="5760"/>
        </w:tabs>
      </w:pPr>
      <w:r>
        <w:t xml:space="preserve">By the </w:t>
      </w:r>
      <w:r w:rsidR="0099347B">
        <w:t>Deputy Chief, Mobility Division</w:t>
      </w:r>
      <w:r w:rsidR="0039107A">
        <w:rPr>
          <w:spacing w:val="-2"/>
        </w:rPr>
        <w:t>, Wireless Telecommunications Bureau</w:t>
      </w:r>
      <w:r>
        <w:rPr>
          <w:spacing w:val="-2"/>
        </w:rPr>
        <w:t>:</w:t>
      </w:r>
    </w:p>
    <w:p w:rsidR="00EC3D42" w:rsidRDefault="00EC3D42" w:rsidP="004539F1">
      <w:pPr>
        <w:tabs>
          <w:tab w:val="left" w:pos="5760"/>
        </w:tabs>
        <w:rPr>
          <w:b/>
        </w:rPr>
      </w:pPr>
    </w:p>
    <w:p w:rsidR="0061082C" w:rsidRDefault="0039107A" w:rsidP="00B255C5">
      <w:pPr>
        <w:pStyle w:val="ParaNum"/>
        <w:jc w:val="left"/>
      </w:pPr>
      <w:r w:rsidRPr="0039107A">
        <w:rPr>
          <w:i/>
        </w:rPr>
        <w:t>Introduction</w:t>
      </w:r>
      <w:r>
        <w:t xml:space="preserve">.  </w:t>
      </w:r>
      <w:r w:rsidR="00777232">
        <w:t xml:space="preserve">In this </w:t>
      </w:r>
      <w:r w:rsidR="00777232" w:rsidRPr="00777232">
        <w:rPr>
          <w:i/>
        </w:rPr>
        <w:t>Order</w:t>
      </w:r>
      <w:r w:rsidR="00860877">
        <w:rPr>
          <w:i/>
        </w:rPr>
        <w:t xml:space="preserve"> and Order on Reconsideration</w:t>
      </w:r>
      <w:r w:rsidR="00777232">
        <w:t xml:space="preserve">, we address a </w:t>
      </w:r>
      <w:r w:rsidR="00634A31">
        <w:t xml:space="preserve">petition by </w:t>
      </w:r>
      <w:r w:rsidR="009842D6">
        <w:t>Maritime Communications/Land Mobile</w:t>
      </w:r>
      <w:r w:rsidR="0048276C">
        <w:t xml:space="preserve">, </w:t>
      </w:r>
      <w:r w:rsidR="009842D6">
        <w:t>LLC</w:t>
      </w:r>
      <w:r w:rsidR="00FB0F63">
        <w:t xml:space="preserve"> Debtor-in-Possession</w:t>
      </w:r>
      <w:r w:rsidR="00634A31">
        <w:t xml:space="preserve"> (</w:t>
      </w:r>
      <w:r w:rsidR="009842D6">
        <w:t>MC/LM</w:t>
      </w:r>
      <w:r w:rsidR="00634A31">
        <w:t>)</w:t>
      </w:r>
      <w:r w:rsidR="001A30D9">
        <w:t xml:space="preserve"> (1)</w:t>
      </w:r>
      <w:r w:rsidR="00634A31">
        <w:t xml:space="preserve"> to </w:t>
      </w:r>
      <w:r w:rsidR="0040789C">
        <w:t xml:space="preserve">dismiss or deny the </w:t>
      </w:r>
      <w:r w:rsidR="00F54D0D">
        <w:t xml:space="preserve">above-captioned </w:t>
      </w:r>
      <w:r w:rsidR="0048276C">
        <w:t xml:space="preserve">application of </w:t>
      </w:r>
      <w:r w:rsidR="0040789C">
        <w:t>Paging System, Inc.</w:t>
      </w:r>
      <w:r w:rsidR="0048276C">
        <w:t xml:space="preserve"> (</w:t>
      </w:r>
      <w:r w:rsidR="00567FF8">
        <w:t>PSI</w:t>
      </w:r>
      <w:r w:rsidR="0040789C">
        <w:t xml:space="preserve">) to assign </w:t>
      </w:r>
      <w:r w:rsidR="00860877">
        <w:t xml:space="preserve">Automated Maritime Telecommunication System (AMTS) spectrum </w:t>
      </w:r>
      <w:r w:rsidR="0090506F">
        <w:t>to Verde Systems LLC</w:t>
      </w:r>
      <w:r w:rsidR="001A30D9">
        <w:t xml:space="preserve"> (</w:t>
      </w:r>
      <w:r w:rsidR="00567FF8">
        <w:t>VSL</w:t>
      </w:r>
      <w:r w:rsidR="001A30D9">
        <w:t xml:space="preserve">) and (2) for reconsideration of the consent to </w:t>
      </w:r>
      <w:r w:rsidR="00F54D0D">
        <w:t xml:space="preserve">the above-captioned applications </w:t>
      </w:r>
      <w:r w:rsidR="00860877">
        <w:t>o</w:t>
      </w:r>
      <w:r w:rsidR="00652366">
        <w:t>f</w:t>
      </w:r>
      <w:r w:rsidR="00860877">
        <w:t xml:space="preserve"> VSL</w:t>
      </w:r>
      <w:r w:rsidR="001A30D9">
        <w:t xml:space="preserve"> and Skybridge Spectrum Foundation </w:t>
      </w:r>
      <w:r w:rsidR="00037FE5">
        <w:t>(</w:t>
      </w:r>
      <w:r w:rsidR="001A30D9">
        <w:t>Skybridge)</w:t>
      </w:r>
      <w:r w:rsidR="00567FF8">
        <w:t xml:space="preserve"> to </w:t>
      </w:r>
      <w:r w:rsidR="00860877">
        <w:t xml:space="preserve">assign AMTS spectrum to </w:t>
      </w:r>
      <w:r w:rsidR="00567FF8">
        <w:t>PSI</w:t>
      </w:r>
      <w:r w:rsidR="001A30D9">
        <w:t>.</w:t>
      </w:r>
      <w:r w:rsidR="00860877">
        <w:rPr>
          <w:rStyle w:val="FootnoteReference"/>
        </w:rPr>
        <w:footnoteReference w:id="2"/>
      </w:r>
      <w:r w:rsidR="001A30D9">
        <w:t xml:space="preserve">  For the reasons stated below, we dismiss th</w:t>
      </w:r>
      <w:r w:rsidR="00860877">
        <w:t>e</w:t>
      </w:r>
      <w:r w:rsidR="001A30D9">
        <w:t xml:space="preserve"> petition.</w:t>
      </w:r>
    </w:p>
    <w:p w:rsidR="007C36A2" w:rsidRDefault="00816EFA" w:rsidP="006A7FB7">
      <w:pPr>
        <w:pStyle w:val="ParaNum"/>
        <w:widowControl/>
        <w:jc w:val="left"/>
      </w:pPr>
      <w:r w:rsidRPr="00AB6545">
        <w:rPr>
          <w:i/>
        </w:rPr>
        <w:t>Background</w:t>
      </w:r>
      <w:r w:rsidRPr="00816EFA">
        <w:t>.</w:t>
      </w:r>
      <w:r>
        <w:t xml:space="preserve">  </w:t>
      </w:r>
      <w:r w:rsidR="00B171DA">
        <w:t xml:space="preserve">PSI </w:t>
      </w:r>
      <w:r w:rsidR="00EF6363">
        <w:t xml:space="preserve">holds </w:t>
      </w:r>
      <w:r w:rsidR="00B451F3">
        <w:t xml:space="preserve">AMTS </w:t>
      </w:r>
      <w:r w:rsidR="0061564F">
        <w:t>Block B</w:t>
      </w:r>
      <w:r w:rsidR="00AB6545">
        <w:rPr>
          <w:rStyle w:val="FootnoteReference"/>
        </w:rPr>
        <w:footnoteReference w:id="3"/>
      </w:r>
      <w:r w:rsidR="0061564F">
        <w:t xml:space="preserve"> </w:t>
      </w:r>
      <w:r w:rsidR="0092378C">
        <w:t>geographic</w:t>
      </w:r>
      <w:r w:rsidR="0092378C">
        <w:rPr>
          <w:rStyle w:val="FootnoteReference"/>
        </w:rPr>
        <w:footnoteReference w:id="4"/>
      </w:r>
      <w:r w:rsidR="0092378C">
        <w:t xml:space="preserve"> </w:t>
      </w:r>
      <w:r w:rsidR="0061564F">
        <w:t>licenses in AMTS Areas (AMTSAs) 5 (Great Lakes) and 8 (Hawaii),</w:t>
      </w:r>
      <w:r w:rsidR="00860877">
        <w:rPr>
          <w:rStyle w:val="FootnoteReference"/>
        </w:rPr>
        <w:footnoteReference w:id="5"/>
      </w:r>
      <w:r w:rsidR="0061564F">
        <w:t xml:space="preserve"> and </w:t>
      </w:r>
      <w:r w:rsidR="00B451F3">
        <w:t xml:space="preserve">AMTS </w:t>
      </w:r>
      <w:r w:rsidR="0061564F">
        <w:t xml:space="preserve">Block B </w:t>
      </w:r>
      <w:r w:rsidR="00176E0C">
        <w:t xml:space="preserve">site-based </w:t>
      </w:r>
      <w:r w:rsidR="0061564F">
        <w:t>licenses in AMTSAs 6</w:t>
      </w:r>
      <w:r w:rsidR="00DC7A94">
        <w:t xml:space="preserve"> (Southern Pacific)</w:t>
      </w:r>
      <w:r w:rsidR="0061564F">
        <w:t>, 7</w:t>
      </w:r>
      <w:r w:rsidR="00DC7A94">
        <w:t xml:space="preserve"> (Northern Pacific)</w:t>
      </w:r>
      <w:r w:rsidR="0061564F">
        <w:t>, and 8</w:t>
      </w:r>
      <w:r w:rsidR="006A7FB7">
        <w:t xml:space="preserve">.  </w:t>
      </w:r>
      <w:r w:rsidR="007C36A2">
        <w:t>VSL</w:t>
      </w:r>
      <w:r w:rsidR="00AB6545">
        <w:t>,</w:t>
      </w:r>
      <w:r w:rsidR="007C36A2">
        <w:t xml:space="preserve"> Skybridge</w:t>
      </w:r>
      <w:r w:rsidR="006A7FB7">
        <w:t xml:space="preserve">, </w:t>
      </w:r>
      <w:r w:rsidR="0061564F">
        <w:t xml:space="preserve">and </w:t>
      </w:r>
      <w:r w:rsidR="006A7FB7">
        <w:t>affiliated entities</w:t>
      </w:r>
      <w:r w:rsidR="00037FE5">
        <w:t xml:space="preserve"> (collectively</w:t>
      </w:r>
      <w:r w:rsidR="00B451F3">
        <w:t>,</w:t>
      </w:r>
      <w:r w:rsidR="00037FE5">
        <w:t xml:space="preserve"> </w:t>
      </w:r>
      <w:r w:rsidR="00AB6545">
        <w:t xml:space="preserve">the </w:t>
      </w:r>
      <w:r w:rsidR="00037FE5">
        <w:t>Havens entities</w:t>
      </w:r>
      <w:r w:rsidR="00AB6545">
        <w:t>)</w:t>
      </w:r>
      <w:r w:rsidR="007C36A2">
        <w:rPr>
          <w:rStyle w:val="FootnoteReference"/>
        </w:rPr>
        <w:footnoteReference w:id="6"/>
      </w:r>
      <w:r w:rsidR="007C36A2">
        <w:t xml:space="preserve"> </w:t>
      </w:r>
      <w:r w:rsidR="007C36A2">
        <w:lastRenderedPageBreak/>
        <w:t xml:space="preserve">hold </w:t>
      </w:r>
      <w:r w:rsidR="00B451F3">
        <w:t xml:space="preserve">AMTS </w:t>
      </w:r>
      <w:r w:rsidR="0061564F">
        <w:t xml:space="preserve">Block B </w:t>
      </w:r>
      <w:r w:rsidR="00B451F3">
        <w:t xml:space="preserve">geographic </w:t>
      </w:r>
      <w:r w:rsidR="0061564F">
        <w:t xml:space="preserve">licenses in </w:t>
      </w:r>
      <w:r w:rsidR="00522C0B">
        <w:t>all of the AMTSAs not held by PSI</w:t>
      </w:r>
      <w:r w:rsidR="00176E0C">
        <w:t>, including AMTSA 6</w:t>
      </w:r>
      <w:r w:rsidR="00522C0B">
        <w:t>.</w:t>
      </w:r>
      <w:r w:rsidR="00522C0B">
        <w:rPr>
          <w:rStyle w:val="FootnoteReference"/>
        </w:rPr>
        <w:footnoteReference w:id="7"/>
      </w:r>
      <w:r w:rsidR="00522C0B">
        <w:t xml:space="preserve">  </w:t>
      </w:r>
      <w:r w:rsidR="00AB6545">
        <w:t xml:space="preserve">PSI and the Havens entities have </w:t>
      </w:r>
      <w:r w:rsidR="00652366">
        <w:t>had</w:t>
      </w:r>
      <w:r w:rsidR="00AB6545">
        <w:t xml:space="preserve"> numerous disputes before the Commission and in other forums.  </w:t>
      </w:r>
      <w:r w:rsidR="00AF4599">
        <w:t>A</w:t>
      </w:r>
      <w:r w:rsidR="00AB6545">
        <w:t xml:space="preserve">s part of a comprehensive settlement of these </w:t>
      </w:r>
      <w:r w:rsidR="00652366">
        <w:t>matter</w:t>
      </w:r>
      <w:r w:rsidR="00AB6545">
        <w:t xml:space="preserve">s, </w:t>
      </w:r>
      <w:r w:rsidR="006A7FB7">
        <w:t xml:space="preserve">PSI filed an application to assign </w:t>
      </w:r>
      <w:r w:rsidR="00860877">
        <w:t xml:space="preserve">its AMTS geographic licenses </w:t>
      </w:r>
      <w:r w:rsidR="006A7FB7">
        <w:t>to VSL</w:t>
      </w:r>
      <w:r w:rsidR="00860877">
        <w:t>,</w:t>
      </w:r>
      <w:r w:rsidR="006A7FB7">
        <w:rPr>
          <w:rStyle w:val="FootnoteReference"/>
        </w:rPr>
        <w:footnoteReference w:id="8"/>
      </w:r>
      <w:r w:rsidR="006A7FB7">
        <w:t xml:space="preserve"> </w:t>
      </w:r>
      <w:r w:rsidR="00860877">
        <w:t xml:space="preserve">and </w:t>
      </w:r>
      <w:r w:rsidR="006A7FB7">
        <w:t xml:space="preserve">VSL and Skybridge filed applications to partition </w:t>
      </w:r>
      <w:r w:rsidR="00AF3B77">
        <w:t>their licenses for AMTS Stations WQCP816</w:t>
      </w:r>
      <w:r w:rsidR="00AF3B77">
        <w:rPr>
          <w:rStyle w:val="FootnoteReference"/>
        </w:rPr>
        <w:footnoteReference w:id="9"/>
      </w:r>
      <w:r w:rsidR="00AF3B77">
        <w:t xml:space="preserve"> and</w:t>
      </w:r>
      <w:r w:rsidR="00AF3B77" w:rsidRPr="00567FF8">
        <w:t xml:space="preserve"> WQJW656</w:t>
      </w:r>
      <w:r w:rsidR="00AF3B77">
        <w:rPr>
          <w:rStyle w:val="FootnoteReference"/>
        </w:rPr>
        <w:footnoteReference w:id="10"/>
      </w:r>
      <w:r w:rsidR="00AF3B77">
        <w:t xml:space="preserve"> t</w:t>
      </w:r>
      <w:r w:rsidR="00860877">
        <w:t xml:space="preserve">o </w:t>
      </w:r>
      <w:r w:rsidR="00AF3B77">
        <w:t>assign AMTS Block B spectrum in s</w:t>
      </w:r>
      <w:r w:rsidR="00860877">
        <w:t xml:space="preserve">outhern California </w:t>
      </w:r>
      <w:r w:rsidR="00AF3B77">
        <w:t>t</w:t>
      </w:r>
      <w:r w:rsidR="006A7FB7">
        <w:t>o</w:t>
      </w:r>
      <w:r w:rsidR="00AF3B77">
        <w:t xml:space="preserve"> PSI.  </w:t>
      </w:r>
      <w:r w:rsidR="006A7FB7">
        <w:t>The assignment</w:t>
      </w:r>
      <w:r w:rsidR="00AF3B77">
        <w:t>s</w:t>
      </w:r>
      <w:r w:rsidR="006A7FB7">
        <w:t xml:space="preserve"> to PSI </w:t>
      </w:r>
      <w:r w:rsidR="00AF3B77">
        <w:t>were consented to pursuant to the Commission’s Immediate Approval Procedures</w:t>
      </w:r>
      <w:r w:rsidR="007B70EB">
        <w:t>,</w:t>
      </w:r>
      <w:r w:rsidR="007B70EB">
        <w:rPr>
          <w:rStyle w:val="FootnoteReference"/>
        </w:rPr>
        <w:footnoteReference w:id="11"/>
      </w:r>
      <w:r w:rsidR="007B70EB">
        <w:t xml:space="preserve"> while the assignment to VSL remain</w:t>
      </w:r>
      <w:r w:rsidR="00652366">
        <w:t>s</w:t>
      </w:r>
      <w:r w:rsidR="007B70EB">
        <w:t xml:space="preserve"> pending</w:t>
      </w:r>
      <w:r w:rsidR="006A7FB7">
        <w:t>.</w:t>
      </w:r>
    </w:p>
    <w:p w:rsidR="00567FF8" w:rsidRDefault="007C36A2" w:rsidP="00567FF8">
      <w:pPr>
        <w:pStyle w:val="ParaNum"/>
        <w:widowControl/>
        <w:jc w:val="left"/>
      </w:pPr>
      <w:r>
        <w:t xml:space="preserve">MC/LM holds </w:t>
      </w:r>
      <w:r w:rsidR="00176E0C">
        <w:t xml:space="preserve">AMTS Block A </w:t>
      </w:r>
      <w:r w:rsidR="00B171DA">
        <w:t>geographic licenses in AMTSAs 2, 4, 5, and 6</w:t>
      </w:r>
      <w:r w:rsidR="00136024">
        <w:t>.</w:t>
      </w:r>
      <w:r w:rsidR="00B171DA">
        <w:rPr>
          <w:rStyle w:val="FootnoteReference"/>
        </w:rPr>
        <w:footnoteReference w:id="12"/>
      </w:r>
      <w:r>
        <w:t xml:space="preserve">  </w:t>
      </w:r>
      <w:r w:rsidR="00295002">
        <w:rPr>
          <w:szCs w:val="22"/>
        </w:rPr>
        <w:t>It</w:t>
      </w:r>
      <w:r w:rsidR="00B255C5" w:rsidRPr="007B70EB">
        <w:rPr>
          <w:szCs w:val="22"/>
        </w:rPr>
        <w:t xml:space="preserve"> </w:t>
      </w:r>
      <w:r w:rsidR="003912FA" w:rsidRPr="007B70EB">
        <w:rPr>
          <w:szCs w:val="22"/>
        </w:rPr>
        <w:t xml:space="preserve">filed </w:t>
      </w:r>
      <w:r w:rsidR="003F3B04" w:rsidRPr="007B70EB">
        <w:rPr>
          <w:szCs w:val="22"/>
        </w:rPr>
        <w:t xml:space="preserve">a </w:t>
      </w:r>
      <w:r w:rsidR="00442E0D" w:rsidRPr="007B70EB">
        <w:rPr>
          <w:szCs w:val="22"/>
        </w:rPr>
        <w:t>petition</w:t>
      </w:r>
      <w:r w:rsidR="00442E0D">
        <w:t xml:space="preserve"> </w:t>
      </w:r>
      <w:r w:rsidR="00567FF8">
        <w:t>seeking dismissal or denial of</w:t>
      </w:r>
      <w:r w:rsidR="00442E0D">
        <w:t xml:space="preserve"> </w:t>
      </w:r>
      <w:r w:rsidR="00567FF8">
        <w:t>PSI’s</w:t>
      </w:r>
      <w:r w:rsidR="00442E0D">
        <w:t xml:space="preserve"> </w:t>
      </w:r>
      <w:r w:rsidR="00567FF8">
        <w:t>a</w:t>
      </w:r>
      <w:r w:rsidR="00442E0D">
        <w:t xml:space="preserve">pplication </w:t>
      </w:r>
      <w:r w:rsidR="00567FF8">
        <w:t>and</w:t>
      </w:r>
      <w:r w:rsidR="00567FF8" w:rsidRPr="00567FF8">
        <w:t xml:space="preserve"> reconsideration of the consent to </w:t>
      </w:r>
      <w:r w:rsidR="007B70EB">
        <w:t xml:space="preserve">the applications of </w:t>
      </w:r>
      <w:r w:rsidR="00567FF8">
        <w:t>V</w:t>
      </w:r>
      <w:r w:rsidR="007B70EB">
        <w:t>S</w:t>
      </w:r>
      <w:r w:rsidR="00567FF8">
        <w:t xml:space="preserve">L and Skybridge, </w:t>
      </w:r>
      <w:r w:rsidR="00442E0D">
        <w:t>arguing</w:t>
      </w:r>
      <w:r w:rsidR="00567FF8">
        <w:t xml:space="preserve"> that </w:t>
      </w:r>
      <w:r w:rsidR="007B70EB">
        <w:t xml:space="preserve">PSI and the Havens entities </w:t>
      </w:r>
      <w:r w:rsidR="00567FF8">
        <w:t>ha</w:t>
      </w:r>
      <w:r w:rsidR="007B70EB">
        <w:t>ve</w:t>
      </w:r>
      <w:r w:rsidR="00567FF8">
        <w:t xml:space="preserve"> argue</w:t>
      </w:r>
      <w:r w:rsidR="003F3B04">
        <w:t>d before the Commission</w:t>
      </w:r>
      <w:r w:rsidR="00567FF8">
        <w:t xml:space="preserve"> that the other lacks the character and fitness to be a Commission licensee,</w:t>
      </w:r>
      <w:r w:rsidR="003912FA">
        <w:t xml:space="preserve"> </w:t>
      </w:r>
      <w:r w:rsidR="007B70EB">
        <w:t>which</w:t>
      </w:r>
      <w:r w:rsidR="00567FF8">
        <w:t xml:space="preserve"> </w:t>
      </w:r>
      <w:r w:rsidR="003912FA">
        <w:t>disqualifies them</w:t>
      </w:r>
      <w:r w:rsidR="00567FF8">
        <w:t xml:space="preserve"> to hold the licensees </w:t>
      </w:r>
      <w:r w:rsidR="003912FA">
        <w:t xml:space="preserve">they </w:t>
      </w:r>
      <w:r w:rsidR="00567FF8">
        <w:t>now se</w:t>
      </w:r>
      <w:r w:rsidR="003912FA">
        <w:t>ek to a</w:t>
      </w:r>
      <w:r w:rsidR="003F3B04">
        <w:t>cquire</w:t>
      </w:r>
      <w:r w:rsidR="003912FA">
        <w:t>.</w:t>
      </w:r>
      <w:r w:rsidR="003912FA">
        <w:rPr>
          <w:rStyle w:val="FootnoteReference"/>
        </w:rPr>
        <w:footnoteReference w:id="13"/>
      </w:r>
      <w:r w:rsidR="003912FA">
        <w:t xml:space="preserve">  </w:t>
      </w:r>
      <w:r w:rsidR="00567FF8">
        <w:t>MC/LM</w:t>
      </w:r>
      <w:r w:rsidR="003912FA">
        <w:t xml:space="preserve"> </w:t>
      </w:r>
      <w:r w:rsidR="00567FF8">
        <w:t>argues that the proposed assignment transaction</w:t>
      </w:r>
      <w:r w:rsidR="003912FA">
        <w:t>s</w:t>
      </w:r>
      <w:r w:rsidR="00567FF8">
        <w:t xml:space="preserve"> should not be permitted to proceed until the Commission resolve</w:t>
      </w:r>
      <w:r w:rsidR="003912FA">
        <w:t>s</w:t>
      </w:r>
      <w:r w:rsidR="00567FF8">
        <w:t xml:space="preserve"> the allegations raised in the</w:t>
      </w:r>
      <w:r w:rsidR="003F3B04">
        <w:t xml:space="preserve"> </w:t>
      </w:r>
      <w:r w:rsidR="00652366">
        <w:t xml:space="preserve">parties’ </w:t>
      </w:r>
      <w:r w:rsidR="00567FF8">
        <w:t>pleadings</w:t>
      </w:r>
      <w:r w:rsidR="003F3B04">
        <w:t xml:space="preserve"> in other proceedings</w:t>
      </w:r>
      <w:r w:rsidR="00567FF8">
        <w:t>.</w:t>
      </w:r>
      <w:r w:rsidR="003912FA">
        <w:rPr>
          <w:rStyle w:val="FootnoteReference"/>
        </w:rPr>
        <w:footnoteReference w:id="14"/>
      </w:r>
    </w:p>
    <w:p w:rsidR="00907F28" w:rsidRDefault="009A02CF" w:rsidP="00B44A8A">
      <w:pPr>
        <w:pStyle w:val="ParaNum"/>
        <w:jc w:val="left"/>
      </w:pPr>
      <w:r>
        <w:rPr>
          <w:i/>
        </w:rPr>
        <w:t xml:space="preserve">Discussion. </w:t>
      </w:r>
      <w:r w:rsidR="00F9673F">
        <w:t xml:space="preserve"> </w:t>
      </w:r>
      <w:r w:rsidR="00AF4599">
        <w:t>We conclude that MC/LM lacks standing</w:t>
      </w:r>
      <w:r w:rsidR="007B70EB">
        <w:t xml:space="preserve"> to challenge the above-captioned applications</w:t>
      </w:r>
      <w:r w:rsidR="00AF4599">
        <w:t>, and accordingly dismiss its p</w:t>
      </w:r>
      <w:r w:rsidRPr="00907F28">
        <w:t>etition</w:t>
      </w:r>
      <w:bookmarkStart w:id="1" w:name="SearchTerm"/>
      <w:r w:rsidRPr="00907F28">
        <w:t xml:space="preserve">. </w:t>
      </w:r>
      <w:r w:rsidR="00F22C50">
        <w:t xml:space="preserve"> Section 1.939(d</w:t>
      </w:r>
      <w:r w:rsidR="00F1251C">
        <w:t xml:space="preserve">) of the Commission’s Rules requires that a petition to deny contain specific allegations of fact sufficient to make a </w:t>
      </w:r>
      <w:r w:rsidR="00F1251C">
        <w:rPr>
          <w:i/>
        </w:rPr>
        <w:t>prima facie</w:t>
      </w:r>
      <w:r w:rsidR="00F1251C">
        <w:t xml:space="preserve"> showing that the petitioner is a party in interest.</w:t>
      </w:r>
      <w:r w:rsidR="00F1251C">
        <w:rPr>
          <w:rStyle w:val="FootnoteReference"/>
        </w:rPr>
        <w:footnoteReference w:id="15"/>
      </w:r>
      <w:r w:rsidR="00F1251C">
        <w:t xml:space="preserve">  To establish standing as a party in interest, a petitioner must allege facts sufficient to demonstrate that grant of the subject application would cause it to suffer a direct injury.</w:t>
      </w:r>
      <w:r w:rsidR="00F1251C">
        <w:rPr>
          <w:rStyle w:val="FootnoteReference"/>
        </w:rPr>
        <w:footnoteReference w:id="16"/>
      </w:r>
      <w:r w:rsidR="00D021D9">
        <w:t xml:space="preserve">  In addition, a petitioner</w:t>
      </w:r>
      <w:r w:rsidR="007636ED">
        <w:t xml:space="preserve"> must demonstrate a causal link between the claimed injury and the challenged action</w:t>
      </w:r>
      <w:r w:rsidR="0038677B">
        <w:t>,</w:t>
      </w:r>
      <w:r w:rsidR="007636ED">
        <w:rPr>
          <w:rStyle w:val="FootnoteReference"/>
        </w:rPr>
        <w:footnoteReference w:id="17"/>
      </w:r>
      <w:r w:rsidR="0038677B">
        <w:t xml:space="preserve"> and that any injury would be redressable by the relief requested.</w:t>
      </w:r>
      <w:r w:rsidR="0038677B">
        <w:rPr>
          <w:rStyle w:val="FootnoteReference"/>
        </w:rPr>
        <w:footnoteReference w:id="18"/>
      </w:r>
      <w:r w:rsidR="00F1251C" w:rsidRPr="00D505C1">
        <w:t xml:space="preserve"> </w:t>
      </w:r>
      <w:r w:rsidR="001F11D9">
        <w:t xml:space="preserve"> </w:t>
      </w:r>
      <w:r w:rsidR="00F22C50">
        <w:t xml:space="preserve">Similarly, Section 1.106(b)(1) of the Commission’s Rules provides that a petition for reconsideration filed by an entity that is not a party to the proceeding must demonstrate how its interests are adversely affected </w:t>
      </w:r>
      <w:r w:rsidR="00F22C50" w:rsidRPr="003912FA">
        <w:t xml:space="preserve">by the </w:t>
      </w:r>
      <w:r w:rsidR="00F22C50">
        <w:t>Commission’s action.</w:t>
      </w:r>
      <w:r w:rsidR="00F22C50">
        <w:rPr>
          <w:rStyle w:val="FootnoteReference"/>
        </w:rPr>
        <w:footnoteReference w:id="19"/>
      </w:r>
      <w:r w:rsidR="00F22C50">
        <w:t xml:space="preserve">  </w:t>
      </w:r>
      <w:r w:rsidRPr="00907F28">
        <w:t xml:space="preserve">When evaluating </w:t>
      </w:r>
      <w:bookmarkStart w:id="2" w:name="SR;408"/>
      <w:bookmarkEnd w:id="2"/>
      <w:r w:rsidRPr="00907F28">
        <w:rPr>
          <w:bCs/>
        </w:rPr>
        <w:t>standing</w:t>
      </w:r>
      <w:r w:rsidR="00C86CCE">
        <w:t xml:space="preserve">, the Commission applies </w:t>
      </w:r>
      <w:r w:rsidRPr="00907F28">
        <w:t xml:space="preserve">the same test that courts employ in determining whether a person has </w:t>
      </w:r>
      <w:bookmarkStart w:id="3" w:name="SR;424"/>
      <w:bookmarkEnd w:id="3"/>
      <w:r w:rsidRPr="00907F28">
        <w:rPr>
          <w:bCs/>
        </w:rPr>
        <w:t>standing</w:t>
      </w:r>
      <w:r w:rsidRPr="00907F28">
        <w:t xml:space="preserve"> under Article III to appeal a court order: </w:t>
      </w:r>
      <w:r w:rsidR="001F11D9">
        <w:t xml:space="preserve"> </w:t>
      </w:r>
      <w:r w:rsidRPr="00907F28">
        <w:t xml:space="preserve">the person must show </w:t>
      </w:r>
      <w:r w:rsidR="00C86CCE">
        <w:t>“</w:t>
      </w:r>
      <w:r w:rsidRPr="00907F28">
        <w:t xml:space="preserve">(a) a personal </w:t>
      </w:r>
      <w:r w:rsidR="00C86CCE" w:rsidRPr="00C86CCE">
        <w:t>injury-in-fact that is</w:t>
      </w:r>
      <w:r w:rsidR="00C86CCE">
        <w:t xml:space="preserve"> </w:t>
      </w:r>
      <w:r w:rsidR="00C86CCE" w:rsidRPr="00C86CCE">
        <w:t>(2) ‘fairly traceable’ to the defendant's conduct and (3)</w:t>
      </w:r>
      <w:r w:rsidR="001F11D9">
        <w:t> </w:t>
      </w:r>
      <w:r w:rsidR="00C86CCE" w:rsidRPr="00C86CCE">
        <w:t>redressable by the relief requested.”</w:t>
      </w:r>
      <w:bookmarkStart w:id="4" w:name="FN[FN8]"/>
      <w:bookmarkStart w:id="5" w:name="sp_999_2"/>
      <w:bookmarkStart w:id="6" w:name="SDU_2"/>
      <w:bookmarkStart w:id="7" w:name="citeas((Cite_as:_26_F.C.C.R._9187,_*9188"/>
      <w:bookmarkEnd w:id="1"/>
      <w:bookmarkEnd w:id="4"/>
      <w:bookmarkEnd w:id="5"/>
      <w:bookmarkEnd w:id="6"/>
      <w:bookmarkEnd w:id="7"/>
      <w:r w:rsidR="00C86CCE">
        <w:rPr>
          <w:rStyle w:val="FootnoteReference"/>
        </w:rPr>
        <w:footnoteReference w:id="20"/>
      </w:r>
    </w:p>
    <w:p w:rsidR="00AF4599" w:rsidRDefault="003912FA" w:rsidP="00567FF8">
      <w:pPr>
        <w:pStyle w:val="ParaNum"/>
        <w:jc w:val="left"/>
      </w:pPr>
      <w:r>
        <w:t xml:space="preserve">MC/LM </w:t>
      </w:r>
      <w:r w:rsidRPr="003912FA">
        <w:t>fail</w:t>
      </w:r>
      <w:r>
        <w:t>s</w:t>
      </w:r>
      <w:r w:rsidRPr="003912FA">
        <w:t xml:space="preserve"> to meet </w:t>
      </w:r>
      <w:r>
        <w:t xml:space="preserve">these requirements.  </w:t>
      </w:r>
      <w:r w:rsidR="004C66F8">
        <w:t>It</w:t>
      </w:r>
      <w:r>
        <w:t xml:space="preserve"> </w:t>
      </w:r>
      <w:r w:rsidR="00295002">
        <w:t xml:space="preserve">bases its standing claim on the fact that </w:t>
      </w:r>
      <w:r>
        <w:t>it holds AMTS geographic licenses for the Southern Pacific and Great Lakes areas.</w:t>
      </w:r>
      <w:r w:rsidR="003E3643">
        <w:rPr>
          <w:rStyle w:val="FootnoteReference"/>
        </w:rPr>
        <w:footnoteReference w:id="21"/>
      </w:r>
      <w:r>
        <w:t xml:space="preserve">  It </w:t>
      </w:r>
      <w:r w:rsidR="00D87020">
        <w:t>argues</w:t>
      </w:r>
      <w:r>
        <w:t xml:space="preserve"> that </w:t>
      </w:r>
      <w:r w:rsidR="00701C3E">
        <w:t>if</w:t>
      </w:r>
      <w:r>
        <w:t xml:space="preserve"> the instant applications </w:t>
      </w:r>
      <w:r w:rsidR="00701C3E">
        <w:t xml:space="preserve">are granted, </w:t>
      </w:r>
      <w:r>
        <w:t xml:space="preserve">MC/LM </w:t>
      </w:r>
      <w:r w:rsidR="00701C3E">
        <w:t>would</w:t>
      </w:r>
      <w:r>
        <w:t xml:space="preserve"> “face economic injury by having to face new competition from [VSL] in the Southern Pacific geographic area and would have to face new competition from PSI in the Great Lakes geographic area.</w:t>
      </w:r>
      <w:r w:rsidR="00701C3E">
        <w:t>”</w:t>
      </w:r>
      <w:r>
        <w:rPr>
          <w:rStyle w:val="FootnoteReference"/>
        </w:rPr>
        <w:footnoteReference w:id="22"/>
      </w:r>
      <w:r w:rsidR="000B73D7">
        <w:t xml:space="preserve">  The Commission has </w:t>
      </w:r>
      <w:r w:rsidR="00685F5A">
        <w:t>consistently</w:t>
      </w:r>
      <w:r w:rsidR="000B73D7">
        <w:t xml:space="preserve"> viewed the claims of injury due to new competition in </w:t>
      </w:r>
      <w:r w:rsidR="001F27A3">
        <w:t>the</w:t>
      </w:r>
      <w:r w:rsidR="000B73D7">
        <w:t xml:space="preserve"> marketplace as remo</w:t>
      </w:r>
      <w:r w:rsidR="003E3643">
        <w:t>t</w:t>
      </w:r>
      <w:r w:rsidR="000B73D7">
        <w:t>e and speculative, and not sufficient to establish a direct injury required to show standing.</w:t>
      </w:r>
      <w:r w:rsidR="000B73D7">
        <w:rPr>
          <w:rStyle w:val="FootnoteReference"/>
        </w:rPr>
        <w:footnoteReference w:id="23"/>
      </w:r>
      <w:r w:rsidR="00AF4599">
        <w:t xml:space="preserve">  Moreover, MC/LM offers no </w:t>
      </w:r>
      <w:r w:rsidR="00295002">
        <w:t>explanation</w:t>
      </w:r>
      <w:r w:rsidR="00AF4599">
        <w:t xml:space="preserve"> for how </w:t>
      </w:r>
      <w:r w:rsidR="00295002">
        <w:t xml:space="preserve">it would be adversely affected by </w:t>
      </w:r>
      <w:r w:rsidR="00AF4599">
        <w:t xml:space="preserve">competing with the Havens entities in the Great Lakes and PSI in southern California instead of </w:t>
      </w:r>
      <w:r w:rsidR="00AF4599" w:rsidRPr="00AF4599">
        <w:rPr>
          <w:i/>
        </w:rPr>
        <w:t>vice versa</w:t>
      </w:r>
      <w:r w:rsidR="00AF4599">
        <w:t xml:space="preserve">.  </w:t>
      </w:r>
    </w:p>
    <w:p w:rsidR="00567FF8" w:rsidRDefault="00567FF8" w:rsidP="001D5998">
      <w:pPr>
        <w:pStyle w:val="ParaNum"/>
        <w:jc w:val="left"/>
      </w:pPr>
      <w:r w:rsidRPr="00567FF8">
        <w:t xml:space="preserve">In the </w:t>
      </w:r>
      <w:r w:rsidR="00892F8E">
        <w:t>event that we find that it lacks standing</w:t>
      </w:r>
      <w:r w:rsidRPr="00567FF8">
        <w:t xml:space="preserve">, </w:t>
      </w:r>
      <w:r w:rsidR="003912FA">
        <w:t xml:space="preserve">MC/LM </w:t>
      </w:r>
      <w:r w:rsidRPr="00567FF8">
        <w:t xml:space="preserve">asks that its </w:t>
      </w:r>
      <w:r w:rsidR="00892F8E">
        <w:t>p</w:t>
      </w:r>
      <w:r w:rsidR="001D5998">
        <w:t>etition</w:t>
      </w:r>
      <w:r w:rsidRPr="00567FF8">
        <w:t xml:space="preserve"> be treated as an informal request for Commission action under Se</w:t>
      </w:r>
      <w:r w:rsidR="004C66F8">
        <w:t>ction 1.41 of the Commission's R</w:t>
      </w:r>
      <w:r w:rsidRPr="00567FF8">
        <w:t>ules.</w:t>
      </w:r>
      <w:r w:rsidR="004C66F8">
        <w:rPr>
          <w:rStyle w:val="FootnoteReference"/>
        </w:rPr>
        <w:footnoteReference w:id="24"/>
      </w:r>
      <w:r w:rsidRPr="00567FF8">
        <w:t xml:space="preserve"> </w:t>
      </w:r>
      <w:r w:rsidR="003912FA">
        <w:t xml:space="preserve"> Acceptance of MC/LM’s </w:t>
      </w:r>
      <w:r w:rsidRPr="00567FF8">
        <w:t xml:space="preserve">request pursuant to Section 1.41 </w:t>
      </w:r>
      <w:r w:rsidR="00AB2E4F">
        <w:t>is discretionary.</w:t>
      </w:r>
      <w:r w:rsidR="00AB2E4F">
        <w:rPr>
          <w:rStyle w:val="FootnoteReference"/>
        </w:rPr>
        <w:footnoteReference w:id="25"/>
      </w:r>
      <w:r w:rsidR="00AB2E4F">
        <w:t xml:space="preserve">  </w:t>
      </w:r>
      <w:r w:rsidRPr="00567FF8">
        <w:t xml:space="preserve">In support of its request, </w:t>
      </w:r>
      <w:r w:rsidR="003912FA">
        <w:t xml:space="preserve">MC/LM </w:t>
      </w:r>
      <w:r w:rsidRPr="00567FF8">
        <w:t xml:space="preserve">states only that treating its </w:t>
      </w:r>
      <w:r w:rsidR="004C66F8">
        <w:t>p</w:t>
      </w:r>
      <w:r w:rsidR="001D5998">
        <w:t>etitions</w:t>
      </w:r>
      <w:r w:rsidRPr="00567FF8">
        <w:t xml:space="preserve"> as an informal </w:t>
      </w:r>
      <w:r w:rsidR="00685F5A" w:rsidRPr="00567FF8">
        <w:t xml:space="preserve">request </w:t>
      </w:r>
      <w:r w:rsidR="00685F5A">
        <w:t>is</w:t>
      </w:r>
      <w:r w:rsidR="001D5998">
        <w:t xml:space="preserve"> desirable due to “the public interest in the matter.”</w:t>
      </w:r>
      <w:r w:rsidR="001D5998">
        <w:rPr>
          <w:rStyle w:val="FootnoteReference"/>
        </w:rPr>
        <w:footnoteReference w:id="26"/>
      </w:r>
      <w:r w:rsidR="001D5998">
        <w:t xml:space="preserve">  </w:t>
      </w:r>
      <w:r w:rsidRPr="00567FF8">
        <w:t>We find that this is insufficient</w:t>
      </w:r>
      <w:r w:rsidR="003916F8">
        <w:t>.</w:t>
      </w:r>
      <w:r w:rsidR="003916F8">
        <w:rPr>
          <w:rStyle w:val="FootnoteReference"/>
        </w:rPr>
        <w:footnoteReference w:id="27"/>
      </w:r>
      <w:r w:rsidR="00D805B9">
        <w:t xml:space="preserve">  </w:t>
      </w:r>
    </w:p>
    <w:p w:rsidR="00D00D5B" w:rsidRDefault="00EF6965" w:rsidP="008A7221">
      <w:pPr>
        <w:pStyle w:val="ParaNum"/>
        <w:jc w:val="left"/>
      </w:pPr>
      <w:r>
        <w:rPr>
          <w:i/>
        </w:rPr>
        <w:t xml:space="preserve">Conclusion.  </w:t>
      </w:r>
      <w:r w:rsidR="001D5998">
        <w:t xml:space="preserve">MC/LM </w:t>
      </w:r>
      <w:r w:rsidR="00F70341">
        <w:t>has not demonstrated</w:t>
      </w:r>
      <w:r w:rsidR="00B44A8A">
        <w:t xml:space="preserve"> </w:t>
      </w:r>
      <w:r w:rsidR="00CE3015">
        <w:t xml:space="preserve">that it has </w:t>
      </w:r>
      <w:r w:rsidR="00B44A8A">
        <w:t xml:space="preserve">standing </w:t>
      </w:r>
      <w:r w:rsidR="007B70EB">
        <w:t>to challenge the above-captioned applications</w:t>
      </w:r>
      <w:r>
        <w:t xml:space="preserve">.  Therefore, we </w:t>
      </w:r>
      <w:r w:rsidR="001D5998">
        <w:t xml:space="preserve">dismiss </w:t>
      </w:r>
      <w:r w:rsidR="00F70341">
        <w:t>its</w:t>
      </w:r>
      <w:r>
        <w:t xml:space="preserve"> </w:t>
      </w:r>
      <w:r w:rsidR="00F70341">
        <w:t>p</w:t>
      </w:r>
      <w:r>
        <w:t>etition</w:t>
      </w:r>
      <w:r w:rsidR="001D5998">
        <w:t>.</w:t>
      </w:r>
    </w:p>
    <w:p w:rsidR="004D74FF" w:rsidRPr="00F70341" w:rsidRDefault="00232933" w:rsidP="007A5CA8">
      <w:pPr>
        <w:pStyle w:val="ParaNum"/>
        <w:jc w:val="left"/>
        <w:rPr>
          <w:spacing w:val="-2"/>
        </w:rPr>
      </w:pPr>
      <w:r w:rsidRPr="00232933">
        <w:t>Accordingly, IT IS ORDERED, purs</w:t>
      </w:r>
      <w:r w:rsidR="00954F4C">
        <w:t xml:space="preserve">uant to </w:t>
      </w:r>
      <w:r w:rsidR="00F70341">
        <w:t>S</w:t>
      </w:r>
      <w:r w:rsidR="00954F4C">
        <w:t>ections 4(i)</w:t>
      </w:r>
      <w:r w:rsidR="00F70341">
        <w:t>,</w:t>
      </w:r>
      <w:r w:rsidR="00954F4C">
        <w:t xml:space="preserve"> 309</w:t>
      </w:r>
      <w:r w:rsidR="00F70341">
        <w:t>, and 405</w:t>
      </w:r>
      <w:r w:rsidRPr="00232933">
        <w:t xml:space="preserve"> of the Communications Act of 1934, as amended, 47 U.S.C. §§ 154(i), </w:t>
      </w:r>
      <w:r w:rsidR="00954F4C">
        <w:t>309</w:t>
      </w:r>
      <w:r w:rsidR="00242F3A">
        <w:t xml:space="preserve">, </w:t>
      </w:r>
      <w:r w:rsidR="00F70341">
        <w:t>405</w:t>
      </w:r>
      <w:r w:rsidR="00892F8E">
        <w:t>, and Sections 1.106 and 1.939 o</w:t>
      </w:r>
      <w:r w:rsidR="00F70341">
        <w:t xml:space="preserve">f the Commission’s Rules, </w:t>
      </w:r>
      <w:r w:rsidR="00F70341" w:rsidRPr="00A20D25">
        <w:t>47 C.F.R. §</w:t>
      </w:r>
      <w:r w:rsidR="00F70341" w:rsidRPr="00232933">
        <w:t>§</w:t>
      </w:r>
      <w:r w:rsidR="00F70341" w:rsidRPr="00A20D25">
        <w:t xml:space="preserve"> 1.106</w:t>
      </w:r>
      <w:r w:rsidR="00F70341">
        <w:t xml:space="preserve">, 1.939, </w:t>
      </w:r>
      <w:r w:rsidR="00F02249">
        <w:t xml:space="preserve">that </w:t>
      </w:r>
      <w:r w:rsidR="00242F3A">
        <w:t xml:space="preserve">the </w:t>
      </w:r>
      <w:r w:rsidR="00F70341" w:rsidRPr="00317A79">
        <w:t xml:space="preserve">Petition to </w:t>
      </w:r>
      <w:r w:rsidR="00F70341">
        <w:t xml:space="preserve">Dismiss or </w:t>
      </w:r>
      <w:r w:rsidR="00F70341" w:rsidRPr="00317A79">
        <w:t xml:space="preserve">Deny </w:t>
      </w:r>
      <w:r w:rsidR="00F70341">
        <w:t xml:space="preserve">and Petition for Reconsideration </w:t>
      </w:r>
      <w:r w:rsidR="00242F3A">
        <w:t xml:space="preserve">filed by </w:t>
      </w:r>
      <w:r w:rsidR="007A5CA8" w:rsidRPr="007A5CA8">
        <w:t>Maritime Communications/Land Mobile</w:t>
      </w:r>
      <w:r w:rsidR="00892F8E">
        <w:t>,</w:t>
      </w:r>
      <w:r w:rsidR="007A5CA8" w:rsidRPr="007A5CA8">
        <w:t xml:space="preserve"> LLC </w:t>
      </w:r>
      <w:r w:rsidR="00F70341">
        <w:t xml:space="preserve">Debtor-in-Possession </w:t>
      </w:r>
      <w:r w:rsidR="00242F3A">
        <w:t xml:space="preserve">on </w:t>
      </w:r>
      <w:r w:rsidR="007A5CA8">
        <w:t>May 8, 2013</w:t>
      </w:r>
      <w:r w:rsidR="00242F3A">
        <w:t xml:space="preserve"> IS </w:t>
      </w:r>
      <w:r w:rsidR="00B44A8A">
        <w:t>DI</w:t>
      </w:r>
      <w:r w:rsidR="00EA4859">
        <w:t>S</w:t>
      </w:r>
      <w:r w:rsidR="00B44A8A">
        <w:t>MISSED</w:t>
      </w:r>
      <w:r w:rsidR="00F70341">
        <w:t xml:space="preserve">, and </w:t>
      </w:r>
      <w:r w:rsidR="007A5CA8">
        <w:t xml:space="preserve">application File No. </w:t>
      </w:r>
      <w:r w:rsidR="007A5CA8" w:rsidRPr="007A5CA8">
        <w:t>0005733853</w:t>
      </w:r>
      <w:r w:rsidR="007A5CA8">
        <w:t xml:space="preserve"> </w:t>
      </w:r>
      <w:r w:rsidR="004D74FF">
        <w:t xml:space="preserve">SHALL </w:t>
      </w:r>
      <w:r w:rsidR="007A5CA8">
        <w:t xml:space="preserve">BE </w:t>
      </w:r>
      <w:r w:rsidR="004D74FF">
        <w:t>PROCESS</w:t>
      </w:r>
      <w:r w:rsidR="007A5CA8">
        <w:t>ED</w:t>
      </w:r>
      <w:r w:rsidR="004D74FF">
        <w:t xml:space="preserve"> </w:t>
      </w:r>
      <w:r w:rsidR="004D74FF" w:rsidRPr="00F70341">
        <w:rPr>
          <w:spacing w:val="-2"/>
        </w:rPr>
        <w:t xml:space="preserve">consistent with this </w:t>
      </w:r>
      <w:r w:rsidR="004D74FF" w:rsidRPr="00F70341">
        <w:rPr>
          <w:i/>
          <w:spacing w:val="-2"/>
        </w:rPr>
        <w:t xml:space="preserve">Order </w:t>
      </w:r>
      <w:r w:rsidR="00F70341" w:rsidRPr="00F70341">
        <w:rPr>
          <w:i/>
          <w:spacing w:val="-2"/>
        </w:rPr>
        <w:t>and Order on Reconsideration</w:t>
      </w:r>
      <w:r w:rsidR="00F70341">
        <w:rPr>
          <w:spacing w:val="-2"/>
        </w:rPr>
        <w:t xml:space="preserve"> </w:t>
      </w:r>
      <w:r w:rsidR="004D74FF" w:rsidRPr="00F70341">
        <w:rPr>
          <w:spacing w:val="-2"/>
        </w:rPr>
        <w:t>and the Commission’s Rules.</w:t>
      </w:r>
    </w:p>
    <w:p w:rsidR="00725643" w:rsidRPr="00242F3A" w:rsidRDefault="00725643" w:rsidP="001D5998">
      <w:pPr>
        <w:pStyle w:val="ParaNum"/>
        <w:keepNext/>
        <w:widowControl/>
        <w:jc w:val="left"/>
      </w:pPr>
      <w:r w:rsidRPr="00B44A8A">
        <w:rPr>
          <w:spacing w:val="-2"/>
        </w:rPr>
        <w:t>This action is taken under delegated authority pursuant to Sections 0.131 and 0.331 of the Commission’s Rules, 47 C.F.R. §§ 0.131, 0.331.</w:t>
      </w:r>
    </w:p>
    <w:p w:rsidR="00B26183" w:rsidRDefault="00725643" w:rsidP="00D021D9">
      <w:pPr>
        <w:keepNext/>
        <w:ind w:left="3600" w:firstLine="720"/>
        <w:rPr>
          <w:szCs w:val="22"/>
        </w:rPr>
      </w:pPr>
      <w:r>
        <w:rPr>
          <w:szCs w:val="22"/>
        </w:rPr>
        <w:t>FEDERAL COMMUNICATIONS COMMISSION</w:t>
      </w:r>
    </w:p>
    <w:p w:rsidR="00725643" w:rsidRDefault="00725643" w:rsidP="00D021D9">
      <w:pPr>
        <w:keepNext/>
        <w:ind w:left="3600" w:firstLine="720"/>
        <w:rPr>
          <w:szCs w:val="22"/>
        </w:rPr>
      </w:pPr>
    </w:p>
    <w:p w:rsidR="00725643" w:rsidRDefault="00725643" w:rsidP="00D021D9">
      <w:pPr>
        <w:keepNext/>
        <w:ind w:left="3600" w:firstLine="720"/>
        <w:rPr>
          <w:szCs w:val="22"/>
        </w:rPr>
      </w:pPr>
    </w:p>
    <w:p w:rsidR="00725643" w:rsidRDefault="00725643" w:rsidP="00D021D9">
      <w:pPr>
        <w:keepNext/>
        <w:ind w:left="3600" w:firstLine="720"/>
        <w:rPr>
          <w:szCs w:val="22"/>
        </w:rPr>
      </w:pPr>
    </w:p>
    <w:p w:rsidR="00725643" w:rsidRDefault="003916F8" w:rsidP="00D021D9">
      <w:pPr>
        <w:keepNext/>
        <w:ind w:left="3600" w:firstLine="720"/>
        <w:rPr>
          <w:szCs w:val="22"/>
        </w:rPr>
      </w:pPr>
      <w:r>
        <w:rPr>
          <w:szCs w:val="22"/>
        </w:rPr>
        <w:t>Scot Stone</w:t>
      </w:r>
    </w:p>
    <w:p w:rsidR="004D74FF" w:rsidRDefault="004D74FF" w:rsidP="00D021D9">
      <w:pPr>
        <w:keepNext/>
        <w:ind w:left="3600" w:firstLine="720"/>
        <w:rPr>
          <w:szCs w:val="22"/>
        </w:rPr>
      </w:pPr>
      <w:r>
        <w:rPr>
          <w:szCs w:val="22"/>
        </w:rPr>
        <w:t>Deputy Chief, Mobility Division</w:t>
      </w:r>
    </w:p>
    <w:p w:rsidR="00725643" w:rsidRDefault="00725643" w:rsidP="003916F8">
      <w:pPr>
        <w:keepNext/>
        <w:ind w:left="3600" w:firstLine="720"/>
        <w:rPr>
          <w:szCs w:val="22"/>
        </w:rPr>
      </w:pPr>
      <w:r>
        <w:rPr>
          <w:szCs w:val="22"/>
        </w:rPr>
        <w:t>Wireless Telecommunications Bureau</w:t>
      </w:r>
    </w:p>
    <w:sectPr w:rsidR="0072564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48E" w:rsidRDefault="00EE348E">
      <w:r>
        <w:separator/>
      </w:r>
    </w:p>
  </w:endnote>
  <w:endnote w:type="continuationSeparator" w:id="0">
    <w:p w:rsidR="00EE348E" w:rsidRDefault="00EE3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3A" w:rsidRDefault="00B821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221" w:rsidRDefault="008A7221">
    <w:pPr>
      <w:pStyle w:val="Footer"/>
      <w:jc w:val="center"/>
    </w:pPr>
    <w:r>
      <w:rPr>
        <w:rStyle w:val="PageNumber"/>
      </w:rPr>
      <w:fldChar w:fldCharType="begin"/>
    </w:r>
    <w:r>
      <w:rPr>
        <w:rStyle w:val="PageNumber"/>
      </w:rPr>
      <w:instrText xml:space="preserve"> PAGE </w:instrText>
    </w:r>
    <w:r>
      <w:rPr>
        <w:rStyle w:val="PageNumber"/>
      </w:rPr>
      <w:fldChar w:fldCharType="separate"/>
    </w:r>
    <w:r w:rsidR="00264D3A">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3A" w:rsidRDefault="00B82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48E" w:rsidRDefault="00EE348E">
      <w:pPr>
        <w:rPr>
          <w:sz w:val="20"/>
        </w:rPr>
      </w:pPr>
      <w:r>
        <w:rPr>
          <w:sz w:val="20"/>
        </w:rPr>
        <w:separator/>
      </w:r>
    </w:p>
  </w:footnote>
  <w:footnote w:type="continuationSeparator" w:id="0">
    <w:p w:rsidR="00EE348E" w:rsidRDefault="00EE348E">
      <w:pPr>
        <w:rPr>
          <w:sz w:val="20"/>
        </w:rPr>
      </w:pPr>
      <w:r>
        <w:rPr>
          <w:sz w:val="20"/>
        </w:rPr>
        <w:separator/>
      </w:r>
    </w:p>
    <w:p w:rsidR="00EE348E" w:rsidRDefault="00EE348E">
      <w:pPr>
        <w:rPr>
          <w:sz w:val="20"/>
        </w:rPr>
      </w:pPr>
      <w:r>
        <w:rPr>
          <w:sz w:val="20"/>
        </w:rPr>
        <w:t>(...continued from previous page)</w:t>
      </w:r>
    </w:p>
  </w:footnote>
  <w:footnote w:type="continuationNotice" w:id="1">
    <w:p w:rsidR="00EE348E" w:rsidRDefault="00EE348E">
      <w:pPr>
        <w:jc w:val="right"/>
        <w:rPr>
          <w:sz w:val="20"/>
        </w:rPr>
      </w:pPr>
      <w:r>
        <w:rPr>
          <w:sz w:val="20"/>
        </w:rPr>
        <w:t>(continued....)</w:t>
      </w:r>
    </w:p>
  </w:footnote>
  <w:footnote w:id="2">
    <w:p w:rsidR="00860877" w:rsidRPr="0026492A" w:rsidRDefault="00860877" w:rsidP="00AF4599">
      <w:pPr>
        <w:pStyle w:val="FootnoteText"/>
        <w:jc w:val="left"/>
      </w:pPr>
      <w:r>
        <w:rPr>
          <w:rStyle w:val="FootnoteReference"/>
        </w:rPr>
        <w:footnoteRef/>
      </w:r>
      <w:r>
        <w:t xml:space="preserve"> </w:t>
      </w:r>
      <w:r w:rsidRPr="00317A79">
        <w:t xml:space="preserve">Petition to </w:t>
      </w:r>
      <w:r>
        <w:t xml:space="preserve">Dismiss or </w:t>
      </w:r>
      <w:r w:rsidRPr="00317A79">
        <w:t xml:space="preserve">Deny </w:t>
      </w:r>
      <w:r>
        <w:t>and Petition for Reconsideration (filed May 8, 2013) (Petition).  PSI</w:t>
      </w:r>
      <w:r w:rsidR="001F4CAC">
        <w:t xml:space="preserve"> filed an opposition, as did VSL and Skybridge</w:t>
      </w:r>
      <w:r>
        <w:t xml:space="preserve">.  </w:t>
      </w:r>
      <w:r>
        <w:rPr>
          <w:i/>
        </w:rPr>
        <w:t xml:space="preserve">See </w:t>
      </w:r>
      <w:r>
        <w:t>Paging Systems, Inc.,</w:t>
      </w:r>
      <w:r w:rsidRPr="00317A79">
        <w:t xml:space="preserve"> Opposition to Petition to </w:t>
      </w:r>
      <w:r>
        <w:t xml:space="preserve">Dismiss or </w:t>
      </w:r>
      <w:r w:rsidRPr="00317A79">
        <w:t>Deny</w:t>
      </w:r>
      <w:r>
        <w:t xml:space="preserve"> and Petition for Reconsideration</w:t>
      </w:r>
      <w:r w:rsidRPr="00317A79">
        <w:t xml:space="preserve"> (filed</w:t>
      </w:r>
      <w:r>
        <w:t xml:space="preserve"> May 22, 2013)</w:t>
      </w:r>
      <w:r w:rsidR="002E1364">
        <w:t xml:space="preserve"> (PSI Opposition)</w:t>
      </w:r>
      <w:r>
        <w:t>; Verde Systems LLC and Skybridge Spectrum Foundation LLC, Opposition to Petition to Dismiss or Deny and Petition for Reconsideration (filed May 22, 2013)</w:t>
      </w:r>
      <w:r w:rsidR="00FB0F63">
        <w:t xml:space="preserve"> (VSL/Skybridge Opposition).</w:t>
      </w:r>
      <w:r>
        <w:t xml:space="preserve">  MC/LM </w:t>
      </w:r>
      <w:r w:rsidR="001F4CAC">
        <w:t>f</w:t>
      </w:r>
      <w:r>
        <w:t xml:space="preserve">iled a reply.  </w:t>
      </w:r>
      <w:r>
        <w:rPr>
          <w:i/>
        </w:rPr>
        <w:t xml:space="preserve">See </w:t>
      </w:r>
      <w:r w:rsidRPr="00317A79">
        <w:t xml:space="preserve">Reply (filed </w:t>
      </w:r>
      <w:r>
        <w:t>June 3, 2013</w:t>
      </w:r>
      <w:r w:rsidRPr="00317A79">
        <w:t>)</w:t>
      </w:r>
      <w:r>
        <w:t xml:space="preserve"> (Reply).</w:t>
      </w:r>
    </w:p>
  </w:footnote>
  <w:footnote w:id="3">
    <w:p w:rsidR="00AB6545" w:rsidRDefault="00AB6545" w:rsidP="00AF4599">
      <w:pPr>
        <w:pStyle w:val="FootnoteText"/>
        <w:jc w:val="left"/>
      </w:pPr>
      <w:r>
        <w:rPr>
          <w:rStyle w:val="FootnoteReference"/>
        </w:rPr>
        <w:footnoteRef/>
      </w:r>
      <w:r>
        <w:t xml:space="preserve"> The Commission has designated two spectrum blocks for AMTS operations:  Blocks A (217.5-218/219.</w:t>
      </w:r>
      <w:r w:rsidR="00652366">
        <w:t>5-220 MHz) and B (217-217.5/219-</w:t>
      </w:r>
      <w:r>
        <w:t xml:space="preserve">219.5 MHz).  </w:t>
      </w:r>
      <w:r>
        <w:rPr>
          <w:i/>
        </w:rPr>
        <w:t xml:space="preserve">See </w:t>
      </w:r>
      <w:r>
        <w:t>47 C.F.R. § 80.385(a)(2).</w:t>
      </w:r>
    </w:p>
  </w:footnote>
  <w:footnote w:id="4">
    <w:p w:rsidR="0092378C" w:rsidRDefault="0092378C" w:rsidP="00AF4599">
      <w:pPr>
        <w:pStyle w:val="FootnoteText"/>
        <w:jc w:val="left"/>
      </w:pPr>
      <w:r>
        <w:rPr>
          <w:rStyle w:val="FootnoteReference"/>
        </w:rPr>
        <w:footnoteRef/>
      </w:r>
      <w:r>
        <w:t xml:space="preserve"> In 2002, the Commission adopted a geographic licensing approach for AMTS spectrum and later assigned the geographic licenses by competitive bidding procedures, but provided that site-based incumbent licensees could continue to operate.  </w:t>
      </w:r>
      <w:r>
        <w:rPr>
          <w:i/>
        </w:rPr>
        <w:t xml:space="preserve">See </w:t>
      </w:r>
      <w:r>
        <w:t xml:space="preserve">Amendment of the Commission’s Rules Concerning Maritime Communications, </w:t>
      </w:r>
      <w:r>
        <w:rPr>
          <w:i/>
        </w:rPr>
        <w:t>Second Memorandum Opinion and Order and Fifth Report and Order</w:t>
      </w:r>
      <w:r>
        <w:t>, PR Docket No. 92-257, 17 FCC Rcd 6685 (2002).</w:t>
      </w:r>
    </w:p>
  </w:footnote>
  <w:footnote w:id="5">
    <w:p w:rsidR="00860877" w:rsidRDefault="00860877" w:rsidP="00AF4599">
      <w:pPr>
        <w:pStyle w:val="FootnoteText"/>
        <w:jc w:val="left"/>
      </w:pPr>
      <w:r>
        <w:rPr>
          <w:rStyle w:val="FootnoteReference"/>
        </w:rPr>
        <w:footnoteRef/>
      </w:r>
      <w:r>
        <w:t xml:space="preserve"> Stations WQCP808 and WQGF308.</w:t>
      </w:r>
    </w:p>
  </w:footnote>
  <w:footnote w:id="6">
    <w:p w:rsidR="007C36A2" w:rsidRPr="007C36A2" w:rsidRDefault="007C36A2" w:rsidP="00AF4599">
      <w:pPr>
        <w:pStyle w:val="FootnoteText"/>
        <w:jc w:val="left"/>
      </w:pPr>
      <w:r>
        <w:rPr>
          <w:rStyle w:val="FootnoteReference"/>
        </w:rPr>
        <w:footnoteRef/>
      </w:r>
      <w:r>
        <w:t xml:space="preserve"> </w:t>
      </w:r>
      <w:r>
        <w:rPr>
          <w:i/>
        </w:rPr>
        <w:t>See</w:t>
      </w:r>
      <w:r>
        <w:t xml:space="preserve">, </w:t>
      </w:r>
      <w:r>
        <w:rPr>
          <w:i/>
        </w:rPr>
        <w:t>e.g.</w:t>
      </w:r>
      <w:r>
        <w:t xml:space="preserve">, Maritime Communications/Land Mobile, LLC, </w:t>
      </w:r>
      <w:r w:rsidR="0004307E">
        <w:t xml:space="preserve">EB Docket No. 11-71, </w:t>
      </w:r>
      <w:r>
        <w:rPr>
          <w:i/>
        </w:rPr>
        <w:t>Memorandum Opinion and Order</w:t>
      </w:r>
      <w:r>
        <w:t>, FCC 13-107, n.1 (rel. Aug. 5, 2013).</w:t>
      </w:r>
    </w:p>
  </w:footnote>
  <w:footnote w:id="7">
    <w:p w:rsidR="00522C0B" w:rsidRDefault="00522C0B" w:rsidP="00AF4599">
      <w:pPr>
        <w:pStyle w:val="FootnoteText"/>
        <w:jc w:val="left"/>
      </w:pPr>
      <w:r>
        <w:rPr>
          <w:rStyle w:val="FootnoteReference"/>
        </w:rPr>
        <w:footnoteRef/>
      </w:r>
      <w:r>
        <w:t xml:space="preserve"> Specifically, they hold AMTS </w:t>
      </w:r>
      <w:r w:rsidR="00176E0C">
        <w:t xml:space="preserve">Block B geographic </w:t>
      </w:r>
      <w:r>
        <w:t xml:space="preserve">licenses in AMTSAs 1 (Northern Atlantic), 2 (Mid-Atlantic), 3 (Southern Atlantic), 4 (Mississippi River), 6, 7, </w:t>
      </w:r>
      <w:r w:rsidR="00B451F3">
        <w:t xml:space="preserve">9 (Alaska), </w:t>
      </w:r>
      <w:r>
        <w:t>and 10 (Mountain)</w:t>
      </w:r>
      <w:r w:rsidR="00176E0C">
        <w:t>.  They also hold AMTS Block A</w:t>
      </w:r>
      <w:r>
        <w:t xml:space="preserve"> geographic </w:t>
      </w:r>
      <w:r w:rsidR="00176E0C">
        <w:t>licenses</w:t>
      </w:r>
      <w:r>
        <w:t xml:space="preserve"> in AMTSAs 1, 3, 7, </w:t>
      </w:r>
      <w:r w:rsidR="00B451F3">
        <w:t xml:space="preserve">and </w:t>
      </w:r>
      <w:r>
        <w:t>8.</w:t>
      </w:r>
    </w:p>
  </w:footnote>
  <w:footnote w:id="8">
    <w:p w:rsidR="006A7FB7" w:rsidRDefault="006A7FB7" w:rsidP="00AF4599">
      <w:pPr>
        <w:pStyle w:val="FootnoteText"/>
        <w:jc w:val="left"/>
      </w:pPr>
      <w:r>
        <w:rPr>
          <w:rStyle w:val="FootnoteReference"/>
        </w:rPr>
        <w:footnoteRef/>
      </w:r>
      <w:r>
        <w:t xml:space="preserve"> </w:t>
      </w:r>
      <w:r>
        <w:rPr>
          <w:i/>
        </w:rPr>
        <w:t xml:space="preserve">See </w:t>
      </w:r>
      <w:r w:rsidRPr="00567FF8">
        <w:t>FCC File No. 0005733853.</w:t>
      </w:r>
    </w:p>
  </w:footnote>
  <w:footnote w:id="9">
    <w:p w:rsidR="00AF3B77" w:rsidRDefault="00AF3B77" w:rsidP="00AF4599">
      <w:pPr>
        <w:pStyle w:val="FootnoteText"/>
        <w:jc w:val="left"/>
      </w:pPr>
      <w:r>
        <w:rPr>
          <w:rStyle w:val="FootnoteReference"/>
        </w:rPr>
        <w:footnoteRef/>
      </w:r>
      <w:r>
        <w:t xml:space="preserve"> </w:t>
      </w:r>
      <w:r>
        <w:rPr>
          <w:i/>
        </w:rPr>
        <w:t xml:space="preserve">See </w:t>
      </w:r>
      <w:r w:rsidRPr="00567FF8">
        <w:t>FCC File No. 0005735474.</w:t>
      </w:r>
    </w:p>
  </w:footnote>
  <w:footnote w:id="10">
    <w:p w:rsidR="00AF3B77" w:rsidRDefault="00AF3B77" w:rsidP="00AF4599">
      <w:pPr>
        <w:pStyle w:val="FootnoteText"/>
        <w:jc w:val="left"/>
      </w:pPr>
      <w:r>
        <w:rPr>
          <w:rStyle w:val="FootnoteReference"/>
        </w:rPr>
        <w:footnoteRef/>
      </w:r>
      <w:r>
        <w:t xml:space="preserve"> </w:t>
      </w:r>
      <w:r>
        <w:rPr>
          <w:i/>
        </w:rPr>
        <w:t xml:space="preserve">See </w:t>
      </w:r>
      <w:r w:rsidRPr="00567FF8">
        <w:t>FCC File No. 0005735519.</w:t>
      </w:r>
    </w:p>
  </w:footnote>
  <w:footnote w:id="11">
    <w:p w:rsidR="007B70EB" w:rsidRPr="00AF3B77" w:rsidRDefault="007B70EB" w:rsidP="007B70EB">
      <w:pPr>
        <w:pStyle w:val="FootnoteText"/>
        <w:jc w:val="left"/>
      </w:pPr>
      <w:r>
        <w:rPr>
          <w:rStyle w:val="FootnoteReference"/>
        </w:rPr>
        <w:footnoteRef/>
      </w:r>
      <w:r>
        <w:t xml:space="preserve"> </w:t>
      </w:r>
      <w:r>
        <w:rPr>
          <w:i/>
        </w:rPr>
        <w:t xml:space="preserve">See </w:t>
      </w:r>
      <w:r>
        <w:t>47 C.F.R. § 1.948(j)(2).</w:t>
      </w:r>
    </w:p>
  </w:footnote>
  <w:footnote w:id="12">
    <w:p w:rsidR="00B171DA" w:rsidRDefault="00B171DA" w:rsidP="00AF4599">
      <w:pPr>
        <w:pStyle w:val="FootnoteText"/>
        <w:jc w:val="left"/>
      </w:pPr>
      <w:r>
        <w:rPr>
          <w:rStyle w:val="FootnoteReference"/>
        </w:rPr>
        <w:footnoteRef/>
      </w:r>
      <w:r>
        <w:t xml:space="preserve"> </w:t>
      </w:r>
      <w:r w:rsidR="00295002">
        <w:t xml:space="preserve">It also holds AMTS Block A site-based licenses in AMTSAs 1-7, and AMTS Block B site-based licenses </w:t>
      </w:r>
      <w:r>
        <w:t>in AMTSAs</w:t>
      </w:r>
      <w:r w:rsidR="0004307E">
        <w:t xml:space="preserve"> 2, 3,</w:t>
      </w:r>
      <w:r>
        <w:t xml:space="preserve"> </w:t>
      </w:r>
      <w:r w:rsidR="00295002">
        <w:t xml:space="preserve">4, </w:t>
      </w:r>
      <w:r>
        <w:t>and 5.</w:t>
      </w:r>
      <w:r w:rsidR="007B70EB">
        <w:t xml:space="preserve">  All of MC/LM’s licenses are subject to a pending Commission proceeding to determine, </w:t>
      </w:r>
      <w:r w:rsidR="007B70EB">
        <w:rPr>
          <w:i/>
        </w:rPr>
        <w:t>inter alia</w:t>
      </w:r>
      <w:r w:rsidR="007B70EB">
        <w:t xml:space="preserve">, whether MC/LM engaged in misrepresentation and/or lack of candor when it obtained its geographic licenses, failed to construct and/or maintain in operation its site-based stations, and is qualified to be and remain a Commission licensee.  </w:t>
      </w:r>
      <w:r w:rsidR="007B70EB">
        <w:rPr>
          <w:i/>
        </w:rPr>
        <w:t>See</w:t>
      </w:r>
      <w:r w:rsidR="007B70EB">
        <w:t xml:space="preserve"> Maritime Communications/Land Mobile, LLC, </w:t>
      </w:r>
      <w:r w:rsidR="007B70EB">
        <w:rPr>
          <w:i/>
        </w:rPr>
        <w:t>Order to Show Cause, Hearing Designation Order, and Notice of Opportunity for Hearing</w:t>
      </w:r>
      <w:r w:rsidR="007B70EB">
        <w:t xml:space="preserve">, EB Docket No. 11-71, 26 FCC Rcd 6520, 6547 ¶ 62 (2011).  The allegations underlying the hearing proceeding were initially brought to the Commission’s attention by the Havens entities.  </w:t>
      </w:r>
      <w:r w:rsidR="007B70EB">
        <w:rPr>
          <w:i/>
        </w:rPr>
        <w:t>See id.</w:t>
      </w:r>
      <w:r w:rsidR="007B70EB">
        <w:t xml:space="preserve"> at 6525-26 ¶¶ 13-18.</w:t>
      </w:r>
    </w:p>
  </w:footnote>
  <w:footnote w:id="13">
    <w:p w:rsidR="003912FA" w:rsidRDefault="003912FA" w:rsidP="00AF4599">
      <w:pPr>
        <w:pStyle w:val="FootnoteText"/>
        <w:jc w:val="left"/>
      </w:pPr>
      <w:r>
        <w:rPr>
          <w:rStyle w:val="FootnoteReference"/>
        </w:rPr>
        <w:footnoteRef/>
      </w:r>
      <w:r>
        <w:t xml:space="preserve"> </w:t>
      </w:r>
      <w:r w:rsidRPr="003912FA">
        <w:rPr>
          <w:i/>
        </w:rPr>
        <w:t>See</w:t>
      </w:r>
      <w:r>
        <w:t xml:space="preserve"> </w:t>
      </w:r>
      <w:r w:rsidRPr="003912FA">
        <w:t xml:space="preserve">Petition at </w:t>
      </w:r>
      <w:r>
        <w:t>2</w:t>
      </w:r>
      <w:r w:rsidRPr="003912FA">
        <w:t>-7.</w:t>
      </w:r>
    </w:p>
  </w:footnote>
  <w:footnote w:id="14">
    <w:p w:rsidR="003912FA" w:rsidRPr="002E1364" w:rsidRDefault="003912FA" w:rsidP="00AF4599">
      <w:pPr>
        <w:pStyle w:val="FootnoteText"/>
        <w:jc w:val="left"/>
      </w:pPr>
      <w:r>
        <w:rPr>
          <w:rStyle w:val="FootnoteReference"/>
        </w:rPr>
        <w:footnoteRef/>
      </w:r>
      <w:r>
        <w:t xml:space="preserve"> </w:t>
      </w:r>
      <w:r>
        <w:rPr>
          <w:i/>
        </w:rPr>
        <w:t xml:space="preserve">See id. </w:t>
      </w:r>
      <w:r>
        <w:t>at 3.</w:t>
      </w:r>
      <w:r w:rsidR="00685F5A">
        <w:t xml:space="preserve"> </w:t>
      </w:r>
      <w:r w:rsidR="007B70EB">
        <w:t>MC/LM</w:t>
      </w:r>
      <w:r w:rsidR="00685F5A">
        <w:t xml:space="preserve"> also states that the applications are procedurally in violation of the “greenmail” rule, 47 C.F.R. § 1.935.  </w:t>
      </w:r>
      <w:r w:rsidR="00685F5A">
        <w:rPr>
          <w:i/>
        </w:rPr>
        <w:t xml:space="preserve">See id. </w:t>
      </w:r>
      <w:r w:rsidR="00685F5A">
        <w:t xml:space="preserve">at 2. </w:t>
      </w:r>
      <w:r w:rsidR="002E1364">
        <w:t xml:space="preserve"> We agree with PSI,</w:t>
      </w:r>
      <w:r w:rsidR="00FB0F63">
        <w:t xml:space="preserve"> VSL, and Skybridge,</w:t>
      </w:r>
      <w:r w:rsidR="002E1364">
        <w:t xml:space="preserve"> however, that this rule is not relevant to the instant matter, for it applies only to requests to </w:t>
      </w:r>
      <w:r w:rsidR="002E1364" w:rsidRPr="002E1364">
        <w:rPr>
          <w:i/>
        </w:rPr>
        <w:t>dismiss</w:t>
      </w:r>
      <w:r w:rsidR="002E1364">
        <w:t xml:space="preserve"> applications, amendments, or pleadings.  </w:t>
      </w:r>
      <w:r w:rsidR="002E1364">
        <w:rPr>
          <w:i/>
        </w:rPr>
        <w:t xml:space="preserve">See </w:t>
      </w:r>
      <w:r w:rsidR="002E1364">
        <w:t xml:space="preserve">PSI Opposition at </w:t>
      </w:r>
      <w:r w:rsidR="00FB0F63">
        <w:t>4; VSL/Skybridge Opposition at 5</w:t>
      </w:r>
      <w:r w:rsidR="002E1364">
        <w:t>.</w:t>
      </w:r>
    </w:p>
  </w:footnote>
  <w:footnote w:id="15">
    <w:p w:rsidR="00F1251C" w:rsidRDefault="00F1251C" w:rsidP="00AF4599">
      <w:pPr>
        <w:pStyle w:val="FootnoteText"/>
        <w:jc w:val="left"/>
      </w:pPr>
      <w:r>
        <w:rPr>
          <w:rStyle w:val="FootnoteReference"/>
        </w:rPr>
        <w:footnoteRef/>
      </w:r>
      <w:r>
        <w:t xml:space="preserve"> 47 C.F.R. § 1.939(</w:t>
      </w:r>
      <w:r w:rsidR="00F22C50">
        <w:t>d</w:t>
      </w:r>
      <w:r>
        <w:t>).</w:t>
      </w:r>
    </w:p>
  </w:footnote>
  <w:footnote w:id="16">
    <w:p w:rsidR="00F1251C" w:rsidRPr="00F1251C" w:rsidRDefault="00F1251C" w:rsidP="00AF4599">
      <w:pPr>
        <w:pStyle w:val="FootnoteText"/>
        <w:jc w:val="left"/>
      </w:pPr>
      <w:r>
        <w:rPr>
          <w:rStyle w:val="FootnoteReference"/>
        </w:rPr>
        <w:footnoteRef/>
      </w:r>
      <w:r>
        <w:t xml:space="preserve"> </w:t>
      </w:r>
      <w:r>
        <w:rPr>
          <w:i/>
        </w:rPr>
        <w:t>See</w:t>
      </w:r>
      <w:r>
        <w:t xml:space="preserve">, </w:t>
      </w:r>
      <w:r>
        <w:rPr>
          <w:i/>
        </w:rPr>
        <w:t>e.g.</w:t>
      </w:r>
      <w:r>
        <w:t xml:space="preserve">, Petition for Reconsideration of Various Auction 87 Public Notices, </w:t>
      </w:r>
      <w:r>
        <w:rPr>
          <w:i/>
        </w:rPr>
        <w:t>et al</w:t>
      </w:r>
      <w:r>
        <w:t>., 27 FCC Rcd 4374, 4382 ¶ 21 (WTB MD &amp; ASAD 2012</w:t>
      </w:r>
      <w:r w:rsidR="00AF4599">
        <w:t>)</w:t>
      </w:r>
      <w:r>
        <w:t xml:space="preserve"> (</w:t>
      </w:r>
      <w:r>
        <w:rPr>
          <w:i/>
        </w:rPr>
        <w:t>Auction 87 Order</w:t>
      </w:r>
      <w:r>
        <w:t xml:space="preserve">); AT&amp;T PCS Wireless PCS, Inc., </w:t>
      </w:r>
      <w:r>
        <w:rPr>
          <w:i/>
        </w:rPr>
        <w:t>Order</w:t>
      </w:r>
      <w:r>
        <w:t>, 15 FCC Rcd 4587, 4588 ¶ 3 (WTB CWD 2000) (</w:t>
      </w:r>
      <w:r>
        <w:rPr>
          <w:i/>
        </w:rPr>
        <w:t>AT&amp;T Wireless</w:t>
      </w:r>
      <w:r>
        <w:t xml:space="preserve">) </w:t>
      </w:r>
      <w:r w:rsidR="00AF4599">
        <w:t>(</w:t>
      </w:r>
      <w:r>
        <w:t xml:space="preserve">citing </w:t>
      </w:r>
      <w:r w:rsidRPr="00F22C50">
        <w:t>Sierra Club v. Morton</w:t>
      </w:r>
      <w:r>
        <w:t xml:space="preserve">, 405 U.S. 727, </w:t>
      </w:r>
      <w:r w:rsidRPr="006373A1">
        <w:t>73</w:t>
      </w:r>
      <w:r w:rsidR="00D802A2" w:rsidRPr="00D802A2">
        <w:t>3</w:t>
      </w:r>
      <w:r>
        <w:t xml:space="preserve"> (1972); Lawrence N. Brandt, </w:t>
      </w:r>
      <w:r>
        <w:rPr>
          <w:i/>
        </w:rPr>
        <w:t>Memorandum Opinion and Order</w:t>
      </w:r>
      <w:r>
        <w:t>, 3 FCC Rcd 4082 (</w:t>
      </w:r>
      <w:r w:rsidR="003E3643">
        <w:t xml:space="preserve">CCB DFD </w:t>
      </w:r>
      <w:r>
        <w:t>1988</w:t>
      </w:r>
      <w:r w:rsidR="00AF4599">
        <w:t>)</w:t>
      </w:r>
      <w:r w:rsidR="003E3643">
        <w:t xml:space="preserve"> (</w:t>
      </w:r>
      <w:r w:rsidR="003E3643" w:rsidRPr="003E3643">
        <w:rPr>
          <w:i/>
        </w:rPr>
        <w:t>Brandt</w:t>
      </w:r>
      <w:r w:rsidR="003E3643">
        <w:t>)</w:t>
      </w:r>
      <w:r>
        <w:t>).</w:t>
      </w:r>
    </w:p>
  </w:footnote>
  <w:footnote w:id="17">
    <w:p w:rsidR="007636ED" w:rsidRPr="007636ED" w:rsidRDefault="007636ED" w:rsidP="00AF4599">
      <w:pPr>
        <w:pStyle w:val="FootnoteText"/>
        <w:jc w:val="left"/>
      </w:pPr>
      <w:r>
        <w:rPr>
          <w:rStyle w:val="FootnoteReference"/>
        </w:rPr>
        <w:footnoteRef/>
      </w:r>
      <w:r>
        <w:t xml:space="preserve"> </w:t>
      </w:r>
      <w:r>
        <w:rPr>
          <w:i/>
        </w:rPr>
        <w:t>Auction 87 Order</w:t>
      </w:r>
      <w:r>
        <w:t xml:space="preserve">, 27 FCC Rcd at 4382 ¶ 21; </w:t>
      </w:r>
      <w:r>
        <w:rPr>
          <w:i/>
        </w:rPr>
        <w:t>AT&amp;T Wireless</w:t>
      </w:r>
      <w:r>
        <w:t xml:space="preserve">, 15 FCC Rcd at 4588 ¶ 3 </w:t>
      </w:r>
      <w:r w:rsidR="00AF4599">
        <w:t>(</w:t>
      </w:r>
      <w:r>
        <w:t xml:space="preserve">citing </w:t>
      </w:r>
      <w:r w:rsidRPr="00D87020">
        <w:t>Duke Power v. Carolina Environmental Study Group, Inc.</w:t>
      </w:r>
      <w:r>
        <w:t>, 438 U.S. 59, 72</w:t>
      </w:r>
      <w:r w:rsidR="00D87020">
        <w:t>,</w:t>
      </w:r>
      <w:r>
        <w:t xml:space="preserve"> 78 (1978)</w:t>
      </w:r>
      <w:r w:rsidR="00AF4599">
        <w:t>)</w:t>
      </w:r>
      <w:r>
        <w:t>.</w:t>
      </w:r>
    </w:p>
  </w:footnote>
  <w:footnote w:id="18">
    <w:p w:rsidR="0038677B" w:rsidRPr="00776E90" w:rsidRDefault="0038677B" w:rsidP="00AF4599">
      <w:pPr>
        <w:pStyle w:val="FootnoteText"/>
        <w:jc w:val="left"/>
      </w:pPr>
      <w:r>
        <w:rPr>
          <w:rStyle w:val="FootnoteReference"/>
        </w:rPr>
        <w:footnoteRef/>
      </w:r>
      <w:r>
        <w:t xml:space="preserve"> </w:t>
      </w:r>
      <w:r w:rsidR="00776E90">
        <w:rPr>
          <w:i/>
        </w:rPr>
        <w:t>Auction 87 Order</w:t>
      </w:r>
      <w:r w:rsidR="00776E90">
        <w:t xml:space="preserve">, 27 FCC Rcd at 4382 ¶ 21; Weblink Wireless, Inc., </w:t>
      </w:r>
      <w:r w:rsidR="00776E90">
        <w:rPr>
          <w:i/>
        </w:rPr>
        <w:t>Memorandum Opinion and Order</w:t>
      </w:r>
      <w:r w:rsidR="00776E90">
        <w:t>, 17 FCC Rcd  24642</w:t>
      </w:r>
      <w:r w:rsidR="00AF4599">
        <w:t>, 24647</w:t>
      </w:r>
      <w:r w:rsidR="00776E90">
        <w:t xml:space="preserve"> ¶ 11 (</w:t>
      </w:r>
      <w:r w:rsidR="00AF4599">
        <w:t xml:space="preserve">WTB </w:t>
      </w:r>
      <w:r w:rsidR="00776E90">
        <w:t>2002).</w:t>
      </w:r>
    </w:p>
  </w:footnote>
  <w:footnote w:id="19">
    <w:p w:rsidR="00F22C50" w:rsidRDefault="00F22C50" w:rsidP="00F22C50">
      <w:pPr>
        <w:pStyle w:val="FootnoteText"/>
        <w:jc w:val="left"/>
      </w:pPr>
      <w:r>
        <w:rPr>
          <w:rStyle w:val="FootnoteReference"/>
        </w:rPr>
        <w:footnoteRef/>
      </w:r>
      <w:r>
        <w:t xml:space="preserve"> 47 C.F.R. § 1.106(b)(1); </w:t>
      </w:r>
      <w:r w:rsidRPr="003912FA">
        <w:t xml:space="preserve">AT&amp;T Corp. v. Business Telecom, Inc., </w:t>
      </w:r>
      <w:r w:rsidRPr="003912FA">
        <w:rPr>
          <w:i/>
        </w:rPr>
        <w:t>Order on Reconsideration,</w:t>
      </w:r>
      <w:r w:rsidRPr="003912FA">
        <w:t xml:space="preserve"> 16 FCC Rcd 21750, </w:t>
      </w:r>
      <w:r>
        <w:t>21751-52 ¶ 5 (2001) (</w:t>
      </w:r>
      <w:r w:rsidRPr="00D87020">
        <w:rPr>
          <w:i/>
        </w:rPr>
        <w:t>AT&amp;T Corp.</w:t>
      </w:r>
      <w:r>
        <w:t>).</w:t>
      </w:r>
    </w:p>
  </w:footnote>
  <w:footnote w:id="20">
    <w:p w:rsidR="008A7221" w:rsidRPr="005C0992" w:rsidRDefault="008A7221" w:rsidP="00AF4599">
      <w:pPr>
        <w:pStyle w:val="FootnoteText"/>
        <w:jc w:val="left"/>
      </w:pPr>
      <w:r>
        <w:rPr>
          <w:rStyle w:val="FootnoteReference"/>
        </w:rPr>
        <w:footnoteRef/>
      </w:r>
      <w:r>
        <w:t xml:space="preserve"> </w:t>
      </w:r>
      <w:r w:rsidRPr="00C86CCE">
        <w:rPr>
          <w:i/>
          <w:iCs/>
        </w:rPr>
        <w:t xml:space="preserve">See </w:t>
      </w:r>
      <w:hyperlink r:id="rId1" w:tgtFrame="_top" w:history="1">
        <w:r w:rsidRPr="005C0992">
          <w:rPr>
            <w:rStyle w:val="Hyperlink"/>
            <w:iCs/>
            <w:color w:val="auto"/>
            <w:u w:val="none"/>
          </w:rPr>
          <w:t>SunCom Mobile &amp; Data, Inc. v. FCC,</w:t>
        </w:r>
        <w:r w:rsidRPr="005C0992">
          <w:rPr>
            <w:rStyle w:val="Hyperlink"/>
            <w:color w:val="auto"/>
            <w:u w:val="none"/>
          </w:rPr>
          <w:t xml:space="preserve"> 87 F.3d 1386, 1387-88 (D.C. Cir. 1996)</w:t>
        </w:r>
      </w:hyperlink>
      <w:r w:rsidRPr="005C0992">
        <w:t xml:space="preserve"> (</w:t>
      </w:r>
      <w:r w:rsidRPr="00D87020">
        <w:t>quoting</w:t>
      </w:r>
      <w:r w:rsidRPr="005C0992">
        <w:t xml:space="preserve"> </w:t>
      </w:r>
      <w:hyperlink r:id="rId2" w:tgtFrame="_top" w:history="1">
        <w:r w:rsidRPr="005C0992">
          <w:rPr>
            <w:rStyle w:val="Hyperlink"/>
            <w:iCs/>
            <w:color w:val="auto"/>
            <w:u w:val="none"/>
          </w:rPr>
          <w:t>Branton v. FCC,</w:t>
        </w:r>
        <w:r w:rsidRPr="005C0992">
          <w:rPr>
            <w:rStyle w:val="Hyperlink"/>
            <w:color w:val="auto"/>
            <w:u w:val="none"/>
          </w:rPr>
          <w:t xml:space="preserve"> 993 F.2d 906, 908 (D.C. Cir. 1993)</w:t>
        </w:r>
      </w:hyperlink>
      <w:r w:rsidRPr="005C0992">
        <w:t xml:space="preserve"> (</w:t>
      </w:r>
      <w:r w:rsidRPr="00D87020">
        <w:t>quoting</w:t>
      </w:r>
      <w:r w:rsidRPr="005C0992">
        <w:t xml:space="preserve"> </w:t>
      </w:r>
      <w:hyperlink r:id="rId3" w:tgtFrame="_top" w:history="1">
        <w:r w:rsidRPr="005C0992">
          <w:rPr>
            <w:rStyle w:val="Hyperlink"/>
            <w:iCs/>
            <w:color w:val="auto"/>
            <w:u w:val="none"/>
          </w:rPr>
          <w:t>Allen v. Wright,</w:t>
        </w:r>
        <w:r w:rsidRPr="005C0992">
          <w:rPr>
            <w:rStyle w:val="Hyperlink"/>
            <w:color w:val="auto"/>
            <w:u w:val="none"/>
          </w:rPr>
          <w:t xml:space="preserve"> 468 U.S. 737, 751 (1984)</w:t>
        </w:r>
      </w:hyperlink>
      <w:r w:rsidR="00D87020">
        <w:t>))</w:t>
      </w:r>
      <w:r w:rsidR="00F22C50">
        <w:t xml:space="preserve">; </w:t>
      </w:r>
      <w:r w:rsidR="00F22C50" w:rsidRPr="00D87020">
        <w:rPr>
          <w:i/>
        </w:rPr>
        <w:t>AT&amp;T Corp.</w:t>
      </w:r>
      <w:r w:rsidR="00F22C50">
        <w:t>, 16 FCC Rcd</w:t>
      </w:r>
      <w:r w:rsidR="00F22C50" w:rsidRPr="003912FA">
        <w:t xml:space="preserve"> at </w:t>
      </w:r>
      <w:r w:rsidR="00F22C50">
        <w:t xml:space="preserve">21752-53 </w:t>
      </w:r>
      <w:r w:rsidR="00F22C50" w:rsidRPr="003912FA">
        <w:t>¶ 7</w:t>
      </w:r>
      <w:r w:rsidRPr="005C0992">
        <w:t>.</w:t>
      </w:r>
    </w:p>
  </w:footnote>
  <w:footnote w:id="21">
    <w:p w:rsidR="003E3643" w:rsidRPr="003E3643" w:rsidRDefault="003E3643">
      <w:pPr>
        <w:pStyle w:val="FootnoteText"/>
      </w:pPr>
      <w:r>
        <w:rPr>
          <w:rStyle w:val="FootnoteReference"/>
        </w:rPr>
        <w:footnoteRef/>
      </w:r>
      <w:r>
        <w:t xml:space="preserve"> </w:t>
      </w:r>
      <w:r>
        <w:rPr>
          <w:i/>
        </w:rPr>
        <w:t xml:space="preserve">See </w:t>
      </w:r>
      <w:r>
        <w:t>Petition at 2.</w:t>
      </w:r>
    </w:p>
  </w:footnote>
  <w:footnote w:id="22">
    <w:p w:rsidR="003912FA" w:rsidRDefault="003912FA" w:rsidP="00AF4599">
      <w:pPr>
        <w:pStyle w:val="FootnoteText"/>
        <w:jc w:val="left"/>
      </w:pPr>
      <w:r>
        <w:rPr>
          <w:rStyle w:val="FootnoteReference"/>
        </w:rPr>
        <w:footnoteRef/>
      </w:r>
      <w:r>
        <w:t xml:space="preserve"> </w:t>
      </w:r>
      <w:r w:rsidRPr="003912FA">
        <w:t xml:space="preserve">See </w:t>
      </w:r>
      <w:r>
        <w:t>Reply</w:t>
      </w:r>
      <w:r w:rsidRPr="003912FA">
        <w:t xml:space="preserve"> at </w:t>
      </w:r>
      <w:r>
        <w:t>2</w:t>
      </w:r>
      <w:r w:rsidRPr="003912FA">
        <w:t>.</w:t>
      </w:r>
    </w:p>
  </w:footnote>
  <w:footnote w:id="23">
    <w:p w:rsidR="000B73D7" w:rsidRPr="000B73D7" w:rsidRDefault="000B73D7" w:rsidP="00AF4599">
      <w:pPr>
        <w:pStyle w:val="FootnoteText"/>
        <w:jc w:val="left"/>
      </w:pPr>
      <w:r w:rsidRPr="000B73D7">
        <w:rPr>
          <w:rStyle w:val="FootnoteReference"/>
        </w:rPr>
        <w:footnoteRef/>
      </w:r>
      <w:r w:rsidRPr="000B73D7">
        <w:t xml:space="preserve"> </w:t>
      </w:r>
      <w:r w:rsidRPr="000B73D7">
        <w:rPr>
          <w:i/>
        </w:rPr>
        <w:t xml:space="preserve">See </w:t>
      </w:r>
      <w:r w:rsidRPr="000B73D7">
        <w:t xml:space="preserve">Petition for Reconsideration of Various Auction 87 Public Notices, et al., </w:t>
      </w:r>
      <w:r w:rsidR="001F27A3">
        <w:rPr>
          <w:i/>
        </w:rPr>
        <w:t xml:space="preserve">Memorandum Opinion and Order, </w:t>
      </w:r>
      <w:r w:rsidRPr="000B73D7">
        <w:t>27 FCC Rcd 4374, 4385 ¶ 28 (WTB MD &amp; ASAD 2012)</w:t>
      </w:r>
      <w:r>
        <w:t>.</w:t>
      </w:r>
      <w:r w:rsidRPr="000B73D7">
        <w:t xml:space="preserve"> </w:t>
      </w:r>
      <w:r w:rsidR="00D87020">
        <w:t xml:space="preserve"> </w:t>
      </w:r>
      <w:r w:rsidRPr="000B73D7">
        <w:t xml:space="preserve">The Commission has consistently held that claims predicated on the addition of new competitors in the marketplace amount to a “remote” or “speculative” injury and are insufficient to confer standing. </w:t>
      </w:r>
      <w:r w:rsidR="001F27A3">
        <w:t xml:space="preserve"> </w:t>
      </w:r>
      <w:r w:rsidRPr="000B73D7">
        <w:rPr>
          <w:i/>
        </w:rPr>
        <w:t>See, e.g.,</w:t>
      </w:r>
      <w:r w:rsidRPr="000B73D7">
        <w:t xml:space="preserve"> </w:t>
      </w:r>
      <w:r w:rsidRPr="003E3643">
        <w:rPr>
          <w:i/>
        </w:rPr>
        <w:t>Brandt</w:t>
      </w:r>
      <w:r w:rsidRPr="000B73D7">
        <w:t>, 3 FCC Rcd</w:t>
      </w:r>
      <w:r w:rsidR="003E3643">
        <w:t xml:space="preserve"> at 4083 ¶ 9</w:t>
      </w:r>
      <w:r w:rsidRPr="000B73D7">
        <w:t xml:space="preserve">; Improving Public Safety Communications in the 800 MHz Band, </w:t>
      </w:r>
      <w:r w:rsidRPr="003E3643">
        <w:rPr>
          <w:i/>
        </w:rPr>
        <w:t>Order</w:t>
      </w:r>
      <w:r w:rsidRPr="000B73D7">
        <w:t>, WT Docket 02-55, 26 FCC Rcd 5004 (PSHSB 2011)</w:t>
      </w:r>
      <w:r w:rsidR="004C66F8">
        <w:t xml:space="preserve"> (</w:t>
      </w:r>
      <w:r w:rsidR="004C66F8" w:rsidRPr="004C66F8">
        <w:rPr>
          <w:i/>
        </w:rPr>
        <w:t>800 MHz Order</w:t>
      </w:r>
      <w:r w:rsidR="004C66F8">
        <w:t>)</w:t>
      </w:r>
      <w:r w:rsidRPr="000B73D7">
        <w:t>.</w:t>
      </w:r>
      <w:r w:rsidR="003E3643">
        <w:t xml:space="preserve">  </w:t>
      </w:r>
    </w:p>
  </w:footnote>
  <w:footnote w:id="24">
    <w:p w:rsidR="004C66F8" w:rsidRDefault="004C66F8">
      <w:pPr>
        <w:pStyle w:val="FootnoteText"/>
      </w:pPr>
      <w:r>
        <w:rPr>
          <w:rStyle w:val="FootnoteReference"/>
        </w:rPr>
        <w:footnoteRef/>
      </w:r>
      <w:r>
        <w:t xml:space="preserve"> 47 C.F.R. § 1.41.</w:t>
      </w:r>
    </w:p>
  </w:footnote>
  <w:footnote w:id="25">
    <w:p w:rsidR="00AB2E4F" w:rsidRPr="00AB2E4F" w:rsidRDefault="00AB2E4F" w:rsidP="00AF4599">
      <w:pPr>
        <w:pStyle w:val="FootnoteText"/>
        <w:jc w:val="left"/>
      </w:pPr>
      <w:r>
        <w:rPr>
          <w:rStyle w:val="FootnoteReference"/>
        </w:rPr>
        <w:footnoteRef/>
      </w:r>
      <w:r>
        <w:t xml:space="preserve"> </w:t>
      </w:r>
      <w:r w:rsidRPr="00AB2E4F">
        <w:rPr>
          <w:i/>
        </w:rPr>
        <w:t xml:space="preserve">See </w:t>
      </w:r>
      <w:r w:rsidRPr="00AB2E4F">
        <w:t xml:space="preserve">National Ready Mixed Concrete Co., </w:t>
      </w:r>
      <w:r w:rsidRPr="00AB2E4F">
        <w:rPr>
          <w:i/>
        </w:rPr>
        <w:t>Memorandum Opinion and Order</w:t>
      </w:r>
      <w:r w:rsidRPr="00AB2E4F">
        <w:t>, 23 FCC Rcd 5250, 5251 n.12 (2008)</w:t>
      </w:r>
      <w:r w:rsidR="004C66F8">
        <w:t xml:space="preserve">; </w:t>
      </w:r>
      <w:r w:rsidR="004C66F8" w:rsidRPr="004C66F8">
        <w:rPr>
          <w:i/>
        </w:rPr>
        <w:t>s</w:t>
      </w:r>
      <w:r w:rsidRPr="004C66F8">
        <w:rPr>
          <w:i/>
        </w:rPr>
        <w:t>ee also</w:t>
      </w:r>
      <w:r w:rsidRPr="00AB2E4F">
        <w:t xml:space="preserve"> Charles T. Crawford, et al. </w:t>
      </w:r>
      <w:r w:rsidRPr="00AB2E4F">
        <w:rPr>
          <w:i/>
        </w:rPr>
        <w:t>Memorandum Opinion and Order</w:t>
      </w:r>
      <w:r w:rsidRPr="00AB2E4F">
        <w:t>, 17 FCC Rcd 19328, 19329 (2002) (stating that the Commission is not obligated to consider informal requests).</w:t>
      </w:r>
    </w:p>
  </w:footnote>
  <w:footnote w:id="26">
    <w:p w:rsidR="001D5998" w:rsidRPr="001D5998" w:rsidRDefault="001D5998" w:rsidP="00AF4599">
      <w:pPr>
        <w:pStyle w:val="FootnoteText"/>
        <w:jc w:val="left"/>
      </w:pPr>
      <w:r>
        <w:rPr>
          <w:rStyle w:val="FootnoteReference"/>
        </w:rPr>
        <w:footnoteRef/>
      </w:r>
      <w:r>
        <w:t xml:space="preserve"> </w:t>
      </w:r>
      <w:r>
        <w:rPr>
          <w:i/>
        </w:rPr>
        <w:t xml:space="preserve">See </w:t>
      </w:r>
      <w:r>
        <w:t>Reply at 2</w:t>
      </w:r>
      <w:r w:rsidR="007A5CA8">
        <w:t xml:space="preserve"> n</w:t>
      </w:r>
      <w:r w:rsidR="004C66F8">
        <w:t>.</w:t>
      </w:r>
      <w:r w:rsidR="007A5CA8">
        <w:t>2</w:t>
      </w:r>
      <w:r>
        <w:t>.</w:t>
      </w:r>
    </w:p>
  </w:footnote>
  <w:footnote w:id="27">
    <w:p w:rsidR="003916F8" w:rsidRPr="003916F8" w:rsidRDefault="003916F8" w:rsidP="00AF4599">
      <w:pPr>
        <w:pStyle w:val="FootnoteText"/>
        <w:jc w:val="left"/>
      </w:pPr>
      <w:r>
        <w:rPr>
          <w:rStyle w:val="FootnoteReference"/>
        </w:rPr>
        <w:footnoteRef/>
      </w:r>
      <w:r>
        <w:t xml:space="preserve"> </w:t>
      </w:r>
      <w:r>
        <w:rPr>
          <w:i/>
        </w:rPr>
        <w:t xml:space="preserve">See, e.g., </w:t>
      </w:r>
      <w:r w:rsidR="004C66F8" w:rsidRPr="004C66F8">
        <w:rPr>
          <w:i/>
        </w:rPr>
        <w:t>800 MHz Order</w:t>
      </w:r>
      <w:r w:rsidRPr="003916F8">
        <w:t xml:space="preserve">, 26 FCC Rcd </w:t>
      </w:r>
      <w:r w:rsidR="004C66F8">
        <w:t>at</w:t>
      </w:r>
      <w:r w:rsidRPr="003916F8">
        <w:t xml:space="preserve"> </w:t>
      </w:r>
      <w:r w:rsidR="001860A1">
        <w:t>5009 ¶</w:t>
      </w:r>
      <w:r w:rsidR="004C66F8">
        <w:t xml:space="preserve"> </w:t>
      </w:r>
      <w:r w:rsidR="001860A1">
        <w:t>17</w:t>
      </w:r>
      <w:r>
        <w:t>.</w:t>
      </w:r>
      <w:r w:rsidR="00892F8E">
        <w:t xml:space="preserve">  In addition, as the Commission has noted, “a party cannot evade the procedural requirements of Section 1.106 by concurrently requesting the same relief under Section 1.41.”  </w:t>
      </w:r>
      <w:r w:rsidR="00892F8E">
        <w:rPr>
          <w:i/>
        </w:rPr>
        <w:t xml:space="preserve">See </w:t>
      </w:r>
      <w:r w:rsidR="00892F8E">
        <w:t xml:space="preserve">Motorola, Inc., </w:t>
      </w:r>
      <w:r w:rsidR="00892F8E">
        <w:rPr>
          <w:i/>
        </w:rPr>
        <w:t>Memorandum Opinion and Order</w:t>
      </w:r>
      <w:r w:rsidR="00892F8E">
        <w:t xml:space="preserve">, 25 FCC Rcd 455, 456 n.8 (2010) (quoting Motorola, Inc., </w:t>
      </w:r>
      <w:r w:rsidR="00892F8E">
        <w:rPr>
          <w:i/>
        </w:rPr>
        <w:t>Order on Reconsideration</w:t>
      </w:r>
      <w:r w:rsidR="00892F8E">
        <w:t xml:space="preserve">, 22 FCC Rcd 18649, 18651 ¶ 7 (WTB MD 2007)).  We see no reason why this </w:t>
      </w:r>
      <w:r w:rsidR="00CE3015">
        <w:t>d</w:t>
      </w:r>
      <w:r w:rsidR="00892F8E">
        <w:t>o</w:t>
      </w:r>
      <w:r w:rsidR="00CE3015">
        <w:t>es</w:t>
      </w:r>
      <w:r w:rsidR="00892F8E">
        <w:t xml:space="preserve"> not apply equally to Section 1.939.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3A" w:rsidRDefault="00B821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221" w:rsidRDefault="008A7221">
    <w:pPr>
      <w:pStyle w:val="Header"/>
      <w:tabs>
        <w:tab w:val="clear" w:pos="4320"/>
        <w:tab w:val="clear" w:pos="8640"/>
        <w:tab w:val="center" w:pos="4680"/>
        <w:tab w:val="right" w:pos="9360"/>
      </w:tabs>
      <w:rPr>
        <w:b/>
      </w:rPr>
    </w:pPr>
    <w:r>
      <w:rPr>
        <w:b/>
      </w:rPr>
      <w:tab/>
      <w:t>Federal Communications Commission</w:t>
    </w:r>
    <w:r>
      <w:rPr>
        <w:b/>
      </w:rPr>
      <w:tab/>
      <w:t xml:space="preserve">DA </w:t>
    </w:r>
    <w:r w:rsidR="00264D3A">
      <w:rPr>
        <w:b/>
      </w:rPr>
      <w:t>13-1787</w:t>
    </w:r>
  </w:p>
  <w:p w:rsidR="008A7221" w:rsidRDefault="00264D3A">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8A7221" w:rsidRDefault="008A72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221" w:rsidRDefault="008A7221">
    <w:pPr>
      <w:pStyle w:val="Header"/>
      <w:tabs>
        <w:tab w:val="clear" w:pos="4320"/>
        <w:tab w:val="clear" w:pos="8640"/>
        <w:tab w:val="center" w:pos="4680"/>
        <w:tab w:val="right" w:pos="9360"/>
      </w:tabs>
      <w:rPr>
        <w:b/>
      </w:rPr>
    </w:pPr>
    <w:r>
      <w:rPr>
        <w:b/>
      </w:rPr>
      <w:tab/>
      <w:t>Federal Communications Commission</w:t>
    </w:r>
    <w:r>
      <w:rPr>
        <w:b/>
      </w:rPr>
      <w:tab/>
      <w:t xml:space="preserve">DA </w:t>
    </w:r>
    <w:r w:rsidR="00264D3A">
      <w:rPr>
        <w:b/>
      </w:rPr>
      <w:t>13-1787</w:t>
    </w:r>
  </w:p>
  <w:p w:rsidR="008A7221" w:rsidRDefault="00264D3A">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7654416C"/>
    <w:multiLevelType w:val="multi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19"/>
  </w:num>
  <w:num w:numId="2">
    <w:abstractNumId w:val="21"/>
  </w:num>
  <w:num w:numId="3">
    <w:abstractNumId w:val="3"/>
  </w:num>
  <w:num w:numId="4">
    <w:abstractNumId w:val="15"/>
  </w:num>
  <w:num w:numId="5">
    <w:abstractNumId w:val="4"/>
  </w:num>
  <w:num w:numId="6">
    <w:abstractNumId w:val="18"/>
  </w:num>
  <w:num w:numId="7">
    <w:abstractNumId w:val="12"/>
  </w:num>
  <w:num w:numId="8">
    <w:abstractNumId w:val="5"/>
  </w:num>
  <w:num w:numId="9">
    <w:abstractNumId w:val="17"/>
  </w:num>
  <w:num w:numId="10">
    <w:abstractNumId w:val="10"/>
  </w:num>
  <w:num w:numId="11">
    <w:abstractNumId w:val="9"/>
  </w:num>
  <w:num w:numId="12">
    <w:abstractNumId w:val="6"/>
  </w:num>
  <w:num w:numId="13">
    <w:abstractNumId w:val="11"/>
  </w:num>
  <w:num w:numId="14">
    <w:abstractNumId w:val="16"/>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4"/>
  </w:num>
  <w:num w:numId="22">
    <w:abstractNumId w:val="11"/>
    <w:lvlOverride w:ilvl="0">
      <w:startOverride w:val="1"/>
    </w:lvlOverride>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D8"/>
    <w:rsid w:val="00003382"/>
    <w:rsid w:val="000076A3"/>
    <w:rsid w:val="00010B0A"/>
    <w:rsid w:val="000152FE"/>
    <w:rsid w:val="00034ED6"/>
    <w:rsid w:val="0003608A"/>
    <w:rsid w:val="00037FE5"/>
    <w:rsid w:val="0004307E"/>
    <w:rsid w:val="000454BD"/>
    <w:rsid w:val="00055152"/>
    <w:rsid w:val="000608E4"/>
    <w:rsid w:val="00093E4A"/>
    <w:rsid w:val="000A050E"/>
    <w:rsid w:val="000B198A"/>
    <w:rsid w:val="000B2F98"/>
    <w:rsid w:val="000B73D7"/>
    <w:rsid w:val="000B7698"/>
    <w:rsid w:val="000C303A"/>
    <w:rsid w:val="000C3D76"/>
    <w:rsid w:val="000D2853"/>
    <w:rsid w:val="00103E89"/>
    <w:rsid w:val="00113527"/>
    <w:rsid w:val="00114197"/>
    <w:rsid w:val="00121DD8"/>
    <w:rsid w:val="00123A3E"/>
    <w:rsid w:val="00136024"/>
    <w:rsid w:val="001379A9"/>
    <w:rsid w:val="0014011A"/>
    <w:rsid w:val="00150A92"/>
    <w:rsid w:val="00173150"/>
    <w:rsid w:val="00176E0C"/>
    <w:rsid w:val="00184B50"/>
    <w:rsid w:val="001860A1"/>
    <w:rsid w:val="00187A21"/>
    <w:rsid w:val="0019034B"/>
    <w:rsid w:val="00191CC7"/>
    <w:rsid w:val="001A30D9"/>
    <w:rsid w:val="001A51B4"/>
    <w:rsid w:val="001C1EC3"/>
    <w:rsid w:val="001D5998"/>
    <w:rsid w:val="001F0AF4"/>
    <w:rsid w:val="001F11D9"/>
    <w:rsid w:val="001F27A3"/>
    <w:rsid w:val="001F39F4"/>
    <w:rsid w:val="001F4CAC"/>
    <w:rsid w:val="001F5B24"/>
    <w:rsid w:val="00202987"/>
    <w:rsid w:val="00213CF5"/>
    <w:rsid w:val="0021505E"/>
    <w:rsid w:val="00225899"/>
    <w:rsid w:val="00226F04"/>
    <w:rsid w:val="00231926"/>
    <w:rsid w:val="00232933"/>
    <w:rsid w:val="00235341"/>
    <w:rsid w:val="00242F3A"/>
    <w:rsid w:val="002517BF"/>
    <w:rsid w:val="0026492A"/>
    <w:rsid w:val="00264D3A"/>
    <w:rsid w:val="00265719"/>
    <w:rsid w:val="00277583"/>
    <w:rsid w:val="0028361B"/>
    <w:rsid w:val="00290CC8"/>
    <w:rsid w:val="00292870"/>
    <w:rsid w:val="00292D86"/>
    <w:rsid w:val="002934B5"/>
    <w:rsid w:val="00295002"/>
    <w:rsid w:val="002A045B"/>
    <w:rsid w:val="002A0C43"/>
    <w:rsid w:val="002B05CE"/>
    <w:rsid w:val="002C3E39"/>
    <w:rsid w:val="002D4C52"/>
    <w:rsid w:val="002E1364"/>
    <w:rsid w:val="002E5025"/>
    <w:rsid w:val="002F03D8"/>
    <w:rsid w:val="002F05D1"/>
    <w:rsid w:val="002F77C4"/>
    <w:rsid w:val="002F77ED"/>
    <w:rsid w:val="003031D1"/>
    <w:rsid w:val="00304A8C"/>
    <w:rsid w:val="003157F5"/>
    <w:rsid w:val="00317A79"/>
    <w:rsid w:val="00323D46"/>
    <w:rsid w:val="00324084"/>
    <w:rsid w:val="0032441F"/>
    <w:rsid w:val="0034579B"/>
    <w:rsid w:val="003571D3"/>
    <w:rsid w:val="00361842"/>
    <w:rsid w:val="00365B4D"/>
    <w:rsid w:val="00372E2E"/>
    <w:rsid w:val="003763C7"/>
    <w:rsid w:val="0038677B"/>
    <w:rsid w:val="0039107A"/>
    <w:rsid w:val="003912FA"/>
    <w:rsid w:val="003916F8"/>
    <w:rsid w:val="003A5367"/>
    <w:rsid w:val="003B35B1"/>
    <w:rsid w:val="003C3757"/>
    <w:rsid w:val="003C38F4"/>
    <w:rsid w:val="003C6EEF"/>
    <w:rsid w:val="003D5549"/>
    <w:rsid w:val="003E3643"/>
    <w:rsid w:val="003E6553"/>
    <w:rsid w:val="003F3B04"/>
    <w:rsid w:val="0040789C"/>
    <w:rsid w:val="00416116"/>
    <w:rsid w:val="00421D50"/>
    <w:rsid w:val="00423B03"/>
    <w:rsid w:val="00437956"/>
    <w:rsid w:val="00442C88"/>
    <w:rsid w:val="00442E0D"/>
    <w:rsid w:val="004539F1"/>
    <w:rsid w:val="00470514"/>
    <w:rsid w:val="0047509D"/>
    <w:rsid w:val="004820D2"/>
    <w:rsid w:val="0048276C"/>
    <w:rsid w:val="0049564F"/>
    <w:rsid w:val="004A1579"/>
    <w:rsid w:val="004B424C"/>
    <w:rsid w:val="004C66F8"/>
    <w:rsid w:val="004D74FF"/>
    <w:rsid w:val="004E19CF"/>
    <w:rsid w:val="004F0D47"/>
    <w:rsid w:val="004F1015"/>
    <w:rsid w:val="005057C3"/>
    <w:rsid w:val="005139F4"/>
    <w:rsid w:val="0051456C"/>
    <w:rsid w:val="0051550F"/>
    <w:rsid w:val="005171C6"/>
    <w:rsid w:val="00522C0B"/>
    <w:rsid w:val="00534B98"/>
    <w:rsid w:val="00561B57"/>
    <w:rsid w:val="0056716A"/>
    <w:rsid w:val="00567FF8"/>
    <w:rsid w:val="00571B80"/>
    <w:rsid w:val="005A064C"/>
    <w:rsid w:val="005A3DEA"/>
    <w:rsid w:val="005A4D24"/>
    <w:rsid w:val="005C0992"/>
    <w:rsid w:val="005C641B"/>
    <w:rsid w:val="005E1A7F"/>
    <w:rsid w:val="005F7924"/>
    <w:rsid w:val="0060041F"/>
    <w:rsid w:val="006106DB"/>
    <w:rsid w:val="0061082C"/>
    <w:rsid w:val="00614747"/>
    <w:rsid w:val="0061564F"/>
    <w:rsid w:val="00615C09"/>
    <w:rsid w:val="0062706C"/>
    <w:rsid w:val="006328D9"/>
    <w:rsid w:val="00634A31"/>
    <w:rsid w:val="006373A1"/>
    <w:rsid w:val="006504F6"/>
    <w:rsid w:val="00652366"/>
    <w:rsid w:val="00652D68"/>
    <w:rsid w:val="00661AFF"/>
    <w:rsid w:val="00664BEF"/>
    <w:rsid w:val="00685F5A"/>
    <w:rsid w:val="006A1415"/>
    <w:rsid w:val="006A7FB7"/>
    <w:rsid w:val="006B407C"/>
    <w:rsid w:val="006C4F7D"/>
    <w:rsid w:val="006E357C"/>
    <w:rsid w:val="00701C3E"/>
    <w:rsid w:val="00701E94"/>
    <w:rsid w:val="00703810"/>
    <w:rsid w:val="00704D44"/>
    <w:rsid w:val="00716EEC"/>
    <w:rsid w:val="007173FA"/>
    <w:rsid w:val="00725643"/>
    <w:rsid w:val="007328A3"/>
    <w:rsid w:val="00741480"/>
    <w:rsid w:val="00743412"/>
    <w:rsid w:val="00743EFB"/>
    <w:rsid w:val="00754037"/>
    <w:rsid w:val="00755173"/>
    <w:rsid w:val="007636ED"/>
    <w:rsid w:val="00771E77"/>
    <w:rsid w:val="00776E90"/>
    <w:rsid w:val="00777232"/>
    <w:rsid w:val="00796356"/>
    <w:rsid w:val="007A387B"/>
    <w:rsid w:val="007A5166"/>
    <w:rsid w:val="007A5180"/>
    <w:rsid w:val="007A5CA8"/>
    <w:rsid w:val="007B70EB"/>
    <w:rsid w:val="007C15AA"/>
    <w:rsid w:val="007C36A2"/>
    <w:rsid w:val="007D41D7"/>
    <w:rsid w:val="007D425F"/>
    <w:rsid w:val="007E0FBD"/>
    <w:rsid w:val="007E107E"/>
    <w:rsid w:val="007E34E9"/>
    <w:rsid w:val="007F33B3"/>
    <w:rsid w:val="00816EFA"/>
    <w:rsid w:val="0082040A"/>
    <w:rsid w:val="00827EA9"/>
    <w:rsid w:val="008308FF"/>
    <w:rsid w:val="00835A63"/>
    <w:rsid w:val="00860877"/>
    <w:rsid w:val="00873F21"/>
    <w:rsid w:val="00876DE7"/>
    <w:rsid w:val="00887E4A"/>
    <w:rsid w:val="008921C9"/>
    <w:rsid w:val="00892F8E"/>
    <w:rsid w:val="008964DD"/>
    <w:rsid w:val="008A4C0F"/>
    <w:rsid w:val="008A7221"/>
    <w:rsid w:val="008A74FB"/>
    <w:rsid w:val="008B5984"/>
    <w:rsid w:val="008C310C"/>
    <w:rsid w:val="008D586E"/>
    <w:rsid w:val="0090506F"/>
    <w:rsid w:val="00905933"/>
    <w:rsid w:val="009078C3"/>
    <w:rsid w:val="00907F28"/>
    <w:rsid w:val="00910F0B"/>
    <w:rsid w:val="009119D5"/>
    <w:rsid w:val="00914E24"/>
    <w:rsid w:val="0092378C"/>
    <w:rsid w:val="00930FF9"/>
    <w:rsid w:val="009439E6"/>
    <w:rsid w:val="00953F59"/>
    <w:rsid w:val="00954F4C"/>
    <w:rsid w:val="00963003"/>
    <w:rsid w:val="00965B84"/>
    <w:rsid w:val="009740C2"/>
    <w:rsid w:val="009753B9"/>
    <w:rsid w:val="009802C0"/>
    <w:rsid w:val="009821B2"/>
    <w:rsid w:val="009842D6"/>
    <w:rsid w:val="0099347B"/>
    <w:rsid w:val="00997B01"/>
    <w:rsid w:val="009A02CF"/>
    <w:rsid w:val="009A277A"/>
    <w:rsid w:val="009B0FBD"/>
    <w:rsid w:val="009E1DF3"/>
    <w:rsid w:val="009E3036"/>
    <w:rsid w:val="00A145C0"/>
    <w:rsid w:val="00A20D25"/>
    <w:rsid w:val="00A30F24"/>
    <w:rsid w:val="00A35618"/>
    <w:rsid w:val="00A360A2"/>
    <w:rsid w:val="00A42F93"/>
    <w:rsid w:val="00A5108B"/>
    <w:rsid w:val="00A62759"/>
    <w:rsid w:val="00A704F4"/>
    <w:rsid w:val="00A74B94"/>
    <w:rsid w:val="00A83809"/>
    <w:rsid w:val="00A91C07"/>
    <w:rsid w:val="00AB2E4F"/>
    <w:rsid w:val="00AB6545"/>
    <w:rsid w:val="00AD2740"/>
    <w:rsid w:val="00AD458C"/>
    <w:rsid w:val="00AE1036"/>
    <w:rsid w:val="00AE50D2"/>
    <w:rsid w:val="00AF33E4"/>
    <w:rsid w:val="00AF3B77"/>
    <w:rsid w:val="00AF4599"/>
    <w:rsid w:val="00B171DA"/>
    <w:rsid w:val="00B255C5"/>
    <w:rsid w:val="00B26183"/>
    <w:rsid w:val="00B35245"/>
    <w:rsid w:val="00B439AF"/>
    <w:rsid w:val="00B44A8A"/>
    <w:rsid w:val="00B451F3"/>
    <w:rsid w:val="00B57757"/>
    <w:rsid w:val="00B60795"/>
    <w:rsid w:val="00B676B1"/>
    <w:rsid w:val="00B67DF3"/>
    <w:rsid w:val="00B8213A"/>
    <w:rsid w:val="00B84927"/>
    <w:rsid w:val="00B86D1F"/>
    <w:rsid w:val="00B967F1"/>
    <w:rsid w:val="00B97B93"/>
    <w:rsid w:val="00BA0042"/>
    <w:rsid w:val="00BA392B"/>
    <w:rsid w:val="00BA5917"/>
    <w:rsid w:val="00BB3E23"/>
    <w:rsid w:val="00BC67E3"/>
    <w:rsid w:val="00BD4D22"/>
    <w:rsid w:val="00BE0DCA"/>
    <w:rsid w:val="00BE17EA"/>
    <w:rsid w:val="00BE3428"/>
    <w:rsid w:val="00BF6C7F"/>
    <w:rsid w:val="00BF6C8A"/>
    <w:rsid w:val="00C0322D"/>
    <w:rsid w:val="00C251A3"/>
    <w:rsid w:val="00C26184"/>
    <w:rsid w:val="00C41920"/>
    <w:rsid w:val="00C45B19"/>
    <w:rsid w:val="00C4673D"/>
    <w:rsid w:val="00C50A3D"/>
    <w:rsid w:val="00C53B47"/>
    <w:rsid w:val="00C60522"/>
    <w:rsid w:val="00C64F71"/>
    <w:rsid w:val="00C72FD8"/>
    <w:rsid w:val="00C769DB"/>
    <w:rsid w:val="00C86CCE"/>
    <w:rsid w:val="00C95CDF"/>
    <w:rsid w:val="00CA0A99"/>
    <w:rsid w:val="00CA1413"/>
    <w:rsid w:val="00CC3971"/>
    <w:rsid w:val="00CD5785"/>
    <w:rsid w:val="00CD660F"/>
    <w:rsid w:val="00CD67E4"/>
    <w:rsid w:val="00CE0627"/>
    <w:rsid w:val="00CE3015"/>
    <w:rsid w:val="00CF1C78"/>
    <w:rsid w:val="00D00D5B"/>
    <w:rsid w:val="00D021D9"/>
    <w:rsid w:val="00D0475F"/>
    <w:rsid w:val="00D0539E"/>
    <w:rsid w:val="00D05AD3"/>
    <w:rsid w:val="00D0645B"/>
    <w:rsid w:val="00D2182B"/>
    <w:rsid w:val="00D43A04"/>
    <w:rsid w:val="00D43F90"/>
    <w:rsid w:val="00D505C1"/>
    <w:rsid w:val="00D6765A"/>
    <w:rsid w:val="00D7057E"/>
    <w:rsid w:val="00D70DE6"/>
    <w:rsid w:val="00D75712"/>
    <w:rsid w:val="00D802A2"/>
    <w:rsid w:val="00D805B9"/>
    <w:rsid w:val="00D812CA"/>
    <w:rsid w:val="00D87020"/>
    <w:rsid w:val="00D9236F"/>
    <w:rsid w:val="00D925B6"/>
    <w:rsid w:val="00D92CCB"/>
    <w:rsid w:val="00D97ED8"/>
    <w:rsid w:val="00DA3083"/>
    <w:rsid w:val="00DC1D0D"/>
    <w:rsid w:val="00DC7A94"/>
    <w:rsid w:val="00DE5618"/>
    <w:rsid w:val="00DF0DAD"/>
    <w:rsid w:val="00E01A6C"/>
    <w:rsid w:val="00E10FA2"/>
    <w:rsid w:val="00E1177D"/>
    <w:rsid w:val="00E162DB"/>
    <w:rsid w:val="00E222C2"/>
    <w:rsid w:val="00E32833"/>
    <w:rsid w:val="00E350DF"/>
    <w:rsid w:val="00E4196F"/>
    <w:rsid w:val="00E4600A"/>
    <w:rsid w:val="00E54F0F"/>
    <w:rsid w:val="00E71D00"/>
    <w:rsid w:val="00E71E6E"/>
    <w:rsid w:val="00E85AFD"/>
    <w:rsid w:val="00E93B72"/>
    <w:rsid w:val="00EA2DF4"/>
    <w:rsid w:val="00EA4859"/>
    <w:rsid w:val="00EB2ECB"/>
    <w:rsid w:val="00EB3BB5"/>
    <w:rsid w:val="00EC3082"/>
    <w:rsid w:val="00EC3D42"/>
    <w:rsid w:val="00EE348E"/>
    <w:rsid w:val="00EF6363"/>
    <w:rsid w:val="00EF6965"/>
    <w:rsid w:val="00F00A90"/>
    <w:rsid w:val="00F01AFF"/>
    <w:rsid w:val="00F02249"/>
    <w:rsid w:val="00F05C85"/>
    <w:rsid w:val="00F1048A"/>
    <w:rsid w:val="00F1251C"/>
    <w:rsid w:val="00F16D0A"/>
    <w:rsid w:val="00F22C50"/>
    <w:rsid w:val="00F242F4"/>
    <w:rsid w:val="00F27477"/>
    <w:rsid w:val="00F3351F"/>
    <w:rsid w:val="00F53B32"/>
    <w:rsid w:val="00F54D0D"/>
    <w:rsid w:val="00F70341"/>
    <w:rsid w:val="00F743C5"/>
    <w:rsid w:val="00F84F7E"/>
    <w:rsid w:val="00F86BC3"/>
    <w:rsid w:val="00F9673F"/>
    <w:rsid w:val="00FA1FB0"/>
    <w:rsid w:val="00FB0F63"/>
    <w:rsid w:val="00FB4056"/>
    <w:rsid w:val="00FB5DFD"/>
    <w:rsid w:val="00FB78CB"/>
    <w:rsid w:val="00FC116F"/>
    <w:rsid w:val="00FC5DA1"/>
    <w:rsid w:val="00FD0AF6"/>
    <w:rsid w:val="00FE0B7B"/>
    <w:rsid w:val="00FE2C52"/>
    <w:rsid w:val="00FE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alloonText">
    <w:name w:val="Balloon Text"/>
    <w:basedOn w:val="Normal"/>
    <w:semiHidden/>
    <w:rsid w:val="00E71E6E"/>
    <w:rPr>
      <w:rFonts w:ascii="Tahoma" w:hAnsi="Tahoma" w:cs="Tahoma"/>
      <w:sz w:val="16"/>
      <w:szCs w:val="16"/>
    </w:rPr>
  </w:style>
  <w:style w:type="character" w:customStyle="1" w:styleId="searchterm">
    <w:name w:val="searchterm"/>
    <w:basedOn w:val="DefaultParagraphFont"/>
    <w:rsid w:val="00E10FA2"/>
  </w:style>
  <w:style w:type="character" w:styleId="Hyperlink">
    <w:name w:val="Hyperlink"/>
    <w:rsid w:val="002329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alloonText">
    <w:name w:val="Balloon Text"/>
    <w:basedOn w:val="Normal"/>
    <w:semiHidden/>
    <w:rsid w:val="00E71E6E"/>
    <w:rPr>
      <w:rFonts w:ascii="Tahoma" w:hAnsi="Tahoma" w:cs="Tahoma"/>
      <w:sz w:val="16"/>
      <w:szCs w:val="16"/>
    </w:rPr>
  </w:style>
  <w:style w:type="character" w:customStyle="1" w:styleId="searchterm">
    <w:name w:val="searchterm"/>
    <w:basedOn w:val="DefaultParagraphFont"/>
    <w:rsid w:val="00E10FA2"/>
  </w:style>
  <w:style w:type="character" w:styleId="Hyperlink">
    <w:name w:val="Hyperlink"/>
    <w:rsid w:val="002329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3799">
      <w:bodyDiv w:val="1"/>
      <w:marLeft w:val="0"/>
      <w:marRight w:val="0"/>
      <w:marTop w:val="0"/>
      <w:marBottom w:val="0"/>
      <w:divBdr>
        <w:top w:val="none" w:sz="0" w:space="0" w:color="auto"/>
        <w:left w:val="none" w:sz="0" w:space="0" w:color="auto"/>
        <w:bottom w:val="none" w:sz="0" w:space="0" w:color="auto"/>
        <w:right w:val="none" w:sz="0" w:space="0" w:color="auto"/>
      </w:divBdr>
      <w:divsChild>
        <w:div w:id="1962224320">
          <w:marLeft w:val="0"/>
          <w:marRight w:val="0"/>
          <w:marTop w:val="0"/>
          <w:marBottom w:val="0"/>
          <w:divBdr>
            <w:top w:val="none" w:sz="0" w:space="0" w:color="auto"/>
            <w:left w:val="none" w:sz="0" w:space="0" w:color="auto"/>
            <w:bottom w:val="none" w:sz="0" w:space="0" w:color="auto"/>
            <w:right w:val="none" w:sz="0" w:space="0" w:color="auto"/>
          </w:divBdr>
          <w:divsChild>
            <w:div w:id="747313914">
              <w:marLeft w:val="0"/>
              <w:marRight w:val="0"/>
              <w:marTop w:val="0"/>
              <w:marBottom w:val="0"/>
              <w:divBdr>
                <w:top w:val="none" w:sz="0" w:space="0" w:color="auto"/>
                <w:left w:val="none" w:sz="0" w:space="0" w:color="auto"/>
                <w:bottom w:val="none" w:sz="0" w:space="0" w:color="auto"/>
                <w:right w:val="none" w:sz="0" w:space="0" w:color="auto"/>
              </w:divBdr>
              <w:divsChild>
                <w:div w:id="1401445484">
                  <w:marLeft w:val="0"/>
                  <w:marRight w:val="0"/>
                  <w:marTop w:val="0"/>
                  <w:marBottom w:val="0"/>
                  <w:divBdr>
                    <w:top w:val="none" w:sz="0" w:space="0" w:color="auto"/>
                    <w:left w:val="none" w:sz="0" w:space="0" w:color="auto"/>
                    <w:bottom w:val="none" w:sz="0" w:space="0" w:color="auto"/>
                    <w:right w:val="none" w:sz="0" w:space="0" w:color="auto"/>
                  </w:divBdr>
                  <w:divsChild>
                    <w:div w:id="11784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495394">
      <w:bodyDiv w:val="1"/>
      <w:marLeft w:val="0"/>
      <w:marRight w:val="0"/>
      <w:marTop w:val="0"/>
      <w:marBottom w:val="0"/>
      <w:divBdr>
        <w:top w:val="none" w:sz="0" w:space="0" w:color="auto"/>
        <w:left w:val="none" w:sz="0" w:space="0" w:color="auto"/>
        <w:bottom w:val="none" w:sz="0" w:space="0" w:color="auto"/>
        <w:right w:val="none" w:sz="0" w:space="0" w:color="auto"/>
      </w:divBdr>
      <w:divsChild>
        <w:div w:id="614825463">
          <w:marLeft w:val="0"/>
          <w:marRight w:val="0"/>
          <w:marTop w:val="0"/>
          <w:marBottom w:val="0"/>
          <w:divBdr>
            <w:top w:val="none" w:sz="0" w:space="0" w:color="auto"/>
            <w:left w:val="none" w:sz="0" w:space="0" w:color="auto"/>
            <w:bottom w:val="none" w:sz="0" w:space="0" w:color="auto"/>
            <w:right w:val="none" w:sz="0" w:space="0" w:color="auto"/>
          </w:divBdr>
          <w:divsChild>
            <w:div w:id="1329213171">
              <w:marLeft w:val="0"/>
              <w:marRight w:val="0"/>
              <w:marTop w:val="0"/>
              <w:marBottom w:val="0"/>
              <w:divBdr>
                <w:top w:val="none" w:sz="0" w:space="0" w:color="auto"/>
                <w:left w:val="none" w:sz="0" w:space="0" w:color="auto"/>
                <w:bottom w:val="none" w:sz="0" w:space="0" w:color="auto"/>
                <w:right w:val="none" w:sz="0" w:space="0" w:color="auto"/>
              </w:divBdr>
              <w:divsChild>
                <w:div w:id="533036513">
                  <w:marLeft w:val="0"/>
                  <w:marRight w:val="0"/>
                  <w:marTop w:val="0"/>
                  <w:marBottom w:val="0"/>
                  <w:divBdr>
                    <w:top w:val="none" w:sz="0" w:space="0" w:color="auto"/>
                    <w:left w:val="none" w:sz="0" w:space="0" w:color="auto"/>
                    <w:bottom w:val="single" w:sz="6" w:space="0" w:color="A3A9E4"/>
                    <w:right w:val="none" w:sz="0" w:space="0" w:color="auto"/>
                  </w:divBdr>
                  <w:divsChild>
                    <w:div w:id="1691681796">
                      <w:marLeft w:val="0"/>
                      <w:marRight w:val="0"/>
                      <w:marTop w:val="0"/>
                      <w:marBottom w:val="180"/>
                      <w:divBdr>
                        <w:top w:val="none" w:sz="0" w:space="0" w:color="auto"/>
                        <w:left w:val="none" w:sz="0" w:space="0" w:color="auto"/>
                        <w:bottom w:val="none" w:sz="0" w:space="0" w:color="auto"/>
                        <w:right w:val="none" w:sz="0" w:space="0" w:color="auto"/>
                      </w:divBdr>
                      <w:divsChild>
                        <w:div w:id="2120947860">
                          <w:marLeft w:val="0"/>
                          <w:marRight w:val="0"/>
                          <w:marTop w:val="0"/>
                          <w:marBottom w:val="0"/>
                          <w:divBdr>
                            <w:top w:val="none" w:sz="0" w:space="0" w:color="auto"/>
                            <w:left w:val="none" w:sz="0" w:space="0" w:color="auto"/>
                            <w:bottom w:val="none" w:sz="0" w:space="0" w:color="auto"/>
                            <w:right w:val="none" w:sz="0" w:space="0" w:color="auto"/>
                          </w:divBdr>
                          <w:divsChild>
                            <w:div w:id="15321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480178">
      <w:bodyDiv w:val="1"/>
      <w:marLeft w:val="0"/>
      <w:marRight w:val="0"/>
      <w:marTop w:val="0"/>
      <w:marBottom w:val="0"/>
      <w:divBdr>
        <w:top w:val="none" w:sz="0" w:space="0" w:color="auto"/>
        <w:left w:val="none" w:sz="0" w:space="0" w:color="auto"/>
        <w:bottom w:val="none" w:sz="0" w:space="0" w:color="auto"/>
        <w:right w:val="none" w:sz="0" w:space="0" w:color="auto"/>
      </w:divBdr>
      <w:divsChild>
        <w:div w:id="1305693867">
          <w:marLeft w:val="0"/>
          <w:marRight w:val="0"/>
          <w:marTop w:val="0"/>
          <w:marBottom w:val="0"/>
          <w:divBdr>
            <w:top w:val="none" w:sz="0" w:space="0" w:color="auto"/>
            <w:left w:val="none" w:sz="0" w:space="0" w:color="auto"/>
            <w:bottom w:val="none" w:sz="0" w:space="0" w:color="auto"/>
            <w:right w:val="none" w:sz="0" w:space="0" w:color="auto"/>
          </w:divBdr>
          <w:divsChild>
            <w:div w:id="861557774">
              <w:marLeft w:val="0"/>
              <w:marRight w:val="0"/>
              <w:marTop w:val="0"/>
              <w:marBottom w:val="0"/>
              <w:divBdr>
                <w:top w:val="none" w:sz="0" w:space="0" w:color="auto"/>
                <w:left w:val="none" w:sz="0" w:space="0" w:color="auto"/>
                <w:bottom w:val="none" w:sz="0" w:space="0" w:color="auto"/>
                <w:right w:val="none" w:sz="0" w:space="0" w:color="auto"/>
              </w:divBdr>
              <w:divsChild>
                <w:div w:id="1266881302">
                  <w:marLeft w:val="0"/>
                  <w:marRight w:val="0"/>
                  <w:marTop w:val="0"/>
                  <w:marBottom w:val="0"/>
                  <w:divBdr>
                    <w:top w:val="none" w:sz="0" w:space="0" w:color="auto"/>
                    <w:left w:val="none" w:sz="0" w:space="0" w:color="auto"/>
                    <w:bottom w:val="single" w:sz="6" w:space="0" w:color="A3A9E4"/>
                    <w:right w:val="none" w:sz="0" w:space="0" w:color="auto"/>
                  </w:divBdr>
                  <w:divsChild>
                    <w:div w:id="132213419">
                      <w:marLeft w:val="0"/>
                      <w:marRight w:val="0"/>
                      <w:marTop w:val="0"/>
                      <w:marBottom w:val="180"/>
                      <w:divBdr>
                        <w:top w:val="none" w:sz="0" w:space="0" w:color="auto"/>
                        <w:left w:val="none" w:sz="0" w:space="0" w:color="auto"/>
                        <w:bottom w:val="none" w:sz="0" w:space="0" w:color="auto"/>
                        <w:right w:val="none" w:sz="0" w:space="0" w:color="auto"/>
                      </w:divBdr>
                      <w:divsChild>
                        <w:div w:id="1723212309">
                          <w:marLeft w:val="0"/>
                          <w:marRight w:val="0"/>
                          <w:marTop w:val="0"/>
                          <w:marBottom w:val="0"/>
                          <w:divBdr>
                            <w:top w:val="none" w:sz="0" w:space="0" w:color="auto"/>
                            <w:left w:val="none" w:sz="0" w:space="0" w:color="auto"/>
                            <w:bottom w:val="none" w:sz="0" w:space="0" w:color="auto"/>
                            <w:right w:val="none" w:sz="0" w:space="0" w:color="auto"/>
                          </w:divBdr>
                          <w:divsChild>
                            <w:div w:id="5444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695264">
      <w:bodyDiv w:val="1"/>
      <w:marLeft w:val="0"/>
      <w:marRight w:val="0"/>
      <w:marTop w:val="0"/>
      <w:marBottom w:val="0"/>
      <w:divBdr>
        <w:top w:val="none" w:sz="0" w:space="0" w:color="auto"/>
        <w:left w:val="none" w:sz="0" w:space="0" w:color="auto"/>
        <w:bottom w:val="none" w:sz="0" w:space="0" w:color="auto"/>
        <w:right w:val="none" w:sz="0" w:space="0" w:color="auto"/>
      </w:divBdr>
      <w:divsChild>
        <w:div w:id="843594994">
          <w:marLeft w:val="0"/>
          <w:marRight w:val="0"/>
          <w:marTop w:val="0"/>
          <w:marBottom w:val="0"/>
          <w:divBdr>
            <w:top w:val="none" w:sz="0" w:space="0" w:color="auto"/>
            <w:left w:val="none" w:sz="0" w:space="0" w:color="auto"/>
            <w:bottom w:val="none" w:sz="0" w:space="0" w:color="auto"/>
            <w:right w:val="none" w:sz="0" w:space="0" w:color="auto"/>
          </w:divBdr>
          <w:divsChild>
            <w:div w:id="285624380">
              <w:marLeft w:val="0"/>
              <w:marRight w:val="0"/>
              <w:marTop w:val="0"/>
              <w:marBottom w:val="0"/>
              <w:divBdr>
                <w:top w:val="none" w:sz="0" w:space="0" w:color="auto"/>
                <w:left w:val="none" w:sz="0" w:space="0" w:color="auto"/>
                <w:bottom w:val="none" w:sz="0" w:space="0" w:color="auto"/>
                <w:right w:val="none" w:sz="0" w:space="0" w:color="auto"/>
              </w:divBdr>
              <w:divsChild>
                <w:div w:id="1905868938">
                  <w:marLeft w:val="0"/>
                  <w:marRight w:val="0"/>
                  <w:marTop w:val="0"/>
                  <w:marBottom w:val="0"/>
                  <w:divBdr>
                    <w:top w:val="none" w:sz="0" w:space="0" w:color="auto"/>
                    <w:left w:val="none" w:sz="0" w:space="0" w:color="auto"/>
                    <w:bottom w:val="single" w:sz="6" w:space="0" w:color="A3A9E4"/>
                    <w:right w:val="none" w:sz="0" w:space="0" w:color="auto"/>
                  </w:divBdr>
                  <w:divsChild>
                    <w:div w:id="2087418751">
                      <w:marLeft w:val="0"/>
                      <w:marRight w:val="0"/>
                      <w:marTop w:val="0"/>
                      <w:marBottom w:val="182"/>
                      <w:divBdr>
                        <w:top w:val="none" w:sz="0" w:space="0" w:color="auto"/>
                        <w:left w:val="none" w:sz="0" w:space="0" w:color="auto"/>
                        <w:bottom w:val="none" w:sz="0" w:space="0" w:color="auto"/>
                        <w:right w:val="none" w:sz="0" w:space="0" w:color="auto"/>
                      </w:divBdr>
                      <w:divsChild>
                        <w:div w:id="1199197506">
                          <w:marLeft w:val="0"/>
                          <w:marRight w:val="0"/>
                          <w:marTop w:val="0"/>
                          <w:marBottom w:val="0"/>
                          <w:divBdr>
                            <w:top w:val="none" w:sz="0" w:space="0" w:color="auto"/>
                            <w:left w:val="none" w:sz="0" w:space="0" w:color="auto"/>
                            <w:bottom w:val="none" w:sz="0" w:space="0" w:color="auto"/>
                            <w:right w:val="none" w:sz="0" w:space="0" w:color="auto"/>
                          </w:divBdr>
                          <w:divsChild>
                            <w:div w:id="119619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509819">
      <w:bodyDiv w:val="1"/>
      <w:marLeft w:val="105"/>
      <w:marRight w:val="105"/>
      <w:marTop w:val="0"/>
      <w:marBottom w:val="0"/>
      <w:divBdr>
        <w:top w:val="none" w:sz="0" w:space="0" w:color="auto"/>
        <w:left w:val="none" w:sz="0" w:space="0" w:color="auto"/>
        <w:bottom w:val="none" w:sz="0" w:space="0" w:color="auto"/>
        <w:right w:val="none" w:sz="0" w:space="0" w:color="auto"/>
      </w:divBdr>
      <w:divsChild>
        <w:div w:id="1418208773">
          <w:marLeft w:val="0"/>
          <w:marRight w:val="0"/>
          <w:marTop w:val="0"/>
          <w:marBottom w:val="0"/>
          <w:divBdr>
            <w:top w:val="none" w:sz="0" w:space="0" w:color="auto"/>
            <w:left w:val="none" w:sz="0" w:space="0" w:color="auto"/>
            <w:bottom w:val="none" w:sz="0" w:space="0" w:color="auto"/>
            <w:right w:val="none" w:sz="0" w:space="0" w:color="auto"/>
          </w:divBdr>
          <w:divsChild>
            <w:div w:id="1296565157">
              <w:marLeft w:val="0"/>
              <w:marRight w:val="0"/>
              <w:marTop w:val="0"/>
              <w:marBottom w:val="0"/>
              <w:divBdr>
                <w:top w:val="none" w:sz="0" w:space="0" w:color="auto"/>
                <w:left w:val="none" w:sz="0" w:space="0" w:color="auto"/>
                <w:bottom w:val="none" w:sz="0" w:space="0" w:color="auto"/>
                <w:right w:val="none" w:sz="0" w:space="0" w:color="auto"/>
              </w:divBdr>
              <w:divsChild>
                <w:div w:id="1360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eb2.westlaw.com/find/default.wl?mt=Communications&amp;db=780&amp;rs=WLW12.10&amp;tc=-1&amp;rp=%2ffind%2fdefault.wl&amp;findtype=Y&amp;ordoc=2026358752&amp;serialnum=1984132352&amp;vr=2.0&amp;fn=_top&amp;sv=Split&amp;tf=-1&amp;referencepositiontype=S&amp;pbc=DF51A18B&amp;referenceposition=751&amp;utid=1" TargetMode="External"/><Relationship Id="rId2" Type="http://schemas.openxmlformats.org/officeDocument/2006/relationships/hyperlink" Target="http://web2.westlaw.com/find/default.wl?mt=Communications&amp;db=350&amp;rs=WLW12.10&amp;tc=-1&amp;rp=%2ffind%2fdefault.wl&amp;findtype=Y&amp;ordoc=2026358752&amp;serialnum=1993105064&amp;vr=2.0&amp;fn=_top&amp;sv=Split&amp;tf=-1&amp;referencepositiontype=S&amp;pbc=DF51A18B&amp;referenceposition=908&amp;utid=1" TargetMode="External"/><Relationship Id="rId1" Type="http://schemas.openxmlformats.org/officeDocument/2006/relationships/hyperlink" Target="http://web2.westlaw.com/find/default.wl?mt=Communications&amp;db=506&amp;rs=WLW12.10&amp;tc=-1&amp;rp=%2ffind%2fdefault.wl&amp;findtype=Y&amp;ordoc=2026358752&amp;serialnum=1996143138&amp;vr=2.0&amp;fn=_top&amp;sv=Split&amp;tf=-1&amp;referencepositiontype=S&amp;pbc=DF51A18B&amp;referenceposition=1387&amp;ut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5115</Characters>
  <Application>Microsoft Office Word</Application>
  <DocSecurity>0</DocSecurity>
  <Lines>110</Lines>
  <Paragraphs>39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6068</CharactersWithSpaces>
  <SharedDoc>false</SharedDoc>
  <HyperlinkBase> </HyperlinkBase>
  <HLinks>
    <vt:vector size="18" baseType="variant">
      <vt:variant>
        <vt:i4>3801117</vt:i4>
      </vt:variant>
      <vt:variant>
        <vt:i4>6</vt:i4>
      </vt:variant>
      <vt:variant>
        <vt:i4>0</vt:i4>
      </vt:variant>
      <vt:variant>
        <vt:i4>5</vt:i4>
      </vt:variant>
      <vt:variant>
        <vt:lpwstr>http://web2.westlaw.com/find/default.wl?mt=Communications&amp;db=780&amp;rs=WLW12.10&amp;tc=-1&amp;rp=%2ffind%2fdefault.wl&amp;findtype=Y&amp;ordoc=2026358752&amp;serialnum=1984132352&amp;vr=2.0&amp;fn=_top&amp;sv=Split&amp;tf=-1&amp;referencepositiontype=S&amp;pbc=DF51A18B&amp;referenceposition=751&amp;utid=1</vt:lpwstr>
      </vt:variant>
      <vt:variant>
        <vt:lpwstr/>
      </vt:variant>
      <vt:variant>
        <vt:i4>3932180</vt:i4>
      </vt:variant>
      <vt:variant>
        <vt:i4>3</vt:i4>
      </vt:variant>
      <vt:variant>
        <vt:i4>0</vt:i4>
      </vt:variant>
      <vt:variant>
        <vt:i4>5</vt:i4>
      </vt:variant>
      <vt:variant>
        <vt:lpwstr>http://web2.westlaw.com/find/default.wl?mt=Communications&amp;db=350&amp;rs=WLW12.10&amp;tc=-1&amp;rp=%2ffind%2fdefault.wl&amp;findtype=Y&amp;ordoc=2026358752&amp;serialnum=1993105064&amp;vr=2.0&amp;fn=_top&amp;sv=Split&amp;tf=-1&amp;referencepositiontype=S&amp;pbc=DF51A18B&amp;referenceposition=908&amp;utid=1</vt:lpwstr>
      </vt:variant>
      <vt:variant>
        <vt:lpwstr/>
      </vt:variant>
      <vt:variant>
        <vt:i4>1114174</vt:i4>
      </vt:variant>
      <vt:variant>
        <vt:i4>0</vt:i4>
      </vt:variant>
      <vt:variant>
        <vt:i4>0</vt:i4>
      </vt:variant>
      <vt:variant>
        <vt:i4>5</vt:i4>
      </vt:variant>
      <vt:variant>
        <vt:lpwstr>http://web2.westlaw.com/find/default.wl?mt=Communications&amp;db=506&amp;rs=WLW12.10&amp;tc=-1&amp;rp=%2ffind%2fdefault.wl&amp;findtype=Y&amp;ordoc=2026358752&amp;serialnum=1996143138&amp;vr=2.0&amp;fn=_top&amp;sv=Split&amp;tf=-1&amp;referencepositiontype=S&amp;pbc=DF51A18B&amp;referenceposition=1387&amp;ut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2006-03-23T22:23:00Z</cp:lastPrinted>
  <dcterms:created xsi:type="dcterms:W3CDTF">2013-08-21T16:04:00Z</dcterms:created>
  <dcterms:modified xsi:type="dcterms:W3CDTF">2013-08-21T16:04:00Z</dcterms:modified>
  <cp:category> </cp:category>
  <cp:contentStatus> </cp:contentStatus>
</cp:coreProperties>
</file>