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4DA1" w:rsidRDefault="005A04C6">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14:anchorId="4C3F4313" wp14:editId="31FD1881">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4DA1" w:rsidRDefault="00324DA1">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324DA1" w:rsidRDefault="00324DA1">
                      <w:pPr>
                        <w:tabs>
                          <w:tab w:val="left" w:pos="1440"/>
                          <w:tab w:val="left" w:pos="5040"/>
                        </w:tabs>
                        <w:suppressAutoHyphens/>
                        <w:jc w:val="both"/>
                        <w:rPr>
                          <w:sz w:val="2"/>
                        </w:rPr>
                      </w:pPr>
                    </w:p>
                  </w:txbxContent>
                </v:textbox>
                <w10:wrap anchorx="margin" anchory="page"/>
              </v:rect>
            </w:pict>
          </mc:Fallback>
        </mc:AlternateContent>
      </w:r>
      <w:r w:rsidR="00324DA1">
        <w:rPr>
          <w:spacing w:val="-10"/>
          <w:sz w:val="86"/>
        </w:rPr>
        <w:t>PUBLIC NOTICE</w:t>
      </w:r>
    </w:p>
    <w:p w:rsidR="00324DA1" w:rsidRDefault="00324DA1">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324DA1" w:rsidRDefault="00324DA1">
      <w:pPr>
        <w:tabs>
          <w:tab w:val="left" w:pos="1440"/>
          <w:tab w:val="left" w:pos="5040"/>
        </w:tabs>
        <w:suppressAutoHyphens/>
        <w:spacing w:line="227" w:lineRule="auto"/>
        <w:jc w:val="both"/>
        <w:rPr>
          <w:spacing w:val="-2"/>
          <w:sz w:val="22"/>
        </w:rPr>
      </w:pPr>
      <w:r>
        <w:rPr>
          <w:spacing w:val="-2"/>
          <w:sz w:val="22"/>
        </w:rPr>
        <w:t>445 TWELFTH STREET, S.W.</w:t>
      </w:r>
    </w:p>
    <w:p w:rsidR="00324DA1" w:rsidRDefault="00324DA1">
      <w:pPr>
        <w:tabs>
          <w:tab w:val="right" w:pos="9360"/>
        </w:tabs>
        <w:suppressAutoHyphens/>
        <w:spacing w:line="227" w:lineRule="auto"/>
        <w:jc w:val="both"/>
        <w:rPr>
          <w:b/>
          <w:spacing w:val="-2"/>
          <w:sz w:val="22"/>
        </w:rPr>
      </w:pPr>
      <w:r>
        <w:rPr>
          <w:spacing w:val="-2"/>
          <w:sz w:val="22"/>
        </w:rPr>
        <w:t>WASHINGTON, D.C. 20554</w:t>
      </w:r>
      <w:r>
        <w:rPr>
          <w:b/>
          <w:spacing w:val="-2"/>
          <w:sz w:val="22"/>
        </w:rPr>
        <w:tab/>
        <w:t>DA 1</w:t>
      </w:r>
      <w:r w:rsidR="00D541A6">
        <w:rPr>
          <w:b/>
          <w:spacing w:val="-2"/>
          <w:sz w:val="22"/>
        </w:rPr>
        <w:t>3</w:t>
      </w:r>
      <w:r>
        <w:rPr>
          <w:b/>
          <w:spacing w:val="-2"/>
          <w:sz w:val="22"/>
        </w:rPr>
        <w:t>-</w:t>
      </w:r>
      <w:r w:rsidR="004D5ECA">
        <w:rPr>
          <w:b/>
          <w:spacing w:val="-2"/>
          <w:sz w:val="22"/>
        </w:rPr>
        <w:t>1831</w:t>
      </w:r>
    </w:p>
    <w:p w:rsidR="00324DA1" w:rsidRDefault="005A04C6">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14:anchorId="55A1D638" wp14:editId="3CA3F584">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324DA1" w:rsidRDefault="00324DA1">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324DA1" w:rsidRDefault="00324DA1">
      <w:pPr>
        <w:tabs>
          <w:tab w:val="left" w:pos="-1440"/>
          <w:tab w:val="left" w:pos="-720"/>
        </w:tabs>
        <w:suppressAutoHyphens/>
        <w:spacing w:line="227" w:lineRule="auto"/>
        <w:jc w:val="both"/>
        <w:rPr>
          <w:spacing w:val="-2"/>
          <w:sz w:val="22"/>
          <w:szCs w:val="22"/>
        </w:rPr>
      </w:pPr>
    </w:p>
    <w:p w:rsidR="00324DA1" w:rsidRDefault="00324DA1">
      <w:pPr>
        <w:tabs>
          <w:tab w:val="right" w:pos="9360"/>
        </w:tabs>
        <w:suppressAutoHyphens/>
        <w:spacing w:line="227" w:lineRule="auto"/>
        <w:jc w:val="both"/>
        <w:outlineLvl w:val="0"/>
        <w:rPr>
          <w:b/>
          <w:spacing w:val="-2"/>
          <w:sz w:val="22"/>
          <w:szCs w:val="22"/>
        </w:rPr>
      </w:pPr>
      <w:r>
        <w:rPr>
          <w:b/>
          <w:spacing w:val="-2"/>
          <w:sz w:val="24"/>
          <w:szCs w:val="24"/>
        </w:rPr>
        <w:tab/>
      </w:r>
      <w:r>
        <w:rPr>
          <w:b/>
          <w:spacing w:val="-2"/>
          <w:sz w:val="22"/>
          <w:szCs w:val="22"/>
        </w:rPr>
        <w:t xml:space="preserve">Released:  </w:t>
      </w:r>
      <w:r w:rsidR="0049429E">
        <w:rPr>
          <w:b/>
          <w:spacing w:val="-2"/>
          <w:sz w:val="22"/>
          <w:szCs w:val="22"/>
        </w:rPr>
        <w:t xml:space="preserve">August </w:t>
      </w:r>
      <w:r w:rsidR="00A459AA">
        <w:rPr>
          <w:b/>
          <w:spacing w:val="-2"/>
          <w:sz w:val="22"/>
          <w:szCs w:val="22"/>
        </w:rPr>
        <w:t>2</w:t>
      </w:r>
      <w:r w:rsidR="00EF09D6">
        <w:rPr>
          <w:b/>
          <w:spacing w:val="-2"/>
          <w:sz w:val="22"/>
          <w:szCs w:val="22"/>
        </w:rPr>
        <w:t>8</w:t>
      </w:r>
      <w:r w:rsidR="0049429E">
        <w:rPr>
          <w:b/>
          <w:spacing w:val="-2"/>
          <w:sz w:val="22"/>
          <w:szCs w:val="22"/>
        </w:rPr>
        <w:t>, 2013</w:t>
      </w:r>
    </w:p>
    <w:p w:rsidR="00324DA1" w:rsidRDefault="00324DA1">
      <w:pPr>
        <w:tabs>
          <w:tab w:val="right" w:pos="9360"/>
        </w:tabs>
        <w:suppressAutoHyphens/>
        <w:spacing w:line="227" w:lineRule="auto"/>
        <w:jc w:val="both"/>
        <w:outlineLvl w:val="0"/>
        <w:rPr>
          <w:b/>
          <w:spacing w:val="-2"/>
          <w:sz w:val="22"/>
          <w:szCs w:val="22"/>
        </w:rPr>
      </w:pPr>
    </w:p>
    <w:p w:rsidR="00324DA1" w:rsidRDefault="009257ED">
      <w:pPr>
        <w:pStyle w:val="BodyText"/>
        <w:spacing w:after="0"/>
        <w:jc w:val="center"/>
        <w:rPr>
          <w:b/>
        </w:rPr>
      </w:pPr>
      <w:r>
        <w:rPr>
          <w:b/>
          <w:szCs w:val="22"/>
          <w:lang w:val="en-US"/>
        </w:rPr>
        <w:t>AT&amp;T INC.</w:t>
      </w:r>
      <w:r w:rsidR="00324DA1">
        <w:rPr>
          <w:b/>
          <w:szCs w:val="22"/>
        </w:rPr>
        <w:t>,</w:t>
      </w:r>
      <w:r>
        <w:rPr>
          <w:b/>
          <w:szCs w:val="22"/>
          <w:lang w:val="en-US"/>
        </w:rPr>
        <w:t xml:space="preserve"> LEAP WIRELESS INTERNATIONAL, INC., CRICKET LICENSE COMPANY, LLC</w:t>
      </w:r>
      <w:r w:rsidR="0049429E">
        <w:rPr>
          <w:b/>
          <w:szCs w:val="22"/>
          <w:lang w:val="en-US"/>
        </w:rPr>
        <w:t xml:space="preserve">, AND LEAP LICENSECO, INC. SEEK CONSENT </w:t>
      </w:r>
      <w:r w:rsidR="00324DA1">
        <w:rPr>
          <w:b/>
          <w:szCs w:val="22"/>
        </w:rPr>
        <w:t xml:space="preserve">TO THE </w:t>
      </w:r>
      <w:r w:rsidR="00324DA1">
        <w:rPr>
          <w:b/>
        </w:rPr>
        <w:t xml:space="preserve">TRANSFER OF CONTROL OF </w:t>
      </w:r>
      <w:r w:rsidR="0049429E">
        <w:rPr>
          <w:b/>
          <w:lang w:val="en-US"/>
        </w:rPr>
        <w:t xml:space="preserve">AWS-1 LICENSES, </w:t>
      </w:r>
      <w:r w:rsidR="00324DA1">
        <w:rPr>
          <w:b/>
        </w:rPr>
        <w:t>PCS</w:t>
      </w:r>
      <w:r w:rsidR="00324DA1">
        <w:rPr>
          <w:b/>
          <w:lang w:val="en-US"/>
        </w:rPr>
        <w:t xml:space="preserve"> LICENSES</w:t>
      </w:r>
      <w:r w:rsidR="00E525C5">
        <w:rPr>
          <w:b/>
          <w:lang w:val="en-US"/>
        </w:rPr>
        <w:t>,</w:t>
      </w:r>
      <w:r w:rsidR="00324DA1">
        <w:rPr>
          <w:b/>
          <w:lang w:val="en-US"/>
        </w:rPr>
        <w:t xml:space="preserve"> AND </w:t>
      </w:r>
      <w:r w:rsidR="0049429E">
        <w:rPr>
          <w:b/>
          <w:lang w:val="en-US"/>
        </w:rPr>
        <w:t xml:space="preserve">COMMON CARRIER FIXED POINT TO POINT MICROWAVE </w:t>
      </w:r>
      <w:r w:rsidR="00324DA1">
        <w:rPr>
          <w:b/>
        </w:rPr>
        <w:t>LICENSES</w:t>
      </w:r>
      <w:r w:rsidR="00324DA1">
        <w:rPr>
          <w:b/>
          <w:lang w:val="en-US"/>
        </w:rPr>
        <w:t xml:space="preserve">, </w:t>
      </w:r>
      <w:r w:rsidR="00324DA1">
        <w:rPr>
          <w:b/>
        </w:rPr>
        <w:t xml:space="preserve">AND </w:t>
      </w:r>
      <w:r w:rsidR="00324DA1">
        <w:rPr>
          <w:b/>
          <w:lang w:val="en-US"/>
        </w:rPr>
        <w:t xml:space="preserve">INTERNATIONAL 214 </w:t>
      </w:r>
      <w:r w:rsidR="00324DA1">
        <w:rPr>
          <w:b/>
        </w:rPr>
        <w:t>AUTHORIZATIONS</w:t>
      </w:r>
      <w:r w:rsidR="0049429E">
        <w:rPr>
          <w:b/>
          <w:lang w:val="en-US"/>
        </w:rPr>
        <w:t>, AND THE ASSIGNMENT OF ONE 700 MHZ LICENSE</w:t>
      </w:r>
    </w:p>
    <w:p w:rsidR="00324DA1" w:rsidRDefault="00324DA1">
      <w:pPr>
        <w:jc w:val="center"/>
        <w:rPr>
          <w:b/>
          <w:sz w:val="22"/>
          <w:szCs w:val="22"/>
        </w:rPr>
      </w:pPr>
    </w:p>
    <w:p w:rsidR="00324DA1" w:rsidRDefault="00324DA1">
      <w:pPr>
        <w:jc w:val="center"/>
        <w:rPr>
          <w:b/>
          <w:sz w:val="22"/>
          <w:szCs w:val="22"/>
        </w:rPr>
      </w:pPr>
      <w:r>
        <w:rPr>
          <w:b/>
          <w:sz w:val="22"/>
          <w:szCs w:val="22"/>
        </w:rPr>
        <w:t>WT Docket No. 1</w:t>
      </w:r>
      <w:r w:rsidR="00D541A6">
        <w:rPr>
          <w:b/>
          <w:sz w:val="22"/>
          <w:szCs w:val="22"/>
        </w:rPr>
        <w:t>3</w:t>
      </w:r>
      <w:r>
        <w:rPr>
          <w:b/>
          <w:sz w:val="22"/>
          <w:szCs w:val="22"/>
        </w:rPr>
        <w:t>-</w:t>
      </w:r>
      <w:r w:rsidR="00D541A6">
        <w:rPr>
          <w:b/>
          <w:sz w:val="22"/>
          <w:szCs w:val="22"/>
        </w:rPr>
        <w:t>193</w:t>
      </w:r>
    </w:p>
    <w:p w:rsidR="00324DA1" w:rsidRDefault="00324DA1">
      <w:pPr>
        <w:jc w:val="center"/>
        <w:rPr>
          <w:b/>
          <w:sz w:val="22"/>
          <w:szCs w:val="22"/>
        </w:rPr>
      </w:pPr>
    </w:p>
    <w:p w:rsidR="00324DA1" w:rsidRDefault="00324DA1">
      <w:pPr>
        <w:jc w:val="center"/>
        <w:outlineLvl w:val="0"/>
        <w:rPr>
          <w:b/>
          <w:sz w:val="22"/>
          <w:szCs w:val="22"/>
        </w:rPr>
      </w:pPr>
      <w:r>
        <w:rPr>
          <w:b/>
          <w:sz w:val="22"/>
          <w:szCs w:val="22"/>
        </w:rPr>
        <w:t>PLEADING CYCLE ESTABLISHED</w:t>
      </w:r>
    </w:p>
    <w:p w:rsidR="00324DA1" w:rsidRDefault="00324DA1">
      <w:pPr>
        <w:rPr>
          <w:b/>
          <w:sz w:val="22"/>
          <w:szCs w:val="22"/>
        </w:rPr>
      </w:pPr>
    </w:p>
    <w:p w:rsidR="00324DA1" w:rsidRDefault="00324DA1">
      <w:pPr>
        <w:widowControl/>
        <w:outlineLvl w:val="0"/>
        <w:rPr>
          <w:b/>
          <w:sz w:val="22"/>
          <w:szCs w:val="22"/>
        </w:rPr>
      </w:pPr>
      <w:r>
        <w:rPr>
          <w:b/>
          <w:sz w:val="22"/>
          <w:szCs w:val="22"/>
        </w:rPr>
        <w:t>Petitions to Deny Due:</w:t>
      </w:r>
      <w:r>
        <w:rPr>
          <w:b/>
          <w:sz w:val="22"/>
          <w:szCs w:val="22"/>
        </w:rPr>
        <w:tab/>
      </w:r>
      <w:r>
        <w:rPr>
          <w:b/>
          <w:sz w:val="22"/>
          <w:szCs w:val="22"/>
        </w:rPr>
        <w:tab/>
      </w:r>
      <w:r w:rsidR="00933523">
        <w:rPr>
          <w:b/>
          <w:sz w:val="22"/>
          <w:szCs w:val="22"/>
        </w:rPr>
        <w:t xml:space="preserve">September </w:t>
      </w:r>
      <w:r w:rsidR="00A459AA">
        <w:rPr>
          <w:b/>
          <w:sz w:val="22"/>
          <w:szCs w:val="22"/>
        </w:rPr>
        <w:t>2</w:t>
      </w:r>
      <w:r w:rsidR="00EF09D6">
        <w:rPr>
          <w:b/>
          <w:sz w:val="22"/>
          <w:szCs w:val="22"/>
        </w:rPr>
        <w:t>7</w:t>
      </w:r>
      <w:r>
        <w:rPr>
          <w:b/>
          <w:sz w:val="22"/>
          <w:szCs w:val="22"/>
        </w:rPr>
        <w:t>, 201</w:t>
      </w:r>
      <w:r w:rsidR="00933523">
        <w:rPr>
          <w:b/>
          <w:sz w:val="22"/>
          <w:szCs w:val="22"/>
        </w:rPr>
        <w:t>3</w:t>
      </w:r>
    </w:p>
    <w:p w:rsidR="00324DA1" w:rsidRDefault="00324DA1">
      <w:pPr>
        <w:widowControl/>
        <w:outlineLvl w:val="0"/>
        <w:rPr>
          <w:b/>
          <w:sz w:val="22"/>
          <w:szCs w:val="22"/>
        </w:rPr>
      </w:pPr>
      <w:r>
        <w:rPr>
          <w:b/>
          <w:sz w:val="22"/>
          <w:szCs w:val="22"/>
        </w:rPr>
        <w:t>Oppositions Due:</w:t>
      </w:r>
      <w:r>
        <w:rPr>
          <w:b/>
          <w:sz w:val="22"/>
          <w:szCs w:val="22"/>
        </w:rPr>
        <w:tab/>
      </w:r>
      <w:r>
        <w:rPr>
          <w:b/>
          <w:sz w:val="22"/>
          <w:szCs w:val="22"/>
        </w:rPr>
        <w:tab/>
      </w:r>
      <w:r w:rsidR="00A459AA">
        <w:rPr>
          <w:b/>
          <w:sz w:val="22"/>
          <w:szCs w:val="22"/>
        </w:rPr>
        <w:t>October 7</w:t>
      </w:r>
      <w:r>
        <w:rPr>
          <w:b/>
          <w:sz w:val="22"/>
          <w:szCs w:val="22"/>
        </w:rPr>
        <w:t>, 201</w:t>
      </w:r>
      <w:r w:rsidR="00933523">
        <w:rPr>
          <w:b/>
          <w:sz w:val="22"/>
          <w:szCs w:val="22"/>
        </w:rPr>
        <w:t>3</w:t>
      </w:r>
    </w:p>
    <w:p w:rsidR="00324DA1" w:rsidRDefault="00324DA1">
      <w:pPr>
        <w:widowControl/>
        <w:rPr>
          <w:b/>
          <w:sz w:val="22"/>
          <w:szCs w:val="22"/>
        </w:rPr>
      </w:pPr>
      <w:r>
        <w:rPr>
          <w:b/>
          <w:sz w:val="22"/>
          <w:szCs w:val="22"/>
        </w:rPr>
        <w:t>Replies Due:</w:t>
      </w:r>
      <w:r>
        <w:rPr>
          <w:b/>
          <w:sz w:val="22"/>
          <w:szCs w:val="22"/>
        </w:rPr>
        <w:tab/>
      </w:r>
      <w:r>
        <w:rPr>
          <w:b/>
          <w:sz w:val="22"/>
          <w:szCs w:val="22"/>
        </w:rPr>
        <w:tab/>
      </w:r>
      <w:r>
        <w:rPr>
          <w:b/>
          <w:sz w:val="22"/>
          <w:szCs w:val="22"/>
        </w:rPr>
        <w:tab/>
      </w:r>
      <w:r w:rsidR="00933523">
        <w:rPr>
          <w:b/>
          <w:sz w:val="22"/>
          <w:szCs w:val="22"/>
        </w:rPr>
        <w:t xml:space="preserve">October </w:t>
      </w:r>
      <w:r w:rsidR="00A459AA">
        <w:rPr>
          <w:b/>
          <w:sz w:val="22"/>
          <w:szCs w:val="22"/>
        </w:rPr>
        <w:t>15</w:t>
      </w:r>
      <w:r>
        <w:rPr>
          <w:b/>
          <w:sz w:val="22"/>
          <w:szCs w:val="22"/>
        </w:rPr>
        <w:t>, 201</w:t>
      </w:r>
      <w:r w:rsidR="00933523">
        <w:rPr>
          <w:b/>
          <w:sz w:val="22"/>
          <w:szCs w:val="22"/>
        </w:rPr>
        <w:t>3</w:t>
      </w:r>
    </w:p>
    <w:p w:rsidR="00324DA1" w:rsidRDefault="00324DA1">
      <w:pPr>
        <w:rPr>
          <w:b/>
          <w:sz w:val="22"/>
          <w:szCs w:val="22"/>
        </w:rPr>
      </w:pPr>
    </w:p>
    <w:p w:rsidR="00324DA1" w:rsidRDefault="00324DA1">
      <w:pPr>
        <w:outlineLvl w:val="0"/>
        <w:rPr>
          <w:b/>
          <w:sz w:val="22"/>
          <w:szCs w:val="22"/>
        </w:rPr>
      </w:pPr>
      <w:r>
        <w:rPr>
          <w:b/>
          <w:sz w:val="22"/>
          <w:szCs w:val="22"/>
        </w:rPr>
        <w:t>I.</w:t>
      </w:r>
      <w:r>
        <w:rPr>
          <w:b/>
          <w:sz w:val="22"/>
          <w:szCs w:val="22"/>
        </w:rPr>
        <w:tab/>
        <w:t>INTRODUCTION</w:t>
      </w:r>
    </w:p>
    <w:p w:rsidR="00324DA1" w:rsidRDefault="00324DA1">
      <w:pPr>
        <w:rPr>
          <w:b/>
          <w:sz w:val="22"/>
          <w:szCs w:val="22"/>
        </w:rPr>
      </w:pPr>
      <w:r>
        <w:rPr>
          <w:b/>
          <w:sz w:val="22"/>
          <w:szCs w:val="22"/>
        </w:rPr>
        <w:tab/>
      </w:r>
    </w:p>
    <w:p w:rsidR="00324DA1" w:rsidRDefault="00A32DEA">
      <w:pPr>
        <w:ind w:firstLine="720"/>
        <w:rPr>
          <w:sz w:val="22"/>
          <w:szCs w:val="22"/>
        </w:rPr>
      </w:pPr>
      <w:r>
        <w:rPr>
          <w:sz w:val="22"/>
          <w:szCs w:val="22"/>
        </w:rPr>
        <w:t>AT&amp;T, Inc.</w:t>
      </w:r>
      <w:r w:rsidR="00324DA1">
        <w:rPr>
          <w:sz w:val="22"/>
          <w:szCs w:val="22"/>
        </w:rPr>
        <w:t xml:space="preserve"> (“</w:t>
      </w:r>
      <w:r>
        <w:rPr>
          <w:sz w:val="22"/>
          <w:szCs w:val="22"/>
        </w:rPr>
        <w:t>AT&amp;T</w:t>
      </w:r>
      <w:r w:rsidR="00324DA1">
        <w:rPr>
          <w:sz w:val="22"/>
          <w:szCs w:val="22"/>
        </w:rPr>
        <w:t xml:space="preserve">”), </w:t>
      </w:r>
      <w:r>
        <w:rPr>
          <w:sz w:val="22"/>
          <w:szCs w:val="22"/>
        </w:rPr>
        <w:t>Leap Wireless International</w:t>
      </w:r>
      <w:r w:rsidR="00324DA1">
        <w:rPr>
          <w:sz w:val="22"/>
          <w:szCs w:val="22"/>
        </w:rPr>
        <w:t>, Inc. (“</w:t>
      </w:r>
      <w:r>
        <w:rPr>
          <w:sz w:val="22"/>
          <w:szCs w:val="22"/>
        </w:rPr>
        <w:t>Leap</w:t>
      </w:r>
      <w:r w:rsidR="00324DA1">
        <w:rPr>
          <w:sz w:val="22"/>
          <w:szCs w:val="22"/>
        </w:rPr>
        <w:t>”),</w:t>
      </w:r>
      <w:r>
        <w:rPr>
          <w:sz w:val="22"/>
          <w:szCs w:val="22"/>
        </w:rPr>
        <w:t xml:space="preserve"> Cricket License Company, LLC</w:t>
      </w:r>
      <w:r w:rsidR="00324DA1">
        <w:rPr>
          <w:sz w:val="22"/>
          <w:szCs w:val="22"/>
        </w:rPr>
        <w:t xml:space="preserve"> (“</w:t>
      </w:r>
      <w:r>
        <w:rPr>
          <w:sz w:val="22"/>
          <w:szCs w:val="22"/>
        </w:rPr>
        <w:t>Cricket</w:t>
      </w:r>
      <w:r w:rsidR="00324DA1">
        <w:rPr>
          <w:sz w:val="22"/>
          <w:szCs w:val="22"/>
        </w:rPr>
        <w:t>”</w:t>
      </w:r>
      <w:r>
        <w:rPr>
          <w:sz w:val="22"/>
          <w:szCs w:val="22"/>
        </w:rPr>
        <w:t>), and Leap Licenseco Inc. (“Leap Licenseco”</w:t>
      </w:r>
      <w:r w:rsidR="00324DA1">
        <w:rPr>
          <w:sz w:val="22"/>
          <w:szCs w:val="22"/>
        </w:rPr>
        <w:t xml:space="preserve"> and, together with</w:t>
      </w:r>
      <w:r>
        <w:rPr>
          <w:sz w:val="22"/>
          <w:szCs w:val="22"/>
        </w:rPr>
        <w:t xml:space="preserve"> AT&amp;T, Leap, and Cricket</w:t>
      </w:r>
      <w:r w:rsidR="00324DA1">
        <w:rPr>
          <w:sz w:val="22"/>
          <w:szCs w:val="22"/>
        </w:rPr>
        <w:t>, the “Applicants”) have filed applications pursuant to Sections 214 and 310(d) of the Communications Act of 1934, as amended,</w:t>
      </w:r>
      <w:r w:rsidR="00324DA1">
        <w:rPr>
          <w:rStyle w:val="FootnoteReference"/>
          <w:sz w:val="22"/>
          <w:szCs w:val="22"/>
        </w:rPr>
        <w:footnoteReference w:id="1"/>
      </w:r>
      <w:r w:rsidR="00324DA1">
        <w:rPr>
          <w:sz w:val="22"/>
          <w:szCs w:val="22"/>
        </w:rPr>
        <w:t xml:space="preserve"> seeking Commission consent to the transfer of control of </w:t>
      </w:r>
      <w:r>
        <w:rPr>
          <w:sz w:val="22"/>
          <w:szCs w:val="22"/>
        </w:rPr>
        <w:t xml:space="preserve">Advanced Wireless Services (“AWS-1”), </w:t>
      </w:r>
      <w:r w:rsidR="00324DA1">
        <w:rPr>
          <w:sz w:val="22"/>
          <w:szCs w:val="22"/>
        </w:rPr>
        <w:t>Personal Communications Service (“PCS”)</w:t>
      </w:r>
      <w:r>
        <w:rPr>
          <w:sz w:val="22"/>
          <w:szCs w:val="22"/>
        </w:rPr>
        <w:t>, and Common Carrier Fixed Point to Point</w:t>
      </w:r>
      <w:r w:rsidR="00324DA1">
        <w:rPr>
          <w:sz w:val="22"/>
          <w:szCs w:val="22"/>
        </w:rPr>
        <w:t xml:space="preserve"> </w:t>
      </w:r>
      <w:r w:rsidR="00410893">
        <w:rPr>
          <w:sz w:val="22"/>
          <w:szCs w:val="22"/>
        </w:rPr>
        <w:t xml:space="preserve">microwave </w:t>
      </w:r>
      <w:r w:rsidR="00324DA1">
        <w:rPr>
          <w:sz w:val="22"/>
          <w:szCs w:val="22"/>
        </w:rPr>
        <w:t xml:space="preserve">licenses, as well as international 214 authorizations, held by </w:t>
      </w:r>
      <w:r>
        <w:rPr>
          <w:sz w:val="22"/>
          <w:szCs w:val="22"/>
        </w:rPr>
        <w:t xml:space="preserve">Cricket </w:t>
      </w:r>
      <w:r w:rsidR="00324DA1">
        <w:rPr>
          <w:sz w:val="22"/>
          <w:szCs w:val="22"/>
        </w:rPr>
        <w:t xml:space="preserve">and </w:t>
      </w:r>
      <w:r>
        <w:rPr>
          <w:sz w:val="22"/>
          <w:szCs w:val="22"/>
        </w:rPr>
        <w:t xml:space="preserve">other </w:t>
      </w:r>
      <w:r w:rsidR="00324DA1">
        <w:rPr>
          <w:sz w:val="22"/>
          <w:szCs w:val="22"/>
        </w:rPr>
        <w:t xml:space="preserve">wholly-owned and controlled subsidiaries </w:t>
      </w:r>
      <w:r>
        <w:rPr>
          <w:sz w:val="22"/>
          <w:szCs w:val="22"/>
        </w:rPr>
        <w:t>of Leap</w:t>
      </w:r>
      <w:r w:rsidR="008C6141">
        <w:rPr>
          <w:sz w:val="22"/>
          <w:szCs w:val="22"/>
        </w:rPr>
        <w:t xml:space="preserve"> (collectively, the “Applications”)</w:t>
      </w:r>
      <w:r>
        <w:rPr>
          <w:sz w:val="22"/>
          <w:szCs w:val="22"/>
        </w:rPr>
        <w:t xml:space="preserve">.  </w:t>
      </w:r>
      <w:r w:rsidR="006E1333">
        <w:rPr>
          <w:sz w:val="22"/>
          <w:szCs w:val="22"/>
        </w:rPr>
        <w:t xml:space="preserve">In addition, as described further below, </w:t>
      </w:r>
      <w:r>
        <w:rPr>
          <w:sz w:val="22"/>
          <w:szCs w:val="22"/>
        </w:rPr>
        <w:t xml:space="preserve">Cricket and Leap Licenseco also seek </w:t>
      </w:r>
      <w:r w:rsidR="00410CDE">
        <w:rPr>
          <w:sz w:val="22"/>
          <w:szCs w:val="22"/>
        </w:rPr>
        <w:t xml:space="preserve">consent to the assignment of a </w:t>
      </w:r>
      <w:r w:rsidR="00B93ADC">
        <w:rPr>
          <w:sz w:val="22"/>
          <w:szCs w:val="22"/>
        </w:rPr>
        <w:t xml:space="preserve">Lower </w:t>
      </w:r>
      <w:r w:rsidR="00410CDE">
        <w:rPr>
          <w:sz w:val="22"/>
          <w:szCs w:val="22"/>
        </w:rPr>
        <w:t xml:space="preserve">700 MHz </w:t>
      </w:r>
      <w:r w:rsidR="00B93ADC">
        <w:rPr>
          <w:sz w:val="22"/>
          <w:szCs w:val="22"/>
        </w:rPr>
        <w:t xml:space="preserve">A Block </w:t>
      </w:r>
      <w:r w:rsidR="00410CDE">
        <w:rPr>
          <w:sz w:val="22"/>
          <w:szCs w:val="22"/>
        </w:rPr>
        <w:t>license from Cricket to Leap Licenseco.</w:t>
      </w:r>
      <w:r w:rsidR="00324DA1">
        <w:rPr>
          <w:sz w:val="22"/>
          <w:szCs w:val="22"/>
        </w:rPr>
        <w:t xml:space="preserve">  </w:t>
      </w:r>
    </w:p>
    <w:p w:rsidR="00324DA1" w:rsidRDefault="00324DA1">
      <w:pPr>
        <w:ind w:firstLine="720"/>
        <w:rPr>
          <w:sz w:val="22"/>
          <w:szCs w:val="22"/>
        </w:rPr>
      </w:pPr>
    </w:p>
    <w:p w:rsidR="00324DA1" w:rsidRDefault="006E1333" w:rsidP="00410CDE">
      <w:pPr>
        <w:ind w:firstLine="720"/>
        <w:rPr>
          <w:sz w:val="22"/>
          <w:szCs w:val="22"/>
        </w:rPr>
      </w:pPr>
      <w:r>
        <w:rPr>
          <w:sz w:val="22"/>
          <w:szCs w:val="22"/>
        </w:rPr>
        <w:t xml:space="preserve">The Applications are part of </w:t>
      </w:r>
      <w:r w:rsidR="00410CDE" w:rsidRPr="00410CDE">
        <w:rPr>
          <w:sz w:val="22"/>
          <w:szCs w:val="22"/>
        </w:rPr>
        <w:t>AT&amp;T</w:t>
      </w:r>
      <w:r>
        <w:rPr>
          <w:sz w:val="22"/>
          <w:szCs w:val="22"/>
        </w:rPr>
        <w:t>’s</w:t>
      </w:r>
      <w:r w:rsidR="00410CDE" w:rsidRPr="00410CDE">
        <w:rPr>
          <w:sz w:val="22"/>
          <w:szCs w:val="22"/>
        </w:rPr>
        <w:t xml:space="preserve"> </w:t>
      </w:r>
      <w:r>
        <w:rPr>
          <w:sz w:val="22"/>
          <w:szCs w:val="22"/>
        </w:rPr>
        <w:t xml:space="preserve">agreement </w:t>
      </w:r>
      <w:r w:rsidR="00410CDE" w:rsidRPr="00410CDE">
        <w:rPr>
          <w:sz w:val="22"/>
          <w:szCs w:val="22"/>
        </w:rPr>
        <w:t>to acquire Leap in an all-cash transaction</w:t>
      </w:r>
      <w:r w:rsidR="00D269F0">
        <w:rPr>
          <w:sz w:val="22"/>
          <w:szCs w:val="22"/>
        </w:rPr>
        <w:t>,</w:t>
      </w:r>
      <w:r w:rsidR="00353C0B">
        <w:rPr>
          <w:rStyle w:val="FootnoteReference"/>
          <w:szCs w:val="22"/>
        </w:rPr>
        <w:footnoteReference w:id="2"/>
      </w:r>
      <w:r w:rsidR="00D269F0">
        <w:rPr>
          <w:sz w:val="22"/>
          <w:szCs w:val="22"/>
        </w:rPr>
        <w:t xml:space="preserve"> and to acquire all of Leap’s outstanding indebtedness</w:t>
      </w:r>
      <w:r w:rsidR="00410CDE" w:rsidRPr="00410CDE">
        <w:rPr>
          <w:sz w:val="22"/>
          <w:szCs w:val="22"/>
        </w:rPr>
        <w:t xml:space="preserve">. </w:t>
      </w:r>
      <w:r w:rsidR="00410CDE">
        <w:rPr>
          <w:sz w:val="22"/>
          <w:szCs w:val="22"/>
        </w:rPr>
        <w:t xml:space="preserve"> </w:t>
      </w:r>
      <w:r w:rsidR="00410CDE" w:rsidRPr="00410CDE">
        <w:rPr>
          <w:sz w:val="22"/>
          <w:szCs w:val="22"/>
        </w:rPr>
        <w:t>Leap will become a wholly</w:t>
      </w:r>
      <w:r w:rsidR="00410CDE">
        <w:rPr>
          <w:sz w:val="22"/>
          <w:szCs w:val="22"/>
        </w:rPr>
        <w:t>-</w:t>
      </w:r>
      <w:r w:rsidR="00410CDE" w:rsidRPr="00410CDE">
        <w:rPr>
          <w:sz w:val="22"/>
          <w:szCs w:val="22"/>
        </w:rPr>
        <w:t>owned</w:t>
      </w:r>
      <w:r w:rsidR="00410CDE">
        <w:rPr>
          <w:sz w:val="22"/>
          <w:szCs w:val="22"/>
        </w:rPr>
        <w:t xml:space="preserve"> </w:t>
      </w:r>
      <w:r w:rsidR="00410CDE" w:rsidRPr="00410CDE">
        <w:rPr>
          <w:sz w:val="22"/>
          <w:szCs w:val="22"/>
        </w:rPr>
        <w:t>subsidiary of AT&amp;T.</w:t>
      </w:r>
      <w:r>
        <w:rPr>
          <w:sz w:val="22"/>
          <w:szCs w:val="22"/>
        </w:rPr>
        <w:t xml:space="preserve">  As of the end of 2012, AT&amp;T had approximately 107 million </w:t>
      </w:r>
      <w:r w:rsidRPr="007852AA">
        <w:rPr>
          <w:sz w:val="22"/>
          <w:szCs w:val="22"/>
        </w:rPr>
        <w:t>total wireless subscriber</w:t>
      </w:r>
      <w:r>
        <w:rPr>
          <w:sz w:val="22"/>
          <w:szCs w:val="22"/>
        </w:rPr>
        <w:t>s.</w:t>
      </w:r>
      <w:r>
        <w:rPr>
          <w:rStyle w:val="FootnoteReference"/>
          <w:szCs w:val="22"/>
        </w:rPr>
        <w:footnoteReference w:id="3"/>
      </w:r>
      <w:r>
        <w:rPr>
          <w:sz w:val="22"/>
          <w:szCs w:val="22"/>
        </w:rPr>
        <w:t xml:space="preserve">  </w:t>
      </w:r>
      <w:r w:rsidRPr="007852AA">
        <w:rPr>
          <w:sz w:val="22"/>
          <w:szCs w:val="22"/>
        </w:rPr>
        <w:t>As of June 30, 2013, Leap had approximately 4.8 million customers.</w:t>
      </w:r>
    </w:p>
    <w:p w:rsidR="0003013D" w:rsidRDefault="0003013D" w:rsidP="00410CDE">
      <w:pPr>
        <w:ind w:firstLine="720"/>
        <w:rPr>
          <w:sz w:val="22"/>
          <w:szCs w:val="22"/>
        </w:rPr>
      </w:pPr>
    </w:p>
    <w:p w:rsidR="0003013D" w:rsidRDefault="0003013D" w:rsidP="0003013D">
      <w:pPr>
        <w:ind w:firstLine="720"/>
        <w:rPr>
          <w:sz w:val="22"/>
          <w:szCs w:val="22"/>
        </w:rPr>
      </w:pPr>
      <w:r w:rsidRPr="0003013D">
        <w:rPr>
          <w:sz w:val="22"/>
          <w:szCs w:val="22"/>
        </w:rPr>
        <w:t>In addition to cash, Leap’s shareholders will each receive a contingent value right</w:t>
      </w:r>
      <w:r>
        <w:rPr>
          <w:sz w:val="22"/>
          <w:szCs w:val="22"/>
        </w:rPr>
        <w:t xml:space="preserve"> </w:t>
      </w:r>
      <w:r w:rsidRPr="0003013D">
        <w:rPr>
          <w:sz w:val="22"/>
          <w:szCs w:val="22"/>
        </w:rPr>
        <w:t>(“CVR”), which will entitle them to net proceeds received from the sale of Leap’s Lower 700</w:t>
      </w:r>
      <w:r>
        <w:rPr>
          <w:sz w:val="22"/>
          <w:szCs w:val="22"/>
        </w:rPr>
        <w:t xml:space="preserve"> </w:t>
      </w:r>
      <w:r w:rsidRPr="0003013D">
        <w:rPr>
          <w:sz w:val="22"/>
          <w:szCs w:val="22"/>
        </w:rPr>
        <w:t xml:space="preserve">MHz A Block license in Chicago (the “Chicago License”). </w:t>
      </w:r>
      <w:r w:rsidR="003553A2">
        <w:rPr>
          <w:sz w:val="22"/>
          <w:szCs w:val="22"/>
        </w:rPr>
        <w:t xml:space="preserve"> </w:t>
      </w:r>
      <w:r>
        <w:rPr>
          <w:sz w:val="22"/>
          <w:szCs w:val="22"/>
        </w:rPr>
        <w:t>Leap Licenseco</w:t>
      </w:r>
      <w:r w:rsidR="007E274C">
        <w:rPr>
          <w:sz w:val="22"/>
          <w:szCs w:val="22"/>
        </w:rPr>
        <w:t xml:space="preserve">, </w:t>
      </w:r>
      <w:r w:rsidR="007E274C" w:rsidRPr="0003013D">
        <w:rPr>
          <w:sz w:val="22"/>
          <w:szCs w:val="22"/>
        </w:rPr>
        <w:t>a subsidiary of AT&amp;T</w:t>
      </w:r>
      <w:r w:rsidR="007E274C">
        <w:rPr>
          <w:sz w:val="22"/>
          <w:szCs w:val="22"/>
        </w:rPr>
        <w:t>,</w:t>
      </w:r>
      <w:r>
        <w:rPr>
          <w:sz w:val="22"/>
          <w:szCs w:val="22"/>
        </w:rPr>
        <w:t xml:space="preserve"> </w:t>
      </w:r>
      <w:r w:rsidRPr="0003013D">
        <w:rPr>
          <w:sz w:val="22"/>
          <w:szCs w:val="22"/>
        </w:rPr>
        <w:t xml:space="preserve">will become </w:t>
      </w:r>
      <w:r>
        <w:rPr>
          <w:sz w:val="22"/>
          <w:szCs w:val="22"/>
        </w:rPr>
        <w:t>t</w:t>
      </w:r>
      <w:r w:rsidRPr="0003013D">
        <w:rPr>
          <w:sz w:val="22"/>
          <w:szCs w:val="22"/>
        </w:rPr>
        <w:t>he licensee for the Chicago License</w:t>
      </w:r>
      <w:r w:rsidR="00E90B8D">
        <w:rPr>
          <w:sz w:val="22"/>
          <w:szCs w:val="22"/>
        </w:rPr>
        <w:t xml:space="preserve">.  </w:t>
      </w:r>
      <w:r w:rsidR="007E274C">
        <w:rPr>
          <w:sz w:val="22"/>
          <w:szCs w:val="22"/>
        </w:rPr>
        <w:t xml:space="preserve">According to the Applicants, however, Laser, Inc. (“Laser”), a newly </w:t>
      </w:r>
      <w:r w:rsidR="00E90B8D" w:rsidRPr="0003013D">
        <w:rPr>
          <w:sz w:val="22"/>
          <w:szCs w:val="22"/>
        </w:rPr>
        <w:t xml:space="preserve">formed </w:t>
      </w:r>
      <w:r w:rsidR="00E90B8D" w:rsidRPr="0003013D">
        <w:rPr>
          <w:sz w:val="22"/>
          <w:szCs w:val="22"/>
        </w:rPr>
        <w:lastRenderedPageBreak/>
        <w:t>indirect, wholly-owned subsidiary</w:t>
      </w:r>
      <w:r w:rsidR="007E274C">
        <w:rPr>
          <w:sz w:val="22"/>
          <w:szCs w:val="22"/>
        </w:rPr>
        <w:t xml:space="preserve"> of Leap</w:t>
      </w:r>
      <w:r w:rsidR="00E90B8D" w:rsidRPr="0003013D">
        <w:rPr>
          <w:sz w:val="22"/>
          <w:szCs w:val="22"/>
        </w:rPr>
        <w:t xml:space="preserve">, </w:t>
      </w:r>
      <w:r w:rsidR="007E274C">
        <w:rPr>
          <w:sz w:val="22"/>
          <w:szCs w:val="22"/>
        </w:rPr>
        <w:t>wil</w:t>
      </w:r>
      <w:r w:rsidR="005A04C6">
        <w:rPr>
          <w:sz w:val="22"/>
          <w:szCs w:val="22"/>
        </w:rPr>
        <w:t>l</w:t>
      </w:r>
      <w:r w:rsidR="00E90B8D" w:rsidRPr="0003013D">
        <w:rPr>
          <w:sz w:val="22"/>
          <w:szCs w:val="22"/>
        </w:rPr>
        <w:t xml:space="preserve"> serve as the stockholders’ representative</w:t>
      </w:r>
      <w:r w:rsidR="007E274C">
        <w:rPr>
          <w:sz w:val="22"/>
          <w:szCs w:val="22"/>
        </w:rPr>
        <w:t xml:space="preserve"> and </w:t>
      </w:r>
      <w:r w:rsidR="00E90B8D">
        <w:rPr>
          <w:sz w:val="22"/>
          <w:szCs w:val="22"/>
        </w:rPr>
        <w:t xml:space="preserve">will </w:t>
      </w:r>
      <w:r w:rsidRPr="0003013D">
        <w:rPr>
          <w:sz w:val="22"/>
          <w:szCs w:val="22"/>
        </w:rPr>
        <w:t xml:space="preserve">exercise </w:t>
      </w:r>
      <w:r w:rsidRPr="00E90B8D">
        <w:rPr>
          <w:i/>
          <w:sz w:val="22"/>
          <w:szCs w:val="22"/>
        </w:rPr>
        <w:t>de facto</w:t>
      </w:r>
      <w:r w:rsidRPr="0003013D">
        <w:rPr>
          <w:sz w:val="22"/>
          <w:szCs w:val="22"/>
        </w:rPr>
        <w:t xml:space="preserve"> control over the Chicago License. </w:t>
      </w:r>
      <w:r>
        <w:rPr>
          <w:sz w:val="22"/>
          <w:szCs w:val="22"/>
        </w:rPr>
        <w:t xml:space="preserve"> </w:t>
      </w:r>
      <w:r w:rsidRPr="0003013D">
        <w:rPr>
          <w:sz w:val="22"/>
          <w:szCs w:val="22"/>
        </w:rPr>
        <w:t>The stockholders’ representative will have</w:t>
      </w:r>
      <w:r>
        <w:rPr>
          <w:sz w:val="22"/>
          <w:szCs w:val="22"/>
        </w:rPr>
        <w:t xml:space="preserve"> </w:t>
      </w:r>
      <w:r w:rsidRPr="0003013D">
        <w:rPr>
          <w:sz w:val="22"/>
          <w:szCs w:val="22"/>
        </w:rPr>
        <w:t>the power to make all decisions and to act on behalf of and as agent for the CVR holders</w:t>
      </w:r>
      <w:r w:rsidR="007E274C">
        <w:rPr>
          <w:sz w:val="22"/>
          <w:szCs w:val="22"/>
        </w:rPr>
        <w:t>, including the authority</w:t>
      </w:r>
      <w:r>
        <w:rPr>
          <w:sz w:val="22"/>
          <w:szCs w:val="22"/>
        </w:rPr>
        <w:t xml:space="preserve"> </w:t>
      </w:r>
      <w:r w:rsidRPr="0003013D">
        <w:rPr>
          <w:sz w:val="22"/>
          <w:szCs w:val="22"/>
        </w:rPr>
        <w:t xml:space="preserve">to conduct a </w:t>
      </w:r>
      <w:r>
        <w:rPr>
          <w:sz w:val="22"/>
          <w:szCs w:val="22"/>
        </w:rPr>
        <w:t>s</w:t>
      </w:r>
      <w:r w:rsidRPr="0003013D">
        <w:rPr>
          <w:sz w:val="22"/>
          <w:szCs w:val="22"/>
        </w:rPr>
        <w:t>ale process with respect to the Chicago</w:t>
      </w:r>
      <w:r>
        <w:rPr>
          <w:sz w:val="22"/>
          <w:szCs w:val="22"/>
        </w:rPr>
        <w:t xml:space="preserve"> </w:t>
      </w:r>
      <w:r w:rsidRPr="0003013D">
        <w:rPr>
          <w:sz w:val="22"/>
          <w:szCs w:val="22"/>
        </w:rPr>
        <w:t>License for the benefit of the former Leap shareholders.</w:t>
      </w:r>
      <w:r w:rsidR="007E274C">
        <w:rPr>
          <w:rStyle w:val="FootnoteReference"/>
          <w:szCs w:val="22"/>
        </w:rPr>
        <w:footnoteReference w:id="4"/>
      </w:r>
      <w:r w:rsidRPr="0003013D">
        <w:rPr>
          <w:sz w:val="22"/>
          <w:szCs w:val="22"/>
        </w:rPr>
        <w:t xml:space="preserve"> </w:t>
      </w:r>
      <w:r w:rsidR="003553A2">
        <w:rPr>
          <w:sz w:val="22"/>
          <w:szCs w:val="22"/>
        </w:rPr>
        <w:t xml:space="preserve"> </w:t>
      </w:r>
      <w:r w:rsidRPr="0003013D">
        <w:rPr>
          <w:sz w:val="22"/>
          <w:szCs w:val="22"/>
        </w:rPr>
        <w:t>If the stockholders’ representative fails</w:t>
      </w:r>
      <w:r>
        <w:rPr>
          <w:sz w:val="22"/>
          <w:szCs w:val="22"/>
        </w:rPr>
        <w:t xml:space="preserve"> </w:t>
      </w:r>
      <w:r w:rsidRPr="0003013D">
        <w:rPr>
          <w:sz w:val="22"/>
          <w:szCs w:val="22"/>
        </w:rPr>
        <w:t>to enter into an agreement to sell the Chicago License within two years after the closing of the</w:t>
      </w:r>
      <w:r>
        <w:rPr>
          <w:sz w:val="22"/>
          <w:szCs w:val="22"/>
        </w:rPr>
        <w:t xml:space="preserve"> </w:t>
      </w:r>
      <w:r w:rsidRPr="0003013D">
        <w:rPr>
          <w:sz w:val="22"/>
          <w:szCs w:val="22"/>
        </w:rPr>
        <w:t>AT&amp;T/Leap transaction (or if an agreement has been entered into, but the Chicago License has</w:t>
      </w:r>
      <w:r>
        <w:rPr>
          <w:sz w:val="22"/>
          <w:szCs w:val="22"/>
        </w:rPr>
        <w:t xml:space="preserve"> </w:t>
      </w:r>
      <w:r w:rsidRPr="0003013D">
        <w:rPr>
          <w:sz w:val="22"/>
          <w:szCs w:val="22"/>
        </w:rPr>
        <w:t>not been sold by the third anniversary of the closing of the AT&amp;T/Leap transaction), then AT&amp;T</w:t>
      </w:r>
      <w:r>
        <w:rPr>
          <w:sz w:val="22"/>
          <w:szCs w:val="22"/>
        </w:rPr>
        <w:t xml:space="preserve"> </w:t>
      </w:r>
      <w:r w:rsidRPr="0003013D">
        <w:rPr>
          <w:sz w:val="22"/>
          <w:szCs w:val="22"/>
        </w:rPr>
        <w:t>will have the right to sell the license, and the net proceeds will go to the former Leap</w:t>
      </w:r>
      <w:r>
        <w:rPr>
          <w:sz w:val="22"/>
          <w:szCs w:val="22"/>
        </w:rPr>
        <w:t xml:space="preserve"> </w:t>
      </w:r>
      <w:r w:rsidRPr="0003013D">
        <w:rPr>
          <w:sz w:val="22"/>
          <w:szCs w:val="22"/>
        </w:rPr>
        <w:t>shareholders.</w:t>
      </w:r>
    </w:p>
    <w:p w:rsidR="00324DA1" w:rsidRDefault="00324DA1">
      <w:pPr>
        <w:ind w:firstLine="720"/>
        <w:rPr>
          <w:sz w:val="22"/>
          <w:szCs w:val="22"/>
        </w:rPr>
      </w:pPr>
    </w:p>
    <w:p w:rsidR="00324DA1" w:rsidRDefault="00324DA1" w:rsidP="00842246">
      <w:pPr>
        <w:snapToGrid w:val="0"/>
        <w:ind w:firstLine="720"/>
        <w:rPr>
          <w:snapToGrid/>
          <w:sz w:val="22"/>
          <w:szCs w:val="22"/>
        </w:rPr>
      </w:pPr>
      <w:r>
        <w:rPr>
          <w:snapToGrid/>
          <w:sz w:val="22"/>
          <w:szCs w:val="22"/>
        </w:rPr>
        <w:t xml:space="preserve">The Applicants </w:t>
      </w:r>
      <w:r w:rsidR="007E274C">
        <w:rPr>
          <w:snapToGrid/>
          <w:sz w:val="22"/>
          <w:szCs w:val="22"/>
        </w:rPr>
        <w:t xml:space="preserve">assert </w:t>
      </w:r>
      <w:r>
        <w:rPr>
          <w:snapToGrid/>
          <w:sz w:val="22"/>
          <w:szCs w:val="22"/>
        </w:rPr>
        <w:t>that the proposed transaction would combine</w:t>
      </w:r>
      <w:r w:rsidR="00842246" w:rsidRPr="00842246">
        <w:t xml:space="preserve"> </w:t>
      </w:r>
      <w:r w:rsidR="00842246" w:rsidRPr="00842246">
        <w:rPr>
          <w:snapToGrid/>
          <w:sz w:val="22"/>
          <w:szCs w:val="22"/>
        </w:rPr>
        <w:t xml:space="preserve">AT&amp;T’s nationwide network with Leap’s prepaid/no-contract business </w:t>
      </w:r>
      <w:r w:rsidR="00842246">
        <w:rPr>
          <w:snapToGrid/>
          <w:sz w:val="22"/>
          <w:szCs w:val="22"/>
        </w:rPr>
        <w:t xml:space="preserve">to the </w:t>
      </w:r>
      <w:r w:rsidR="00842246" w:rsidRPr="00842246">
        <w:rPr>
          <w:snapToGrid/>
          <w:sz w:val="22"/>
          <w:szCs w:val="22"/>
        </w:rPr>
        <w:t xml:space="preserve">benefit </w:t>
      </w:r>
      <w:r w:rsidR="00842246">
        <w:rPr>
          <w:snapToGrid/>
          <w:sz w:val="22"/>
          <w:szCs w:val="22"/>
        </w:rPr>
        <w:t xml:space="preserve">of </w:t>
      </w:r>
      <w:r w:rsidR="00842246" w:rsidRPr="00842246">
        <w:rPr>
          <w:snapToGrid/>
          <w:sz w:val="22"/>
          <w:szCs w:val="22"/>
        </w:rPr>
        <w:t>consumers seeking a high-quality, competitively-priced prepaid wireless experience</w:t>
      </w:r>
      <w:r>
        <w:rPr>
          <w:snapToGrid/>
          <w:sz w:val="22"/>
          <w:szCs w:val="22"/>
        </w:rPr>
        <w:t xml:space="preserve">.  </w:t>
      </w:r>
      <w:r w:rsidR="005A04C6">
        <w:rPr>
          <w:snapToGrid/>
          <w:sz w:val="22"/>
          <w:szCs w:val="22"/>
        </w:rPr>
        <w:t>Further, according to t</w:t>
      </w:r>
      <w:r>
        <w:rPr>
          <w:snapToGrid/>
          <w:sz w:val="22"/>
          <w:szCs w:val="22"/>
        </w:rPr>
        <w:t>he Applicants</w:t>
      </w:r>
      <w:r w:rsidR="005A04C6">
        <w:rPr>
          <w:snapToGrid/>
          <w:sz w:val="22"/>
          <w:szCs w:val="22"/>
        </w:rPr>
        <w:t xml:space="preserve">, </w:t>
      </w:r>
      <w:r w:rsidR="00842246">
        <w:rPr>
          <w:snapToGrid/>
          <w:sz w:val="22"/>
          <w:szCs w:val="22"/>
        </w:rPr>
        <w:t>t</w:t>
      </w:r>
      <w:r w:rsidR="00842246" w:rsidRPr="00842246">
        <w:rPr>
          <w:snapToGrid/>
          <w:sz w:val="22"/>
          <w:szCs w:val="22"/>
        </w:rPr>
        <w:t>he transaction will result in an improved network experience for customers of both</w:t>
      </w:r>
      <w:r w:rsidR="00842246">
        <w:rPr>
          <w:snapToGrid/>
          <w:sz w:val="22"/>
          <w:szCs w:val="22"/>
        </w:rPr>
        <w:t xml:space="preserve"> </w:t>
      </w:r>
      <w:r w:rsidR="00842246" w:rsidRPr="00842246">
        <w:rPr>
          <w:snapToGrid/>
          <w:sz w:val="22"/>
          <w:szCs w:val="22"/>
        </w:rPr>
        <w:t xml:space="preserve">companies. </w:t>
      </w:r>
      <w:r w:rsidR="00842246">
        <w:rPr>
          <w:snapToGrid/>
          <w:sz w:val="22"/>
          <w:szCs w:val="22"/>
        </w:rPr>
        <w:t xml:space="preserve"> </w:t>
      </w:r>
      <w:r w:rsidR="005A04C6">
        <w:rPr>
          <w:snapToGrid/>
          <w:sz w:val="22"/>
          <w:szCs w:val="22"/>
        </w:rPr>
        <w:t>T</w:t>
      </w:r>
      <w:r w:rsidR="00842246">
        <w:rPr>
          <w:snapToGrid/>
          <w:sz w:val="22"/>
          <w:szCs w:val="22"/>
        </w:rPr>
        <w:t>he Applicants</w:t>
      </w:r>
      <w:r w:rsidR="005A04C6">
        <w:rPr>
          <w:snapToGrid/>
          <w:sz w:val="22"/>
          <w:szCs w:val="22"/>
        </w:rPr>
        <w:t xml:space="preserve"> also contend</w:t>
      </w:r>
      <w:r w:rsidR="00842246">
        <w:rPr>
          <w:snapToGrid/>
          <w:sz w:val="22"/>
          <w:szCs w:val="22"/>
        </w:rPr>
        <w:t xml:space="preserve"> </w:t>
      </w:r>
      <w:r w:rsidR="00842246" w:rsidRPr="00842246">
        <w:rPr>
          <w:snapToGrid/>
          <w:sz w:val="22"/>
          <w:szCs w:val="22"/>
        </w:rPr>
        <w:t>AT&amp;T can make use of Leap’s PCS and AWS</w:t>
      </w:r>
      <w:r w:rsidR="003553A2">
        <w:rPr>
          <w:snapToGrid/>
          <w:sz w:val="22"/>
          <w:szCs w:val="22"/>
        </w:rPr>
        <w:t>-1</w:t>
      </w:r>
      <w:r w:rsidR="00842246" w:rsidRPr="00842246">
        <w:rPr>
          <w:snapToGrid/>
          <w:sz w:val="22"/>
          <w:szCs w:val="22"/>
        </w:rPr>
        <w:t xml:space="preserve"> spectrum more efficiently to enhance</w:t>
      </w:r>
      <w:r w:rsidR="00842246">
        <w:rPr>
          <w:snapToGrid/>
          <w:sz w:val="22"/>
          <w:szCs w:val="22"/>
        </w:rPr>
        <w:t xml:space="preserve"> </w:t>
      </w:r>
      <w:r w:rsidR="00842246" w:rsidRPr="00842246">
        <w:rPr>
          <w:snapToGrid/>
          <w:sz w:val="22"/>
          <w:szCs w:val="22"/>
        </w:rPr>
        <w:t>AT&amp;T’s L</w:t>
      </w:r>
      <w:r w:rsidR="00842246">
        <w:rPr>
          <w:snapToGrid/>
          <w:sz w:val="22"/>
          <w:szCs w:val="22"/>
        </w:rPr>
        <w:t xml:space="preserve">ong </w:t>
      </w:r>
      <w:r w:rsidR="00842246" w:rsidRPr="00842246">
        <w:rPr>
          <w:snapToGrid/>
          <w:sz w:val="22"/>
          <w:szCs w:val="22"/>
        </w:rPr>
        <w:t>T</w:t>
      </w:r>
      <w:r w:rsidR="00842246">
        <w:rPr>
          <w:snapToGrid/>
          <w:sz w:val="22"/>
          <w:szCs w:val="22"/>
        </w:rPr>
        <w:t xml:space="preserve">erm </w:t>
      </w:r>
      <w:r w:rsidR="00842246" w:rsidRPr="00842246">
        <w:rPr>
          <w:snapToGrid/>
          <w:sz w:val="22"/>
          <w:szCs w:val="22"/>
        </w:rPr>
        <w:t>E</w:t>
      </w:r>
      <w:r w:rsidR="00842246">
        <w:rPr>
          <w:snapToGrid/>
          <w:sz w:val="22"/>
          <w:szCs w:val="22"/>
        </w:rPr>
        <w:t>volution</w:t>
      </w:r>
      <w:r w:rsidR="00842246" w:rsidRPr="00842246">
        <w:rPr>
          <w:snapToGrid/>
          <w:sz w:val="22"/>
          <w:szCs w:val="22"/>
        </w:rPr>
        <w:t xml:space="preserve"> deployment</w:t>
      </w:r>
      <w:r w:rsidR="00842246">
        <w:rPr>
          <w:snapToGrid/>
          <w:sz w:val="22"/>
          <w:szCs w:val="22"/>
        </w:rPr>
        <w:t xml:space="preserve">.  The Applicants </w:t>
      </w:r>
      <w:r w:rsidR="005A04C6">
        <w:rPr>
          <w:snapToGrid/>
          <w:sz w:val="22"/>
          <w:szCs w:val="22"/>
        </w:rPr>
        <w:t>contend as well</w:t>
      </w:r>
      <w:r w:rsidR="00842246">
        <w:rPr>
          <w:snapToGrid/>
          <w:sz w:val="22"/>
          <w:szCs w:val="22"/>
        </w:rPr>
        <w:t xml:space="preserve"> that </w:t>
      </w:r>
      <w:r w:rsidR="00842246" w:rsidRPr="00842246">
        <w:rPr>
          <w:snapToGrid/>
          <w:sz w:val="22"/>
          <w:szCs w:val="22"/>
        </w:rPr>
        <w:t xml:space="preserve">the transaction will result in substantial operating synergies </w:t>
      </w:r>
      <w:r w:rsidR="00842246">
        <w:rPr>
          <w:snapToGrid/>
          <w:sz w:val="22"/>
          <w:szCs w:val="22"/>
        </w:rPr>
        <w:t xml:space="preserve">and </w:t>
      </w:r>
      <w:r w:rsidR="00842246" w:rsidRPr="00842246">
        <w:rPr>
          <w:snapToGrid/>
          <w:sz w:val="22"/>
          <w:szCs w:val="22"/>
        </w:rPr>
        <w:t>substantial savings in roaming and resale expenses</w:t>
      </w:r>
      <w:r w:rsidR="00842246">
        <w:rPr>
          <w:snapToGrid/>
          <w:sz w:val="22"/>
          <w:szCs w:val="22"/>
        </w:rPr>
        <w:t xml:space="preserve"> </w:t>
      </w:r>
      <w:r w:rsidR="00842246" w:rsidRPr="00842246">
        <w:rPr>
          <w:snapToGrid/>
          <w:sz w:val="22"/>
          <w:szCs w:val="22"/>
        </w:rPr>
        <w:t>because the combined company will offer a significantly greater on-net footprint and expanded</w:t>
      </w:r>
      <w:r w:rsidR="00842246">
        <w:rPr>
          <w:snapToGrid/>
          <w:sz w:val="22"/>
          <w:szCs w:val="22"/>
        </w:rPr>
        <w:t xml:space="preserve"> </w:t>
      </w:r>
      <w:r w:rsidR="00842246" w:rsidRPr="00842246">
        <w:rPr>
          <w:snapToGrid/>
          <w:sz w:val="22"/>
          <w:szCs w:val="22"/>
        </w:rPr>
        <w:t>coverage compared to Leap’s current network</w:t>
      </w:r>
      <w:r w:rsidR="00842246">
        <w:rPr>
          <w:snapToGrid/>
          <w:sz w:val="22"/>
          <w:szCs w:val="22"/>
        </w:rPr>
        <w:t>.</w:t>
      </w:r>
    </w:p>
    <w:p w:rsidR="00324DA1" w:rsidRDefault="00324DA1">
      <w:pPr>
        <w:ind w:firstLine="720"/>
        <w:rPr>
          <w:sz w:val="22"/>
          <w:szCs w:val="22"/>
        </w:rPr>
      </w:pPr>
      <w:r>
        <w:rPr>
          <w:b/>
          <w:sz w:val="22"/>
          <w:szCs w:val="22"/>
        </w:rPr>
        <w:t xml:space="preserve"> </w:t>
      </w:r>
    </w:p>
    <w:p w:rsidR="00324DA1" w:rsidRDefault="00324DA1">
      <w:pPr>
        <w:pStyle w:val="ParaNum"/>
        <w:numPr>
          <w:ilvl w:val="0"/>
          <w:numId w:val="0"/>
        </w:numPr>
        <w:tabs>
          <w:tab w:val="clear" w:pos="1440"/>
          <w:tab w:val="left" w:pos="720"/>
        </w:tabs>
        <w:rPr>
          <w:szCs w:val="22"/>
        </w:rPr>
      </w:pPr>
      <w:r>
        <w:rPr>
          <w:szCs w:val="22"/>
        </w:rPr>
        <w:tab/>
        <w:t>Preliminary review of the Applications indicates that</w:t>
      </w:r>
      <w:r w:rsidR="008F5CAF">
        <w:rPr>
          <w:szCs w:val="22"/>
        </w:rPr>
        <w:t xml:space="preserve"> </w:t>
      </w:r>
      <w:r w:rsidR="008F5CAF">
        <w:t>AT&amp;T would acquire, through a transfer of control, 10-50 megahertz of spectrum in 1,354 counties in 356 C</w:t>
      </w:r>
      <w:r w:rsidR="000C1D45">
        <w:t xml:space="preserve">ellular </w:t>
      </w:r>
      <w:r w:rsidR="008F5CAF">
        <w:t>M</w:t>
      </w:r>
      <w:r w:rsidR="000C1D45">
        <w:t xml:space="preserve">arket </w:t>
      </w:r>
      <w:r w:rsidR="008F5CAF">
        <w:t>A</w:t>
      </w:r>
      <w:r w:rsidR="000C1D45">
        <w:t>rea</w:t>
      </w:r>
      <w:r w:rsidR="008F5CAF">
        <w:t>s nationwide. </w:t>
      </w:r>
      <w:r w:rsidR="003553A2">
        <w:t xml:space="preserve"> </w:t>
      </w:r>
      <w:r w:rsidR="005A04C6">
        <w:t xml:space="preserve">Also, as described above, </w:t>
      </w:r>
      <w:r w:rsidR="008F5CAF">
        <w:t xml:space="preserve">AT&amp;T would temporarily acquire a Lower 700 MHz </w:t>
      </w:r>
      <w:r w:rsidR="003553A2">
        <w:t xml:space="preserve">A </w:t>
      </w:r>
      <w:r w:rsidR="008F5CAF">
        <w:t>Block license, to be sold for the benefit of the Leap shareholders, in Chicago.</w:t>
      </w:r>
      <w:r w:rsidR="003553A2">
        <w:t xml:space="preserve"> </w:t>
      </w:r>
      <w:r w:rsidR="008F5CAF">
        <w:t xml:space="preserve"> </w:t>
      </w:r>
      <w:r w:rsidR="00DE529C">
        <w:t>Post-transaction, in markets in which there is geographical overlap</w:t>
      </w:r>
      <w:r w:rsidR="005A04C6">
        <w:t>,</w:t>
      </w:r>
      <w:r w:rsidR="00DE529C">
        <w:t xml:space="preserve"> the merged entity would hold 46 to 180 megahertz of spectrum covering approximately </w:t>
      </w:r>
      <w:r w:rsidR="00B4358F">
        <w:t>137</w:t>
      </w:r>
      <w:r w:rsidR="00DE529C">
        <w:t xml:space="preserve"> million people, or </w:t>
      </w:r>
      <w:r w:rsidR="00B4358F">
        <w:t>approximately 44</w:t>
      </w:r>
      <w:r w:rsidR="00DE529C">
        <w:t xml:space="preserve"> percent of the population of the mainland United States.</w:t>
      </w:r>
      <w:r w:rsidR="008F5CAF">
        <w:t xml:space="preserve">  </w:t>
      </w:r>
    </w:p>
    <w:p w:rsidR="00324DA1" w:rsidRDefault="00324DA1" w:rsidP="00854909">
      <w:pPr>
        <w:pStyle w:val="ParaNum"/>
        <w:numPr>
          <w:ilvl w:val="0"/>
          <w:numId w:val="0"/>
        </w:numPr>
        <w:tabs>
          <w:tab w:val="clear" w:pos="1440"/>
          <w:tab w:val="left" w:pos="720"/>
        </w:tabs>
        <w:rPr>
          <w:b/>
          <w:szCs w:val="22"/>
        </w:rPr>
      </w:pPr>
      <w:r>
        <w:rPr>
          <w:rStyle w:val="StyleTimesNewRomanBold11ptBold"/>
          <w:rFonts w:hAnsi="Times New Roman"/>
        </w:rPr>
        <w:t>ii.</w:t>
      </w:r>
      <w:r>
        <w:rPr>
          <w:rStyle w:val="StyleTimesNewRomanBold11ptBold"/>
          <w:rFonts w:hAnsi="Times New Roman"/>
        </w:rPr>
        <w:tab/>
        <w:t>Section 310(</w:t>
      </w:r>
      <w:r>
        <w:rPr>
          <w:rStyle w:val="StyleTimesNewRomanBold11ptBold"/>
          <w:rFonts w:hAnsi="Times New Roman"/>
          <w:caps w:val="0"/>
        </w:rPr>
        <w:t>d</w:t>
      </w:r>
      <w:r>
        <w:rPr>
          <w:b/>
          <w:szCs w:val="22"/>
        </w:rPr>
        <w:t>) APPLICATIONS</w:t>
      </w:r>
    </w:p>
    <w:p w:rsidR="00324DA1" w:rsidRDefault="00324DA1">
      <w:pPr>
        <w:keepNext/>
        <w:rPr>
          <w:rStyle w:val="Normal1"/>
          <w:sz w:val="22"/>
          <w:szCs w:val="22"/>
        </w:rPr>
      </w:pPr>
      <w:r>
        <w:rPr>
          <w:rStyle w:val="StyleTimesNewRomanBold11ptBold"/>
          <w:rFonts w:hAnsi="Times New Roman"/>
        </w:rPr>
        <w:tab/>
      </w:r>
      <w:r>
        <w:rPr>
          <w:rStyle w:val="StyleTimesNewRomanBold11ptBold"/>
          <w:rFonts w:hAnsi="Times New Roman"/>
        </w:rPr>
        <w:tab/>
      </w:r>
    </w:p>
    <w:p w:rsidR="00324DA1" w:rsidRDefault="00324DA1">
      <w:pPr>
        <w:keepNext/>
        <w:ind w:firstLine="720"/>
        <w:rPr>
          <w:sz w:val="22"/>
          <w:szCs w:val="22"/>
        </w:rPr>
      </w:pPr>
      <w:r>
        <w:rPr>
          <w:sz w:val="22"/>
          <w:szCs w:val="22"/>
        </w:rPr>
        <w:t>T</w:t>
      </w:r>
      <w:r>
        <w:rPr>
          <w:rStyle w:val="Normal1"/>
          <w:sz w:val="22"/>
          <w:szCs w:val="22"/>
        </w:rPr>
        <w:t xml:space="preserve">he following applications for consent to the transfer of control of </w:t>
      </w:r>
      <w:r w:rsidR="002E2B52">
        <w:rPr>
          <w:rStyle w:val="Normal1"/>
          <w:sz w:val="22"/>
          <w:szCs w:val="22"/>
        </w:rPr>
        <w:t xml:space="preserve">AWS-1, </w:t>
      </w:r>
      <w:r>
        <w:rPr>
          <w:rStyle w:val="Normal1"/>
          <w:sz w:val="22"/>
          <w:szCs w:val="22"/>
        </w:rPr>
        <w:t>PCS</w:t>
      </w:r>
      <w:r w:rsidR="002E2B52">
        <w:rPr>
          <w:rStyle w:val="Normal1"/>
          <w:sz w:val="22"/>
          <w:szCs w:val="22"/>
        </w:rPr>
        <w:t>, and Common Carrier Fixed Point to Point</w:t>
      </w:r>
      <w:r>
        <w:rPr>
          <w:rStyle w:val="Normal1"/>
          <w:sz w:val="22"/>
          <w:szCs w:val="22"/>
        </w:rPr>
        <w:t xml:space="preserve"> </w:t>
      </w:r>
      <w:r>
        <w:rPr>
          <w:sz w:val="22"/>
          <w:szCs w:val="22"/>
        </w:rPr>
        <w:t>licenses have been assigned the following file numbers:</w:t>
      </w:r>
    </w:p>
    <w:p w:rsidR="00CC313F" w:rsidRDefault="00CC313F">
      <w:pPr>
        <w:keepNext/>
        <w:ind w:firstLine="720"/>
        <w:rPr>
          <w:sz w:val="22"/>
          <w:szCs w:val="22"/>
        </w:rPr>
      </w:pP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28"/>
        <w:gridCol w:w="2342"/>
        <w:gridCol w:w="1892"/>
        <w:gridCol w:w="2428"/>
      </w:tblGrid>
      <w:tr w:rsidR="00CC313F" w:rsidTr="00E7476D">
        <w:trPr>
          <w:cantSplit/>
          <w:trHeight w:val="166"/>
          <w:tblHeader/>
        </w:trPr>
        <w:tc>
          <w:tcPr>
            <w:tcW w:w="1122" w:type="pct"/>
            <w:shd w:val="clear" w:color="C0C0C0" w:fill="auto"/>
          </w:tcPr>
          <w:p w:rsidR="00CC313F" w:rsidRDefault="00CC313F" w:rsidP="00E7476D">
            <w:pPr>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CC313F" w:rsidRDefault="00CC313F" w:rsidP="00E7476D">
            <w:pPr>
              <w:autoSpaceDE w:val="0"/>
              <w:autoSpaceDN w:val="0"/>
              <w:adjustRightInd w:val="0"/>
              <w:rPr>
                <w:b/>
                <w:color w:val="000000"/>
                <w:sz w:val="22"/>
                <w:szCs w:val="22"/>
                <w:u w:val="single"/>
              </w:rPr>
            </w:pPr>
          </w:p>
        </w:tc>
        <w:tc>
          <w:tcPr>
            <w:tcW w:w="1363" w:type="pct"/>
            <w:shd w:val="clear" w:color="C0C0C0" w:fill="auto"/>
          </w:tcPr>
          <w:p w:rsidR="00CC313F" w:rsidRDefault="00CC313F" w:rsidP="00E7476D">
            <w:pPr>
              <w:autoSpaceDE w:val="0"/>
              <w:autoSpaceDN w:val="0"/>
              <w:adjustRightInd w:val="0"/>
              <w:ind w:left="-41"/>
              <w:rPr>
                <w:b/>
                <w:color w:val="000000"/>
                <w:sz w:val="22"/>
                <w:szCs w:val="22"/>
                <w:u w:val="single"/>
              </w:rPr>
            </w:pPr>
            <w:r>
              <w:rPr>
                <w:b/>
                <w:color w:val="000000"/>
                <w:sz w:val="22"/>
                <w:szCs w:val="22"/>
                <w:u w:val="single"/>
              </w:rPr>
              <w:t>Licensee/Lessee</w:t>
            </w:r>
          </w:p>
          <w:p w:rsidR="00CC313F" w:rsidRDefault="00CC313F" w:rsidP="00E7476D">
            <w:pPr>
              <w:autoSpaceDE w:val="0"/>
              <w:autoSpaceDN w:val="0"/>
              <w:adjustRightInd w:val="0"/>
              <w:ind w:left="-41"/>
              <w:rPr>
                <w:b/>
                <w:color w:val="000000"/>
                <w:sz w:val="22"/>
                <w:szCs w:val="22"/>
                <w:u w:val="single"/>
              </w:rPr>
            </w:pPr>
          </w:p>
        </w:tc>
        <w:tc>
          <w:tcPr>
            <w:tcW w:w="1101" w:type="pct"/>
            <w:shd w:val="clear" w:color="C0C0C0" w:fill="auto"/>
          </w:tcPr>
          <w:p w:rsidR="00CC313F" w:rsidRDefault="00CC313F" w:rsidP="00E7476D">
            <w:pPr>
              <w:autoSpaceDE w:val="0"/>
              <w:autoSpaceDN w:val="0"/>
              <w:adjustRightInd w:val="0"/>
              <w:ind w:hanging="40"/>
              <w:rPr>
                <w:b/>
                <w:color w:val="000000"/>
                <w:sz w:val="22"/>
                <w:szCs w:val="22"/>
                <w:u w:val="single"/>
              </w:rPr>
            </w:pPr>
            <w:r>
              <w:rPr>
                <w:b/>
                <w:color w:val="000000"/>
                <w:sz w:val="22"/>
                <w:szCs w:val="22"/>
                <w:u w:val="single"/>
              </w:rPr>
              <w:t>Transferee</w:t>
            </w:r>
          </w:p>
        </w:tc>
        <w:tc>
          <w:tcPr>
            <w:tcW w:w="1413" w:type="pct"/>
            <w:shd w:val="clear" w:color="C0C0C0" w:fill="auto"/>
          </w:tcPr>
          <w:p w:rsidR="00CC313F" w:rsidRDefault="00CC313F" w:rsidP="00E7476D">
            <w:pPr>
              <w:autoSpaceDE w:val="0"/>
              <w:autoSpaceDN w:val="0"/>
              <w:adjustRightInd w:val="0"/>
              <w:ind w:hanging="40"/>
              <w:rPr>
                <w:b/>
                <w:color w:val="000000"/>
                <w:sz w:val="22"/>
                <w:szCs w:val="22"/>
                <w:u w:val="single"/>
              </w:rPr>
            </w:pPr>
            <w:r>
              <w:rPr>
                <w:b/>
                <w:color w:val="000000"/>
                <w:sz w:val="22"/>
                <w:szCs w:val="22"/>
                <w:u w:val="single"/>
              </w:rPr>
              <w:t>Lead Call Sign</w:t>
            </w:r>
          </w:p>
        </w:tc>
      </w:tr>
      <w:tr w:rsidR="00CC313F" w:rsidTr="00E7476D">
        <w:trPr>
          <w:cantSplit/>
          <w:trHeight w:val="152"/>
        </w:trPr>
        <w:tc>
          <w:tcPr>
            <w:tcW w:w="1122" w:type="pct"/>
            <w:shd w:val="clear" w:color="C0C0C0" w:fill="auto"/>
          </w:tcPr>
          <w:p w:rsidR="00CC313F" w:rsidRDefault="00CC313F" w:rsidP="00E7476D">
            <w:pPr>
              <w:tabs>
                <w:tab w:val="left" w:pos="720"/>
              </w:tabs>
              <w:rPr>
                <w:sz w:val="22"/>
                <w:szCs w:val="22"/>
              </w:rPr>
            </w:pPr>
            <w:r w:rsidRPr="002E2B52">
              <w:rPr>
                <w:sz w:val="22"/>
                <w:szCs w:val="18"/>
              </w:rPr>
              <w:t>0005860676</w:t>
            </w:r>
            <w:r>
              <w:rPr>
                <w:sz w:val="22"/>
                <w:szCs w:val="18"/>
              </w:rPr>
              <w:t xml:space="preserve"> (Lead Application) </w:t>
            </w:r>
          </w:p>
        </w:tc>
        <w:tc>
          <w:tcPr>
            <w:tcW w:w="1363" w:type="pct"/>
            <w:shd w:val="clear" w:color="C0C0C0" w:fill="auto"/>
          </w:tcPr>
          <w:p w:rsidR="00CC313F" w:rsidRDefault="00CC313F" w:rsidP="00E7476D">
            <w:pPr>
              <w:ind w:left="-41"/>
              <w:rPr>
                <w:sz w:val="22"/>
                <w:szCs w:val="22"/>
              </w:rPr>
            </w:pPr>
            <w:r w:rsidRPr="002E2B52">
              <w:rPr>
                <w:sz w:val="22"/>
                <w:szCs w:val="22"/>
              </w:rPr>
              <w:t>Cricket License Company, LLC</w:t>
            </w:r>
          </w:p>
        </w:tc>
        <w:tc>
          <w:tcPr>
            <w:tcW w:w="1101" w:type="pct"/>
            <w:shd w:val="clear" w:color="C0C0C0" w:fill="auto"/>
          </w:tcPr>
          <w:p w:rsidR="00CC313F" w:rsidRDefault="00CC313F" w:rsidP="00E7476D">
            <w:pPr>
              <w:ind w:hanging="40"/>
              <w:rPr>
                <w:sz w:val="22"/>
                <w:szCs w:val="22"/>
              </w:rPr>
            </w:pPr>
            <w:r>
              <w:rPr>
                <w:sz w:val="22"/>
                <w:szCs w:val="22"/>
              </w:rPr>
              <w:t>AT&amp;T Inc.</w:t>
            </w:r>
          </w:p>
        </w:tc>
        <w:tc>
          <w:tcPr>
            <w:tcW w:w="1413" w:type="pct"/>
            <w:shd w:val="clear" w:color="C0C0C0" w:fill="auto"/>
          </w:tcPr>
          <w:p w:rsidR="00CC313F" w:rsidRDefault="00CC313F" w:rsidP="00E7476D">
            <w:pPr>
              <w:rPr>
                <w:sz w:val="22"/>
                <w:szCs w:val="22"/>
              </w:rPr>
            </w:pPr>
            <w:r>
              <w:rPr>
                <w:sz w:val="22"/>
                <w:szCs w:val="18"/>
              </w:rPr>
              <w:t>KNLF367</w:t>
            </w:r>
          </w:p>
        </w:tc>
      </w:tr>
      <w:tr w:rsidR="00CC313F" w:rsidTr="00E7476D">
        <w:trPr>
          <w:cantSplit/>
          <w:trHeight w:val="380"/>
        </w:trPr>
        <w:tc>
          <w:tcPr>
            <w:tcW w:w="1122" w:type="pct"/>
            <w:shd w:val="clear" w:color="C0C0C0" w:fill="auto"/>
          </w:tcPr>
          <w:p w:rsidR="00CC313F" w:rsidRDefault="00CC313F" w:rsidP="00E7476D">
            <w:pPr>
              <w:tabs>
                <w:tab w:val="left" w:pos="720"/>
              </w:tabs>
              <w:rPr>
                <w:sz w:val="22"/>
                <w:szCs w:val="18"/>
              </w:rPr>
            </w:pPr>
            <w:r w:rsidRPr="002E2B52">
              <w:rPr>
                <w:sz w:val="22"/>
                <w:szCs w:val="18"/>
              </w:rPr>
              <w:t>0005860985</w:t>
            </w:r>
          </w:p>
          <w:p w:rsidR="00CC313F" w:rsidRDefault="00CC313F" w:rsidP="00E7476D">
            <w:pPr>
              <w:tabs>
                <w:tab w:val="left" w:pos="720"/>
              </w:tabs>
              <w:rPr>
                <w:sz w:val="22"/>
                <w:szCs w:val="22"/>
              </w:rPr>
            </w:pPr>
            <w:r>
              <w:rPr>
                <w:sz w:val="22"/>
                <w:szCs w:val="18"/>
              </w:rPr>
              <w:t> </w:t>
            </w:r>
          </w:p>
        </w:tc>
        <w:tc>
          <w:tcPr>
            <w:tcW w:w="1363" w:type="pct"/>
            <w:shd w:val="clear" w:color="C0C0C0" w:fill="auto"/>
          </w:tcPr>
          <w:p w:rsidR="00CC313F" w:rsidRDefault="00CC313F" w:rsidP="00E7476D">
            <w:pPr>
              <w:ind w:left="-41"/>
              <w:rPr>
                <w:sz w:val="22"/>
                <w:szCs w:val="22"/>
              </w:rPr>
            </w:pPr>
            <w:r w:rsidRPr="002E2B52">
              <w:rPr>
                <w:sz w:val="22"/>
                <w:szCs w:val="22"/>
              </w:rPr>
              <w:t>STX Wireless License, LLC</w:t>
            </w:r>
          </w:p>
        </w:tc>
        <w:tc>
          <w:tcPr>
            <w:tcW w:w="1101" w:type="pct"/>
            <w:shd w:val="clear" w:color="C0C0C0" w:fill="auto"/>
          </w:tcPr>
          <w:p w:rsidR="00CC313F" w:rsidRDefault="00CC313F" w:rsidP="00E7476D">
            <w:pPr>
              <w:ind w:hanging="40"/>
              <w:rPr>
                <w:sz w:val="22"/>
                <w:szCs w:val="22"/>
              </w:rPr>
            </w:pPr>
            <w:r>
              <w:rPr>
                <w:sz w:val="22"/>
                <w:szCs w:val="22"/>
              </w:rPr>
              <w:t>AT&amp;T Inc.</w:t>
            </w:r>
          </w:p>
        </w:tc>
        <w:tc>
          <w:tcPr>
            <w:tcW w:w="1413" w:type="pct"/>
            <w:shd w:val="clear" w:color="C0C0C0" w:fill="auto"/>
          </w:tcPr>
          <w:p w:rsidR="00CC313F" w:rsidRDefault="00CC313F" w:rsidP="00E7476D">
            <w:pPr>
              <w:rPr>
                <w:sz w:val="22"/>
                <w:szCs w:val="22"/>
              </w:rPr>
            </w:pPr>
            <w:r>
              <w:rPr>
                <w:sz w:val="22"/>
                <w:szCs w:val="18"/>
              </w:rPr>
              <w:t>KNLF914</w:t>
            </w:r>
          </w:p>
        </w:tc>
      </w:tr>
      <w:tr w:rsidR="00CC313F" w:rsidTr="00E7476D">
        <w:trPr>
          <w:cantSplit/>
          <w:trHeight w:val="380"/>
        </w:trPr>
        <w:tc>
          <w:tcPr>
            <w:tcW w:w="1122" w:type="pct"/>
            <w:shd w:val="clear" w:color="C0C0C0" w:fill="auto"/>
          </w:tcPr>
          <w:p w:rsidR="00CC313F" w:rsidRDefault="00CC313F" w:rsidP="00E7476D">
            <w:pPr>
              <w:tabs>
                <w:tab w:val="left" w:pos="720"/>
              </w:tabs>
              <w:rPr>
                <w:sz w:val="22"/>
                <w:szCs w:val="22"/>
              </w:rPr>
            </w:pPr>
            <w:r w:rsidRPr="002E2B52">
              <w:rPr>
                <w:sz w:val="22"/>
                <w:szCs w:val="18"/>
              </w:rPr>
              <w:t>0005861153</w:t>
            </w:r>
            <w:r>
              <w:rPr>
                <w:sz w:val="22"/>
                <w:szCs w:val="18"/>
              </w:rPr>
              <w:t> </w:t>
            </w:r>
          </w:p>
        </w:tc>
        <w:tc>
          <w:tcPr>
            <w:tcW w:w="1363" w:type="pct"/>
            <w:shd w:val="clear" w:color="C0C0C0" w:fill="auto"/>
          </w:tcPr>
          <w:p w:rsidR="00CC313F" w:rsidRDefault="00CC313F" w:rsidP="00E7476D">
            <w:pPr>
              <w:ind w:left="-41"/>
              <w:rPr>
                <w:sz w:val="22"/>
                <w:szCs w:val="22"/>
              </w:rPr>
            </w:pPr>
            <w:r w:rsidRPr="002E2B52">
              <w:rPr>
                <w:sz w:val="22"/>
                <w:szCs w:val="22"/>
              </w:rPr>
              <w:t>Cricket License Company, LLC</w:t>
            </w:r>
          </w:p>
        </w:tc>
        <w:tc>
          <w:tcPr>
            <w:tcW w:w="1101" w:type="pct"/>
            <w:shd w:val="clear" w:color="C0C0C0" w:fill="auto"/>
          </w:tcPr>
          <w:p w:rsidR="00CC313F" w:rsidRDefault="00CC313F" w:rsidP="00E7476D">
            <w:pPr>
              <w:ind w:hanging="40"/>
              <w:rPr>
                <w:sz w:val="22"/>
                <w:szCs w:val="22"/>
              </w:rPr>
            </w:pPr>
            <w:r>
              <w:rPr>
                <w:sz w:val="22"/>
                <w:szCs w:val="22"/>
              </w:rPr>
              <w:t>AT&amp;T Inc.</w:t>
            </w:r>
          </w:p>
        </w:tc>
        <w:tc>
          <w:tcPr>
            <w:tcW w:w="1413" w:type="pct"/>
            <w:shd w:val="clear" w:color="C0C0C0" w:fill="auto"/>
          </w:tcPr>
          <w:p w:rsidR="00CC313F" w:rsidRDefault="00CC313F" w:rsidP="00E7476D">
            <w:pPr>
              <w:rPr>
                <w:sz w:val="22"/>
                <w:szCs w:val="22"/>
              </w:rPr>
            </w:pPr>
            <w:r>
              <w:rPr>
                <w:sz w:val="22"/>
                <w:szCs w:val="22"/>
              </w:rPr>
              <w:t>WQDS850</w:t>
            </w:r>
          </w:p>
        </w:tc>
      </w:tr>
    </w:tbl>
    <w:p w:rsidR="00CC313F" w:rsidRDefault="00CC313F">
      <w:pPr>
        <w:keepNext/>
        <w:ind w:firstLine="720"/>
        <w:rPr>
          <w:sz w:val="22"/>
          <w:szCs w:val="22"/>
        </w:rPr>
      </w:pPr>
    </w:p>
    <w:p w:rsidR="00E93345" w:rsidRDefault="00CC313F" w:rsidP="00CC313F">
      <w:pPr>
        <w:keepNext/>
        <w:ind w:firstLine="720"/>
        <w:rPr>
          <w:sz w:val="22"/>
          <w:szCs w:val="22"/>
        </w:rPr>
      </w:pPr>
      <w:r>
        <w:rPr>
          <w:sz w:val="22"/>
          <w:szCs w:val="22"/>
        </w:rPr>
        <w:t xml:space="preserve">The following application for consent to assignment of a 700 MHz </w:t>
      </w:r>
      <w:r w:rsidR="00743179">
        <w:rPr>
          <w:sz w:val="22"/>
          <w:szCs w:val="22"/>
        </w:rPr>
        <w:t xml:space="preserve">A </w:t>
      </w:r>
      <w:r w:rsidR="008F5CAF">
        <w:rPr>
          <w:sz w:val="22"/>
          <w:szCs w:val="22"/>
        </w:rPr>
        <w:t xml:space="preserve">Block </w:t>
      </w:r>
      <w:r>
        <w:rPr>
          <w:sz w:val="22"/>
          <w:szCs w:val="22"/>
        </w:rPr>
        <w:t>license has been assigned the following file number:</w:t>
      </w:r>
    </w:p>
    <w:p w:rsidR="00E93345" w:rsidRDefault="00E93345">
      <w:pPr>
        <w:widowControl/>
        <w:rPr>
          <w:sz w:val="22"/>
          <w:szCs w:val="22"/>
        </w:rPr>
      </w:pPr>
      <w:r>
        <w:rPr>
          <w:sz w:val="22"/>
          <w:szCs w:val="22"/>
        </w:rPr>
        <w:br w:type="page"/>
      </w:r>
    </w:p>
    <w:p w:rsidR="00CC313F" w:rsidRDefault="00CC313F" w:rsidP="00CC313F">
      <w:pPr>
        <w:keepNext/>
        <w:ind w:firstLine="720"/>
        <w:rPr>
          <w:rStyle w:val="Normal1"/>
          <w:sz w:val="22"/>
          <w:szCs w:val="22"/>
        </w:rPr>
      </w:pP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29"/>
        <w:gridCol w:w="2342"/>
        <w:gridCol w:w="1890"/>
        <w:gridCol w:w="2429"/>
      </w:tblGrid>
      <w:tr w:rsidR="00CC313F" w:rsidTr="00CC313F">
        <w:trPr>
          <w:cantSplit/>
          <w:trHeight w:val="166"/>
          <w:tblHeader/>
        </w:trPr>
        <w:tc>
          <w:tcPr>
            <w:tcW w:w="1123" w:type="pct"/>
            <w:shd w:val="clear" w:color="C0C0C0" w:fill="auto"/>
          </w:tcPr>
          <w:p w:rsidR="00CC313F" w:rsidRDefault="00CC313F" w:rsidP="00E7476D">
            <w:pPr>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CC313F" w:rsidRDefault="00CC313F" w:rsidP="00E7476D">
            <w:pPr>
              <w:autoSpaceDE w:val="0"/>
              <w:autoSpaceDN w:val="0"/>
              <w:adjustRightInd w:val="0"/>
              <w:rPr>
                <w:b/>
                <w:color w:val="000000"/>
                <w:sz w:val="22"/>
                <w:szCs w:val="22"/>
                <w:u w:val="single"/>
              </w:rPr>
            </w:pPr>
          </w:p>
        </w:tc>
        <w:tc>
          <w:tcPr>
            <w:tcW w:w="1363" w:type="pct"/>
            <w:shd w:val="clear" w:color="C0C0C0" w:fill="auto"/>
          </w:tcPr>
          <w:p w:rsidR="00CC313F" w:rsidRDefault="00CC313F" w:rsidP="00E7476D">
            <w:pPr>
              <w:autoSpaceDE w:val="0"/>
              <w:autoSpaceDN w:val="0"/>
              <w:adjustRightInd w:val="0"/>
              <w:ind w:left="-41"/>
              <w:rPr>
                <w:b/>
                <w:color w:val="000000"/>
                <w:sz w:val="22"/>
                <w:szCs w:val="22"/>
                <w:u w:val="single"/>
              </w:rPr>
            </w:pPr>
            <w:r>
              <w:rPr>
                <w:b/>
                <w:color w:val="000000"/>
                <w:sz w:val="22"/>
                <w:szCs w:val="22"/>
                <w:u w:val="single"/>
              </w:rPr>
              <w:t>Assignor</w:t>
            </w:r>
          </w:p>
          <w:p w:rsidR="00CC313F" w:rsidRDefault="00CC313F" w:rsidP="00E7476D">
            <w:pPr>
              <w:autoSpaceDE w:val="0"/>
              <w:autoSpaceDN w:val="0"/>
              <w:adjustRightInd w:val="0"/>
              <w:ind w:left="-41"/>
              <w:rPr>
                <w:b/>
                <w:color w:val="000000"/>
                <w:sz w:val="22"/>
                <w:szCs w:val="22"/>
                <w:u w:val="single"/>
              </w:rPr>
            </w:pPr>
          </w:p>
        </w:tc>
        <w:tc>
          <w:tcPr>
            <w:tcW w:w="1100" w:type="pct"/>
            <w:shd w:val="clear" w:color="C0C0C0" w:fill="auto"/>
          </w:tcPr>
          <w:p w:rsidR="00CC313F" w:rsidRDefault="00CC313F" w:rsidP="00E7476D">
            <w:pPr>
              <w:autoSpaceDE w:val="0"/>
              <w:autoSpaceDN w:val="0"/>
              <w:adjustRightInd w:val="0"/>
              <w:ind w:hanging="40"/>
              <w:rPr>
                <w:b/>
                <w:color w:val="000000"/>
                <w:sz w:val="22"/>
                <w:szCs w:val="22"/>
                <w:u w:val="single"/>
              </w:rPr>
            </w:pPr>
            <w:r>
              <w:rPr>
                <w:b/>
                <w:color w:val="000000"/>
                <w:sz w:val="22"/>
                <w:szCs w:val="22"/>
                <w:u w:val="single"/>
              </w:rPr>
              <w:t>Assignee</w:t>
            </w:r>
          </w:p>
        </w:tc>
        <w:tc>
          <w:tcPr>
            <w:tcW w:w="1414" w:type="pct"/>
            <w:shd w:val="clear" w:color="C0C0C0" w:fill="auto"/>
          </w:tcPr>
          <w:p w:rsidR="00CC313F" w:rsidRDefault="00CC313F" w:rsidP="00E7476D">
            <w:pPr>
              <w:autoSpaceDE w:val="0"/>
              <w:autoSpaceDN w:val="0"/>
              <w:adjustRightInd w:val="0"/>
              <w:ind w:hanging="40"/>
              <w:rPr>
                <w:b/>
                <w:color w:val="000000"/>
                <w:sz w:val="22"/>
                <w:szCs w:val="22"/>
                <w:u w:val="single"/>
              </w:rPr>
            </w:pPr>
            <w:r>
              <w:rPr>
                <w:b/>
                <w:color w:val="000000"/>
                <w:sz w:val="22"/>
                <w:szCs w:val="22"/>
                <w:u w:val="single"/>
              </w:rPr>
              <w:t>Call Sign</w:t>
            </w:r>
          </w:p>
        </w:tc>
      </w:tr>
      <w:tr w:rsidR="00CC313F" w:rsidTr="00CC313F">
        <w:trPr>
          <w:cantSplit/>
          <w:trHeight w:val="152"/>
        </w:trPr>
        <w:tc>
          <w:tcPr>
            <w:tcW w:w="1123" w:type="pct"/>
            <w:shd w:val="clear" w:color="C0C0C0" w:fill="auto"/>
          </w:tcPr>
          <w:p w:rsidR="00CC313F" w:rsidRDefault="00CC313F" w:rsidP="00E7476D">
            <w:pPr>
              <w:tabs>
                <w:tab w:val="left" w:pos="720"/>
              </w:tabs>
              <w:rPr>
                <w:sz w:val="22"/>
                <w:szCs w:val="22"/>
              </w:rPr>
            </w:pPr>
            <w:r w:rsidRPr="00CC313F">
              <w:rPr>
                <w:sz w:val="22"/>
                <w:szCs w:val="22"/>
              </w:rPr>
              <w:t>0005879272</w:t>
            </w:r>
          </w:p>
        </w:tc>
        <w:tc>
          <w:tcPr>
            <w:tcW w:w="1363" w:type="pct"/>
            <w:shd w:val="clear" w:color="C0C0C0" w:fill="auto"/>
          </w:tcPr>
          <w:p w:rsidR="00CC313F" w:rsidRDefault="00CC313F" w:rsidP="00E7476D">
            <w:pPr>
              <w:ind w:left="-41"/>
              <w:rPr>
                <w:sz w:val="22"/>
                <w:szCs w:val="22"/>
              </w:rPr>
            </w:pPr>
            <w:r w:rsidRPr="002E2B52">
              <w:rPr>
                <w:sz w:val="22"/>
                <w:szCs w:val="22"/>
              </w:rPr>
              <w:t>Cricket License Company, LLC</w:t>
            </w:r>
          </w:p>
        </w:tc>
        <w:tc>
          <w:tcPr>
            <w:tcW w:w="1100" w:type="pct"/>
            <w:shd w:val="clear" w:color="C0C0C0" w:fill="auto"/>
          </w:tcPr>
          <w:p w:rsidR="00CC313F" w:rsidRDefault="00CC313F" w:rsidP="00E7476D">
            <w:pPr>
              <w:ind w:hanging="40"/>
              <w:rPr>
                <w:sz w:val="22"/>
                <w:szCs w:val="22"/>
              </w:rPr>
            </w:pPr>
            <w:r w:rsidRPr="00CC313F">
              <w:rPr>
                <w:sz w:val="22"/>
                <w:szCs w:val="22"/>
              </w:rPr>
              <w:t>Leap Licenseco Inc.</w:t>
            </w:r>
          </w:p>
        </w:tc>
        <w:tc>
          <w:tcPr>
            <w:tcW w:w="1414" w:type="pct"/>
            <w:shd w:val="clear" w:color="C0C0C0" w:fill="auto"/>
          </w:tcPr>
          <w:p w:rsidR="00CC313F" w:rsidRDefault="00CC313F" w:rsidP="00E7476D">
            <w:pPr>
              <w:rPr>
                <w:sz w:val="22"/>
                <w:szCs w:val="22"/>
              </w:rPr>
            </w:pPr>
            <w:r>
              <w:rPr>
                <w:sz w:val="22"/>
                <w:szCs w:val="22"/>
              </w:rPr>
              <w:t>WQJQ707</w:t>
            </w:r>
          </w:p>
        </w:tc>
      </w:tr>
    </w:tbl>
    <w:p w:rsidR="00CC313F" w:rsidRDefault="00CC313F">
      <w:pPr>
        <w:keepNext/>
        <w:ind w:firstLine="720"/>
        <w:rPr>
          <w:rStyle w:val="Normal1"/>
          <w:sz w:val="22"/>
          <w:szCs w:val="22"/>
        </w:rPr>
      </w:pPr>
    </w:p>
    <w:p w:rsidR="00324DA1" w:rsidRDefault="00324DA1">
      <w:pPr>
        <w:keepNext/>
        <w:ind w:firstLine="720"/>
        <w:rPr>
          <w:rStyle w:val="Normal1"/>
          <w:sz w:val="22"/>
          <w:szCs w:val="22"/>
        </w:rPr>
      </w:pPr>
    </w:p>
    <w:p w:rsidR="00324DA1" w:rsidRDefault="00324DA1">
      <w:pPr>
        <w:keepNext/>
        <w:outlineLvl w:val="0"/>
        <w:rPr>
          <w:b/>
          <w:sz w:val="22"/>
          <w:szCs w:val="22"/>
        </w:rPr>
      </w:pPr>
      <w:r>
        <w:rPr>
          <w:rStyle w:val="StyleTimesNewRomanBold11ptBold"/>
          <w:rFonts w:hAnsi="Times New Roman"/>
        </w:rPr>
        <w:t>iiI.</w:t>
      </w:r>
      <w:r>
        <w:rPr>
          <w:rStyle w:val="StyleTimesNewRomanBold11ptBold"/>
          <w:rFonts w:hAnsi="Times New Roman"/>
        </w:rPr>
        <w:tab/>
        <w:t xml:space="preserve">Section </w:t>
      </w:r>
      <w:r>
        <w:rPr>
          <w:b/>
          <w:sz w:val="22"/>
          <w:szCs w:val="22"/>
        </w:rPr>
        <w:t>214 APPLICATIONS</w:t>
      </w:r>
    </w:p>
    <w:p w:rsidR="00324DA1" w:rsidRDefault="00324DA1">
      <w:pPr>
        <w:keepNext/>
        <w:rPr>
          <w:rStyle w:val="Normal1"/>
          <w:sz w:val="22"/>
          <w:szCs w:val="22"/>
        </w:rPr>
      </w:pPr>
      <w:r>
        <w:rPr>
          <w:rStyle w:val="StyleTimesNewRomanBold11ptBold"/>
          <w:rFonts w:hAnsi="Times New Roman"/>
        </w:rPr>
        <w:tab/>
      </w:r>
      <w:r>
        <w:rPr>
          <w:rStyle w:val="StyleTimesNewRomanBold11ptBold"/>
          <w:rFonts w:hAnsi="Times New Roman"/>
        </w:rPr>
        <w:tab/>
      </w:r>
    </w:p>
    <w:p w:rsidR="00324DA1" w:rsidRDefault="00324DA1">
      <w:pPr>
        <w:keepNext/>
        <w:outlineLvl w:val="0"/>
        <w:rPr>
          <w:rStyle w:val="Normal1"/>
          <w:sz w:val="22"/>
          <w:szCs w:val="22"/>
        </w:rPr>
      </w:pPr>
      <w:r>
        <w:rPr>
          <w:rStyle w:val="Normal1"/>
          <w:b/>
          <w:sz w:val="22"/>
          <w:szCs w:val="22"/>
        </w:rPr>
        <w:tab/>
      </w:r>
      <w:r>
        <w:rPr>
          <w:rStyle w:val="Normal1"/>
          <w:sz w:val="22"/>
          <w:szCs w:val="22"/>
        </w:rPr>
        <w:t>The following applications for consent to the transfer of control of international section 214 authorizations have been assigned the following file numbers:</w:t>
      </w:r>
    </w:p>
    <w:p w:rsidR="00324DA1" w:rsidRDefault="00324DA1">
      <w:pPr>
        <w:keepNext/>
        <w:outlineLvl w:val="0"/>
        <w:rPr>
          <w:rStyle w:val="Normal1"/>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340"/>
        <w:gridCol w:w="1890"/>
        <w:gridCol w:w="2700"/>
      </w:tblGrid>
      <w:tr w:rsidR="00324DA1">
        <w:tc>
          <w:tcPr>
            <w:tcW w:w="1998" w:type="dxa"/>
            <w:shd w:val="clear" w:color="auto" w:fill="auto"/>
          </w:tcPr>
          <w:p w:rsidR="00324DA1" w:rsidRDefault="00324DA1">
            <w:pPr>
              <w:keepNext/>
              <w:outlineLvl w:val="0"/>
              <w:rPr>
                <w:b/>
                <w:sz w:val="22"/>
                <w:szCs w:val="18"/>
                <w:u w:val="single"/>
              </w:rPr>
            </w:pPr>
            <w:r>
              <w:rPr>
                <w:b/>
                <w:sz w:val="22"/>
                <w:szCs w:val="18"/>
                <w:u w:val="single"/>
              </w:rPr>
              <w:t>File No.</w:t>
            </w:r>
          </w:p>
          <w:p w:rsidR="00324DA1" w:rsidRDefault="00324DA1">
            <w:pPr>
              <w:keepNext/>
              <w:outlineLvl w:val="0"/>
              <w:rPr>
                <w:sz w:val="22"/>
                <w:szCs w:val="18"/>
              </w:rPr>
            </w:pPr>
          </w:p>
        </w:tc>
        <w:tc>
          <w:tcPr>
            <w:tcW w:w="2340" w:type="dxa"/>
            <w:shd w:val="clear" w:color="auto" w:fill="auto"/>
          </w:tcPr>
          <w:p w:rsidR="00324DA1" w:rsidRDefault="00324DA1">
            <w:pPr>
              <w:keepNext/>
              <w:outlineLvl w:val="0"/>
              <w:rPr>
                <w:b/>
                <w:sz w:val="22"/>
                <w:szCs w:val="18"/>
                <w:u w:val="single"/>
              </w:rPr>
            </w:pPr>
            <w:r>
              <w:rPr>
                <w:b/>
                <w:sz w:val="22"/>
                <w:szCs w:val="18"/>
                <w:u w:val="single"/>
              </w:rPr>
              <w:t>Authorization Holder</w:t>
            </w:r>
          </w:p>
        </w:tc>
        <w:tc>
          <w:tcPr>
            <w:tcW w:w="1890" w:type="dxa"/>
            <w:shd w:val="clear" w:color="auto" w:fill="auto"/>
          </w:tcPr>
          <w:p w:rsidR="00324DA1" w:rsidRDefault="00324DA1">
            <w:pPr>
              <w:keepNext/>
              <w:outlineLvl w:val="0"/>
              <w:rPr>
                <w:b/>
                <w:sz w:val="22"/>
                <w:szCs w:val="18"/>
                <w:u w:val="single"/>
              </w:rPr>
            </w:pPr>
            <w:r>
              <w:rPr>
                <w:b/>
                <w:sz w:val="22"/>
                <w:szCs w:val="18"/>
                <w:u w:val="single"/>
              </w:rPr>
              <w:t>Transferee</w:t>
            </w:r>
          </w:p>
        </w:tc>
        <w:tc>
          <w:tcPr>
            <w:tcW w:w="2700" w:type="dxa"/>
            <w:shd w:val="clear" w:color="auto" w:fill="auto"/>
          </w:tcPr>
          <w:p w:rsidR="00324DA1" w:rsidRDefault="00324DA1">
            <w:pPr>
              <w:widowControl/>
              <w:rPr>
                <w:b/>
                <w:snapToGrid/>
                <w:sz w:val="22"/>
                <w:szCs w:val="22"/>
                <w:u w:val="single"/>
              </w:rPr>
            </w:pPr>
            <w:r>
              <w:rPr>
                <w:b/>
                <w:snapToGrid/>
                <w:sz w:val="22"/>
                <w:szCs w:val="22"/>
                <w:u w:val="single"/>
              </w:rPr>
              <w:t>Authorization Number</w:t>
            </w:r>
          </w:p>
        </w:tc>
      </w:tr>
      <w:tr w:rsidR="00324DA1">
        <w:tc>
          <w:tcPr>
            <w:tcW w:w="1998" w:type="dxa"/>
            <w:shd w:val="clear" w:color="auto" w:fill="auto"/>
          </w:tcPr>
          <w:p w:rsidR="00324DA1" w:rsidRPr="00F76DCC" w:rsidRDefault="00F76DCC" w:rsidP="00410893">
            <w:pPr>
              <w:keepNext/>
              <w:outlineLvl w:val="0"/>
              <w:rPr>
                <w:rStyle w:val="Normal1"/>
                <w:sz w:val="22"/>
                <w:szCs w:val="22"/>
              </w:rPr>
            </w:pPr>
            <w:r w:rsidRPr="00F76DCC">
              <w:rPr>
                <w:rStyle w:val="Normal1"/>
                <w:sz w:val="22"/>
                <w:szCs w:val="22"/>
              </w:rPr>
              <w:t>ITC-T/C-2013</w:t>
            </w:r>
            <w:r w:rsidR="00410893">
              <w:rPr>
                <w:rStyle w:val="Normal1"/>
                <w:sz w:val="22"/>
                <w:szCs w:val="22"/>
              </w:rPr>
              <w:t>0801</w:t>
            </w:r>
            <w:r w:rsidRPr="00F76DCC">
              <w:rPr>
                <w:rStyle w:val="Normal1"/>
                <w:sz w:val="22"/>
                <w:szCs w:val="22"/>
              </w:rPr>
              <w:t>-0</w:t>
            </w:r>
            <w:r w:rsidR="00410893">
              <w:rPr>
                <w:rStyle w:val="Normal1"/>
                <w:sz w:val="22"/>
                <w:szCs w:val="22"/>
              </w:rPr>
              <w:t>0207</w:t>
            </w:r>
          </w:p>
        </w:tc>
        <w:tc>
          <w:tcPr>
            <w:tcW w:w="2340" w:type="dxa"/>
            <w:shd w:val="clear" w:color="auto" w:fill="auto"/>
          </w:tcPr>
          <w:p w:rsidR="00324DA1" w:rsidRDefault="00854909">
            <w:pPr>
              <w:keepNext/>
              <w:outlineLvl w:val="0"/>
              <w:rPr>
                <w:rStyle w:val="Normal1"/>
                <w:b/>
                <w:sz w:val="22"/>
                <w:szCs w:val="22"/>
              </w:rPr>
            </w:pPr>
            <w:r>
              <w:rPr>
                <w:sz w:val="22"/>
                <w:szCs w:val="18"/>
              </w:rPr>
              <w:t>Leap Wireless International</w:t>
            </w:r>
            <w:r w:rsidR="00324DA1">
              <w:rPr>
                <w:sz w:val="22"/>
                <w:szCs w:val="18"/>
              </w:rPr>
              <w:t>, Inc.  </w:t>
            </w:r>
          </w:p>
        </w:tc>
        <w:tc>
          <w:tcPr>
            <w:tcW w:w="1890" w:type="dxa"/>
            <w:shd w:val="clear" w:color="auto" w:fill="auto"/>
          </w:tcPr>
          <w:p w:rsidR="00324DA1" w:rsidRPr="00854909" w:rsidRDefault="00854909">
            <w:pPr>
              <w:keepNext/>
              <w:outlineLvl w:val="0"/>
              <w:rPr>
                <w:rStyle w:val="Normal1"/>
                <w:sz w:val="22"/>
                <w:szCs w:val="22"/>
              </w:rPr>
            </w:pPr>
            <w:r w:rsidRPr="00854909">
              <w:rPr>
                <w:rStyle w:val="Normal1"/>
                <w:sz w:val="22"/>
                <w:szCs w:val="22"/>
              </w:rPr>
              <w:t>AT&amp;T Inc.</w:t>
            </w:r>
          </w:p>
        </w:tc>
        <w:tc>
          <w:tcPr>
            <w:tcW w:w="2700" w:type="dxa"/>
            <w:shd w:val="clear" w:color="auto" w:fill="auto"/>
          </w:tcPr>
          <w:p w:rsidR="00324DA1" w:rsidRDefault="00324DA1">
            <w:pPr>
              <w:widowControl/>
              <w:rPr>
                <w:snapToGrid/>
                <w:sz w:val="22"/>
                <w:szCs w:val="22"/>
              </w:rPr>
            </w:pPr>
            <w:r>
              <w:rPr>
                <w:snapToGrid/>
                <w:sz w:val="22"/>
                <w:szCs w:val="22"/>
              </w:rPr>
              <w:t>ITC-214</w:t>
            </w:r>
            <w:r w:rsidR="00F76DCC">
              <w:rPr>
                <w:snapToGrid/>
                <w:sz w:val="22"/>
                <w:szCs w:val="22"/>
              </w:rPr>
              <w:t>-</w:t>
            </w:r>
            <w:r w:rsidR="00F76DCC" w:rsidRPr="00F76DCC">
              <w:rPr>
                <w:snapToGrid/>
                <w:sz w:val="22"/>
                <w:szCs w:val="22"/>
              </w:rPr>
              <w:t>20011011</w:t>
            </w:r>
            <w:r w:rsidR="00F76DCC">
              <w:rPr>
                <w:snapToGrid/>
                <w:sz w:val="22"/>
                <w:szCs w:val="22"/>
              </w:rPr>
              <w:t>-</w:t>
            </w:r>
            <w:r w:rsidR="00F76DCC" w:rsidRPr="00F76DCC">
              <w:rPr>
                <w:snapToGrid/>
                <w:sz w:val="22"/>
                <w:szCs w:val="22"/>
              </w:rPr>
              <w:t>00527</w:t>
            </w:r>
          </w:p>
          <w:p w:rsidR="00324DA1" w:rsidRDefault="00324DA1" w:rsidP="00854909">
            <w:pPr>
              <w:widowControl/>
              <w:rPr>
                <w:rStyle w:val="Normal1"/>
                <w:b/>
                <w:sz w:val="22"/>
                <w:szCs w:val="22"/>
              </w:rPr>
            </w:pPr>
          </w:p>
        </w:tc>
      </w:tr>
      <w:tr w:rsidR="00324DA1">
        <w:tc>
          <w:tcPr>
            <w:tcW w:w="1998" w:type="dxa"/>
            <w:shd w:val="clear" w:color="auto" w:fill="auto"/>
          </w:tcPr>
          <w:p w:rsidR="00324DA1" w:rsidRDefault="00F76DCC" w:rsidP="00410893">
            <w:pPr>
              <w:keepNext/>
              <w:outlineLvl w:val="0"/>
              <w:rPr>
                <w:rStyle w:val="Normal1"/>
                <w:b/>
                <w:sz w:val="22"/>
                <w:szCs w:val="22"/>
              </w:rPr>
            </w:pPr>
            <w:r w:rsidRPr="00F76DCC">
              <w:rPr>
                <w:rStyle w:val="Normal1"/>
                <w:sz w:val="22"/>
                <w:szCs w:val="22"/>
              </w:rPr>
              <w:t>ITC-T/C-</w:t>
            </w:r>
            <w:r w:rsidR="00410893">
              <w:rPr>
                <w:rStyle w:val="Normal1"/>
                <w:sz w:val="22"/>
                <w:szCs w:val="22"/>
              </w:rPr>
              <w:t>2</w:t>
            </w:r>
            <w:r w:rsidRPr="00F76DCC">
              <w:rPr>
                <w:rStyle w:val="Normal1"/>
                <w:sz w:val="22"/>
                <w:szCs w:val="22"/>
              </w:rPr>
              <w:t>013</w:t>
            </w:r>
            <w:r w:rsidR="00410893">
              <w:rPr>
                <w:rStyle w:val="Normal1"/>
                <w:sz w:val="22"/>
                <w:szCs w:val="22"/>
              </w:rPr>
              <w:t>0801</w:t>
            </w:r>
            <w:r w:rsidRPr="00F76DCC">
              <w:rPr>
                <w:rStyle w:val="Normal1"/>
                <w:sz w:val="22"/>
                <w:szCs w:val="22"/>
              </w:rPr>
              <w:t>-0</w:t>
            </w:r>
            <w:r w:rsidR="00410893">
              <w:rPr>
                <w:rStyle w:val="Normal1"/>
                <w:sz w:val="22"/>
                <w:szCs w:val="22"/>
              </w:rPr>
              <w:t>0208</w:t>
            </w:r>
          </w:p>
        </w:tc>
        <w:tc>
          <w:tcPr>
            <w:tcW w:w="2340" w:type="dxa"/>
            <w:shd w:val="clear" w:color="auto" w:fill="auto"/>
          </w:tcPr>
          <w:p w:rsidR="00324DA1" w:rsidRDefault="00854909">
            <w:pPr>
              <w:keepNext/>
              <w:outlineLvl w:val="0"/>
              <w:rPr>
                <w:rStyle w:val="Normal1"/>
                <w:b/>
                <w:sz w:val="22"/>
                <w:szCs w:val="22"/>
              </w:rPr>
            </w:pPr>
            <w:r w:rsidRPr="002E2B52">
              <w:rPr>
                <w:sz w:val="22"/>
                <w:szCs w:val="22"/>
              </w:rPr>
              <w:t>STX Wireless License, LLC</w:t>
            </w:r>
          </w:p>
        </w:tc>
        <w:tc>
          <w:tcPr>
            <w:tcW w:w="1890" w:type="dxa"/>
            <w:shd w:val="clear" w:color="auto" w:fill="auto"/>
          </w:tcPr>
          <w:p w:rsidR="00324DA1" w:rsidRPr="00854909" w:rsidRDefault="00854909">
            <w:pPr>
              <w:keepNext/>
              <w:outlineLvl w:val="0"/>
              <w:rPr>
                <w:rStyle w:val="Normal1"/>
                <w:sz w:val="22"/>
                <w:szCs w:val="22"/>
              </w:rPr>
            </w:pPr>
            <w:r w:rsidRPr="00854909">
              <w:rPr>
                <w:rStyle w:val="Normal1"/>
                <w:sz w:val="22"/>
                <w:szCs w:val="22"/>
              </w:rPr>
              <w:t>AT&amp;T Inc.</w:t>
            </w:r>
          </w:p>
        </w:tc>
        <w:tc>
          <w:tcPr>
            <w:tcW w:w="2700" w:type="dxa"/>
            <w:shd w:val="clear" w:color="auto" w:fill="auto"/>
          </w:tcPr>
          <w:p w:rsidR="00324DA1" w:rsidRDefault="00324DA1" w:rsidP="00854909">
            <w:pPr>
              <w:widowControl/>
              <w:rPr>
                <w:rStyle w:val="Normal1"/>
                <w:b/>
                <w:sz w:val="22"/>
                <w:szCs w:val="22"/>
              </w:rPr>
            </w:pPr>
            <w:r>
              <w:rPr>
                <w:sz w:val="22"/>
                <w:szCs w:val="22"/>
              </w:rPr>
              <w:t>ITC-214-</w:t>
            </w:r>
            <w:r w:rsidR="00F76DCC">
              <w:t xml:space="preserve"> </w:t>
            </w:r>
            <w:r w:rsidR="00F76DCC" w:rsidRPr="00F76DCC">
              <w:rPr>
                <w:sz w:val="22"/>
                <w:szCs w:val="22"/>
              </w:rPr>
              <w:t>20100604</w:t>
            </w:r>
            <w:r w:rsidR="00F76DCC">
              <w:rPr>
                <w:sz w:val="22"/>
                <w:szCs w:val="22"/>
              </w:rPr>
              <w:t>-</w:t>
            </w:r>
            <w:r w:rsidR="00F76DCC" w:rsidRPr="00F76DCC">
              <w:rPr>
                <w:sz w:val="22"/>
                <w:szCs w:val="22"/>
              </w:rPr>
              <w:t>00227</w:t>
            </w:r>
          </w:p>
        </w:tc>
      </w:tr>
    </w:tbl>
    <w:p w:rsidR="00324DA1" w:rsidRDefault="00324DA1" w:rsidP="00D541A6">
      <w:pPr>
        <w:keepNext/>
        <w:outlineLvl w:val="0"/>
        <w:rPr>
          <w:sz w:val="22"/>
          <w:szCs w:val="22"/>
          <w:highlight w:val="yellow"/>
        </w:rPr>
      </w:pPr>
    </w:p>
    <w:p w:rsidR="00324DA1" w:rsidRDefault="00324DA1">
      <w:pPr>
        <w:keepNext/>
        <w:outlineLvl w:val="0"/>
        <w:rPr>
          <w:sz w:val="22"/>
          <w:szCs w:val="22"/>
        </w:rPr>
      </w:pPr>
    </w:p>
    <w:p w:rsidR="00324DA1" w:rsidRDefault="00D541A6">
      <w:pPr>
        <w:keepNext/>
        <w:outlineLvl w:val="0"/>
        <w:rPr>
          <w:rStyle w:val="Normal1"/>
          <w:b/>
          <w:sz w:val="22"/>
          <w:szCs w:val="22"/>
        </w:rPr>
      </w:pPr>
      <w:r>
        <w:rPr>
          <w:rStyle w:val="Normal1"/>
          <w:b/>
          <w:sz w:val="22"/>
          <w:szCs w:val="22"/>
        </w:rPr>
        <w:t>I</w:t>
      </w:r>
      <w:r w:rsidR="00324DA1">
        <w:rPr>
          <w:rStyle w:val="Normal1"/>
          <w:b/>
          <w:sz w:val="22"/>
          <w:szCs w:val="22"/>
        </w:rPr>
        <w:t>V.</w:t>
      </w:r>
      <w:r w:rsidR="00324DA1">
        <w:rPr>
          <w:rStyle w:val="Normal1"/>
          <w:b/>
          <w:sz w:val="22"/>
          <w:szCs w:val="22"/>
        </w:rPr>
        <w:tab/>
      </w:r>
      <w:r w:rsidR="00324DA1">
        <w:rPr>
          <w:rStyle w:val="Normal1"/>
          <w:b/>
          <w:i/>
          <w:sz w:val="22"/>
          <w:szCs w:val="22"/>
        </w:rPr>
        <w:t>EX PARTE</w:t>
      </w:r>
      <w:r w:rsidR="00324DA1">
        <w:rPr>
          <w:rStyle w:val="Normal1"/>
          <w:b/>
          <w:sz w:val="22"/>
          <w:szCs w:val="22"/>
        </w:rPr>
        <w:t xml:space="preserve"> STATUS OF THIS PROCEEDING</w:t>
      </w:r>
    </w:p>
    <w:p w:rsidR="00324DA1" w:rsidRDefault="00324DA1">
      <w:pPr>
        <w:keepNext/>
        <w:rPr>
          <w:rStyle w:val="Normal1"/>
          <w:b/>
          <w:sz w:val="22"/>
          <w:szCs w:val="22"/>
        </w:rPr>
      </w:pPr>
    </w:p>
    <w:p w:rsidR="00F17A1C" w:rsidRDefault="00324DA1" w:rsidP="00F17A1C">
      <w:pPr>
        <w:widowControl/>
        <w:spacing w:after="220"/>
        <w:rPr>
          <w:rStyle w:val="Normal1"/>
          <w:b/>
          <w:sz w:val="22"/>
          <w:szCs w:val="22"/>
        </w:rPr>
      </w:pPr>
      <w:r>
        <w:rPr>
          <w:rStyle w:val="Normal1"/>
          <w:b/>
          <w:sz w:val="22"/>
          <w:szCs w:val="22"/>
        </w:rPr>
        <w:tab/>
      </w:r>
      <w:r w:rsidR="00F17A1C">
        <w:rPr>
          <w:rStyle w:val="Normal1"/>
          <w:sz w:val="22"/>
          <w:szCs w:val="22"/>
        </w:rPr>
        <w:t>Pursuant to section 1.1200(a) of the Commission’s rules,</w:t>
      </w:r>
      <w:r w:rsidR="00F17A1C">
        <w:rPr>
          <w:rStyle w:val="FootnoteReference"/>
          <w:sz w:val="22"/>
          <w:szCs w:val="22"/>
        </w:rPr>
        <w:footnoteReference w:id="5"/>
      </w:r>
      <w:r w:rsidR="00F17A1C">
        <w:rPr>
          <w:rStyle w:val="Normal1"/>
          <w:sz w:val="22"/>
          <w:szCs w:val="22"/>
        </w:rPr>
        <w:t xml:space="preserve"> the Commission may adopt modified or more stringent </w:t>
      </w:r>
      <w:r w:rsidR="00F17A1C">
        <w:rPr>
          <w:rStyle w:val="Normal1"/>
          <w:i/>
          <w:sz w:val="22"/>
          <w:szCs w:val="22"/>
        </w:rPr>
        <w:t>ex parte</w:t>
      </w:r>
      <w:r w:rsidR="00F17A1C">
        <w:rPr>
          <w:rStyle w:val="Normal1"/>
          <w:sz w:val="22"/>
          <w:szCs w:val="22"/>
        </w:rPr>
        <w:t xml:space="preserve"> procedures in particular proceedings if the public interest so requires.  We announce that this proceeding will be governed by permit-but-disclose </w:t>
      </w:r>
      <w:r w:rsidR="00F17A1C">
        <w:rPr>
          <w:rStyle w:val="Normal1"/>
          <w:i/>
          <w:sz w:val="22"/>
          <w:szCs w:val="22"/>
        </w:rPr>
        <w:t>ex parte</w:t>
      </w:r>
      <w:r w:rsidR="00F17A1C">
        <w:rPr>
          <w:rStyle w:val="Normal1"/>
          <w:sz w:val="22"/>
          <w:szCs w:val="22"/>
        </w:rPr>
        <w:t xml:space="preserve"> procedures that are applicable to non-restricted proceedings under section 1.1206 of the Commission’s rules.</w:t>
      </w:r>
      <w:r w:rsidR="00F17A1C">
        <w:rPr>
          <w:rStyle w:val="FootnoteReference"/>
          <w:sz w:val="22"/>
          <w:szCs w:val="22"/>
        </w:rPr>
        <w:footnoteReference w:id="6"/>
      </w:r>
    </w:p>
    <w:p w:rsidR="00324DA1" w:rsidRDefault="00324DA1" w:rsidP="00F17A1C">
      <w:pPr>
        <w:widowControl/>
        <w:spacing w:after="220"/>
        <w:ind w:firstLine="720"/>
        <w:rPr>
          <w:rStyle w:val="Normal1"/>
          <w:sz w:val="22"/>
          <w:szCs w:val="22"/>
        </w:rPr>
      </w:pPr>
      <w:r>
        <w:rPr>
          <w:rStyle w:val="Normal1"/>
          <w:sz w:val="22"/>
          <w:szCs w:val="22"/>
        </w:rPr>
        <w:t xml:space="preserve">Parties making oral </w:t>
      </w:r>
      <w:r>
        <w:rPr>
          <w:rStyle w:val="Normal1"/>
          <w:i/>
          <w:sz w:val="22"/>
          <w:szCs w:val="22"/>
        </w:rPr>
        <w:t>ex parte</w:t>
      </w:r>
      <w:r>
        <w:rPr>
          <w:rStyle w:val="Normal1"/>
          <w:sz w:val="22"/>
          <w:szCs w:val="22"/>
        </w:rPr>
        <w:t xml:space="preserve"> presentations are directed to the Commission’s revised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7"/>
      </w:r>
      <w:r>
        <w:rPr>
          <w:rStyle w:val="Normal1"/>
          <w:sz w:val="22"/>
          <w:szCs w:val="22"/>
        </w:rPr>
        <w:t xml:space="preserve">  More than a one- or two-sentence description of the views and arguments presented is generally required.</w:t>
      </w:r>
      <w:r>
        <w:rPr>
          <w:rStyle w:val="FootnoteReference"/>
          <w:sz w:val="22"/>
          <w:szCs w:val="22"/>
        </w:rPr>
        <w:footnoteReference w:id="8"/>
      </w:r>
      <w:r>
        <w:rPr>
          <w:rStyle w:val="Normal1"/>
          <w:sz w:val="22"/>
          <w:szCs w:val="22"/>
        </w:rPr>
        <w:t xml:space="preserve">  Other rules pertaining to oral and written presentations are set forth in Section 1.1206(b) as well.</w:t>
      </w:r>
      <w:r>
        <w:rPr>
          <w:rStyle w:val="FootnoteReference"/>
          <w:sz w:val="22"/>
          <w:szCs w:val="22"/>
        </w:rPr>
        <w:footnoteReference w:id="9"/>
      </w:r>
    </w:p>
    <w:p w:rsidR="00324DA1" w:rsidRDefault="00324DA1">
      <w:pPr>
        <w:widowControl/>
        <w:rPr>
          <w:b/>
          <w:sz w:val="22"/>
          <w:szCs w:val="22"/>
        </w:rPr>
      </w:pPr>
      <w:r>
        <w:rPr>
          <w:b/>
          <w:sz w:val="22"/>
          <w:szCs w:val="22"/>
        </w:rPr>
        <w:t>VI.</w:t>
      </w:r>
      <w:r>
        <w:rPr>
          <w:b/>
          <w:sz w:val="22"/>
          <w:szCs w:val="22"/>
        </w:rPr>
        <w:tab/>
        <w:t>GENERAL INFORMATION</w:t>
      </w:r>
    </w:p>
    <w:p w:rsidR="00324DA1" w:rsidRDefault="00324DA1">
      <w:pPr>
        <w:rPr>
          <w:b/>
          <w:sz w:val="22"/>
          <w:szCs w:val="22"/>
        </w:rPr>
      </w:pPr>
    </w:p>
    <w:p w:rsidR="00324DA1" w:rsidRDefault="00324DA1">
      <w:pPr>
        <w:widowControl/>
        <w:ind w:firstLine="720"/>
        <w:rPr>
          <w:sz w:val="22"/>
          <w:szCs w:val="22"/>
        </w:rPr>
      </w:pPr>
      <w:r>
        <w:rPr>
          <w:sz w:val="22"/>
          <w:szCs w:val="22"/>
        </w:rPr>
        <w:t xml:space="preserve">The </w:t>
      </w:r>
      <w:r w:rsidR="00F17A1C">
        <w:rPr>
          <w:sz w:val="22"/>
          <w:szCs w:val="22"/>
        </w:rPr>
        <w:t xml:space="preserve">transfer of control and assignment </w:t>
      </w:r>
      <w:r>
        <w:rPr>
          <w:sz w:val="22"/>
          <w:szCs w:val="22"/>
        </w:rPr>
        <w:t xml:space="preserve">applications referenced herein have been found, upon initial review, to be acceptable for filing.  The Commission reserves the right to return any application if, upon further examination, it is determined to be defective and not in conformance with the Commission’s rules or policies. </w:t>
      </w:r>
    </w:p>
    <w:p w:rsidR="00324DA1" w:rsidRDefault="00324DA1">
      <w:pPr>
        <w:rPr>
          <w:sz w:val="22"/>
          <w:szCs w:val="22"/>
        </w:rPr>
      </w:pPr>
    </w:p>
    <w:p w:rsidR="00324DA1" w:rsidRDefault="00324DA1">
      <w:pPr>
        <w:rPr>
          <w:sz w:val="22"/>
          <w:szCs w:val="22"/>
        </w:rPr>
      </w:pPr>
      <w:r>
        <w:rPr>
          <w:sz w:val="22"/>
          <w:szCs w:val="22"/>
        </w:rPr>
        <w:tab/>
        <w:t xml:space="preserve">Interested parties must file petitions to deny no later than </w:t>
      </w:r>
      <w:r w:rsidR="006E2240" w:rsidRPr="006E2240">
        <w:rPr>
          <w:b/>
          <w:sz w:val="22"/>
          <w:szCs w:val="22"/>
        </w:rPr>
        <w:t xml:space="preserve">September </w:t>
      </w:r>
      <w:r w:rsidR="00A459AA">
        <w:rPr>
          <w:b/>
          <w:sz w:val="22"/>
          <w:szCs w:val="22"/>
        </w:rPr>
        <w:t>2</w:t>
      </w:r>
      <w:r w:rsidR="00EF09D6">
        <w:rPr>
          <w:b/>
          <w:sz w:val="22"/>
          <w:szCs w:val="22"/>
        </w:rPr>
        <w:t>7</w:t>
      </w:r>
      <w:r w:rsidRPr="006E2240">
        <w:rPr>
          <w:b/>
          <w:sz w:val="22"/>
          <w:szCs w:val="22"/>
        </w:rPr>
        <w:t>, 201</w:t>
      </w:r>
      <w:r w:rsidR="006E2240" w:rsidRPr="006E2240">
        <w:rPr>
          <w:b/>
          <w:sz w:val="22"/>
          <w:szCs w:val="22"/>
        </w:rPr>
        <w:t>3</w:t>
      </w:r>
      <w:r>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A459AA" w:rsidRPr="00A459AA">
        <w:rPr>
          <w:b/>
          <w:sz w:val="22"/>
          <w:szCs w:val="22"/>
        </w:rPr>
        <w:t>October 7</w:t>
      </w:r>
      <w:r w:rsidRPr="006E2240">
        <w:rPr>
          <w:b/>
          <w:spacing w:val="-2"/>
          <w:sz w:val="22"/>
          <w:szCs w:val="22"/>
        </w:rPr>
        <w:t>, 201</w:t>
      </w:r>
      <w:r w:rsidR="006E2240" w:rsidRPr="006E2240">
        <w:rPr>
          <w:b/>
          <w:spacing w:val="-2"/>
          <w:sz w:val="22"/>
          <w:szCs w:val="22"/>
        </w:rPr>
        <w:t>3</w:t>
      </w:r>
      <w:r>
        <w:rPr>
          <w:sz w:val="22"/>
          <w:szCs w:val="22"/>
        </w:rPr>
        <w:t xml:space="preserve">.  Replies to such pleadings must be filed no later than </w:t>
      </w:r>
      <w:r w:rsidR="006E2240" w:rsidRPr="006E2240">
        <w:rPr>
          <w:b/>
          <w:sz w:val="22"/>
          <w:szCs w:val="22"/>
        </w:rPr>
        <w:t xml:space="preserve">October </w:t>
      </w:r>
      <w:r w:rsidR="00A459AA">
        <w:rPr>
          <w:b/>
          <w:sz w:val="22"/>
          <w:szCs w:val="22"/>
        </w:rPr>
        <w:t>15</w:t>
      </w:r>
      <w:r w:rsidR="006E2240" w:rsidRPr="006E2240">
        <w:rPr>
          <w:b/>
          <w:sz w:val="22"/>
          <w:szCs w:val="22"/>
        </w:rPr>
        <w:t>, 2013</w:t>
      </w:r>
      <w:r w:rsidR="006E2240">
        <w:rPr>
          <w:sz w:val="22"/>
          <w:szCs w:val="22"/>
        </w:rPr>
        <w:t>.</w:t>
      </w:r>
      <w:r>
        <w:rPr>
          <w:sz w:val="22"/>
          <w:szCs w:val="22"/>
        </w:rPr>
        <w:t xml:space="preserve">  All filings concerning matters referenced in this Public Notice should refer to WT Docket No. 1</w:t>
      </w:r>
      <w:r w:rsidR="006E2240">
        <w:rPr>
          <w:sz w:val="22"/>
          <w:szCs w:val="22"/>
        </w:rPr>
        <w:t>3</w:t>
      </w:r>
      <w:r>
        <w:rPr>
          <w:sz w:val="22"/>
          <w:szCs w:val="22"/>
        </w:rPr>
        <w:t>-</w:t>
      </w:r>
      <w:r w:rsidR="006E2240">
        <w:rPr>
          <w:sz w:val="22"/>
          <w:szCs w:val="22"/>
        </w:rPr>
        <w:t>193</w:t>
      </w:r>
      <w:r>
        <w:rPr>
          <w:sz w:val="22"/>
          <w:szCs w:val="22"/>
        </w:rPr>
        <w:t xml:space="preserve"> and reference the specific file numbers of the individual applications to which the filings pertain.</w:t>
      </w:r>
    </w:p>
    <w:p w:rsidR="00324DA1" w:rsidRDefault="00324DA1">
      <w:pPr>
        <w:rPr>
          <w:sz w:val="22"/>
          <w:szCs w:val="22"/>
        </w:rPr>
      </w:pPr>
    </w:p>
    <w:p w:rsidR="00324DA1" w:rsidRDefault="00324DA1">
      <w:pPr>
        <w:widowControl/>
        <w:spacing w:after="240"/>
        <w:ind w:firstLine="720"/>
        <w:rPr>
          <w:sz w:val="22"/>
          <w:szCs w:val="22"/>
        </w:rPr>
      </w:pPr>
      <w:r>
        <w:rPr>
          <w:b/>
          <w:spacing w:val="-2"/>
          <w:sz w:val="22"/>
          <w:szCs w:val="22"/>
        </w:rPr>
        <w:t xml:space="preserve">To allow the Commission to consider fully all substantive issues regarding the Applications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10"/>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24DA1" w:rsidRDefault="00324DA1">
      <w:pPr>
        <w:pStyle w:val="BodyText"/>
        <w:widowControl/>
        <w:rPr>
          <w:szCs w:val="22"/>
        </w:rPr>
      </w:pPr>
      <w:r>
        <w:rPr>
          <w:szCs w:val="22"/>
        </w:rPr>
        <w:t>Under the Commission’s current procedures for the submission of filings and other documents,</w:t>
      </w:r>
      <w:r>
        <w:rPr>
          <w:szCs w:val="22"/>
          <w:vertAlign w:val="superscript"/>
        </w:rPr>
        <w:footnoteReference w:id="11"/>
      </w:r>
      <w:r>
        <w:rPr>
          <w:szCs w:val="22"/>
        </w:rPr>
        <w:t xml:space="preserve"> submissions in this matter may be filed electronically (</w:t>
      </w:r>
      <w:r>
        <w:rPr>
          <w:i/>
          <w:szCs w:val="22"/>
        </w:rPr>
        <w:t>i.e.</w:t>
      </w:r>
      <w:r>
        <w:rPr>
          <w:szCs w:val="22"/>
        </w:rPr>
        <w:t xml:space="preserve">, through ECFS) or by hand delivery to the Commission. </w:t>
      </w:r>
    </w:p>
    <w:p w:rsidR="00324DA1" w:rsidRDefault="00324DA1">
      <w:pPr>
        <w:pStyle w:val="BodyText"/>
        <w:numPr>
          <w:ilvl w:val="0"/>
          <w:numId w:val="4"/>
        </w:numPr>
        <w:rPr>
          <w:szCs w:val="22"/>
        </w:rPr>
      </w:pPr>
      <w:r>
        <w:rPr>
          <w:b/>
          <w:szCs w:val="22"/>
        </w:rPr>
        <w:t>If filed by ECFS</w:t>
      </w:r>
      <w:r>
        <w:rPr>
          <w:szCs w:val="22"/>
        </w:rPr>
        <w:t>,</w:t>
      </w:r>
      <w:r>
        <w:rPr>
          <w:szCs w:val="22"/>
          <w:vertAlign w:val="superscript"/>
        </w:rPr>
        <w:footnoteReference w:id="12"/>
      </w:r>
      <w:r>
        <w:rPr>
          <w:szCs w:val="22"/>
        </w:rPr>
        <w:t xml:space="preserve"> comments shall be sent as an electronic file via the Internet to http://www.fcc.gov/e-file/ecfs.html.  In completing the transmittal screen, commenters should include their full name, U.S. Postal Service mailing address, and the applicable docket number.  Parties may also submit an electronic comment by Internet e-mail.</w:t>
      </w:r>
    </w:p>
    <w:p w:rsidR="00324DA1" w:rsidRDefault="00324DA1">
      <w:pPr>
        <w:pStyle w:val="BodyText"/>
        <w:numPr>
          <w:ilvl w:val="0"/>
          <w:numId w:val="4"/>
        </w:numPr>
        <w:rPr>
          <w:szCs w:val="22"/>
        </w:rPr>
      </w:pPr>
      <w:r>
        <w:rPr>
          <w:b/>
          <w:szCs w:val="22"/>
        </w:rPr>
        <w:t>If filed by paper</w:t>
      </w:r>
      <w:r>
        <w:rPr>
          <w:szCs w:val="22"/>
        </w:rPr>
        <w:t>, the original and four copies of each filing must be filed by hand or messenger delivery, by commercial overnight courier, or by first-class or overnight U.S. Postal Service mail.  All hand-delivered or messenger-delivered paper filings for the Commission’s Secretary must be delivered to FCC Headquarters at 445 12</w:t>
      </w:r>
      <w:r>
        <w:rPr>
          <w:szCs w:val="22"/>
          <w:vertAlign w:val="superscript"/>
        </w:rPr>
        <w:t>th</w:t>
      </w:r>
      <w:r>
        <w:rPr>
          <w:szCs w:val="22"/>
        </w:rPr>
        <w:t xml:space="preserve"> Street,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324DA1" w:rsidRDefault="00324DA1">
      <w:pPr>
        <w:pStyle w:val="BodyText"/>
        <w:rPr>
          <w:szCs w:val="22"/>
        </w:rPr>
      </w:pPr>
      <w:r>
        <w:rPr>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contractor, Best Copy and Printing, Inc., at FCC@BCPIWEB.COM or (202) 488-5563 (facsimile); (2)</w:t>
      </w:r>
      <w:r w:rsidR="00D541A6">
        <w:rPr>
          <w:szCs w:val="22"/>
          <w:lang w:val="en-US"/>
        </w:rPr>
        <w:t xml:space="preserve"> John Schauble</w:t>
      </w:r>
      <w:r>
        <w:rPr>
          <w:szCs w:val="22"/>
        </w:rPr>
        <w:t xml:space="preserve">, Broadband Division, WTB, at </w:t>
      </w:r>
      <w:r w:rsidR="00D541A6">
        <w:rPr>
          <w:szCs w:val="22"/>
          <w:lang w:val="en-US"/>
        </w:rPr>
        <w:t>john.schauble</w:t>
      </w:r>
      <w:r>
        <w:rPr>
          <w:szCs w:val="22"/>
        </w:rPr>
        <w:t xml:space="preserve">@fcc.gov or (202) 418-7247 (facsimile); </w:t>
      </w:r>
      <w:r w:rsidR="008F5CAF">
        <w:rPr>
          <w:szCs w:val="22"/>
        </w:rPr>
        <w:t>(</w:t>
      </w:r>
      <w:r w:rsidR="008F5CAF">
        <w:rPr>
          <w:szCs w:val="22"/>
          <w:lang w:val="en-US"/>
        </w:rPr>
        <w:t>3</w:t>
      </w:r>
      <w:r w:rsidR="008F5CAF">
        <w:rPr>
          <w:szCs w:val="22"/>
        </w:rPr>
        <w:t>)</w:t>
      </w:r>
      <w:r w:rsidR="008F5CAF">
        <w:rPr>
          <w:szCs w:val="22"/>
          <w:lang w:val="en-US"/>
        </w:rPr>
        <w:t xml:space="preserve"> Linda Ray</w:t>
      </w:r>
      <w:r w:rsidR="008F5CAF">
        <w:rPr>
          <w:szCs w:val="22"/>
        </w:rPr>
        <w:t xml:space="preserve">, Broadband Division, WTB, at </w:t>
      </w:r>
      <w:r w:rsidR="008F5CAF">
        <w:rPr>
          <w:szCs w:val="22"/>
          <w:lang w:val="en-US"/>
        </w:rPr>
        <w:t>linda.ray</w:t>
      </w:r>
      <w:r w:rsidR="008F5CAF">
        <w:rPr>
          <w:szCs w:val="22"/>
        </w:rPr>
        <w:t>@fcc.gov or (202) 418-7247 (facsimile);</w:t>
      </w:r>
      <w:r w:rsidR="008F5CAF">
        <w:rPr>
          <w:color w:val="000000"/>
          <w:szCs w:val="22"/>
        </w:rPr>
        <w:t xml:space="preserve"> </w:t>
      </w:r>
      <w:r>
        <w:rPr>
          <w:color w:val="000000"/>
          <w:szCs w:val="22"/>
        </w:rPr>
        <w:t>(</w:t>
      </w:r>
      <w:r w:rsidR="008F5CAF">
        <w:rPr>
          <w:color w:val="000000"/>
          <w:szCs w:val="22"/>
          <w:lang w:val="en-US"/>
        </w:rPr>
        <w:t>4</w:t>
      </w:r>
      <w:r>
        <w:rPr>
          <w:color w:val="000000"/>
          <w:szCs w:val="22"/>
        </w:rPr>
        <w:t xml:space="preserve">) Kathy Harris, Mobility Division, WTB, at </w:t>
      </w:r>
      <w:hyperlink r:id="rId8" w:history="1">
        <w:r>
          <w:rPr>
            <w:rStyle w:val="Hyperlink"/>
            <w:color w:val="000000"/>
            <w:szCs w:val="22"/>
            <w:u w:val="none"/>
          </w:rPr>
          <w:t>kathy.harris@fcc.gov</w:t>
        </w:r>
      </w:hyperlink>
      <w:r>
        <w:rPr>
          <w:color w:val="000000"/>
          <w:szCs w:val="22"/>
        </w:rPr>
        <w:t xml:space="preserve"> or (202) 418-7447 (facsimile); (</w:t>
      </w:r>
      <w:r w:rsidR="008F5CAF">
        <w:rPr>
          <w:color w:val="000000"/>
          <w:szCs w:val="22"/>
          <w:lang w:val="en-US"/>
        </w:rPr>
        <w:t>5</w:t>
      </w:r>
      <w:r>
        <w:rPr>
          <w:color w:val="000000"/>
          <w:szCs w:val="22"/>
        </w:rPr>
        <w:t xml:space="preserve">) Kate Matraves, Spectrum and Competition Policy Division, WTB, at catherine.matraves@fcc.gov or (202) </w:t>
      </w:r>
      <w:r>
        <w:rPr>
          <w:color w:val="000000"/>
          <w:szCs w:val="22"/>
          <w:lang w:val="en-US"/>
        </w:rPr>
        <w:t>418</w:t>
      </w:r>
      <w:r>
        <w:rPr>
          <w:color w:val="000000"/>
          <w:szCs w:val="22"/>
        </w:rPr>
        <w:t>-</w:t>
      </w:r>
      <w:r>
        <w:rPr>
          <w:color w:val="000000"/>
          <w:szCs w:val="22"/>
          <w:lang w:val="en-US"/>
        </w:rPr>
        <w:t>7447</w:t>
      </w:r>
      <w:r>
        <w:rPr>
          <w:color w:val="000000"/>
          <w:szCs w:val="22"/>
        </w:rPr>
        <w:t xml:space="preserve"> (facsimile);</w:t>
      </w:r>
      <w:r w:rsidR="008F5CAF">
        <w:rPr>
          <w:color w:val="000000"/>
          <w:szCs w:val="22"/>
          <w:lang w:val="en-US"/>
        </w:rPr>
        <w:t xml:space="preserve"> (6</w:t>
      </w:r>
      <w:r>
        <w:rPr>
          <w:color w:val="000000"/>
          <w:szCs w:val="22"/>
          <w:lang w:val="en-US"/>
        </w:rPr>
        <w:t xml:space="preserve">) David Krech, Policy Division, International Bureau, at david.krech@fcc.gov or (202) 418-2824 (facsimile); </w:t>
      </w:r>
      <w:r>
        <w:rPr>
          <w:color w:val="000000"/>
          <w:szCs w:val="22"/>
        </w:rPr>
        <w:t>and (</w:t>
      </w:r>
      <w:r w:rsidR="008F5CAF">
        <w:rPr>
          <w:color w:val="000000"/>
          <w:szCs w:val="22"/>
          <w:lang w:val="en-US"/>
        </w:rPr>
        <w:t>7</w:t>
      </w:r>
      <w:r>
        <w:rPr>
          <w:color w:val="000000"/>
          <w:szCs w:val="22"/>
        </w:rPr>
        <w:t xml:space="preserve">) Jim Bird, Office of General Counsel, at </w:t>
      </w:r>
      <w:hyperlink r:id="rId9" w:history="1">
        <w:r>
          <w:rPr>
            <w:rStyle w:val="Hyperlink"/>
            <w:color w:val="000000"/>
            <w:szCs w:val="22"/>
            <w:u w:val="none"/>
          </w:rPr>
          <w:t>TransactionTeam@fcc.gov</w:t>
        </w:r>
      </w:hyperlink>
      <w:r>
        <w:rPr>
          <w:color w:val="000000"/>
          <w:szCs w:val="22"/>
        </w:rPr>
        <w:t xml:space="preserve"> or (202) 418-1234 (facsimile).</w:t>
      </w:r>
      <w:r>
        <w:rPr>
          <w:color w:val="000000"/>
          <w:szCs w:val="22"/>
          <w:lang w:val="en-US"/>
        </w:rPr>
        <w:t xml:space="preserve"> </w:t>
      </w:r>
      <w:r>
        <w:rPr>
          <w:szCs w:val="22"/>
        </w:rPr>
        <w:t xml:space="preserve"> </w:t>
      </w:r>
      <w:r>
        <w:rPr>
          <w:spacing w:val="-2"/>
          <w:szCs w:val="22"/>
        </w:rPr>
        <w:t xml:space="preserve">Any submission that is e-mailed to Best Copy and Printing, </w:t>
      </w:r>
      <w:r w:rsidR="00D541A6">
        <w:rPr>
          <w:spacing w:val="-2"/>
          <w:szCs w:val="22"/>
          <w:lang w:val="en-US"/>
        </w:rPr>
        <w:t>John Schauble</w:t>
      </w:r>
      <w:r>
        <w:rPr>
          <w:spacing w:val="-2"/>
          <w:szCs w:val="22"/>
        </w:rPr>
        <w:t xml:space="preserve">, </w:t>
      </w:r>
      <w:r w:rsidR="008F5CAF">
        <w:rPr>
          <w:spacing w:val="-2"/>
          <w:szCs w:val="22"/>
          <w:lang w:val="en-US"/>
        </w:rPr>
        <w:t xml:space="preserve">Linda Ray, </w:t>
      </w:r>
      <w:r>
        <w:rPr>
          <w:spacing w:val="-2"/>
          <w:szCs w:val="22"/>
          <w:lang w:val="en-US"/>
        </w:rPr>
        <w:t>Kathy Harris</w:t>
      </w:r>
      <w:r>
        <w:rPr>
          <w:spacing w:val="-2"/>
          <w:szCs w:val="22"/>
        </w:rPr>
        <w:t xml:space="preserve">, </w:t>
      </w:r>
      <w:r>
        <w:rPr>
          <w:spacing w:val="-2"/>
          <w:szCs w:val="22"/>
          <w:lang w:val="en-US"/>
        </w:rPr>
        <w:t xml:space="preserve">Kate Matraves, David Krech, </w:t>
      </w:r>
      <w:r>
        <w:rPr>
          <w:spacing w:val="-2"/>
          <w:szCs w:val="22"/>
        </w:rPr>
        <w:t>and Jim Bird should include in the subject line of the e-mail:  (1) WT</w:t>
      </w:r>
      <w:r>
        <w:rPr>
          <w:szCs w:val="22"/>
        </w:rPr>
        <w:t xml:space="preserve"> Docket No. 1</w:t>
      </w:r>
      <w:r w:rsidR="00D541A6">
        <w:rPr>
          <w:szCs w:val="22"/>
          <w:lang w:val="en-US"/>
        </w:rPr>
        <w:t>3</w:t>
      </w:r>
      <w:r>
        <w:rPr>
          <w:szCs w:val="22"/>
        </w:rPr>
        <w:t>-</w:t>
      </w:r>
      <w:r w:rsidR="00D541A6">
        <w:rPr>
          <w:szCs w:val="22"/>
          <w:lang w:val="en-US"/>
        </w:rPr>
        <w:t>193</w:t>
      </w:r>
      <w:r>
        <w:rPr>
          <w:szCs w:val="22"/>
        </w:rPr>
        <w:t>; (2) the name of the submitting party; and (3) a brief description or title identifying the type of document being submitted (</w:t>
      </w:r>
      <w:r>
        <w:rPr>
          <w:i/>
          <w:szCs w:val="22"/>
        </w:rPr>
        <w:t>e.g</w:t>
      </w:r>
      <w:r>
        <w:rPr>
          <w:szCs w:val="22"/>
        </w:rPr>
        <w:t>., WT Docket No. 1</w:t>
      </w:r>
      <w:r w:rsidR="00D541A6">
        <w:rPr>
          <w:szCs w:val="22"/>
          <w:lang w:val="en-US"/>
        </w:rPr>
        <w:t>3</w:t>
      </w:r>
      <w:r>
        <w:rPr>
          <w:szCs w:val="22"/>
        </w:rPr>
        <w:t>-</w:t>
      </w:r>
      <w:r w:rsidR="00D541A6">
        <w:rPr>
          <w:szCs w:val="22"/>
          <w:lang w:val="en-US"/>
        </w:rPr>
        <w:t>193</w:t>
      </w:r>
      <w:r>
        <w:rPr>
          <w:szCs w:val="22"/>
        </w:rPr>
        <w:t xml:space="preserve">, [name of submitting party], Notice of </w:t>
      </w:r>
      <w:r>
        <w:rPr>
          <w:i/>
          <w:szCs w:val="22"/>
        </w:rPr>
        <w:t xml:space="preserve">Ex Parte </w:t>
      </w:r>
      <w:r>
        <w:rPr>
          <w:szCs w:val="22"/>
        </w:rPr>
        <w:t>Communication).</w:t>
      </w:r>
    </w:p>
    <w:p w:rsidR="00324DA1" w:rsidRDefault="00324DA1">
      <w:pPr>
        <w:pStyle w:val="BodyText"/>
        <w:rPr>
          <w:sz w:val="20"/>
        </w:rPr>
      </w:pPr>
      <w:r>
        <w:rPr>
          <w:szCs w:val="22"/>
        </w:rPr>
        <w:t>Copies of the application and any subsequently-filed documents in this matter may be obtained from Best Copy and Printing, Inc., in person at 445 12th Street, S.W., Room CY-B402, Washington, D.C. 20554, via telephone at (202) 488-5300, via facsimile at (202) 488-5563, or via e-mail at FCC@BCPIWEB.COM.  The application</w:t>
      </w:r>
      <w:r>
        <w:rPr>
          <w:szCs w:val="22"/>
          <w:lang w:val="en-US"/>
        </w:rPr>
        <w:t>s</w:t>
      </w:r>
      <w:r>
        <w:rPr>
          <w:szCs w:val="22"/>
        </w:rPr>
        <w:t xml:space="preserve"> and any associated documents are also available for public inspection and copying during normal reference room hours at the following Commission office:  FCC Reference Information Center, 445 12th Street, S.W., Room CY-A257, Washington, D.C. 20554.  The application</w:t>
      </w:r>
      <w:r>
        <w:rPr>
          <w:szCs w:val="22"/>
          <w:lang w:val="en-US"/>
        </w:rPr>
        <w:t>s</w:t>
      </w:r>
      <w:r>
        <w:rPr>
          <w:szCs w:val="22"/>
        </w:rPr>
        <w:t xml:space="preserve"> </w:t>
      </w:r>
      <w:r>
        <w:rPr>
          <w:szCs w:val="22"/>
          <w:lang w:val="en-US"/>
        </w:rPr>
        <w:t>are</w:t>
      </w:r>
      <w:r>
        <w:rPr>
          <w:szCs w:val="22"/>
        </w:rPr>
        <w:t xml:space="preserve"> also available electronically through ECFS, which may be accessed on the Commission’s Internet website at http://www.fcc.gov.  In addition, the </w:t>
      </w:r>
      <w:r>
        <w:rPr>
          <w:szCs w:val="22"/>
          <w:lang w:val="en-US"/>
        </w:rPr>
        <w:t xml:space="preserve">wireless </w:t>
      </w:r>
      <w:r>
        <w:rPr>
          <w:szCs w:val="22"/>
        </w:rPr>
        <w:t>application</w:t>
      </w:r>
      <w:r>
        <w:rPr>
          <w:szCs w:val="22"/>
          <w:lang w:val="en-US"/>
        </w:rPr>
        <w:t>s</w:t>
      </w:r>
      <w:r>
        <w:rPr>
          <w:szCs w:val="22"/>
        </w:rPr>
        <w:t xml:space="preserve"> </w:t>
      </w:r>
      <w:r>
        <w:rPr>
          <w:szCs w:val="22"/>
          <w:lang w:val="en-US"/>
        </w:rPr>
        <w:t>are</w:t>
      </w:r>
      <w:r>
        <w:rPr>
          <w:szCs w:val="22"/>
        </w:rPr>
        <w:t xml:space="preserve"> available electronically through ULS, which may be accessed on the Commission’s Internet website</w:t>
      </w:r>
      <w:r>
        <w:rPr>
          <w:szCs w:val="22"/>
          <w:lang w:val="en-US"/>
        </w:rPr>
        <w:t>, and the international applications are available electronically through IBFS, also which may be accessed on the Commission’s Internet website.</w:t>
      </w:r>
      <w:r>
        <w:rPr>
          <w:szCs w:val="22"/>
        </w:rPr>
        <w:t xml:space="preserve">.  Information regarding the proposed transaction is also available on the Internet website the FCC has established for this transaction, </w:t>
      </w:r>
      <w:hyperlink r:id="rId10" w:history="1">
        <w:r w:rsidR="002E2B10">
          <w:rPr>
            <w:rStyle w:val="Hyperlink"/>
          </w:rPr>
          <w:t>http://transition.fcc.gov/transaction/att-leap.html</w:t>
        </w:r>
      </w:hyperlink>
      <w:r>
        <w:rPr>
          <w:color w:val="000000"/>
          <w:szCs w:val="22"/>
        </w:rPr>
        <w:t xml:space="preserve">, </w:t>
      </w:r>
      <w:r>
        <w:rPr>
          <w:szCs w:val="22"/>
        </w:rPr>
        <w:t xml:space="preserve">which contains an unofficial listing and electronic copies of materials in this matter.  </w:t>
      </w:r>
    </w:p>
    <w:p w:rsidR="00324DA1" w:rsidRDefault="00324DA1">
      <w:pPr>
        <w:pStyle w:val="BodyText"/>
        <w:rPr>
          <w:szCs w:val="22"/>
        </w:rPr>
      </w:pPr>
      <w:r>
        <w:rPr>
          <w:szCs w:val="22"/>
        </w:rPr>
        <w:t xml:space="preserve">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 </w:t>
      </w:r>
    </w:p>
    <w:p w:rsidR="00324DA1" w:rsidRDefault="00324DA1">
      <w:pPr>
        <w:ind w:firstLine="720"/>
        <w:rPr>
          <w:rStyle w:val="Normal1"/>
          <w:sz w:val="22"/>
          <w:szCs w:val="22"/>
        </w:rPr>
      </w:pPr>
      <w:r>
        <w:rPr>
          <w:sz w:val="22"/>
          <w:szCs w:val="22"/>
        </w:rPr>
        <w:t xml:space="preserve">For further information, contact </w:t>
      </w:r>
      <w:r w:rsidR="00D541A6">
        <w:rPr>
          <w:sz w:val="22"/>
          <w:szCs w:val="22"/>
        </w:rPr>
        <w:t>John Schauble</w:t>
      </w:r>
      <w:r>
        <w:rPr>
          <w:rFonts w:cs="TmsRmn"/>
          <w:sz w:val="22"/>
          <w:szCs w:val="22"/>
        </w:rPr>
        <w:t>,</w:t>
      </w:r>
      <w:r>
        <w:rPr>
          <w:rFonts w:cs="TmsRmn"/>
          <w:b/>
          <w:sz w:val="22"/>
          <w:szCs w:val="22"/>
        </w:rPr>
        <w:t xml:space="preserve"> </w:t>
      </w:r>
      <w:r>
        <w:rPr>
          <w:rFonts w:cs="TmsRmn"/>
          <w:sz w:val="22"/>
          <w:szCs w:val="22"/>
        </w:rPr>
        <w:t xml:space="preserve">Broadband </w:t>
      </w:r>
      <w:r>
        <w:rPr>
          <w:sz w:val="22"/>
          <w:szCs w:val="22"/>
        </w:rPr>
        <w:t>Division, Wireless Telecommunications Bureau, at (202) 418-</w:t>
      </w:r>
      <w:r w:rsidR="00D541A6">
        <w:rPr>
          <w:sz w:val="22"/>
          <w:szCs w:val="22"/>
        </w:rPr>
        <w:t>0797</w:t>
      </w:r>
      <w:r>
        <w:rPr>
          <w:sz w:val="22"/>
          <w:szCs w:val="22"/>
        </w:rPr>
        <w:t>, or Kathy Harris, Mobility Division, Wireless Telecommunications Bureau, at (202) 418-0609.</w:t>
      </w:r>
    </w:p>
    <w:p w:rsidR="00324DA1" w:rsidRDefault="00324DA1">
      <w:pPr>
        <w:rPr>
          <w:rStyle w:val="Normal1"/>
          <w:sz w:val="22"/>
          <w:szCs w:val="22"/>
        </w:rPr>
      </w:pPr>
    </w:p>
    <w:p w:rsidR="00324DA1" w:rsidRDefault="00324DA1">
      <w:pPr>
        <w:widowControl/>
        <w:jc w:val="center"/>
        <w:rPr>
          <w:rStyle w:val="Normal1"/>
          <w:b/>
          <w:sz w:val="22"/>
          <w:szCs w:val="22"/>
        </w:rPr>
      </w:pPr>
      <w:r>
        <w:rPr>
          <w:rStyle w:val="Normal1"/>
          <w:b/>
          <w:sz w:val="22"/>
          <w:szCs w:val="22"/>
        </w:rPr>
        <w:t>-FCC-</w:t>
      </w:r>
    </w:p>
    <w:sectPr w:rsidR="00324DA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17" w:rsidRDefault="00662617">
      <w:r>
        <w:separator/>
      </w:r>
    </w:p>
  </w:endnote>
  <w:endnote w:type="continuationSeparator" w:id="0">
    <w:p w:rsidR="00662617" w:rsidRDefault="0066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6" w:rsidRDefault="0002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PageNo"/>
  <w:p w:rsidR="00324DA1" w:rsidRDefault="00324DA1">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FC3BC2">
      <w:rPr>
        <w:noProof/>
        <w:sz w:val="22"/>
        <w:szCs w:val="22"/>
      </w:rPr>
      <w:t>2</w:t>
    </w:r>
    <w:r>
      <w:rPr>
        <w:sz w:val="22"/>
        <w:szCs w:val="22"/>
      </w:rPr>
      <w:fldChar w:fldCharType="end"/>
    </w:r>
  </w:p>
  <w:bookmarkEnd w:id="1"/>
  <w:p w:rsidR="00324DA1" w:rsidRDefault="0032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6" w:rsidRDefault="0002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17" w:rsidRDefault="00662617">
      <w:r>
        <w:separator/>
      </w:r>
    </w:p>
  </w:footnote>
  <w:footnote w:type="continuationSeparator" w:id="0">
    <w:p w:rsidR="00662617" w:rsidRDefault="00662617">
      <w:r>
        <w:continuationSeparator/>
      </w:r>
    </w:p>
  </w:footnote>
  <w:footnote w:id="1">
    <w:p w:rsidR="00324DA1" w:rsidRDefault="00324DA1">
      <w:pPr>
        <w:pStyle w:val="FootnoteText"/>
      </w:pPr>
      <w:r>
        <w:rPr>
          <w:rStyle w:val="FootnoteReference"/>
          <w:sz w:val="20"/>
        </w:rPr>
        <w:footnoteRef/>
      </w:r>
      <w:r>
        <w:t xml:space="preserve"> 47 U.S.C. §§ 214, 310(d).  </w:t>
      </w:r>
    </w:p>
  </w:footnote>
  <w:footnote w:id="2">
    <w:p w:rsidR="00353C0B" w:rsidRDefault="00353C0B">
      <w:pPr>
        <w:pStyle w:val="FootnoteText"/>
      </w:pPr>
      <w:r>
        <w:rPr>
          <w:rStyle w:val="FootnoteReference"/>
        </w:rPr>
        <w:footnoteRef/>
      </w:r>
      <w:r>
        <w:t xml:space="preserve"> AT&amp;T’s agreement with Leap calls for Leap to dispose of its ownership interests in PR Wireless, LLC</w:t>
      </w:r>
      <w:r w:rsidR="003639C4">
        <w:t>,</w:t>
      </w:r>
      <w:r>
        <w:t xml:space="preserve"> and Flat Wireless, LLC, and. as a result, AT&amp;T is not acquiring those assets as part of this transaction.</w:t>
      </w:r>
    </w:p>
  </w:footnote>
  <w:footnote w:id="3">
    <w:p w:rsidR="006E1333" w:rsidRPr="007852AA" w:rsidRDefault="006E1333" w:rsidP="006E1333">
      <w:pPr>
        <w:pStyle w:val="FootnoteText"/>
      </w:pPr>
      <w:r>
        <w:rPr>
          <w:rStyle w:val="FootnoteReference"/>
        </w:rPr>
        <w:footnoteRef/>
      </w:r>
      <w:r>
        <w:t xml:space="preserve"> </w:t>
      </w:r>
      <w:r>
        <w:rPr>
          <w:i/>
        </w:rPr>
        <w:t>See</w:t>
      </w:r>
      <w:r>
        <w:t xml:space="preserve"> </w:t>
      </w:r>
      <w:hyperlink r:id="rId1" w:history="1">
        <w:r w:rsidRPr="007852AA">
          <w:rPr>
            <w:rStyle w:val="Hyperlink"/>
          </w:rPr>
          <w:t>http://www.att.com/Investor/ATT_Annual/2012/letter_to_investors.html</w:t>
        </w:r>
      </w:hyperlink>
      <w:r>
        <w:t xml:space="preserve"> (last visited Aug. 26, 2013).</w:t>
      </w:r>
    </w:p>
  </w:footnote>
  <w:footnote w:id="4">
    <w:p w:rsidR="007E274C" w:rsidRDefault="007E274C">
      <w:pPr>
        <w:pStyle w:val="FootnoteText"/>
      </w:pPr>
      <w:r>
        <w:rPr>
          <w:rStyle w:val="FootnoteReference"/>
        </w:rPr>
        <w:footnoteRef/>
      </w:r>
      <w:r>
        <w:t xml:space="preserve"> In addition, as part of t</w:t>
      </w:r>
      <w:r w:rsidRPr="007E274C">
        <w:t>he stockholders’ representative</w:t>
      </w:r>
      <w:r>
        <w:t>’s r</w:t>
      </w:r>
      <w:r w:rsidRPr="007E274C">
        <w:t xml:space="preserve">esponsibility for maintaining the Chicago License, </w:t>
      </w:r>
      <w:r>
        <w:t>Laser will have the authority to enter</w:t>
      </w:r>
      <w:r w:rsidRPr="007E274C">
        <w:t xml:space="preserve"> into a consensual arrangement to address the technical issues relating to the digital television protection criteria applicable to the Channel 51 broadcast station signal adjacent to the Chicago License</w:t>
      </w:r>
      <w:r>
        <w:t>.</w:t>
      </w:r>
    </w:p>
  </w:footnote>
  <w:footnote w:id="5">
    <w:p w:rsidR="00F17A1C" w:rsidRDefault="00F17A1C" w:rsidP="00F17A1C">
      <w:pPr>
        <w:spacing w:after="120"/>
        <w:rPr>
          <w:lang w:val="pt-BR"/>
        </w:rPr>
      </w:pPr>
      <w:r>
        <w:rPr>
          <w:rStyle w:val="FootnoteReference"/>
          <w:sz w:val="20"/>
        </w:rPr>
        <w:footnoteRef/>
      </w:r>
      <w:r>
        <w:rPr>
          <w:lang w:val="pt-BR"/>
        </w:rPr>
        <w:t xml:space="preserve"> 47 C.F.R. § 1.1200(a).  </w:t>
      </w:r>
    </w:p>
  </w:footnote>
  <w:footnote w:id="6">
    <w:p w:rsidR="00F17A1C" w:rsidRDefault="00F17A1C" w:rsidP="00F17A1C">
      <w:pPr>
        <w:pStyle w:val="FootnoteText"/>
      </w:pPr>
      <w:r>
        <w:rPr>
          <w:rStyle w:val="FootnoteReference"/>
          <w:sz w:val="20"/>
        </w:rPr>
        <w:footnoteRef/>
      </w:r>
      <w:r>
        <w:t xml:space="preserve"> 47 C.F.R. § 1.1206.</w:t>
      </w:r>
    </w:p>
  </w:footnote>
  <w:footnote w:id="7">
    <w:p w:rsidR="00324DA1" w:rsidRDefault="00324DA1">
      <w:pPr>
        <w:pStyle w:val="FootnoteText"/>
      </w:pPr>
      <w:r>
        <w:rPr>
          <w:rStyle w:val="FootnoteReference"/>
          <w:sz w:val="20"/>
        </w:rPr>
        <w:footnoteRef/>
      </w:r>
      <w:r>
        <w:t xml:space="preserve"> </w:t>
      </w:r>
      <w:r>
        <w:rPr>
          <w:i/>
        </w:rPr>
        <w:t xml:space="preserve">See </w:t>
      </w:r>
      <w:r>
        <w:t>47 C.F.R. § 1.1206(b)(1).</w:t>
      </w:r>
    </w:p>
  </w:footnote>
  <w:footnote w:id="8">
    <w:p w:rsidR="00324DA1" w:rsidRDefault="00324DA1">
      <w:pPr>
        <w:pStyle w:val="FootnoteText"/>
      </w:pPr>
      <w:r>
        <w:rPr>
          <w:rStyle w:val="FootnoteReference"/>
          <w:sz w:val="20"/>
        </w:rPr>
        <w:footnoteRef/>
      </w:r>
      <w:r>
        <w:t xml:space="preserve"> </w:t>
      </w:r>
      <w:r>
        <w:rPr>
          <w:i/>
        </w:rPr>
        <w:t>See id</w:t>
      </w:r>
      <w:r>
        <w:t>.</w:t>
      </w:r>
    </w:p>
  </w:footnote>
  <w:footnote w:id="9">
    <w:p w:rsidR="00324DA1" w:rsidRDefault="00324DA1">
      <w:pPr>
        <w:pStyle w:val="FootnoteText"/>
      </w:pPr>
      <w:r>
        <w:rPr>
          <w:rStyle w:val="FootnoteReference"/>
          <w:sz w:val="20"/>
        </w:rPr>
        <w:footnoteRef/>
      </w:r>
      <w:r>
        <w:t xml:space="preserve"> </w:t>
      </w:r>
      <w:r>
        <w:rPr>
          <w:i/>
        </w:rPr>
        <w:t>Id.</w:t>
      </w:r>
      <w:r>
        <w:t xml:space="preserve"> § 1.1206(b).</w:t>
      </w:r>
    </w:p>
  </w:footnote>
  <w:footnote w:id="10">
    <w:p w:rsidR="00324DA1" w:rsidRDefault="00324DA1">
      <w:pPr>
        <w:pStyle w:val="FootnoteText"/>
      </w:pPr>
      <w:r>
        <w:rPr>
          <w:rStyle w:val="FootnoteReference"/>
          <w:sz w:val="20"/>
        </w:rPr>
        <w:footnoteRef/>
      </w:r>
      <w:r>
        <w:t xml:space="preserve"> </w:t>
      </w:r>
      <w:r>
        <w:rPr>
          <w:i/>
        </w:rPr>
        <w:t>See</w:t>
      </w:r>
      <w:r>
        <w:t xml:space="preserve"> 47 C.F.R. §1.45(c).</w:t>
      </w:r>
    </w:p>
  </w:footnote>
  <w:footnote w:id="11">
    <w:p w:rsidR="00324DA1" w:rsidRDefault="00324DA1">
      <w:pPr>
        <w:pStyle w:val="FootnoteText"/>
      </w:pPr>
      <w:r>
        <w:rPr>
          <w:rStyle w:val="FootnoteReference"/>
          <w:sz w:val="20"/>
        </w:rPr>
        <w:footnoteRef/>
      </w:r>
      <w:r>
        <w:t xml:space="preserve"> </w:t>
      </w:r>
      <w:r>
        <w:rPr>
          <w:i/>
        </w:rPr>
        <w:t xml:space="preserve">See </w:t>
      </w:r>
      <w:r>
        <w:t xml:space="preserve">FCC Announces Change in Filing Location for Paper Documents, </w:t>
      </w:r>
      <w:r>
        <w:rPr>
          <w:i/>
        </w:rPr>
        <w:t>Public Notice</w:t>
      </w:r>
      <w:r>
        <w:t>, 24 FCC Rcd 14312 (2009).</w:t>
      </w:r>
    </w:p>
  </w:footnote>
  <w:footnote w:id="12">
    <w:p w:rsidR="00324DA1" w:rsidRDefault="00324DA1">
      <w:pPr>
        <w:pStyle w:val="FootnoteText"/>
      </w:pPr>
      <w:r>
        <w:rPr>
          <w:rStyle w:val="FootnoteReference"/>
          <w:sz w:val="20"/>
        </w:rPr>
        <w:footnoteRef/>
      </w:r>
      <w:r>
        <w:t xml:space="preserve"> </w:t>
      </w:r>
      <w:r>
        <w:rPr>
          <w:i/>
        </w:rPr>
        <w:t>See</w:t>
      </w:r>
      <w:r>
        <w:t xml:space="preserve"> Electronic Filing of Documents in Rulemaking Proceedings, GC Docket No. 97-113, </w:t>
      </w:r>
      <w:r>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6" w:rsidRDefault="0002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6" w:rsidRDefault="00020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6" w:rsidRDefault="0002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A6"/>
    <w:rsid w:val="00020016"/>
    <w:rsid w:val="0003013D"/>
    <w:rsid w:val="000C1D45"/>
    <w:rsid w:val="000E5D08"/>
    <w:rsid w:val="0010663A"/>
    <w:rsid w:val="001113E2"/>
    <w:rsid w:val="0016351A"/>
    <w:rsid w:val="00165844"/>
    <w:rsid w:val="00254E7B"/>
    <w:rsid w:val="00296185"/>
    <w:rsid w:val="002A45CD"/>
    <w:rsid w:val="002C50EC"/>
    <w:rsid w:val="002E2B10"/>
    <w:rsid w:val="002E2B52"/>
    <w:rsid w:val="00324DA1"/>
    <w:rsid w:val="00327B21"/>
    <w:rsid w:val="00353C0B"/>
    <w:rsid w:val="003553A2"/>
    <w:rsid w:val="003639C4"/>
    <w:rsid w:val="003D0C1E"/>
    <w:rsid w:val="00407ADD"/>
    <w:rsid w:val="00410893"/>
    <w:rsid w:val="00410CDE"/>
    <w:rsid w:val="00486C1C"/>
    <w:rsid w:val="0049429E"/>
    <w:rsid w:val="004D5ECA"/>
    <w:rsid w:val="005A04C6"/>
    <w:rsid w:val="00600F65"/>
    <w:rsid w:val="00612314"/>
    <w:rsid w:val="00662617"/>
    <w:rsid w:val="006A6A1B"/>
    <w:rsid w:val="006D79D0"/>
    <w:rsid w:val="006E1333"/>
    <w:rsid w:val="006E2240"/>
    <w:rsid w:val="00743179"/>
    <w:rsid w:val="007852AA"/>
    <w:rsid w:val="007B5541"/>
    <w:rsid w:val="007C7D46"/>
    <w:rsid w:val="007E274C"/>
    <w:rsid w:val="00820DB5"/>
    <w:rsid w:val="00842246"/>
    <w:rsid w:val="00854909"/>
    <w:rsid w:val="008C6141"/>
    <w:rsid w:val="008E2940"/>
    <w:rsid w:val="008F5CAF"/>
    <w:rsid w:val="009257ED"/>
    <w:rsid w:val="00933523"/>
    <w:rsid w:val="00933B6D"/>
    <w:rsid w:val="00A155F3"/>
    <w:rsid w:val="00A32DEA"/>
    <w:rsid w:val="00A459AA"/>
    <w:rsid w:val="00A93AEE"/>
    <w:rsid w:val="00AD379F"/>
    <w:rsid w:val="00AE3CAE"/>
    <w:rsid w:val="00B0496A"/>
    <w:rsid w:val="00B4358F"/>
    <w:rsid w:val="00B849CE"/>
    <w:rsid w:val="00B93ADC"/>
    <w:rsid w:val="00C17385"/>
    <w:rsid w:val="00CC017D"/>
    <w:rsid w:val="00CC313F"/>
    <w:rsid w:val="00D1386F"/>
    <w:rsid w:val="00D269F0"/>
    <w:rsid w:val="00D541A6"/>
    <w:rsid w:val="00DC4743"/>
    <w:rsid w:val="00DC6266"/>
    <w:rsid w:val="00DE529C"/>
    <w:rsid w:val="00E525C5"/>
    <w:rsid w:val="00E7476D"/>
    <w:rsid w:val="00E90B8D"/>
    <w:rsid w:val="00E93345"/>
    <w:rsid w:val="00EF09D6"/>
    <w:rsid w:val="00F17A1C"/>
    <w:rsid w:val="00F76DCC"/>
    <w:rsid w:val="00FC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link w:val="BodyTextChar"/>
    <w:pPr>
      <w:spacing w:after="240"/>
      <w:ind w:firstLine="720"/>
    </w:pPr>
    <w:rPr>
      <w:sz w:val="22"/>
      <w:lang w:val="x-none" w:eastAsia="x-none"/>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customStyle="1" w:styleId="ParaNum">
    <w:name w:val="ParaNum"/>
    <w:basedOn w:val="Normal"/>
    <w:pPr>
      <w:numPr>
        <w:numId w:val="5"/>
      </w:numPr>
      <w:tabs>
        <w:tab w:val="clear" w:pos="1080"/>
        <w:tab w:val="left" w:pos="1440"/>
      </w:tabs>
      <w:spacing w:after="220"/>
    </w:pPr>
    <w:rPr>
      <w:snapToGrid/>
      <w:sz w:val="22"/>
    </w:rPr>
  </w:style>
  <w:style w:type="character" w:customStyle="1" w:styleId="BodyTextChar">
    <w:name w:val="Body Text Char"/>
    <w:aliases w:val="b Char"/>
    <w:link w:val="BodyText"/>
    <w:rPr>
      <w:snapToGrid w:val="0"/>
      <w:sz w:val="22"/>
    </w:rPr>
  </w:style>
  <w:style w:type="paragraph" w:styleId="Revision">
    <w:name w:val="Revision"/>
    <w:hidden/>
    <w:uiPriority w:val="99"/>
    <w:semiHidden/>
    <w:rPr>
      <w:snapToGrid w:val="0"/>
    </w:rPr>
  </w:style>
  <w:style w:type="character" w:styleId="FollowedHyperlink">
    <w:name w:val="FollowedHyperlink"/>
    <w:basedOn w:val="DefaultParagraphFont"/>
    <w:rsid w:val="00B049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link w:val="BodyTextChar"/>
    <w:pPr>
      <w:spacing w:after="240"/>
      <w:ind w:firstLine="720"/>
    </w:pPr>
    <w:rPr>
      <w:sz w:val="22"/>
      <w:lang w:val="x-none" w:eastAsia="x-none"/>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customStyle="1" w:styleId="ParaNum">
    <w:name w:val="ParaNum"/>
    <w:basedOn w:val="Normal"/>
    <w:pPr>
      <w:numPr>
        <w:numId w:val="5"/>
      </w:numPr>
      <w:tabs>
        <w:tab w:val="clear" w:pos="1080"/>
        <w:tab w:val="left" w:pos="1440"/>
      </w:tabs>
      <w:spacing w:after="220"/>
    </w:pPr>
    <w:rPr>
      <w:snapToGrid/>
      <w:sz w:val="22"/>
    </w:rPr>
  </w:style>
  <w:style w:type="character" w:customStyle="1" w:styleId="BodyTextChar">
    <w:name w:val="Body Text Char"/>
    <w:aliases w:val="b Char"/>
    <w:link w:val="BodyText"/>
    <w:rPr>
      <w:snapToGrid w:val="0"/>
      <w:sz w:val="22"/>
    </w:rPr>
  </w:style>
  <w:style w:type="paragraph" w:styleId="Revision">
    <w:name w:val="Revision"/>
    <w:hidden/>
    <w:uiPriority w:val="99"/>
    <w:semiHidden/>
    <w:rPr>
      <w:snapToGrid w:val="0"/>
    </w:rPr>
  </w:style>
  <w:style w:type="character" w:styleId="FollowedHyperlink">
    <w:name w:val="FollowedHyperlink"/>
    <w:basedOn w:val="DefaultParagraphFont"/>
    <w:rsid w:val="00B04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2340">
      <w:bodyDiv w:val="1"/>
      <w:marLeft w:val="0"/>
      <w:marRight w:val="0"/>
      <w:marTop w:val="0"/>
      <w:marBottom w:val="0"/>
      <w:divBdr>
        <w:top w:val="none" w:sz="0" w:space="0" w:color="auto"/>
        <w:left w:val="none" w:sz="0" w:space="0" w:color="auto"/>
        <w:bottom w:val="none" w:sz="0" w:space="0" w:color="auto"/>
        <w:right w:val="none" w:sz="0" w:space="0" w:color="auto"/>
      </w:divBdr>
    </w:div>
    <w:div w:id="402529644">
      <w:bodyDiv w:val="1"/>
      <w:marLeft w:val="0"/>
      <w:marRight w:val="0"/>
      <w:marTop w:val="0"/>
      <w:marBottom w:val="0"/>
      <w:divBdr>
        <w:top w:val="none" w:sz="0" w:space="0" w:color="auto"/>
        <w:left w:val="none" w:sz="0" w:space="0" w:color="auto"/>
        <w:bottom w:val="none" w:sz="0" w:space="0" w:color="auto"/>
        <w:right w:val="none" w:sz="0" w:space="0" w:color="auto"/>
      </w:divBdr>
    </w:div>
    <w:div w:id="404837393">
      <w:bodyDiv w:val="1"/>
      <w:marLeft w:val="0"/>
      <w:marRight w:val="0"/>
      <w:marTop w:val="0"/>
      <w:marBottom w:val="0"/>
      <w:divBdr>
        <w:top w:val="none" w:sz="0" w:space="0" w:color="auto"/>
        <w:left w:val="none" w:sz="0" w:space="0" w:color="auto"/>
        <w:bottom w:val="none" w:sz="0" w:space="0" w:color="auto"/>
        <w:right w:val="none" w:sz="0" w:space="0" w:color="auto"/>
      </w:divBdr>
    </w:div>
    <w:div w:id="469639771">
      <w:bodyDiv w:val="1"/>
      <w:marLeft w:val="0"/>
      <w:marRight w:val="0"/>
      <w:marTop w:val="0"/>
      <w:marBottom w:val="0"/>
      <w:divBdr>
        <w:top w:val="none" w:sz="0" w:space="0" w:color="auto"/>
        <w:left w:val="none" w:sz="0" w:space="0" w:color="auto"/>
        <w:bottom w:val="none" w:sz="0" w:space="0" w:color="auto"/>
        <w:right w:val="none" w:sz="0" w:space="0" w:color="auto"/>
      </w:divBdr>
    </w:div>
    <w:div w:id="985858654">
      <w:bodyDiv w:val="1"/>
      <w:marLeft w:val="0"/>
      <w:marRight w:val="0"/>
      <w:marTop w:val="0"/>
      <w:marBottom w:val="0"/>
      <w:divBdr>
        <w:top w:val="none" w:sz="0" w:space="0" w:color="auto"/>
        <w:left w:val="none" w:sz="0" w:space="0" w:color="auto"/>
        <w:bottom w:val="none" w:sz="0" w:space="0" w:color="auto"/>
        <w:right w:val="none" w:sz="0" w:space="0" w:color="auto"/>
      </w:divBdr>
    </w:div>
    <w:div w:id="1394506530">
      <w:bodyDiv w:val="1"/>
      <w:marLeft w:val="0"/>
      <w:marRight w:val="0"/>
      <w:marTop w:val="0"/>
      <w:marBottom w:val="0"/>
      <w:divBdr>
        <w:top w:val="none" w:sz="0" w:space="0" w:color="auto"/>
        <w:left w:val="none" w:sz="0" w:space="0" w:color="auto"/>
        <w:bottom w:val="none" w:sz="0" w:space="0" w:color="auto"/>
        <w:right w:val="none" w:sz="0" w:space="0" w:color="auto"/>
      </w:divBdr>
    </w:div>
    <w:div w:id="1593391622">
      <w:bodyDiv w:val="1"/>
      <w:marLeft w:val="0"/>
      <w:marRight w:val="0"/>
      <w:marTop w:val="0"/>
      <w:marBottom w:val="0"/>
      <w:divBdr>
        <w:top w:val="none" w:sz="0" w:space="0" w:color="auto"/>
        <w:left w:val="none" w:sz="0" w:space="0" w:color="auto"/>
        <w:bottom w:val="none" w:sz="0" w:space="0" w:color="auto"/>
        <w:right w:val="none" w:sz="0" w:space="0" w:color="auto"/>
      </w:divBdr>
    </w:div>
    <w:div w:id="1814515788">
      <w:bodyDiv w:val="1"/>
      <w:marLeft w:val="0"/>
      <w:marRight w:val="0"/>
      <w:marTop w:val="0"/>
      <w:marBottom w:val="0"/>
      <w:divBdr>
        <w:top w:val="none" w:sz="0" w:space="0" w:color="auto"/>
        <w:left w:val="none" w:sz="0" w:space="0" w:color="auto"/>
        <w:bottom w:val="none" w:sz="0" w:space="0" w:color="auto"/>
        <w:right w:val="none" w:sz="0" w:space="0" w:color="auto"/>
      </w:divBdr>
    </w:div>
    <w:div w:id="20547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y.harris@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ransition.fcc.gov/transaction/att-leap.html" TargetMode="External"/><Relationship Id="rId4" Type="http://schemas.openxmlformats.org/officeDocument/2006/relationships/settings" Target="settings.xml"/><Relationship Id="rId9" Type="http://schemas.openxmlformats.org/officeDocument/2006/relationships/hyperlink" Target="mailto:TransactionTeam@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tt.com/Investor/ATT_Annual/2012/letter_to_inves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11440</Characters>
  <Application>Microsoft Office Word</Application>
  <DocSecurity>0</DocSecurity>
  <Lines>232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13430</CharactersWithSpaces>
  <SharedDoc>false</SharedDoc>
  <HyperlinkBase> </HyperlinkBase>
  <HLinks>
    <vt:vector size="18" baseType="variant">
      <vt:variant>
        <vt:i4>458775</vt:i4>
      </vt:variant>
      <vt:variant>
        <vt:i4>6</vt:i4>
      </vt:variant>
      <vt:variant>
        <vt:i4>0</vt:i4>
      </vt:variant>
      <vt:variant>
        <vt:i4>5</vt:i4>
      </vt:variant>
      <vt:variant>
        <vt:lpwstr>http://transition.fcc.gov/transaction/at&amp;t-leap.html</vt:lpwstr>
      </vt:variant>
      <vt:variant>
        <vt:lpwstr/>
      </vt:variant>
      <vt:variant>
        <vt:i4>8126555</vt:i4>
      </vt:variant>
      <vt:variant>
        <vt:i4>3</vt:i4>
      </vt:variant>
      <vt:variant>
        <vt:i4>0</vt:i4>
      </vt:variant>
      <vt:variant>
        <vt:i4>5</vt:i4>
      </vt:variant>
      <vt:variant>
        <vt:lpwstr>mailto:TransactionTeam@fcc.gov</vt:lpwstr>
      </vt:variant>
      <vt:variant>
        <vt:lpwstr/>
      </vt:variant>
      <vt:variant>
        <vt:i4>1376367</vt:i4>
      </vt:variant>
      <vt:variant>
        <vt:i4>0</vt:i4>
      </vt:variant>
      <vt:variant>
        <vt:i4>0</vt:i4>
      </vt:variant>
      <vt:variant>
        <vt:i4>5</vt:i4>
      </vt:variant>
      <vt:variant>
        <vt:lpwstr>mailto:kathy.harris@fcc.gov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2013-08-28T18:29:00Z</dcterms:created>
  <dcterms:modified xsi:type="dcterms:W3CDTF">2013-08-28T18:29:00Z</dcterms:modified>
  <cp:category> </cp:category>
  <cp:contentStatus> </cp:contentStatus>
</cp:coreProperties>
</file>