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CB8" w:rsidRDefault="003E4CB8">
      <w:pPr>
        <w:pStyle w:val="Header"/>
        <w:tabs>
          <w:tab w:val="clear" w:pos="4320"/>
          <w:tab w:val="clear" w:pos="8640"/>
        </w:tabs>
        <w:sectPr w:rsidR="003E4CB8">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3E4CB8" w:rsidRDefault="00EA44D0">
      <w:pPr>
        <w:jc w:val="right"/>
        <w:rPr>
          <w:sz w:val="24"/>
        </w:rPr>
      </w:pPr>
      <w:r>
        <w:rPr>
          <w:sz w:val="24"/>
        </w:rPr>
        <w:lastRenderedPageBreak/>
        <w:t>DA 13-</w:t>
      </w:r>
      <w:r w:rsidR="005D3BC9">
        <w:rPr>
          <w:sz w:val="24"/>
        </w:rPr>
        <w:t>1838</w:t>
      </w:r>
    </w:p>
    <w:p w:rsidR="003E4CB8" w:rsidRDefault="00EA44D0">
      <w:pPr>
        <w:spacing w:before="60"/>
        <w:jc w:val="right"/>
        <w:rPr>
          <w:sz w:val="24"/>
        </w:rPr>
      </w:pPr>
      <w:r>
        <w:rPr>
          <w:sz w:val="24"/>
        </w:rPr>
        <w:t xml:space="preserve">Released:  </w:t>
      </w:r>
      <w:r w:rsidR="000F3C40">
        <w:rPr>
          <w:sz w:val="24"/>
        </w:rPr>
        <w:t>August 29</w:t>
      </w:r>
      <w:r>
        <w:rPr>
          <w:sz w:val="24"/>
        </w:rPr>
        <w:t>, 2013</w:t>
      </w:r>
    </w:p>
    <w:p w:rsidR="003E4CB8" w:rsidRDefault="003E4CB8">
      <w:pPr>
        <w:jc w:val="right"/>
        <w:rPr>
          <w:sz w:val="24"/>
        </w:rPr>
      </w:pPr>
    </w:p>
    <w:p w:rsidR="00EA44D0" w:rsidRDefault="00EA44D0" w:rsidP="00007EC1">
      <w:pPr>
        <w:spacing w:after="240"/>
        <w:jc w:val="center"/>
        <w:rPr>
          <w:b/>
          <w:smallCaps/>
          <w:szCs w:val="22"/>
        </w:rPr>
      </w:pPr>
      <w:r w:rsidRPr="001B6246">
        <w:rPr>
          <w:b/>
          <w:smallCaps/>
          <w:szCs w:val="22"/>
        </w:rPr>
        <w:t>WIRELESS TELECOMMUNICATIONS BURE</w:t>
      </w:r>
      <w:r>
        <w:rPr>
          <w:b/>
          <w:smallCaps/>
          <w:szCs w:val="22"/>
        </w:rPr>
        <w:t>AU SEEKS COMMENT ON REQUEST</w:t>
      </w:r>
      <w:r w:rsidR="00007EC1">
        <w:rPr>
          <w:b/>
          <w:smallCaps/>
          <w:szCs w:val="22"/>
        </w:rPr>
        <w:t>S</w:t>
      </w:r>
      <w:r>
        <w:rPr>
          <w:b/>
          <w:smallCaps/>
          <w:szCs w:val="22"/>
        </w:rPr>
        <w:t xml:space="preserve"> OF MOBILE RELAY ASSOCIATES FOR WAIVER</w:t>
      </w:r>
      <w:r w:rsidR="00254B85">
        <w:rPr>
          <w:b/>
          <w:smallCaps/>
          <w:szCs w:val="22"/>
        </w:rPr>
        <w:t>S</w:t>
      </w:r>
      <w:r>
        <w:rPr>
          <w:b/>
          <w:smallCaps/>
          <w:szCs w:val="22"/>
        </w:rPr>
        <w:t xml:space="preserve"> TO PERMIT </w:t>
      </w:r>
      <w:r w:rsidR="00254B85">
        <w:rPr>
          <w:b/>
          <w:smallCaps/>
          <w:szCs w:val="22"/>
        </w:rPr>
        <w:t>PART 90 USE OF</w:t>
      </w:r>
      <w:r>
        <w:rPr>
          <w:b/>
          <w:smallCaps/>
          <w:szCs w:val="22"/>
        </w:rPr>
        <w:t xml:space="preserve"> CHANNELS</w:t>
      </w:r>
      <w:r w:rsidR="00615579">
        <w:rPr>
          <w:b/>
          <w:smallCaps/>
          <w:szCs w:val="22"/>
        </w:rPr>
        <w:t xml:space="preserve"> ON THE BAND EDGE</w:t>
      </w:r>
      <w:r w:rsidR="00254B85">
        <w:rPr>
          <w:b/>
          <w:smallCaps/>
          <w:szCs w:val="22"/>
        </w:rPr>
        <w:t>S</w:t>
      </w:r>
      <w:r w:rsidR="00615579">
        <w:rPr>
          <w:b/>
          <w:smallCaps/>
          <w:szCs w:val="22"/>
        </w:rPr>
        <w:t xml:space="preserve"> BETWEEN PART 90 AND PART 95 SPECTRUM</w:t>
      </w:r>
    </w:p>
    <w:p w:rsidR="003E4CB8" w:rsidRPr="00254B85" w:rsidRDefault="00EA44D0" w:rsidP="00EA44D0">
      <w:pPr>
        <w:jc w:val="center"/>
        <w:rPr>
          <w:b/>
          <w:szCs w:val="22"/>
        </w:rPr>
      </w:pPr>
      <w:r w:rsidRPr="00254B85">
        <w:rPr>
          <w:b/>
          <w:szCs w:val="22"/>
        </w:rPr>
        <w:t>WT Docket No. 13-</w:t>
      </w:r>
      <w:r w:rsidR="005D3BC9">
        <w:rPr>
          <w:b/>
          <w:szCs w:val="22"/>
        </w:rPr>
        <w:t>212</w:t>
      </w:r>
    </w:p>
    <w:p w:rsidR="00EA44D0" w:rsidRPr="00EA44D0" w:rsidRDefault="00EA44D0" w:rsidP="00EA44D0">
      <w:pPr>
        <w:jc w:val="center"/>
        <w:rPr>
          <w:b/>
          <w:sz w:val="24"/>
        </w:rPr>
      </w:pPr>
    </w:p>
    <w:p w:rsidR="00EA44D0" w:rsidRDefault="00EA44D0" w:rsidP="00EA44D0">
      <w:pPr>
        <w:rPr>
          <w:b/>
          <w:bCs/>
          <w:szCs w:val="22"/>
        </w:rPr>
      </w:pPr>
      <w:r w:rsidRPr="001B6246">
        <w:rPr>
          <w:b/>
          <w:bCs/>
          <w:szCs w:val="22"/>
        </w:rPr>
        <w:t>Comment Date:</w:t>
      </w:r>
      <w:r>
        <w:rPr>
          <w:b/>
          <w:bCs/>
          <w:szCs w:val="22"/>
        </w:rPr>
        <w:t xml:space="preserve">  </w:t>
      </w:r>
      <w:r w:rsidR="000F3C40">
        <w:rPr>
          <w:b/>
          <w:bCs/>
          <w:szCs w:val="22"/>
        </w:rPr>
        <w:t>September 30, 2013</w:t>
      </w:r>
    </w:p>
    <w:p w:rsidR="00EA44D0" w:rsidRPr="001B6246" w:rsidRDefault="00EA44D0" w:rsidP="00EA44D0">
      <w:pPr>
        <w:rPr>
          <w:b/>
          <w:bCs/>
          <w:szCs w:val="22"/>
        </w:rPr>
      </w:pPr>
      <w:r>
        <w:rPr>
          <w:b/>
          <w:bCs/>
          <w:szCs w:val="22"/>
        </w:rPr>
        <w:t xml:space="preserve">Reply Comment Date:  </w:t>
      </w:r>
      <w:r w:rsidR="000F3C40">
        <w:rPr>
          <w:b/>
          <w:bCs/>
          <w:szCs w:val="22"/>
        </w:rPr>
        <w:t>October 15, 2013</w:t>
      </w:r>
    </w:p>
    <w:p w:rsidR="00EA44D0" w:rsidRDefault="00EA44D0" w:rsidP="00EA44D0">
      <w:pPr>
        <w:ind w:firstLine="720"/>
        <w:rPr>
          <w:b/>
          <w:bCs/>
          <w:sz w:val="24"/>
        </w:rPr>
      </w:pPr>
      <w:r>
        <w:rPr>
          <w:b/>
          <w:bCs/>
          <w:sz w:val="24"/>
        </w:rPr>
        <w:t xml:space="preserve">                     </w:t>
      </w:r>
    </w:p>
    <w:p w:rsidR="007D2E39" w:rsidRDefault="00EA44D0" w:rsidP="007D2E39">
      <w:pPr>
        <w:pStyle w:val="Default"/>
        <w:ind w:firstLine="720"/>
        <w:rPr>
          <w:sz w:val="22"/>
          <w:szCs w:val="22"/>
        </w:rPr>
      </w:pPr>
      <w:r w:rsidRPr="007D2E39">
        <w:rPr>
          <w:sz w:val="22"/>
          <w:szCs w:val="22"/>
        </w:rPr>
        <w:t xml:space="preserve">By this </w:t>
      </w:r>
      <w:r w:rsidRPr="007D2E39">
        <w:rPr>
          <w:i/>
          <w:sz w:val="22"/>
          <w:szCs w:val="22"/>
        </w:rPr>
        <w:t>Public Notice</w:t>
      </w:r>
      <w:r w:rsidRPr="007D2E39">
        <w:rPr>
          <w:sz w:val="22"/>
          <w:szCs w:val="22"/>
        </w:rPr>
        <w:t>, comment is sought on the request</w:t>
      </w:r>
      <w:r w:rsidR="00254B85">
        <w:rPr>
          <w:sz w:val="22"/>
          <w:szCs w:val="22"/>
        </w:rPr>
        <w:t>s</w:t>
      </w:r>
      <w:r w:rsidRPr="007D2E39">
        <w:rPr>
          <w:sz w:val="22"/>
          <w:szCs w:val="22"/>
        </w:rPr>
        <w:t xml:space="preserve"> </w:t>
      </w:r>
      <w:r w:rsidR="006C394D" w:rsidRPr="007D2E39">
        <w:rPr>
          <w:sz w:val="22"/>
          <w:szCs w:val="22"/>
        </w:rPr>
        <w:t xml:space="preserve">of Mobile Relay Associates (MRA) </w:t>
      </w:r>
      <w:r w:rsidRPr="007D2E39">
        <w:rPr>
          <w:sz w:val="22"/>
          <w:szCs w:val="22"/>
        </w:rPr>
        <w:t>for waiver of Sections 2.106 and 90.35 of the Commission’s Rules.  MRA seeks waiver</w:t>
      </w:r>
      <w:r w:rsidR="006C394D" w:rsidRPr="007D2E39">
        <w:rPr>
          <w:sz w:val="22"/>
          <w:szCs w:val="22"/>
        </w:rPr>
        <w:t>s</w:t>
      </w:r>
      <w:r w:rsidRPr="007D2E39">
        <w:rPr>
          <w:sz w:val="22"/>
          <w:szCs w:val="22"/>
        </w:rPr>
        <w:t xml:space="preserve"> </w:t>
      </w:r>
      <w:r w:rsidR="00331296" w:rsidRPr="007D2E39">
        <w:rPr>
          <w:sz w:val="22"/>
          <w:szCs w:val="22"/>
        </w:rPr>
        <w:t>to operate on</w:t>
      </w:r>
      <w:r w:rsidRPr="007D2E39">
        <w:rPr>
          <w:sz w:val="22"/>
          <w:szCs w:val="22"/>
        </w:rPr>
        <w:t xml:space="preserve"> frequency pairs 462/</w:t>
      </w:r>
      <w:r w:rsidR="00331296" w:rsidRPr="007D2E39">
        <w:rPr>
          <w:sz w:val="22"/>
          <w:szCs w:val="22"/>
        </w:rPr>
        <w:t>46</w:t>
      </w:r>
      <w:r w:rsidRPr="007D2E39">
        <w:rPr>
          <w:sz w:val="22"/>
          <w:szCs w:val="22"/>
        </w:rPr>
        <w:t>7.5375 MHz and 462/</w:t>
      </w:r>
      <w:r w:rsidR="00331296" w:rsidRPr="007D2E39">
        <w:rPr>
          <w:sz w:val="22"/>
          <w:szCs w:val="22"/>
        </w:rPr>
        <w:t>46</w:t>
      </w:r>
      <w:r w:rsidRPr="007D2E39">
        <w:rPr>
          <w:sz w:val="22"/>
          <w:szCs w:val="22"/>
        </w:rPr>
        <w:t xml:space="preserve">7.7375 MHz </w:t>
      </w:r>
      <w:r w:rsidR="00007EC1" w:rsidRPr="007D2E39">
        <w:rPr>
          <w:sz w:val="22"/>
          <w:szCs w:val="22"/>
        </w:rPr>
        <w:t>at multiple locations in the Los Angeles,</w:t>
      </w:r>
      <w:r w:rsidR="00007EC1" w:rsidRPr="007D2E39">
        <w:rPr>
          <w:rStyle w:val="FootnoteReference"/>
          <w:sz w:val="22"/>
          <w:szCs w:val="22"/>
        </w:rPr>
        <w:footnoteReference w:id="1"/>
      </w:r>
      <w:r w:rsidR="00007EC1" w:rsidRPr="007D2E39">
        <w:rPr>
          <w:sz w:val="22"/>
          <w:szCs w:val="22"/>
        </w:rPr>
        <w:t xml:space="preserve"> </w:t>
      </w:r>
      <w:r w:rsidRPr="007D2E39">
        <w:rPr>
          <w:sz w:val="22"/>
          <w:szCs w:val="22"/>
        </w:rPr>
        <w:t>Denver,</w:t>
      </w:r>
      <w:r w:rsidR="00007EC1" w:rsidRPr="007D2E39">
        <w:rPr>
          <w:rStyle w:val="FootnoteReference"/>
          <w:sz w:val="22"/>
          <w:szCs w:val="22"/>
        </w:rPr>
        <w:footnoteReference w:id="2"/>
      </w:r>
      <w:r w:rsidRPr="007D2E39">
        <w:rPr>
          <w:sz w:val="22"/>
          <w:szCs w:val="22"/>
        </w:rPr>
        <w:t xml:space="preserve"> Las Vegas,</w:t>
      </w:r>
      <w:r w:rsidR="00331296" w:rsidRPr="007D2E39">
        <w:rPr>
          <w:rStyle w:val="FootnoteReference"/>
          <w:sz w:val="22"/>
          <w:szCs w:val="22"/>
        </w:rPr>
        <w:footnoteReference w:id="3"/>
      </w:r>
      <w:r w:rsidRPr="007D2E39">
        <w:rPr>
          <w:sz w:val="22"/>
          <w:szCs w:val="22"/>
        </w:rPr>
        <w:t xml:space="preserve"> and Miami</w:t>
      </w:r>
      <w:r w:rsidR="00331296" w:rsidRPr="007D2E39">
        <w:rPr>
          <w:rStyle w:val="FootnoteReference"/>
          <w:sz w:val="22"/>
          <w:szCs w:val="22"/>
        </w:rPr>
        <w:footnoteReference w:id="4"/>
      </w:r>
      <w:r w:rsidR="00007EC1" w:rsidRPr="007D2E39">
        <w:rPr>
          <w:sz w:val="22"/>
          <w:szCs w:val="22"/>
        </w:rPr>
        <w:t xml:space="preserve"> metropolitan areas</w:t>
      </w:r>
      <w:r w:rsidRPr="007D2E39">
        <w:rPr>
          <w:sz w:val="22"/>
          <w:szCs w:val="22"/>
        </w:rPr>
        <w:t>.</w:t>
      </w:r>
      <w:r w:rsidR="00331296" w:rsidRPr="007D2E39">
        <w:rPr>
          <w:rStyle w:val="FootnoteReference"/>
          <w:sz w:val="22"/>
          <w:szCs w:val="22"/>
        </w:rPr>
        <w:footnoteReference w:id="5"/>
      </w:r>
      <w:r w:rsidR="007D2E39" w:rsidRPr="007D2E39">
        <w:rPr>
          <w:sz w:val="22"/>
          <w:szCs w:val="22"/>
        </w:rPr>
        <w:t xml:space="preserve">  </w:t>
      </w:r>
      <w:r w:rsidR="00331296" w:rsidRPr="007D2E39">
        <w:rPr>
          <w:sz w:val="22"/>
          <w:szCs w:val="22"/>
        </w:rPr>
        <w:t>F</w:t>
      </w:r>
      <w:r w:rsidRPr="007D2E39">
        <w:rPr>
          <w:sz w:val="22"/>
          <w:szCs w:val="22"/>
        </w:rPr>
        <w:t>requenc</w:t>
      </w:r>
      <w:r w:rsidR="00331296" w:rsidRPr="007D2E39">
        <w:rPr>
          <w:sz w:val="22"/>
          <w:szCs w:val="22"/>
        </w:rPr>
        <w:t>ie</w:t>
      </w:r>
      <w:r w:rsidRPr="007D2E39">
        <w:rPr>
          <w:sz w:val="22"/>
          <w:szCs w:val="22"/>
        </w:rPr>
        <w:t>s 462</w:t>
      </w:r>
      <w:r w:rsidR="00331296" w:rsidRPr="007D2E39">
        <w:rPr>
          <w:sz w:val="22"/>
          <w:szCs w:val="22"/>
        </w:rPr>
        <w:t>.5375, 462.7375, 46</w:t>
      </w:r>
      <w:r w:rsidRPr="007D2E39">
        <w:rPr>
          <w:sz w:val="22"/>
          <w:szCs w:val="22"/>
        </w:rPr>
        <w:t>7.5375</w:t>
      </w:r>
      <w:r w:rsidR="00331296" w:rsidRPr="007D2E39">
        <w:rPr>
          <w:sz w:val="22"/>
          <w:szCs w:val="22"/>
        </w:rPr>
        <w:t>,</w:t>
      </w:r>
      <w:r w:rsidRPr="007D2E39">
        <w:rPr>
          <w:sz w:val="22"/>
          <w:szCs w:val="22"/>
        </w:rPr>
        <w:t xml:space="preserve"> and </w:t>
      </w:r>
      <w:r w:rsidR="00331296" w:rsidRPr="007D2E39">
        <w:rPr>
          <w:sz w:val="22"/>
          <w:szCs w:val="22"/>
        </w:rPr>
        <w:t>46</w:t>
      </w:r>
      <w:r w:rsidRPr="007D2E39">
        <w:rPr>
          <w:sz w:val="22"/>
          <w:szCs w:val="22"/>
        </w:rPr>
        <w:t xml:space="preserve">7.7375 MHz are </w:t>
      </w:r>
      <w:r w:rsidR="00331296" w:rsidRPr="007D2E39">
        <w:rPr>
          <w:sz w:val="22"/>
          <w:szCs w:val="22"/>
        </w:rPr>
        <w:t>allocated for land mobile operations,</w:t>
      </w:r>
      <w:r w:rsidR="00254B85">
        <w:rPr>
          <w:rStyle w:val="FootnoteReference"/>
          <w:sz w:val="22"/>
          <w:szCs w:val="22"/>
        </w:rPr>
        <w:footnoteReference w:id="6"/>
      </w:r>
      <w:r w:rsidR="00331296" w:rsidRPr="007D2E39">
        <w:rPr>
          <w:sz w:val="22"/>
          <w:szCs w:val="22"/>
        </w:rPr>
        <w:t xml:space="preserve"> but currently are </w:t>
      </w:r>
      <w:r w:rsidRPr="007D2E39">
        <w:rPr>
          <w:sz w:val="22"/>
          <w:szCs w:val="22"/>
        </w:rPr>
        <w:t xml:space="preserve">not </w:t>
      </w:r>
      <w:r w:rsidR="006C394D" w:rsidRPr="007D2E39">
        <w:rPr>
          <w:sz w:val="22"/>
          <w:szCs w:val="22"/>
        </w:rPr>
        <w:t>designated for use by</w:t>
      </w:r>
      <w:r w:rsidRPr="007D2E39">
        <w:rPr>
          <w:sz w:val="22"/>
          <w:szCs w:val="22"/>
        </w:rPr>
        <w:t xml:space="preserve"> </w:t>
      </w:r>
      <w:r w:rsidR="00331296" w:rsidRPr="007D2E39">
        <w:rPr>
          <w:sz w:val="22"/>
          <w:szCs w:val="22"/>
        </w:rPr>
        <w:t xml:space="preserve">the </w:t>
      </w:r>
      <w:r w:rsidRPr="007D2E39">
        <w:rPr>
          <w:sz w:val="22"/>
          <w:szCs w:val="22"/>
        </w:rPr>
        <w:t>Industrial/Business Pool or any other Commission service.</w:t>
      </w:r>
      <w:r w:rsidR="00331296" w:rsidRPr="007D2E39">
        <w:rPr>
          <w:rStyle w:val="FootnoteReference"/>
          <w:sz w:val="22"/>
          <w:szCs w:val="22"/>
        </w:rPr>
        <w:footnoteReference w:id="7"/>
      </w:r>
      <w:r w:rsidRPr="007D2E39">
        <w:rPr>
          <w:sz w:val="22"/>
          <w:szCs w:val="22"/>
        </w:rPr>
        <w:t xml:space="preserve">  </w:t>
      </w:r>
      <w:r w:rsidR="00331296" w:rsidRPr="007D2E39">
        <w:rPr>
          <w:sz w:val="22"/>
          <w:szCs w:val="22"/>
        </w:rPr>
        <w:t xml:space="preserve">Rather, they </w:t>
      </w:r>
      <w:r w:rsidR="006C394D" w:rsidRPr="007D2E39">
        <w:rPr>
          <w:sz w:val="22"/>
          <w:szCs w:val="22"/>
        </w:rPr>
        <w:t xml:space="preserve">are on the band edges between Industrial/Business Pool spectrum and General Mobile Radio Service spectrum.  </w:t>
      </w:r>
    </w:p>
    <w:p w:rsidR="007D2E39" w:rsidRDefault="007D2E39" w:rsidP="007D2E39">
      <w:pPr>
        <w:pStyle w:val="Default"/>
        <w:ind w:firstLine="720"/>
        <w:rPr>
          <w:sz w:val="22"/>
          <w:szCs w:val="22"/>
        </w:rPr>
      </w:pPr>
    </w:p>
    <w:p w:rsidR="007D2E39" w:rsidRDefault="00EA44D0" w:rsidP="007D2E39">
      <w:pPr>
        <w:pStyle w:val="Default"/>
        <w:ind w:firstLine="720"/>
        <w:rPr>
          <w:sz w:val="22"/>
          <w:szCs w:val="22"/>
        </w:rPr>
      </w:pPr>
      <w:r w:rsidRPr="007D2E39">
        <w:rPr>
          <w:sz w:val="22"/>
          <w:szCs w:val="22"/>
        </w:rPr>
        <w:t xml:space="preserve">MRA </w:t>
      </w:r>
      <w:r w:rsidR="0030683F" w:rsidRPr="007D2E39">
        <w:rPr>
          <w:sz w:val="22"/>
          <w:szCs w:val="22"/>
        </w:rPr>
        <w:t>seeks assignment of these frequencies with a 4 kHz emission designator</w:t>
      </w:r>
      <w:r w:rsidR="00254B85">
        <w:rPr>
          <w:sz w:val="22"/>
          <w:szCs w:val="22"/>
        </w:rPr>
        <w:t>, which it</w:t>
      </w:r>
      <w:r w:rsidR="0030683F" w:rsidRPr="007D2E39">
        <w:rPr>
          <w:sz w:val="22"/>
          <w:szCs w:val="22"/>
        </w:rPr>
        <w:t xml:space="preserve"> </w:t>
      </w:r>
      <w:r w:rsidRPr="007D2E39">
        <w:rPr>
          <w:sz w:val="22"/>
          <w:szCs w:val="22"/>
        </w:rPr>
        <w:t xml:space="preserve">contends </w:t>
      </w:r>
      <w:r w:rsidR="00254B85">
        <w:rPr>
          <w:sz w:val="22"/>
          <w:szCs w:val="22"/>
        </w:rPr>
        <w:t>will present</w:t>
      </w:r>
      <w:r w:rsidR="0030683F" w:rsidRPr="007D2E39">
        <w:rPr>
          <w:sz w:val="22"/>
          <w:szCs w:val="22"/>
        </w:rPr>
        <w:t xml:space="preserve"> no risk of harmful interference because its requested channels will not overlap any designated frequencies on either side, </w:t>
      </w:r>
      <w:r w:rsidR="007D2E39" w:rsidRPr="007D2E39">
        <w:rPr>
          <w:sz w:val="22"/>
          <w:szCs w:val="22"/>
        </w:rPr>
        <w:t xml:space="preserve">in light of the implementation of </w:t>
      </w:r>
      <w:r w:rsidRPr="007D2E39">
        <w:rPr>
          <w:sz w:val="22"/>
          <w:szCs w:val="22"/>
        </w:rPr>
        <w:t>narrowband</w:t>
      </w:r>
      <w:r w:rsidR="007D2E39" w:rsidRPr="007D2E39">
        <w:rPr>
          <w:sz w:val="22"/>
          <w:szCs w:val="22"/>
        </w:rPr>
        <w:t>ing</w:t>
      </w:r>
      <w:r w:rsidRPr="007D2E39">
        <w:rPr>
          <w:sz w:val="22"/>
          <w:szCs w:val="22"/>
        </w:rPr>
        <w:t xml:space="preserve"> (maximum 12.5 kHz channel bandwidth or equivalent efficiency)</w:t>
      </w:r>
      <w:r w:rsidR="007D7F2E" w:rsidRPr="007D2E39">
        <w:rPr>
          <w:rStyle w:val="FootnoteReference"/>
          <w:sz w:val="22"/>
          <w:szCs w:val="22"/>
        </w:rPr>
        <w:footnoteReference w:id="8"/>
      </w:r>
      <w:r w:rsidRPr="007D2E39">
        <w:rPr>
          <w:sz w:val="22"/>
          <w:szCs w:val="22"/>
        </w:rPr>
        <w:t xml:space="preserve"> by private land mobile radio </w:t>
      </w:r>
      <w:r w:rsidR="007D7F2E">
        <w:rPr>
          <w:sz w:val="22"/>
          <w:szCs w:val="22"/>
        </w:rPr>
        <w:t xml:space="preserve">(PLMR) </w:t>
      </w:r>
      <w:r w:rsidRPr="007D2E39">
        <w:rPr>
          <w:sz w:val="22"/>
          <w:szCs w:val="22"/>
        </w:rPr>
        <w:t xml:space="preserve">licensees in the 150-174 MHz </w:t>
      </w:r>
      <w:r w:rsidRPr="007D2E39">
        <w:rPr>
          <w:sz w:val="22"/>
          <w:szCs w:val="22"/>
        </w:rPr>
        <w:lastRenderedPageBreak/>
        <w:t>and 421-470 MHz bands</w:t>
      </w:r>
      <w:r w:rsidR="007D2E39" w:rsidRPr="007D2E39">
        <w:rPr>
          <w:sz w:val="22"/>
          <w:szCs w:val="22"/>
        </w:rPr>
        <w:t>.</w:t>
      </w:r>
      <w:r w:rsidRPr="007D2E39">
        <w:rPr>
          <w:rStyle w:val="FootnoteReference"/>
          <w:sz w:val="22"/>
          <w:szCs w:val="22"/>
        </w:rPr>
        <w:footnoteReference w:id="9"/>
      </w:r>
      <w:r w:rsidRPr="007D2E39">
        <w:rPr>
          <w:sz w:val="22"/>
          <w:szCs w:val="22"/>
        </w:rPr>
        <w:t xml:space="preserve">  </w:t>
      </w:r>
      <w:r w:rsidR="00254B85">
        <w:rPr>
          <w:sz w:val="22"/>
          <w:szCs w:val="22"/>
        </w:rPr>
        <w:t>(</w:t>
      </w:r>
      <w:r w:rsidR="007D2E39">
        <w:rPr>
          <w:sz w:val="22"/>
          <w:szCs w:val="22"/>
        </w:rPr>
        <w:t xml:space="preserve">We note, however, that </w:t>
      </w:r>
      <w:r w:rsidR="007D7F2E">
        <w:rPr>
          <w:sz w:val="22"/>
          <w:szCs w:val="22"/>
        </w:rPr>
        <w:t xml:space="preserve">Industrial/Business Pool </w:t>
      </w:r>
      <w:r w:rsidR="007D2E39">
        <w:rPr>
          <w:sz w:val="22"/>
          <w:szCs w:val="22"/>
        </w:rPr>
        <w:t xml:space="preserve">frequency 462.750 MHz </w:t>
      </w:r>
      <w:r w:rsidR="007D7F2E">
        <w:rPr>
          <w:sz w:val="22"/>
          <w:szCs w:val="22"/>
        </w:rPr>
        <w:t>is exempt from narrowbanding</w:t>
      </w:r>
      <w:r w:rsidR="007D2E39">
        <w:rPr>
          <w:rStyle w:val="FootnoteReference"/>
          <w:sz w:val="22"/>
          <w:szCs w:val="22"/>
        </w:rPr>
        <w:footnoteReference w:id="10"/>
      </w:r>
      <w:r w:rsidR="007D2E39">
        <w:rPr>
          <w:sz w:val="22"/>
          <w:szCs w:val="22"/>
        </w:rPr>
        <w:t xml:space="preserve"> and that 25 kHz narrowband-equivalent operation is permitted on Industrial/Business Pool frequencies 462.525, 467.525, and 467.</w:t>
      </w:r>
      <w:r w:rsidR="007D7F2E">
        <w:rPr>
          <w:sz w:val="22"/>
          <w:szCs w:val="22"/>
        </w:rPr>
        <w:t>750 MHz.</w:t>
      </w:r>
      <w:r w:rsidR="007D7F2E">
        <w:rPr>
          <w:rStyle w:val="FootnoteReference"/>
          <w:sz w:val="22"/>
          <w:szCs w:val="22"/>
        </w:rPr>
        <w:footnoteReference w:id="11"/>
      </w:r>
      <w:r w:rsidR="00254B85">
        <w:rPr>
          <w:sz w:val="22"/>
          <w:szCs w:val="22"/>
        </w:rPr>
        <w:t>)</w:t>
      </w:r>
    </w:p>
    <w:p w:rsidR="007D2E39" w:rsidRPr="007D2E39" w:rsidRDefault="007D2E39" w:rsidP="007D2E39">
      <w:pPr>
        <w:pStyle w:val="Default"/>
        <w:ind w:firstLine="720"/>
        <w:rPr>
          <w:sz w:val="22"/>
          <w:szCs w:val="22"/>
        </w:rPr>
      </w:pPr>
    </w:p>
    <w:p w:rsidR="00EA44D0" w:rsidRDefault="00EA44D0" w:rsidP="00EA44D0">
      <w:pPr>
        <w:autoSpaceDE w:val="0"/>
        <w:autoSpaceDN w:val="0"/>
        <w:adjustRightInd w:val="0"/>
        <w:ind w:firstLine="720"/>
        <w:rPr>
          <w:szCs w:val="22"/>
        </w:rPr>
      </w:pPr>
      <w:r>
        <w:rPr>
          <w:szCs w:val="22"/>
        </w:rPr>
        <w:t>Further, MRA contends there is widespread and increasing congestion in the metropolitan areas in which it seeks relief.</w:t>
      </w:r>
      <w:r>
        <w:rPr>
          <w:rStyle w:val="FootnoteReference"/>
          <w:szCs w:val="22"/>
        </w:rPr>
        <w:footnoteReference w:id="12"/>
      </w:r>
      <w:r>
        <w:rPr>
          <w:szCs w:val="22"/>
        </w:rPr>
        <w:t xml:space="preserve">  </w:t>
      </w:r>
      <w:r w:rsidR="00615579">
        <w:rPr>
          <w:szCs w:val="22"/>
        </w:rPr>
        <w:t>It states that UHF spectrum is particularly scarce in the Los Angeles and Miami areas in light of the current freeze on new applications in the 470-512 MHz band</w:t>
      </w:r>
      <w:r>
        <w:rPr>
          <w:szCs w:val="22"/>
        </w:rPr>
        <w:t>.</w:t>
      </w:r>
      <w:r>
        <w:rPr>
          <w:rStyle w:val="FootnoteReference"/>
          <w:szCs w:val="22"/>
        </w:rPr>
        <w:footnoteReference w:id="13"/>
      </w:r>
      <w:r>
        <w:rPr>
          <w:szCs w:val="22"/>
        </w:rPr>
        <w:t xml:space="preserve">  </w:t>
      </w:r>
    </w:p>
    <w:p w:rsidR="00EA44D0" w:rsidRPr="0089773B" w:rsidRDefault="00EA44D0" w:rsidP="00EA44D0">
      <w:pPr>
        <w:autoSpaceDE w:val="0"/>
        <w:autoSpaceDN w:val="0"/>
        <w:adjustRightInd w:val="0"/>
        <w:rPr>
          <w:color w:val="000000"/>
          <w:szCs w:val="22"/>
        </w:rPr>
      </w:pPr>
    </w:p>
    <w:p w:rsidR="00EA44D0" w:rsidRDefault="00EA44D0" w:rsidP="00EA44D0">
      <w:pPr>
        <w:ind w:firstLine="720"/>
        <w:rPr>
          <w:szCs w:val="22"/>
        </w:rPr>
      </w:pPr>
      <w:r>
        <w:rPr>
          <w:color w:val="000000"/>
          <w:szCs w:val="22"/>
        </w:rPr>
        <w:t>We seek comment on MRA’s waiver request</w:t>
      </w:r>
      <w:r w:rsidR="00254B85">
        <w:rPr>
          <w:color w:val="000000"/>
          <w:szCs w:val="22"/>
        </w:rPr>
        <w:t>s</w:t>
      </w:r>
      <w:r>
        <w:rPr>
          <w:color w:val="000000"/>
          <w:szCs w:val="22"/>
        </w:rPr>
        <w:t xml:space="preserve">.  Commenters should address whether the public interest would be served by granting </w:t>
      </w:r>
      <w:r w:rsidR="00615579">
        <w:rPr>
          <w:color w:val="000000"/>
          <w:szCs w:val="22"/>
        </w:rPr>
        <w:t xml:space="preserve">the requested </w:t>
      </w:r>
      <w:r>
        <w:rPr>
          <w:color w:val="000000"/>
          <w:szCs w:val="22"/>
        </w:rPr>
        <w:t>waiver</w:t>
      </w:r>
      <w:r w:rsidR="00615579">
        <w:rPr>
          <w:color w:val="000000"/>
          <w:szCs w:val="22"/>
        </w:rPr>
        <w:t xml:space="preserve">s.  Commenters should also address whether a waiver may be warranted only in part, </w:t>
      </w:r>
      <w:r w:rsidR="00615579">
        <w:rPr>
          <w:i/>
          <w:color w:val="000000"/>
          <w:szCs w:val="22"/>
        </w:rPr>
        <w:t>e.g.</w:t>
      </w:r>
      <w:r w:rsidR="00615579">
        <w:rPr>
          <w:color w:val="000000"/>
          <w:szCs w:val="22"/>
        </w:rPr>
        <w:t>, only on certain frequencies or in certain markets.</w:t>
      </w:r>
      <w:r>
        <w:rPr>
          <w:color w:val="000000"/>
          <w:szCs w:val="22"/>
        </w:rPr>
        <w:t xml:space="preserve">  </w:t>
      </w:r>
      <w:r>
        <w:rPr>
          <w:szCs w:val="22"/>
        </w:rPr>
        <w:t>In particular, we seek comment from parties whose operations could be impacted by grant of the waiver.</w:t>
      </w:r>
      <w:r w:rsidR="00615579">
        <w:rPr>
          <w:szCs w:val="22"/>
        </w:rPr>
        <w:t xml:space="preserve">  </w:t>
      </w:r>
    </w:p>
    <w:p w:rsidR="00EA44D0" w:rsidRDefault="00EA44D0" w:rsidP="00EA44D0">
      <w:pPr>
        <w:rPr>
          <w:szCs w:val="22"/>
        </w:rPr>
      </w:pPr>
    </w:p>
    <w:p w:rsidR="00EA44D0" w:rsidRPr="00523EE2" w:rsidRDefault="00EA44D0" w:rsidP="00EA44D0">
      <w:pPr>
        <w:rPr>
          <w:szCs w:val="22"/>
        </w:rPr>
      </w:pPr>
      <w:r>
        <w:rPr>
          <w:b/>
          <w:szCs w:val="22"/>
        </w:rPr>
        <w:t>Procedural Matters</w:t>
      </w:r>
    </w:p>
    <w:p w:rsidR="00EA44D0" w:rsidRDefault="00EA44D0" w:rsidP="00EA44D0">
      <w:pPr>
        <w:rPr>
          <w:szCs w:val="22"/>
        </w:rPr>
      </w:pPr>
    </w:p>
    <w:p w:rsidR="00EA44D0" w:rsidRDefault="00EA44D0" w:rsidP="00EA44D0">
      <w:pPr>
        <w:tabs>
          <w:tab w:val="left" w:pos="-720"/>
        </w:tabs>
        <w:suppressAutoHyphens/>
        <w:spacing w:line="236" w:lineRule="exact"/>
        <w:rPr>
          <w:szCs w:val="22"/>
        </w:rPr>
      </w:pPr>
      <w:r>
        <w:rPr>
          <w:szCs w:val="22"/>
        </w:rPr>
        <w:tab/>
        <w:t>Interested parties may file comments and reply comments in response to the waiver request</w:t>
      </w:r>
      <w:r w:rsidR="00254B85">
        <w:rPr>
          <w:szCs w:val="22"/>
        </w:rPr>
        <w:t>s</w:t>
      </w:r>
      <w:r>
        <w:rPr>
          <w:szCs w:val="22"/>
        </w:rPr>
        <w:t xml:space="preserve"> on or before the dates listed on the first page of this </w:t>
      </w:r>
      <w:r>
        <w:rPr>
          <w:i/>
          <w:szCs w:val="22"/>
        </w:rPr>
        <w:t>Public Notice</w:t>
      </w:r>
      <w:r>
        <w:rPr>
          <w:szCs w:val="22"/>
        </w:rPr>
        <w:t xml:space="preserve">.  All pleadings must reference WT Docket No. </w:t>
      </w:r>
      <w:r w:rsidR="00254B85">
        <w:rPr>
          <w:szCs w:val="22"/>
        </w:rPr>
        <w:t>13</w:t>
      </w:r>
      <w:r>
        <w:rPr>
          <w:szCs w:val="22"/>
        </w:rPr>
        <w:t>-</w:t>
      </w:r>
      <w:r w:rsidR="005D3BC9">
        <w:rPr>
          <w:szCs w:val="22"/>
        </w:rPr>
        <w:t>212</w:t>
      </w:r>
      <w:r>
        <w:rPr>
          <w:szCs w:val="22"/>
        </w:rPr>
        <w:t>.  Parties may file comments using (1) the Commission’s Electronic Comment Filing System (ECFS), (2) the Federal Government’s eRulemaking Portal, or (3) by filing paper copies.</w:t>
      </w:r>
      <w:r>
        <w:rPr>
          <w:szCs w:val="22"/>
          <w:vertAlign w:val="superscript"/>
        </w:rPr>
        <w:footnoteReference w:id="14"/>
      </w:r>
    </w:p>
    <w:p w:rsidR="00EA44D0" w:rsidRDefault="00EA44D0" w:rsidP="00EA44D0">
      <w:pPr>
        <w:tabs>
          <w:tab w:val="left" w:pos="-720"/>
        </w:tabs>
        <w:suppressAutoHyphens/>
        <w:spacing w:line="236" w:lineRule="exact"/>
        <w:rPr>
          <w:szCs w:val="22"/>
        </w:rPr>
      </w:pPr>
    </w:p>
    <w:p w:rsidR="00EA44D0" w:rsidRDefault="00EA44D0" w:rsidP="00EA44D0">
      <w:pPr>
        <w:numPr>
          <w:ilvl w:val="0"/>
          <w:numId w:val="13"/>
        </w:numPr>
        <w:tabs>
          <w:tab w:val="left" w:pos="-720"/>
        </w:tabs>
        <w:suppressAutoHyphens/>
        <w:spacing w:line="236" w:lineRule="exact"/>
        <w:rPr>
          <w:szCs w:val="22"/>
        </w:rPr>
      </w:pPr>
      <w:r>
        <w:rPr>
          <w:szCs w:val="22"/>
        </w:rPr>
        <w:t>Electronic Filers:  File comments electronically using the Internet by accessing the ECFS:  http://www.fcc.gov/cgb/ecfs/ or the Federal eRulemaking Portal:  http://www.regulations.gov.  Filers should follow the instructions provided on the website for submitting comments.</w:t>
      </w:r>
    </w:p>
    <w:p w:rsidR="00EA44D0" w:rsidRDefault="00EA44D0" w:rsidP="00EA44D0">
      <w:pPr>
        <w:tabs>
          <w:tab w:val="left" w:pos="-720"/>
        </w:tabs>
        <w:suppressAutoHyphens/>
        <w:spacing w:line="236" w:lineRule="exact"/>
        <w:ind w:left="360"/>
        <w:rPr>
          <w:szCs w:val="22"/>
        </w:rPr>
      </w:pPr>
    </w:p>
    <w:p w:rsidR="00EA44D0" w:rsidRDefault="00EA44D0" w:rsidP="00EA44D0">
      <w:pPr>
        <w:numPr>
          <w:ilvl w:val="0"/>
          <w:numId w:val="13"/>
        </w:numPr>
        <w:tabs>
          <w:tab w:val="left" w:pos="-720"/>
        </w:tabs>
        <w:suppressAutoHyphens/>
        <w:spacing w:line="236" w:lineRule="exact"/>
        <w:rPr>
          <w:szCs w:val="22"/>
        </w:rPr>
      </w:pPr>
      <w:r>
        <w:rPr>
          <w:szCs w:val="22"/>
        </w:rPr>
        <w:t>In completing the transmittal screen, filers should include their full name, U.S. Postal Service mailing address, and the applicable docket or rulemaking number.  Parties may also submit an electronic comment by Internet e-mail. To get filing instructions, filers should send an e-mail to ecfs@fcc.gov, and include the following words in the body of the message, “get form.”  A sample form and directions will be sent in response.</w:t>
      </w:r>
    </w:p>
    <w:p w:rsidR="00EA44D0" w:rsidRDefault="00EA44D0" w:rsidP="00EA44D0">
      <w:pPr>
        <w:tabs>
          <w:tab w:val="left" w:pos="-720"/>
        </w:tabs>
        <w:suppressAutoHyphens/>
        <w:spacing w:line="236" w:lineRule="exact"/>
        <w:ind w:left="360"/>
        <w:rPr>
          <w:szCs w:val="22"/>
        </w:rPr>
      </w:pPr>
    </w:p>
    <w:p w:rsidR="00EA44D0" w:rsidRDefault="00EA44D0" w:rsidP="00EA44D0">
      <w:pPr>
        <w:numPr>
          <w:ilvl w:val="0"/>
          <w:numId w:val="14"/>
        </w:numPr>
        <w:tabs>
          <w:tab w:val="left" w:pos="-720"/>
        </w:tabs>
        <w:suppressAutoHyphens/>
        <w:spacing w:line="236" w:lineRule="exact"/>
        <w:rPr>
          <w:szCs w:val="22"/>
        </w:rPr>
      </w:pPr>
      <w:r>
        <w:rPr>
          <w:szCs w:val="22"/>
        </w:rPr>
        <w:t xml:space="preserve">Paper Filers:  Parties who choose to file by paper must file an original and two copies of each filing.  </w:t>
      </w:r>
    </w:p>
    <w:p w:rsidR="00EA44D0" w:rsidRDefault="00EA44D0" w:rsidP="00EA44D0">
      <w:pPr>
        <w:tabs>
          <w:tab w:val="left" w:pos="-720"/>
        </w:tabs>
        <w:suppressAutoHyphens/>
        <w:spacing w:line="236" w:lineRule="exact"/>
        <w:ind w:left="360"/>
        <w:rPr>
          <w:szCs w:val="22"/>
        </w:rPr>
      </w:pPr>
    </w:p>
    <w:p w:rsidR="00EA44D0" w:rsidRDefault="00EA44D0" w:rsidP="00EA44D0">
      <w:pPr>
        <w:tabs>
          <w:tab w:val="left" w:pos="-720"/>
        </w:tabs>
        <w:suppressAutoHyphens/>
        <w:spacing w:line="236" w:lineRule="exact"/>
        <w:rPr>
          <w:szCs w:val="22"/>
        </w:rPr>
      </w:pPr>
      <w:r>
        <w:rPr>
          <w:szCs w:val="22"/>
        </w:rPr>
        <w:tab/>
        <w:t>Send filings by hand or messenger delivery, by commercial overnight courier, or by first-class or overnight U.S. Postal Service mail (although we continue to experience delays in receiving U.S. Postal Service mail).  Address filings to the Commission’s Secretary, Office of the Secretary, Federal Communications Commission.</w:t>
      </w:r>
    </w:p>
    <w:p w:rsidR="00EA44D0" w:rsidRDefault="00EA44D0" w:rsidP="00EA44D0">
      <w:pPr>
        <w:tabs>
          <w:tab w:val="left" w:pos="-720"/>
        </w:tabs>
        <w:suppressAutoHyphens/>
        <w:spacing w:line="236" w:lineRule="exact"/>
        <w:rPr>
          <w:szCs w:val="22"/>
        </w:rPr>
      </w:pPr>
    </w:p>
    <w:p w:rsidR="00EA44D0" w:rsidRDefault="00EA44D0" w:rsidP="00EA44D0">
      <w:pPr>
        <w:numPr>
          <w:ilvl w:val="0"/>
          <w:numId w:val="15"/>
        </w:numPr>
        <w:tabs>
          <w:tab w:val="left" w:pos="-720"/>
        </w:tabs>
        <w:suppressAutoHyphens/>
        <w:spacing w:line="236" w:lineRule="exact"/>
        <w:rPr>
          <w:szCs w:val="22"/>
        </w:rPr>
      </w:pPr>
      <w:r>
        <w:rPr>
          <w:szCs w:val="22"/>
        </w:rPr>
        <w:t xml:space="preserve">Deliver hand-delivered or messenger-delivered paper filings to FCC Headquarters at </w:t>
      </w:r>
      <w:smartTag w:uri="urn:schemas-microsoft-com:office:smarttags" w:element="Street">
        <w:smartTag w:uri="urn:schemas-microsoft-com:office:smarttags" w:element="address">
          <w:r>
            <w:rPr>
              <w:szCs w:val="22"/>
            </w:rPr>
            <w:t>445 12</w:t>
          </w:r>
          <w:r>
            <w:rPr>
              <w:szCs w:val="22"/>
              <w:vertAlign w:val="superscript"/>
            </w:rPr>
            <w:t>th</w:t>
          </w:r>
          <w:r>
            <w:rPr>
              <w:szCs w:val="22"/>
            </w:rPr>
            <w:t xml:space="preserve"> St., SW</w:t>
          </w:r>
        </w:smartTag>
      </w:smartTag>
      <w:r>
        <w:rPr>
          <w:szCs w:val="22"/>
        </w:rPr>
        <w:t xml:space="preserve">, Room TW-A325, </w:t>
      </w:r>
      <w:smartTag w:uri="urn:schemas-microsoft-com:office:smarttags" w:element="place">
        <w:smartTag w:uri="urn:schemas-microsoft-com:office:smarttags" w:element="City">
          <w:r>
            <w:rPr>
              <w:szCs w:val="22"/>
            </w:rPr>
            <w:t>Washington</w:t>
          </w:r>
        </w:smartTag>
        <w:r>
          <w:rPr>
            <w:szCs w:val="22"/>
          </w:rPr>
          <w:t xml:space="preserve">, </w:t>
        </w:r>
        <w:smartTag w:uri="urn:schemas-microsoft-com:office:smarttags" w:element="State">
          <w:r>
            <w:rPr>
              <w:szCs w:val="22"/>
            </w:rPr>
            <w:t>DC</w:t>
          </w:r>
        </w:smartTag>
        <w:r>
          <w:rPr>
            <w:szCs w:val="22"/>
          </w:rPr>
          <w:t xml:space="preserve"> </w:t>
        </w:r>
        <w:smartTag w:uri="urn:schemas-microsoft-com:office:smarttags" w:element="PostalCode">
          <w:r>
            <w:rPr>
              <w:szCs w:val="22"/>
            </w:rPr>
            <w:t>20554</w:t>
          </w:r>
        </w:smartTag>
      </w:smartTag>
      <w:r>
        <w:rPr>
          <w:szCs w:val="22"/>
        </w:rPr>
        <w:t xml:space="preserve"> between 8:00 AM and 7:00 PM.  Use rubber bands or fasteners to hold deliveries together.  Dispose of all envelopes before entering the building.</w:t>
      </w:r>
    </w:p>
    <w:p w:rsidR="00EA44D0" w:rsidRDefault="00EA44D0" w:rsidP="00EA44D0">
      <w:pPr>
        <w:tabs>
          <w:tab w:val="left" w:pos="-720"/>
        </w:tabs>
        <w:suppressAutoHyphens/>
        <w:spacing w:line="236" w:lineRule="exact"/>
        <w:ind w:left="1080"/>
        <w:rPr>
          <w:szCs w:val="22"/>
        </w:rPr>
      </w:pPr>
    </w:p>
    <w:p w:rsidR="00EA44D0" w:rsidRDefault="00EA44D0" w:rsidP="00EA44D0">
      <w:pPr>
        <w:numPr>
          <w:ilvl w:val="0"/>
          <w:numId w:val="15"/>
        </w:numPr>
        <w:tabs>
          <w:tab w:val="left" w:pos="-720"/>
        </w:tabs>
        <w:suppressAutoHyphens/>
        <w:spacing w:line="236" w:lineRule="exact"/>
        <w:rPr>
          <w:szCs w:val="22"/>
        </w:rPr>
      </w:pPr>
      <w:r>
        <w:rPr>
          <w:szCs w:val="22"/>
        </w:rPr>
        <w:t xml:space="preserve">Send commercial overnight mail (other than U.S. Postal Service Express Mail and Priority Mail) to </w:t>
      </w:r>
      <w:smartTag w:uri="urn:schemas-microsoft-com:office:smarttags" w:element="address">
        <w:smartTag w:uri="urn:schemas-microsoft-com:office:smarttags" w:element="Street">
          <w:r>
            <w:rPr>
              <w:szCs w:val="22"/>
            </w:rPr>
            <w:t>9300 East Hampton Drive</w:t>
          </w:r>
        </w:smartTag>
        <w:r>
          <w:rPr>
            <w:szCs w:val="22"/>
          </w:rPr>
          <w:t xml:space="preserve">, </w:t>
        </w:r>
        <w:smartTag w:uri="urn:schemas-microsoft-com:office:smarttags" w:element="City">
          <w:r>
            <w:rPr>
              <w:szCs w:val="22"/>
            </w:rPr>
            <w:t>Capitol Heights</w:t>
          </w:r>
        </w:smartTag>
        <w:r>
          <w:rPr>
            <w:szCs w:val="22"/>
          </w:rPr>
          <w:t xml:space="preserve">, </w:t>
        </w:r>
        <w:smartTag w:uri="urn:schemas-microsoft-com:office:smarttags" w:element="State">
          <w:r>
            <w:rPr>
              <w:szCs w:val="22"/>
            </w:rPr>
            <w:t>MD</w:t>
          </w:r>
        </w:smartTag>
        <w:r>
          <w:rPr>
            <w:szCs w:val="22"/>
          </w:rPr>
          <w:t xml:space="preserve"> </w:t>
        </w:r>
        <w:smartTag w:uri="urn:schemas-microsoft-com:office:smarttags" w:element="PostalCode">
          <w:r>
            <w:rPr>
              <w:szCs w:val="22"/>
            </w:rPr>
            <w:t>20743</w:t>
          </w:r>
        </w:smartTag>
      </w:smartTag>
      <w:r>
        <w:rPr>
          <w:szCs w:val="22"/>
        </w:rPr>
        <w:t>.</w:t>
      </w:r>
    </w:p>
    <w:p w:rsidR="00EA44D0" w:rsidRDefault="00EA44D0" w:rsidP="00EA44D0">
      <w:pPr>
        <w:tabs>
          <w:tab w:val="left" w:pos="-720"/>
        </w:tabs>
        <w:suppressAutoHyphens/>
        <w:spacing w:line="236" w:lineRule="exact"/>
        <w:rPr>
          <w:szCs w:val="22"/>
        </w:rPr>
      </w:pPr>
    </w:p>
    <w:p w:rsidR="00EA44D0" w:rsidRDefault="00EA44D0" w:rsidP="00EA44D0">
      <w:pPr>
        <w:numPr>
          <w:ilvl w:val="0"/>
          <w:numId w:val="15"/>
        </w:numPr>
        <w:tabs>
          <w:tab w:val="left" w:pos="-720"/>
        </w:tabs>
        <w:suppressAutoHyphens/>
        <w:spacing w:line="236" w:lineRule="exact"/>
        <w:rPr>
          <w:szCs w:val="22"/>
        </w:rPr>
      </w:pPr>
      <w:r>
        <w:rPr>
          <w:szCs w:val="22"/>
        </w:rPr>
        <w:t xml:space="preserve">Send U.S. Postal Service first-class, Express, and Priority mail to </w:t>
      </w:r>
      <w:smartTag w:uri="urn:schemas-microsoft-com:office:smarttags" w:element="address">
        <w:smartTag w:uri="urn:schemas-microsoft-com:office:smarttags" w:element="Street">
          <w:r>
            <w:rPr>
              <w:szCs w:val="22"/>
            </w:rPr>
            <w:t>445 12</w:t>
          </w:r>
          <w:r>
            <w:rPr>
              <w:szCs w:val="22"/>
              <w:vertAlign w:val="superscript"/>
            </w:rPr>
            <w:t>th</w:t>
          </w:r>
          <w:r>
            <w:rPr>
              <w:szCs w:val="22"/>
            </w:rPr>
            <w:t xml:space="preserve"> Street, SW</w:t>
          </w:r>
        </w:smartTag>
        <w:r>
          <w:rPr>
            <w:szCs w:val="22"/>
          </w:rPr>
          <w:t xml:space="preserve">, </w:t>
        </w:r>
        <w:smartTag w:uri="urn:schemas-microsoft-com:office:smarttags" w:element="City">
          <w:r>
            <w:rPr>
              <w:szCs w:val="22"/>
            </w:rPr>
            <w:t>Washington</w:t>
          </w:r>
        </w:smartTag>
        <w:r>
          <w:rPr>
            <w:szCs w:val="22"/>
          </w:rPr>
          <w:t xml:space="preserve"> </w:t>
        </w:r>
        <w:smartTag w:uri="urn:schemas-microsoft-com:office:smarttags" w:element="State">
          <w:r>
            <w:rPr>
              <w:szCs w:val="22"/>
            </w:rPr>
            <w:t>DC</w:t>
          </w:r>
        </w:smartTag>
        <w:r>
          <w:rPr>
            <w:szCs w:val="22"/>
          </w:rPr>
          <w:t xml:space="preserve"> </w:t>
        </w:r>
        <w:smartTag w:uri="urn:schemas-microsoft-com:office:smarttags" w:element="PostalCode">
          <w:r>
            <w:rPr>
              <w:szCs w:val="22"/>
            </w:rPr>
            <w:t>20554</w:t>
          </w:r>
        </w:smartTag>
      </w:smartTag>
      <w:r>
        <w:rPr>
          <w:szCs w:val="22"/>
        </w:rPr>
        <w:t>.</w:t>
      </w:r>
    </w:p>
    <w:p w:rsidR="00EA44D0" w:rsidRPr="00A83041" w:rsidRDefault="00EA44D0" w:rsidP="00EA44D0">
      <w:pPr>
        <w:pStyle w:val="BodyText2"/>
        <w:spacing w:line="228" w:lineRule="auto"/>
        <w:ind w:firstLine="720"/>
        <w:rPr>
          <w:sz w:val="22"/>
        </w:rPr>
      </w:pPr>
    </w:p>
    <w:p w:rsidR="00EA44D0" w:rsidRDefault="00EA44D0" w:rsidP="00EA44D0">
      <w:pPr>
        <w:pStyle w:val="BodyText2"/>
        <w:spacing w:line="228" w:lineRule="auto"/>
        <w:ind w:firstLine="720"/>
        <w:rPr>
          <w:sz w:val="22"/>
        </w:rPr>
      </w:pPr>
      <w:r w:rsidRPr="00523EE2">
        <w:rPr>
          <w:sz w:val="22"/>
        </w:rPr>
        <w:t xml:space="preserve">Parties are requested to send one copy of their comments and reply comments to Best Copy and Printing, Inc., Portals II, </w:t>
      </w:r>
      <w:smartTag w:uri="urn:schemas-microsoft-com:office:smarttags" w:element="Street">
        <w:smartTag w:uri="urn:schemas-microsoft-com:office:smarttags" w:element="address">
          <w:r w:rsidRPr="00523EE2">
            <w:rPr>
              <w:sz w:val="22"/>
            </w:rPr>
            <w:t>445 12th Street, S.W.</w:t>
          </w:r>
        </w:smartTag>
      </w:smartTag>
      <w:r w:rsidRPr="00523EE2">
        <w:rPr>
          <w:sz w:val="22"/>
        </w:rPr>
        <w:t xml:space="preserve">, Room CY-B402, </w:t>
      </w:r>
      <w:smartTag w:uri="urn:schemas-microsoft-com:office:smarttags" w:element="place">
        <w:smartTag w:uri="urn:schemas-microsoft-com:office:smarttags" w:element="City">
          <w:r w:rsidRPr="00523EE2">
            <w:rPr>
              <w:sz w:val="22"/>
            </w:rPr>
            <w:t>Washington</w:t>
          </w:r>
        </w:smartTag>
        <w:r w:rsidRPr="00523EE2">
          <w:rPr>
            <w:sz w:val="22"/>
          </w:rPr>
          <w:t xml:space="preserve">, </w:t>
        </w:r>
        <w:smartTag w:uri="urn:schemas-microsoft-com:office:smarttags" w:element="State">
          <w:r w:rsidRPr="00523EE2">
            <w:rPr>
              <w:sz w:val="22"/>
            </w:rPr>
            <w:t>D.C.</w:t>
          </w:r>
        </w:smartTag>
        <w:r w:rsidRPr="00523EE2">
          <w:rPr>
            <w:sz w:val="22"/>
          </w:rPr>
          <w:t xml:space="preserve"> </w:t>
        </w:r>
        <w:smartTag w:uri="urn:schemas-microsoft-com:office:smarttags" w:element="PostalCode">
          <w:r w:rsidRPr="00523EE2">
            <w:rPr>
              <w:sz w:val="22"/>
            </w:rPr>
            <w:t>20554</w:t>
          </w:r>
        </w:smartTag>
      </w:smartTag>
      <w:r w:rsidRPr="00523EE2">
        <w:rPr>
          <w:sz w:val="22"/>
        </w:rPr>
        <w:t xml:space="preserve">, (800) 378-3160, e-mail </w:t>
      </w:r>
      <w:hyperlink r:id="rId14" w:history="1">
        <w:r w:rsidRPr="00523EE2">
          <w:rPr>
            <w:rStyle w:val="Hyperlink"/>
            <w:sz w:val="22"/>
          </w:rPr>
          <w:t>FCC@BCPIWEB.com</w:t>
        </w:r>
      </w:hyperlink>
      <w:r w:rsidRPr="00523EE2">
        <w:rPr>
          <w:sz w:val="22"/>
        </w:rPr>
        <w:t>.</w:t>
      </w:r>
    </w:p>
    <w:p w:rsidR="00EA44D0" w:rsidRDefault="00EA44D0" w:rsidP="00EA44D0">
      <w:pPr>
        <w:pStyle w:val="BodyText2"/>
        <w:spacing w:line="228" w:lineRule="auto"/>
        <w:ind w:firstLine="720"/>
        <w:rPr>
          <w:sz w:val="22"/>
        </w:rPr>
      </w:pPr>
    </w:p>
    <w:p w:rsidR="00EA44D0" w:rsidRPr="00B76067" w:rsidRDefault="00EA44D0" w:rsidP="00EA44D0">
      <w:pPr>
        <w:pStyle w:val="BodyText2"/>
        <w:spacing w:line="228" w:lineRule="auto"/>
        <w:ind w:firstLine="720"/>
        <w:rPr>
          <w:sz w:val="22"/>
          <w:szCs w:val="22"/>
        </w:rPr>
      </w:pPr>
      <w:r w:rsidRPr="00B76067">
        <w:rPr>
          <w:color w:val="000000"/>
          <w:sz w:val="22"/>
          <w:szCs w:val="22"/>
        </w:rPr>
        <w:t>The request</w:t>
      </w:r>
      <w:r w:rsidR="00254B85">
        <w:rPr>
          <w:color w:val="000000"/>
          <w:sz w:val="22"/>
          <w:szCs w:val="22"/>
        </w:rPr>
        <w:t>s</w:t>
      </w:r>
      <w:r w:rsidRPr="00B76067">
        <w:rPr>
          <w:color w:val="000000"/>
          <w:sz w:val="22"/>
          <w:szCs w:val="22"/>
        </w:rPr>
        <w:t xml:space="preserve">, and comments and reply comments filed in response to this </w:t>
      </w:r>
      <w:r w:rsidRPr="00254B85">
        <w:rPr>
          <w:i/>
          <w:color w:val="000000"/>
          <w:sz w:val="22"/>
          <w:szCs w:val="22"/>
        </w:rPr>
        <w:t>Public Notice</w:t>
      </w:r>
      <w:r w:rsidRPr="00B76067">
        <w:rPr>
          <w:color w:val="000000"/>
          <w:sz w:val="22"/>
          <w:szCs w:val="22"/>
        </w:rPr>
        <w:t xml:space="preserve"> are available for viewing via the Commission's Electronic Comment Filing System (ECFS)</w:t>
      </w:r>
      <w:r>
        <w:rPr>
          <w:color w:val="000000"/>
          <w:sz w:val="22"/>
          <w:szCs w:val="22"/>
        </w:rPr>
        <w:t xml:space="preserve">, </w:t>
      </w:r>
      <w:hyperlink r:id="rId15" w:history="1">
        <w:r w:rsidRPr="002313D2">
          <w:rPr>
            <w:rStyle w:val="Hyperlink"/>
            <w:szCs w:val="22"/>
          </w:rPr>
          <w:t>http://www.fcc.gov/cgb/ecfs</w:t>
        </w:r>
      </w:hyperlink>
      <w:r>
        <w:rPr>
          <w:sz w:val="22"/>
          <w:szCs w:val="22"/>
        </w:rPr>
        <w:t xml:space="preserve">, </w:t>
      </w:r>
      <w:r w:rsidRPr="00B76067">
        <w:rPr>
          <w:color w:val="000000"/>
          <w:sz w:val="22"/>
          <w:szCs w:val="22"/>
        </w:rPr>
        <w:t xml:space="preserve">by entering the docket number, </w:t>
      </w:r>
      <w:r w:rsidR="00254B85">
        <w:rPr>
          <w:color w:val="000000"/>
          <w:sz w:val="22"/>
          <w:szCs w:val="22"/>
        </w:rPr>
        <w:t xml:space="preserve">WT </w:t>
      </w:r>
      <w:r w:rsidR="00254B85">
        <w:rPr>
          <w:szCs w:val="22"/>
        </w:rPr>
        <w:t>13-</w:t>
      </w:r>
      <w:r w:rsidR="005D3BC9">
        <w:rPr>
          <w:szCs w:val="22"/>
        </w:rPr>
        <w:t>212</w:t>
      </w:r>
      <w:r w:rsidRPr="00B76067">
        <w:rPr>
          <w:color w:val="000000"/>
          <w:sz w:val="22"/>
          <w:szCs w:val="22"/>
        </w:rPr>
        <w:t>.  The documents also will be available for public inspection and copying during business hours in the FCC Reference Information Center, Portals II, 445 12th Street S.W., Room CY-A257, Washington, D.C. 20554. They may also be purchased from</w:t>
      </w:r>
      <w:r>
        <w:rPr>
          <w:color w:val="000000"/>
          <w:sz w:val="22"/>
          <w:szCs w:val="22"/>
        </w:rPr>
        <w:t xml:space="preserve"> Best Copy and Printing</w:t>
      </w:r>
      <w:bookmarkStart w:id="4" w:name="SR;1282"/>
      <w:bookmarkStart w:id="5" w:name="SR;1283"/>
      <w:bookmarkStart w:id="6" w:name="SR;1285"/>
      <w:bookmarkStart w:id="7" w:name="SearchTerm"/>
      <w:bookmarkEnd w:id="4"/>
      <w:bookmarkEnd w:id="5"/>
      <w:bookmarkEnd w:id="6"/>
      <w:r w:rsidRPr="00B76067">
        <w:rPr>
          <w:color w:val="000000"/>
          <w:sz w:val="22"/>
          <w:szCs w:val="22"/>
        </w:rPr>
        <w:t>, Inc., telephone (800) 378-3160,</w:t>
      </w:r>
      <w:r>
        <w:rPr>
          <w:color w:val="000000"/>
          <w:sz w:val="22"/>
          <w:szCs w:val="22"/>
        </w:rPr>
        <w:t xml:space="preserve"> facsimile</w:t>
      </w:r>
      <w:bookmarkStart w:id="8" w:name="SR;1291"/>
      <w:bookmarkEnd w:id="7"/>
      <w:bookmarkEnd w:id="8"/>
      <w:r w:rsidRPr="00B76067">
        <w:rPr>
          <w:color w:val="000000"/>
          <w:sz w:val="22"/>
          <w:szCs w:val="22"/>
        </w:rPr>
        <w:t xml:space="preserve"> (202) 488-5563, TTY (202) 488-5562, e-mail FCC@BCPIWEB.com.</w:t>
      </w:r>
    </w:p>
    <w:p w:rsidR="00EA44D0" w:rsidRDefault="00EA44D0" w:rsidP="00EA44D0">
      <w:pPr>
        <w:pStyle w:val="BodyText2"/>
        <w:spacing w:line="228" w:lineRule="auto"/>
        <w:ind w:firstLine="720"/>
        <w:rPr>
          <w:sz w:val="22"/>
        </w:rPr>
      </w:pPr>
    </w:p>
    <w:p w:rsidR="00EA44D0" w:rsidRPr="00523EE2" w:rsidRDefault="00EA44D0" w:rsidP="00EA44D0">
      <w:pPr>
        <w:ind w:firstLine="720"/>
        <w:rPr>
          <w:szCs w:val="22"/>
        </w:rPr>
      </w:pPr>
      <w:r w:rsidRPr="00523EE2">
        <w:t xml:space="preserve">Alternate formats of this </w:t>
      </w:r>
      <w:r w:rsidRPr="00523EE2">
        <w:rPr>
          <w:i/>
        </w:rPr>
        <w:t>Public Notice</w:t>
      </w:r>
      <w:r w:rsidRPr="00523EE2">
        <w:t xml:space="preserve"> (computer diskette, large print, audio recording, and Braille) are available to persons with disabilities by contacting the Consumer &amp; Governmental Affairs Bureau at (202) 418-0530 (voice), (202) 418-0432 (TTY), or send an e-mail to fcc504@fcc.gov.</w:t>
      </w:r>
      <w:r w:rsidRPr="00523EE2">
        <w:rPr>
          <w:szCs w:val="22"/>
        </w:rPr>
        <w:t xml:space="preserve"> </w:t>
      </w:r>
    </w:p>
    <w:p w:rsidR="00EA44D0" w:rsidRDefault="00EA44D0" w:rsidP="00EA44D0">
      <w:pPr>
        <w:rPr>
          <w:szCs w:val="22"/>
        </w:rPr>
      </w:pPr>
    </w:p>
    <w:p w:rsidR="00EA44D0" w:rsidRPr="0097434D" w:rsidRDefault="00EA44D0" w:rsidP="00EA44D0">
      <w:pPr>
        <w:pStyle w:val="BodyText2"/>
        <w:spacing w:line="228" w:lineRule="auto"/>
        <w:ind w:firstLine="720"/>
        <w:rPr>
          <w:sz w:val="22"/>
        </w:rPr>
      </w:pPr>
      <w:r w:rsidRPr="0097434D">
        <w:rPr>
          <w:sz w:val="22"/>
        </w:rPr>
        <w:t xml:space="preserve">This proceeding has been designated as a “permit-but-disclose” proceeding in accordance with the Commission's </w:t>
      </w:r>
      <w:r w:rsidRPr="0097434D">
        <w:rPr>
          <w:i/>
          <w:sz w:val="22"/>
        </w:rPr>
        <w:t>ex parte</w:t>
      </w:r>
      <w:r w:rsidRPr="0097434D">
        <w:rPr>
          <w:sz w:val="22"/>
        </w:rPr>
        <w:t xml:space="preserve"> rules.</w:t>
      </w:r>
      <w:r w:rsidRPr="0097434D">
        <w:rPr>
          <w:sz w:val="22"/>
          <w:vertAlign w:val="superscript"/>
        </w:rPr>
        <w:footnoteReference w:id="15"/>
      </w:r>
      <w:r w:rsidRPr="0097434D">
        <w:rPr>
          <w:sz w:val="22"/>
        </w:rPr>
        <w:t xml:space="preserve">  Persons making </w:t>
      </w:r>
      <w:r w:rsidRPr="0097434D">
        <w:rPr>
          <w:i/>
          <w:sz w:val="22"/>
        </w:rPr>
        <w:t xml:space="preserve">ex parte </w:t>
      </w:r>
      <w:r w:rsidRPr="0097434D">
        <w:rPr>
          <w:sz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97434D">
        <w:rPr>
          <w:i/>
          <w:iCs/>
          <w:sz w:val="22"/>
        </w:rPr>
        <w:t xml:space="preserve">ex parte </w:t>
      </w:r>
      <w:r w:rsidRPr="0097434D">
        <w:rPr>
          <w:sz w:val="22"/>
        </w:rPr>
        <w:t xml:space="preserve">presentations are reminded that memoranda summarizing the presentation must (1) list all persons attending or otherwise participating in the meeting at which the </w:t>
      </w:r>
      <w:r w:rsidRPr="0097434D">
        <w:rPr>
          <w:i/>
          <w:iCs/>
          <w:sz w:val="22"/>
        </w:rPr>
        <w:t xml:space="preserve">ex parte </w:t>
      </w:r>
      <w:r w:rsidRPr="0097434D">
        <w:rPr>
          <w:sz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97434D">
        <w:rPr>
          <w:i/>
          <w:iCs/>
          <w:sz w:val="22"/>
        </w:rPr>
        <w:t xml:space="preserve">ex parte </w:t>
      </w:r>
      <w:r w:rsidRPr="0097434D">
        <w:rPr>
          <w:sz w:val="22"/>
        </w:rPr>
        <w:t xml:space="preserve">meetings are deemed to be written </w:t>
      </w:r>
      <w:r w:rsidRPr="0097434D">
        <w:rPr>
          <w:i/>
          <w:iCs/>
          <w:sz w:val="22"/>
        </w:rPr>
        <w:t>ex parte</w:t>
      </w:r>
      <w:r w:rsidRPr="0097434D">
        <w:rPr>
          <w:sz w:val="22"/>
        </w:rPr>
        <w:t xml:space="preserve"> presentations and must be filed consistent with rule 1.1206(b).  In proceedings governed by rule 1.49(f) or for which the Commission has made available a method of electronic filing, written </w:t>
      </w:r>
      <w:r w:rsidRPr="0097434D">
        <w:rPr>
          <w:i/>
          <w:iCs/>
          <w:sz w:val="22"/>
        </w:rPr>
        <w:t xml:space="preserve">ex parte </w:t>
      </w:r>
      <w:r w:rsidRPr="0097434D">
        <w:rPr>
          <w:sz w:val="22"/>
        </w:rPr>
        <w:t xml:space="preserve">presentations and memoranda summarizing oral </w:t>
      </w:r>
      <w:r w:rsidRPr="0097434D">
        <w:rPr>
          <w:i/>
          <w:iCs/>
          <w:sz w:val="22"/>
        </w:rPr>
        <w:t xml:space="preserve">ex parte </w:t>
      </w:r>
      <w:r w:rsidRPr="0097434D">
        <w:rPr>
          <w:sz w:val="22"/>
        </w:rPr>
        <w:t>presentations, and all attachments thereto, must be filed through the electronic comment filing system available for that proceeding, and must be filed in their native format (</w:t>
      </w:r>
      <w:r w:rsidRPr="0097434D">
        <w:rPr>
          <w:i/>
          <w:iCs/>
          <w:sz w:val="22"/>
        </w:rPr>
        <w:t>e.g.</w:t>
      </w:r>
      <w:r w:rsidRPr="0097434D">
        <w:rPr>
          <w:sz w:val="22"/>
        </w:rPr>
        <w:t xml:space="preserve">, .doc, .xml, .ppt, searchable .pdf).  Participants in this proceeding should familiarize themselves with the Commission’s </w:t>
      </w:r>
      <w:r w:rsidRPr="0097434D">
        <w:rPr>
          <w:i/>
          <w:iCs/>
          <w:sz w:val="22"/>
        </w:rPr>
        <w:t xml:space="preserve">ex parte </w:t>
      </w:r>
      <w:r w:rsidRPr="0097434D">
        <w:rPr>
          <w:sz w:val="22"/>
        </w:rPr>
        <w:t>rules.</w:t>
      </w:r>
    </w:p>
    <w:p w:rsidR="00EA44D0" w:rsidRDefault="00EA44D0" w:rsidP="00EA44D0">
      <w:pPr>
        <w:ind w:firstLine="720"/>
        <w:rPr>
          <w:rFonts w:eastAsia="MS Mincho"/>
          <w:szCs w:val="22"/>
        </w:rPr>
      </w:pPr>
    </w:p>
    <w:p w:rsidR="00EA44D0" w:rsidRDefault="00EA44D0" w:rsidP="00EA44D0">
      <w:pPr>
        <w:ind w:firstLine="720"/>
        <w:rPr>
          <w:rFonts w:eastAsia="MS Mincho"/>
          <w:szCs w:val="22"/>
        </w:rPr>
      </w:pPr>
      <w:r>
        <w:rPr>
          <w:rFonts w:eastAsia="MS Mincho"/>
          <w:szCs w:val="22"/>
        </w:rPr>
        <w:t xml:space="preserve">For further information, contact Mr. </w:t>
      </w:r>
      <w:r>
        <w:rPr>
          <w:szCs w:val="22"/>
        </w:rPr>
        <w:t xml:space="preserve">Melvin Spann </w:t>
      </w:r>
      <w:r>
        <w:rPr>
          <w:rFonts w:eastAsia="MS Mincho"/>
          <w:szCs w:val="22"/>
        </w:rPr>
        <w:t xml:space="preserve">of the Wireless Telecommunications Bureau at (202) 418-1333, or via e-mail at </w:t>
      </w:r>
      <w:hyperlink r:id="rId16" w:history="1">
        <w:r w:rsidRPr="00EB4D79">
          <w:rPr>
            <w:rStyle w:val="Hyperlink"/>
            <w:szCs w:val="22"/>
          </w:rPr>
          <w:t>Melvin.Spann</w:t>
        </w:r>
        <w:r w:rsidRPr="00EB4D79">
          <w:rPr>
            <w:rStyle w:val="Hyperlink"/>
            <w:rFonts w:eastAsia="MS Mincho"/>
            <w:szCs w:val="22"/>
          </w:rPr>
          <w:t>@fcc.gov</w:t>
        </w:r>
      </w:hyperlink>
      <w:r>
        <w:rPr>
          <w:szCs w:val="22"/>
        </w:rPr>
        <w:t>.</w:t>
      </w:r>
      <w:r>
        <w:rPr>
          <w:rFonts w:eastAsia="MS Mincho"/>
          <w:szCs w:val="22"/>
        </w:rPr>
        <w:t xml:space="preserve"> </w:t>
      </w:r>
    </w:p>
    <w:p w:rsidR="00EA44D0" w:rsidRDefault="00EA44D0" w:rsidP="00EA44D0">
      <w:pPr>
        <w:autoSpaceDE w:val="0"/>
        <w:autoSpaceDN w:val="0"/>
        <w:adjustRightInd w:val="0"/>
        <w:rPr>
          <w:color w:val="000000"/>
          <w:szCs w:val="22"/>
        </w:rPr>
      </w:pPr>
    </w:p>
    <w:p w:rsidR="00EA44D0" w:rsidRDefault="00EA44D0" w:rsidP="00EA44D0">
      <w:pPr>
        <w:ind w:firstLine="720"/>
        <w:rPr>
          <w:szCs w:val="22"/>
        </w:rPr>
      </w:pPr>
      <w:r>
        <w:rPr>
          <w:szCs w:val="22"/>
        </w:rPr>
        <w:t>Action by the Deputy Chief, Mobility Division, Wireless Telecommunications Bureau.</w:t>
      </w:r>
    </w:p>
    <w:p w:rsidR="00EA44D0" w:rsidRDefault="00EA44D0" w:rsidP="00EA44D0">
      <w:pPr>
        <w:autoSpaceDE w:val="0"/>
        <w:autoSpaceDN w:val="0"/>
        <w:adjustRightInd w:val="0"/>
        <w:rPr>
          <w:color w:val="000000"/>
          <w:szCs w:val="22"/>
        </w:rPr>
      </w:pPr>
    </w:p>
    <w:p w:rsidR="00EA44D0" w:rsidRPr="00D559F3" w:rsidRDefault="00EA44D0" w:rsidP="00EA44D0">
      <w:pPr>
        <w:autoSpaceDE w:val="0"/>
        <w:autoSpaceDN w:val="0"/>
        <w:adjustRightInd w:val="0"/>
        <w:jc w:val="center"/>
        <w:rPr>
          <w:b/>
          <w:bCs/>
          <w:sz w:val="24"/>
        </w:rPr>
      </w:pPr>
      <w:r>
        <w:t>- FCC -</w:t>
      </w:r>
      <w:r>
        <w:rPr>
          <w:b/>
          <w:bCs/>
          <w:sz w:val="24"/>
        </w:rPr>
        <w:t xml:space="preserve"> </w:t>
      </w:r>
    </w:p>
    <w:p w:rsidR="00EA44D0" w:rsidRDefault="00EA44D0">
      <w:pPr>
        <w:spacing w:before="120" w:after="240"/>
        <w:rPr>
          <w:sz w:val="24"/>
        </w:rPr>
      </w:pPr>
    </w:p>
    <w:sectPr w:rsidR="00EA44D0">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B3A" w:rsidRDefault="00D06B3A">
      <w:r>
        <w:separator/>
      </w:r>
    </w:p>
  </w:endnote>
  <w:endnote w:type="continuationSeparator" w:id="0">
    <w:p w:rsidR="00D06B3A" w:rsidRDefault="00D06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836" w:rsidRDefault="004E78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836" w:rsidRDefault="004E783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836" w:rsidRDefault="004E78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B3A" w:rsidRDefault="00D06B3A">
      <w:r>
        <w:separator/>
      </w:r>
    </w:p>
  </w:footnote>
  <w:footnote w:type="continuationSeparator" w:id="0">
    <w:p w:rsidR="00D06B3A" w:rsidRDefault="00D06B3A">
      <w:r>
        <w:continuationSeparator/>
      </w:r>
    </w:p>
  </w:footnote>
  <w:footnote w:id="1">
    <w:p w:rsidR="00007EC1" w:rsidRDefault="00007EC1">
      <w:pPr>
        <w:pStyle w:val="FootnoteText"/>
      </w:pPr>
      <w:r>
        <w:rPr>
          <w:rStyle w:val="FootnoteReference"/>
        </w:rPr>
        <w:footnoteRef/>
      </w:r>
      <w:r>
        <w:t xml:space="preserve"> </w:t>
      </w:r>
      <w:r>
        <w:rPr>
          <w:i/>
        </w:rPr>
        <w:t xml:space="preserve">See </w:t>
      </w:r>
      <w:r>
        <w:t>FCC File No. 0005877470 (filed Jul</w:t>
      </w:r>
      <w:r w:rsidR="00331296">
        <w:t>y</w:t>
      </w:r>
      <w:r>
        <w:t xml:space="preserve"> 30, 2013 and amended Aug. 1, 2013 and Aug. 21, 2013).</w:t>
      </w:r>
    </w:p>
  </w:footnote>
  <w:footnote w:id="2">
    <w:p w:rsidR="00007EC1" w:rsidRPr="00007EC1" w:rsidRDefault="00007EC1">
      <w:pPr>
        <w:pStyle w:val="FootnoteText"/>
        <w:rPr>
          <w:i/>
        </w:rPr>
      </w:pPr>
      <w:r>
        <w:rPr>
          <w:rStyle w:val="FootnoteReference"/>
        </w:rPr>
        <w:footnoteRef/>
      </w:r>
      <w:r>
        <w:t xml:space="preserve"> </w:t>
      </w:r>
      <w:r>
        <w:rPr>
          <w:i/>
        </w:rPr>
        <w:t xml:space="preserve">See </w:t>
      </w:r>
      <w:r w:rsidR="00331296">
        <w:t>FCC File No. 0005895551 (filed Aug. 14, 2013 and amended Aug. 19, 2013).</w:t>
      </w:r>
    </w:p>
  </w:footnote>
  <w:footnote w:id="3">
    <w:p w:rsidR="00331296" w:rsidRPr="00331296" w:rsidRDefault="00331296">
      <w:pPr>
        <w:pStyle w:val="FootnoteText"/>
        <w:rPr>
          <w:i/>
        </w:rPr>
      </w:pPr>
      <w:r>
        <w:rPr>
          <w:rStyle w:val="FootnoteReference"/>
        </w:rPr>
        <w:footnoteRef/>
      </w:r>
      <w:r>
        <w:t xml:space="preserve"> </w:t>
      </w:r>
      <w:r>
        <w:rPr>
          <w:i/>
        </w:rPr>
        <w:t xml:space="preserve">See </w:t>
      </w:r>
      <w:r>
        <w:t>FCC File No. 0005895553 (filed Aug. 14, 2013 and amended Aug. 19, 2013).</w:t>
      </w:r>
    </w:p>
  </w:footnote>
  <w:footnote w:id="4">
    <w:p w:rsidR="00331296" w:rsidRPr="00410A35" w:rsidRDefault="00331296" w:rsidP="00331296">
      <w:pPr>
        <w:pStyle w:val="FootnoteText"/>
      </w:pPr>
      <w:r>
        <w:rPr>
          <w:rStyle w:val="FootnoteReference"/>
        </w:rPr>
        <w:footnoteRef/>
      </w:r>
      <w:r>
        <w:t xml:space="preserve"> </w:t>
      </w:r>
      <w:r>
        <w:rPr>
          <w:i/>
        </w:rPr>
        <w:t xml:space="preserve">See </w:t>
      </w:r>
      <w:r>
        <w:t>FCC File No. 0005898064 (filed Aug. 16, 2013).</w:t>
      </w:r>
    </w:p>
  </w:footnote>
  <w:footnote w:id="5">
    <w:p w:rsidR="00331296" w:rsidRPr="00B96AF3" w:rsidRDefault="00331296" w:rsidP="00331296">
      <w:pPr>
        <w:pStyle w:val="FootnoteText"/>
      </w:pPr>
      <w:r>
        <w:rPr>
          <w:rStyle w:val="FootnoteReference"/>
        </w:rPr>
        <w:footnoteRef/>
      </w:r>
      <w:r>
        <w:t xml:space="preserve"> MRA filed a</w:t>
      </w:r>
      <w:r w:rsidR="00254B85">
        <w:t xml:space="preserve"> </w:t>
      </w:r>
      <w:r>
        <w:t>n</w:t>
      </w:r>
      <w:r w:rsidR="00254B85">
        <w:t>e</w:t>
      </w:r>
      <w:r>
        <w:t>a</w:t>
      </w:r>
      <w:r w:rsidR="00254B85">
        <w:t>r</w:t>
      </w:r>
      <w:r>
        <w:t xml:space="preserve">-identical waiver request with each application.  </w:t>
      </w:r>
      <w:r>
        <w:rPr>
          <w:i/>
        </w:rPr>
        <w:t>See</w:t>
      </w:r>
      <w:r>
        <w:t xml:space="preserve">, </w:t>
      </w:r>
      <w:r>
        <w:rPr>
          <w:i/>
        </w:rPr>
        <w:t>e.g.</w:t>
      </w:r>
      <w:r>
        <w:t xml:space="preserve">, Request for Rule Waiver (filed July 30, 2013) (Waiver Request).  </w:t>
      </w:r>
    </w:p>
  </w:footnote>
  <w:footnote w:id="6">
    <w:p w:rsidR="00254B85" w:rsidRDefault="00254B85">
      <w:pPr>
        <w:pStyle w:val="FootnoteText"/>
      </w:pPr>
      <w:r>
        <w:rPr>
          <w:rStyle w:val="FootnoteReference"/>
        </w:rPr>
        <w:footnoteRef/>
      </w:r>
      <w:r>
        <w:t xml:space="preserve"> </w:t>
      </w:r>
      <w:r w:rsidRPr="00242C93">
        <w:rPr>
          <w:i/>
        </w:rPr>
        <w:t>See</w:t>
      </w:r>
      <w:r w:rsidRPr="00242C93">
        <w:t xml:space="preserve"> </w:t>
      </w:r>
      <w:r>
        <w:t xml:space="preserve">47 C.F.R. </w:t>
      </w:r>
      <w:r w:rsidRPr="00242C93">
        <w:t>§</w:t>
      </w:r>
      <w:r>
        <w:t xml:space="preserve"> 2.106 (</w:t>
      </w:r>
      <w:r>
        <w:rPr>
          <w:szCs w:val="22"/>
        </w:rPr>
        <w:t>United States Table of Frequency Allocations</w:t>
      </w:r>
      <w:r>
        <w:t>).</w:t>
      </w:r>
    </w:p>
  </w:footnote>
  <w:footnote w:id="7">
    <w:p w:rsidR="00331296" w:rsidRPr="00242C93" w:rsidRDefault="00331296" w:rsidP="00331296">
      <w:pPr>
        <w:pStyle w:val="FootnoteText"/>
      </w:pPr>
      <w:r w:rsidRPr="00242C93">
        <w:rPr>
          <w:rStyle w:val="FootnoteReference"/>
        </w:rPr>
        <w:footnoteRef/>
      </w:r>
      <w:r w:rsidRPr="00242C93">
        <w:t xml:space="preserve"> </w:t>
      </w:r>
      <w:r w:rsidRPr="00242C93">
        <w:rPr>
          <w:i/>
        </w:rPr>
        <w:t>See</w:t>
      </w:r>
      <w:r w:rsidRPr="00242C93">
        <w:t xml:space="preserve"> </w:t>
      </w:r>
      <w:r>
        <w:t xml:space="preserve">47 C.F.R. </w:t>
      </w:r>
      <w:r w:rsidRPr="00242C93">
        <w:t>§</w:t>
      </w:r>
      <w:r>
        <w:t xml:space="preserve"> </w:t>
      </w:r>
      <w:r w:rsidRPr="00242C93">
        <w:t>90.</w:t>
      </w:r>
      <w:bookmarkStart w:id="2" w:name="SR;2227"/>
      <w:bookmarkStart w:id="3" w:name="SR;2237"/>
      <w:bookmarkEnd w:id="2"/>
      <w:bookmarkEnd w:id="3"/>
      <w:r>
        <w:t>35 (</w:t>
      </w:r>
      <w:r>
        <w:rPr>
          <w:szCs w:val="22"/>
        </w:rPr>
        <w:t>Industrial/Business Pool Frequency Table</w:t>
      </w:r>
      <w:r>
        <w:t>)</w:t>
      </w:r>
      <w:r w:rsidRPr="00242C93">
        <w:t>.</w:t>
      </w:r>
    </w:p>
  </w:footnote>
  <w:footnote w:id="8">
    <w:p w:rsidR="007D7F2E" w:rsidRDefault="007D7F2E" w:rsidP="007D7F2E">
      <w:pPr>
        <w:pStyle w:val="FootnoteText"/>
      </w:pPr>
      <w:r>
        <w:rPr>
          <w:rStyle w:val="FootnoteReference"/>
        </w:rPr>
        <w:footnoteRef/>
      </w:r>
      <w:r>
        <w:t xml:space="preserve"> </w:t>
      </w:r>
      <w:r>
        <w:rPr>
          <w:i/>
        </w:rPr>
        <w:t xml:space="preserve">See </w:t>
      </w:r>
      <w:r>
        <w:rPr>
          <w:spacing w:val="-2"/>
        </w:rPr>
        <w:t>Implementation of Sections 309(j) and 337 of the Communications Act of 1934 as Amended</w:t>
      </w:r>
      <w:r>
        <w:t>,</w:t>
      </w:r>
      <w:r>
        <w:rPr>
          <w:i/>
        </w:rPr>
        <w:t xml:space="preserve"> Second Report and Order and Second Further Notice of Proposed Rulemaking, </w:t>
      </w:r>
      <w:r>
        <w:t>WT Docket No. 99-87, RM-9332, 18 FCC Rcd 3034 (2003) (</w:t>
      </w:r>
      <w:r>
        <w:rPr>
          <w:i/>
        </w:rPr>
        <w:t>Second R&amp;O</w:t>
      </w:r>
      <w:r>
        <w:t xml:space="preserve">); </w:t>
      </w:r>
      <w:r>
        <w:rPr>
          <w:spacing w:val="-2"/>
        </w:rPr>
        <w:t>Implementation of Sections 309(j) and 337 of the Communications Act of 1934 as Amended</w:t>
      </w:r>
      <w:r>
        <w:t>,</w:t>
      </w:r>
      <w:r>
        <w:rPr>
          <w:i/>
        </w:rPr>
        <w:t xml:space="preserve"> Third Memorandum Opinion and Order, Third Further Notice of Proposed Rule Making and Order, </w:t>
      </w:r>
      <w:r>
        <w:t>WT Docket No. 99-87, RM-9332, 19 FCC Rcd 25045 (2004) (</w:t>
      </w:r>
      <w:r>
        <w:rPr>
          <w:i/>
        </w:rPr>
        <w:t>Third MO&amp;O</w:t>
      </w:r>
      <w:r>
        <w:t>);</w:t>
      </w:r>
      <w:r>
        <w:rPr>
          <w:spacing w:val="-2"/>
        </w:rPr>
        <w:t xml:space="preserve"> Implementation of Sections 309(j) and 337 of the Communications Act of 1934 as Amended</w:t>
      </w:r>
      <w:r>
        <w:t>,</w:t>
      </w:r>
      <w:r>
        <w:rPr>
          <w:i/>
        </w:rPr>
        <w:t xml:space="preserve"> Order, </w:t>
      </w:r>
      <w:r>
        <w:t>WT Docket No. 99-87, RM-9332, 25 FCC Rcd 8861 (2010) (</w:t>
      </w:r>
      <w:r>
        <w:rPr>
          <w:i/>
        </w:rPr>
        <w:t>Narrowbanding Waiver Order</w:t>
      </w:r>
      <w:r>
        <w:t xml:space="preserve">); </w:t>
      </w:r>
      <w:r>
        <w:rPr>
          <w:i/>
        </w:rPr>
        <w:t xml:space="preserve">see also </w:t>
      </w:r>
      <w:r>
        <w:t xml:space="preserve">47 C.F.R. §§ 90.203(j), 90.209(b).  Specifically, the narrowbanding deadlines apply to frequencies in the 150.8-162.0125 MHz, 173.2-173.4 MHz, and 421-512 MHz bands, but </w:t>
      </w:r>
      <w:r>
        <w:rPr>
          <w:szCs w:val="22"/>
        </w:rPr>
        <w:t>the Wireless Telecommunications Bureau, Public Safety and Homeland Security Bureau, and Office of Engineering and Technology</w:t>
      </w:r>
      <w:r>
        <w:t xml:space="preserve"> have </w:t>
      </w:r>
      <w:r>
        <w:rPr>
          <w:szCs w:val="22"/>
        </w:rPr>
        <w:t xml:space="preserve">waived the January 1, 2013 deadline for </w:t>
      </w:r>
      <w:r>
        <w:t xml:space="preserve">PLMR licensees in the 470-512 MHz band.  </w:t>
      </w:r>
      <w:r>
        <w:rPr>
          <w:i/>
        </w:rPr>
        <w:t xml:space="preserve">See </w:t>
      </w:r>
      <w:r>
        <w:rPr>
          <w:spacing w:val="-2"/>
        </w:rPr>
        <w:t>Implementation of Sections 309(j) and 337 of the Communications Act of 1934 as Amended</w:t>
      </w:r>
      <w:r>
        <w:t xml:space="preserve">, </w:t>
      </w:r>
      <w:r>
        <w:rPr>
          <w:i/>
        </w:rPr>
        <w:t>Order</w:t>
      </w:r>
      <w:r>
        <w:t xml:space="preserve">, WT Docket No. 99-87, RM-9332, 27 FCC Rcd 4213, </w:t>
      </w:r>
      <w:r>
        <w:rPr>
          <w:i/>
        </w:rPr>
        <w:t>on recon.</w:t>
      </w:r>
      <w:r>
        <w:t xml:space="preserve">, </w:t>
      </w:r>
      <w:r>
        <w:rPr>
          <w:i/>
        </w:rPr>
        <w:t>Order on Reconsideration</w:t>
      </w:r>
      <w:r>
        <w:t>, 27 FCC Rcd 14770 (WTB/PSHSB/OET 2012).</w:t>
      </w:r>
    </w:p>
  </w:footnote>
  <w:footnote w:id="9">
    <w:p w:rsidR="00EA44D0" w:rsidRDefault="00EA44D0" w:rsidP="00EA44D0">
      <w:pPr>
        <w:pStyle w:val="FootnoteText"/>
      </w:pPr>
      <w:r>
        <w:rPr>
          <w:rStyle w:val="FootnoteReference"/>
        </w:rPr>
        <w:footnoteRef/>
      </w:r>
      <w:r>
        <w:t xml:space="preserve"> </w:t>
      </w:r>
      <w:r>
        <w:rPr>
          <w:i/>
        </w:rPr>
        <w:t xml:space="preserve">See </w:t>
      </w:r>
      <w:r>
        <w:rPr>
          <w:spacing w:val="-2"/>
        </w:rPr>
        <w:t>Waiver Request at 3.</w:t>
      </w:r>
      <w:r w:rsidR="007D2E39">
        <w:rPr>
          <w:spacing w:val="-2"/>
        </w:rPr>
        <w:t xml:space="preserve">  </w:t>
      </w:r>
    </w:p>
  </w:footnote>
  <w:footnote w:id="10">
    <w:p w:rsidR="007D2E39" w:rsidRPr="007D2E39" w:rsidRDefault="007D2E39">
      <w:pPr>
        <w:pStyle w:val="FootnoteText"/>
      </w:pPr>
      <w:r>
        <w:rPr>
          <w:rStyle w:val="FootnoteReference"/>
        </w:rPr>
        <w:footnoteRef/>
      </w:r>
      <w:r>
        <w:t xml:space="preserve"> </w:t>
      </w:r>
      <w:r>
        <w:rPr>
          <w:i/>
        </w:rPr>
        <w:t>See</w:t>
      </w:r>
      <w:r>
        <w:t xml:space="preserve"> Wireless Telecommunications Bureau, Public Safety and Homeland Security Bureau, and Office of Engineering and Technology Provide Reminder of January 1, 2013 Deadline for Transition to Narrowband Operations in the 150-174 MHz and 421-470 MHz Bands, </w:t>
      </w:r>
      <w:r>
        <w:rPr>
          <w:i/>
        </w:rPr>
        <w:t>Public Notice</w:t>
      </w:r>
      <w:r>
        <w:t>, 27 FCC Rcd 14896, 14898 (WTB/PSHSB/OET 2012) (citing 47 C.F.R. § 90.35(c)(29)).</w:t>
      </w:r>
    </w:p>
  </w:footnote>
  <w:footnote w:id="11">
    <w:p w:rsidR="007D7F2E" w:rsidRPr="007D7F2E" w:rsidRDefault="007D7F2E">
      <w:pPr>
        <w:pStyle w:val="FootnoteText"/>
      </w:pPr>
      <w:r>
        <w:rPr>
          <w:rStyle w:val="FootnoteReference"/>
        </w:rPr>
        <w:footnoteRef/>
      </w:r>
      <w:r>
        <w:t xml:space="preserve"> </w:t>
      </w:r>
      <w:r>
        <w:rPr>
          <w:i/>
        </w:rPr>
        <w:t xml:space="preserve">See </w:t>
      </w:r>
      <w:r>
        <w:t>47 C.F.R. § 90.209(b)(5).</w:t>
      </w:r>
    </w:p>
  </w:footnote>
  <w:footnote w:id="12">
    <w:p w:rsidR="00EA44D0" w:rsidRDefault="00EA44D0" w:rsidP="00EA44D0">
      <w:pPr>
        <w:pStyle w:val="FootnoteText"/>
      </w:pPr>
      <w:r>
        <w:rPr>
          <w:rStyle w:val="FootnoteReference"/>
        </w:rPr>
        <w:footnoteRef/>
      </w:r>
      <w:r>
        <w:t xml:space="preserve"> </w:t>
      </w:r>
      <w:r w:rsidR="007D7F2E">
        <w:rPr>
          <w:i/>
        </w:rPr>
        <w:t xml:space="preserve">See </w:t>
      </w:r>
      <w:r w:rsidR="007D7F2E">
        <w:rPr>
          <w:spacing w:val="-2"/>
        </w:rPr>
        <w:t>Waiver Request</w:t>
      </w:r>
      <w:r>
        <w:t xml:space="preserve"> at 3.</w:t>
      </w:r>
    </w:p>
  </w:footnote>
  <w:footnote w:id="13">
    <w:p w:rsidR="00EA44D0" w:rsidRPr="007125AD" w:rsidRDefault="00EA44D0" w:rsidP="00EA44D0">
      <w:pPr>
        <w:pStyle w:val="FootnoteText"/>
      </w:pPr>
      <w:r>
        <w:rPr>
          <w:rStyle w:val="FootnoteReference"/>
        </w:rPr>
        <w:footnoteRef/>
      </w:r>
      <w:r>
        <w:t xml:space="preserve"> </w:t>
      </w:r>
      <w:r w:rsidRPr="007125AD">
        <w:rPr>
          <w:i/>
        </w:rPr>
        <w:t>See</w:t>
      </w:r>
      <w:r>
        <w:t xml:space="preserve"> Wireless Telecommunications Bureau and Public Safety and Homeland Security Bureau Suspend the Acceptance and Processing of Certain Part 22 and Part 90 Applications for 470-512 MHz (T-Band) Spectrum, </w:t>
      </w:r>
      <w:r w:rsidRPr="007125AD">
        <w:rPr>
          <w:i/>
        </w:rPr>
        <w:t>Public Notice</w:t>
      </w:r>
      <w:r>
        <w:t xml:space="preserve">, WT Docket No. 99-87, </w:t>
      </w:r>
      <w:r w:rsidR="00615579">
        <w:t>27</w:t>
      </w:r>
      <w:r w:rsidRPr="00720F75">
        <w:rPr>
          <w:b/>
        </w:rPr>
        <w:t xml:space="preserve"> </w:t>
      </w:r>
      <w:r>
        <w:t xml:space="preserve">FCC Rcd </w:t>
      </w:r>
      <w:r w:rsidR="00615579">
        <w:t>4218</w:t>
      </w:r>
      <w:r w:rsidRPr="00720F75">
        <w:rPr>
          <w:b/>
        </w:rPr>
        <w:t xml:space="preserve"> </w:t>
      </w:r>
      <w:r w:rsidR="00615579" w:rsidRPr="00615579">
        <w:t>(</w:t>
      </w:r>
      <w:r>
        <w:t>WTB/PSHSB 2012).</w:t>
      </w:r>
    </w:p>
  </w:footnote>
  <w:footnote w:id="14">
    <w:p w:rsidR="00EA44D0" w:rsidRDefault="00EA44D0" w:rsidP="00EA44D0">
      <w:pPr>
        <w:pStyle w:val="FootnoteText"/>
      </w:pPr>
      <w:r>
        <w:rPr>
          <w:rStyle w:val="FootnoteReference"/>
        </w:rPr>
        <w:footnoteRef/>
      </w:r>
      <w:r>
        <w:t xml:space="preserve"> </w:t>
      </w:r>
      <w:r>
        <w:rPr>
          <w:i/>
        </w:rPr>
        <w:t xml:space="preserve">See </w:t>
      </w:r>
      <w:r w:rsidRPr="00663452">
        <w:t>Electronic Filing of Documents in Rulemaking Proceedings</w:t>
      </w:r>
      <w:r>
        <w:t xml:space="preserve">, </w:t>
      </w:r>
      <w:r w:rsidRPr="00663452">
        <w:rPr>
          <w:i/>
        </w:rPr>
        <w:t>Report and Order</w:t>
      </w:r>
      <w:r>
        <w:t>, GC Docket No. 97-113, 13 FCC Rcd 11322 (1998).</w:t>
      </w:r>
    </w:p>
  </w:footnote>
  <w:footnote w:id="15">
    <w:p w:rsidR="00EA44D0" w:rsidRDefault="00EA44D0" w:rsidP="00EA44D0">
      <w:pPr>
        <w:pStyle w:val="FootnoteText"/>
      </w:pPr>
      <w:r>
        <w:rPr>
          <w:rStyle w:val="FootnoteReference"/>
        </w:rPr>
        <w:footnoteRef/>
      </w:r>
      <w:r>
        <w:t xml:space="preserve"> </w:t>
      </w:r>
      <w:r>
        <w:rPr>
          <w:i/>
        </w:rPr>
        <w:t>See</w:t>
      </w:r>
      <w:r>
        <w:t xml:space="preserve"> 47 C.F.R. §§ 1.1200(a), 1.1206.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836" w:rsidRDefault="004E78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836" w:rsidRDefault="004E78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CB8" w:rsidRDefault="00EA44D0">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14:anchorId="3E7B4EEE" wp14:editId="1B8FC985">
          <wp:simplePos x="0" y="0"/>
          <wp:positionH relativeFrom="column">
            <wp:posOffset>30480</wp:posOffset>
          </wp:positionH>
          <wp:positionV relativeFrom="paragraph">
            <wp:posOffset>107950</wp:posOffset>
          </wp:positionV>
          <wp:extent cx="530225" cy="530225"/>
          <wp:effectExtent l="0" t="0" r="3175" b="3175"/>
          <wp:wrapTopAndBottom/>
          <wp:docPr id="4" name="Picture 4" descr="C:\WINDOWS\Desktop\fcc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WINDOWS\Desktop\fcc_logo.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6192" behindDoc="0" locked="0" layoutInCell="0" allowOverlap="1" wp14:anchorId="7632AA9C" wp14:editId="10C824D3">
              <wp:simplePos x="0" y="0"/>
              <wp:positionH relativeFrom="column">
                <wp:posOffset>604520</wp:posOffset>
              </wp:positionH>
              <wp:positionV relativeFrom="paragraph">
                <wp:posOffset>731520</wp:posOffset>
              </wp:positionV>
              <wp:extent cx="3108960" cy="64008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4CB8" w:rsidRDefault="00EA44D0">
                          <w:pPr>
                            <w:rPr>
                              <w:rFonts w:ascii="Arial" w:hAnsi="Arial"/>
                              <w:b/>
                            </w:rPr>
                          </w:pPr>
                          <w:r>
                            <w:rPr>
                              <w:rFonts w:ascii="Arial" w:hAnsi="Arial"/>
                              <w:b/>
                            </w:rPr>
                            <w:t>Federal Communications Commission</w:t>
                          </w:r>
                        </w:p>
                        <w:p w:rsidR="003E4CB8" w:rsidRDefault="00EA44D0">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3E4CB8" w:rsidRDefault="00EA44D0">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4NA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l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" o:allowincell="f" stroked="f">
              <v:textbox>
                <w:txbxContent>
                  <w:p w:rsidR="00000000" w:rsidRDefault="00EA44D0">
                    <w:pPr>
                      <w:rPr>
                        <w:rFonts w:ascii="Arial" w:hAnsi="Arial"/>
                        <w:b/>
                      </w:rPr>
                    </w:pPr>
                    <w:r>
                      <w:rPr>
                        <w:rFonts w:ascii="Arial" w:hAnsi="Arial"/>
                        <w:b/>
                      </w:rPr>
                      <w:t>Federal Communications Commission</w:t>
                    </w:r>
                  </w:p>
                  <w:p w:rsidR="00000000" w:rsidRDefault="00EA44D0">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000000" w:rsidRDefault="00EA44D0">
                    <w:pPr>
                      <w:rPr>
                        <w:rFonts w:ascii="Arial" w:hAnsi="Arial"/>
                        <w:sz w:val="24"/>
                      </w:rPr>
                    </w:pPr>
                    <w:r>
                      <w:rPr>
                        <w:rFonts w:ascii="Arial" w:hAnsi="Arial"/>
                        <w:b/>
                      </w:rPr>
                      <w:t>Washington, D.C. 20554</w:t>
                    </w:r>
                  </w:p>
                </w:txbxContent>
              </v:textbox>
            </v:shape>
          </w:pict>
        </mc:Fallback>
      </mc:AlternateContent>
    </w:r>
    <w:r>
      <w:rPr>
        <w:rFonts w:ascii="News Gothic MT" w:hAnsi="News Gothic MT"/>
        <w:b/>
        <w:kern w:val="28"/>
        <w:sz w:val="96"/>
      </w:rPr>
      <w:t>PUBLIC NOTICE</w:t>
    </w:r>
  </w:p>
  <w:p w:rsidR="003E4CB8" w:rsidRDefault="00EA44D0">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14:anchorId="693979C2" wp14:editId="5D00EFC6">
              <wp:simplePos x="0" y="0"/>
              <wp:positionH relativeFrom="column">
                <wp:posOffset>0</wp:posOffset>
              </wp:positionH>
              <wp:positionV relativeFrom="paragraph">
                <wp:posOffset>697865</wp:posOffset>
              </wp:positionV>
              <wp:extent cx="6858000" cy="254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RV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R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FWtxFUWAgAAKwQAAA4AAAAAAAAAAAAAAAAALgIAAGRycy9lMm9Eb2MueG1sUEsBAi0AFAAGAAgA&#10;AAAhAPWnG6TdAAAACQEAAA8AAAAAAAAAAAAAAAAAcAQAAGRycy9kb3ducmV2LnhtbFBLBQYAAAAA&#10;BAAEAPMAAAB6BQAAAAA=&#10;" o:allowincell="f"/>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14:anchorId="07FB7924" wp14:editId="5563175E">
              <wp:simplePos x="0" y="0"/>
              <wp:positionH relativeFrom="column">
                <wp:posOffset>4276090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4CB8" w:rsidRDefault="00EA44D0">
                          <w:pPr>
                            <w:spacing w:before="40"/>
                            <w:jc w:val="right"/>
                            <w:rPr>
                              <w:rFonts w:ascii="Arial" w:hAnsi="Arial"/>
                              <w:b/>
                              <w:sz w:val="16"/>
                            </w:rPr>
                          </w:pPr>
                          <w:r>
                            <w:rPr>
                              <w:rFonts w:ascii="Arial" w:hAnsi="Arial"/>
                              <w:b/>
                              <w:sz w:val="16"/>
                            </w:rPr>
                            <w:t>News Media Information 202 / 418-0500</w:t>
                          </w:r>
                        </w:p>
                        <w:p w:rsidR="003E4CB8" w:rsidRDefault="00EA44D0">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3E4CB8" w:rsidRDefault="00EA44D0">
                          <w:pPr>
                            <w:jc w:val="right"/>
                            <w:rPr>
                              <w:rFonts w:ascii="Arial" w:hAnsi="Arial"/>
                              <w:b/>
                              <w:sz w:val="16"/>
                            </w:rPr>
                          </w:pPr>
                          <w:r>
                            <w:rPr>
                              <w:rFonts w:ascii="Arial" w:hAnsi="Arial"/>
                              <w:b/>
                              <w:sz w:val="16"/>
                            </w:rPr>
                            <w:t>TTY: 1-888-835-5322</w:t>
                          </w:r>
                        </w:p>
                        <w:p w:rsidR="003E4CB8" w:rsidRDefault="003E4CB8">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36.7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d8X3&#10;AoECAAAOBQAADgAAAAAAAAAAAAAAAAAuAgAAZHJzL2Uyb0RvYy54bWxQSwECLQAUAAYACAAAACEA&#10;08zhtOAAAAALAQAADwAAAAAAAAAAAAAAAADbBAAAZHJzL2Rvd25yZXYueG1sUEsFBgAAAAAEAAQA&#10;8wAAAOgFAAAAAA==&#10;" o:allowincell="f" stroked="f">
              <v:textbox inset=",0,,0">
                <w:txbxContent>
                  <w:p w:rsidR="00000000" w:rsidRDefault="00EA44D0">
                    <w:pPr>
                      <w:spacing w:before="40"/>
                      <w:jc w:val="right"/>
                      <w:rPr>
                        <w:rFonts w:ascii="Arial" w:hAnsi="Arial"/>
                        <w:b/>
                        <w:sz w:val="16"/>
                      </w:rPr>
                    </w:pPr>
                    <w:r>
                      <w:rPr>
                        <w:rFonts w:ascii="Arial" w:hAnsi="Arial"/>
                        <w:b/>
                        <w:sz w:val="16"/>
                      </w:rPr>
                      <w:t>News Media Information 202 / 418-0500</w:t>
                    </w:r>
                  </w:p>
                  <w:p w:rsidR="00000000" w:rsidRDefault="00EA44D0">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000000" w:rsidRDefault="00EA44D0">
                    <w:pPr>
                      <w:jc w:val="right"/>
                      <w:rPr>
                        <w:rFonts w:ascii="Arial" w:hAnsi="Arial"/>
                        <w:b/>
                        <w:sz w:val="16"/>
                      </w:rPr>
                    </w:pPr>
                    <w:r>
                      <w:rPr>
                        <w:rFonts w:ascii="Arial" w:hAnsi="Arial"/>
                        <w:b/>
                        <w:sz w:val="16"/>
                      </w:rPr>
                      <w:t>TTY: 1-888-835-5322</w:t>
                    </w:r>
                  </w:p>
                  <w:p w:rsidR="00000000" w:rsidRDefault="00EA44D0">
                    <w:pPr>
                      <w:jc w:val="right"/>
                    </w:pPr>
                  </w:p>
                </w:txbxContent>
              </v:textbox>
            </v:shape>
          </w:pict>
        </mc:Fallback>
      </mc:AlternateContent>
    </w:r>
  </w:p>
  <w:p w:rsidR="003E4CB8" w:rsidRDefault="003E4CB8">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50E225D9"/>
    <w:multiLevelType w:val="hybridMultilevel"/>
    <w:tmpl w:val="6F56B5B2"/>
    <w:lvl w:ilvl="0" w:tplc="04090001">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News Gothic MT"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News Gothic MT"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News Gothic MT"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5">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6">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7">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8">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04090003">
      <w:start w:val="1"/>
      <w:numFmt w:val="decimal"/>
      <w:lvlText w:val="(%2)"/>
      <w:lvlJc w:val="left"/>
      <w:pPr>
        <w:tabs>
          <w:tab w:val="num" w:pos="2160"/>
        </w:tabs>
        <w:ind w:left="2160" w:hanging="360"/>
      </w:pPr>
      <w:rPr>
        <w:rFonts w:cs="Times New Roman" w:hint="default"/>
      </w:rPr>
    </w:lvl>
    <w:lvl w:ilvl="2" w:tplc="04090005">
      <w:start w:val="1"/>
      <w:numFmt w:val="lowerRoman"/>
      <w:lvlText w:val="%3."/>
      <w:lvlJc w:val="right"/>
      <w:pPr>
        <w:tabs>
          <w:tab w:val="num" w:pos="2880"/>
        </w:tabs>
        <w:ind w:left="2880" w:hanging="180"/>
      </w:pPr>
      <w:rPr>
        <w:rFonts w:cs="Times New Roman"/>
      </w:rPr>
    </w:lvl>
    <w:lvl w:ilvl="3" w:tplc="04090001">
      <w:numFmt w:val="bullet"/>
      <w:lvlText w:val="-"/>
      <w:lvlJc w:val="left"/>
      <w:pPr>
        <w:tabs>
          <w:tab w:val="num" w:pos="1440"/>
        </w:tabs>
        <w:ind w:left="1440" w:hanging="360"/>
      </w:pPr>
      <w:rPr>
        <w:rFonts w:ascii="Times New Roman" w:eastAsia="Times New Roman" w:hAnsi="Times New Roman" w:hint="default"/>
      </w:rPr>
    </w:lvl>
    <w:lvl w:ilvl="4" w:tplc="04090003">
      <w:start w:val="1"/>
      <w:numFmt w:val="lowerLetter"/>
      <w:lvlText w:val="%5."/>
      <w:lvlJc w:val="left"/>
      <w:pPr>
        <w:tabs>
          <w:tab w:val="num" w:pos="4320"/>
        </w:tabs>
        <w:ind w:left="4320" w:hanging="360"/>
      </w:pPr>
      <w:rPr>
        <w:rFonts w:cs="Times New Roman"/>
      </w:rPr>
    </w:lvl>
    <w:lvl w:ilvl="5" w:tplc="04090005" w:tentative="1">
      <w:start w:val="1"/>
      <w:numFmt w:val="lowerRoman"/>
      <w:lvlText w:val="%6."/>
      <w:lvlJc w:val="right"/>
      <w:pPr>
        <w:tabs>
          <w:tab w:val="num" w:pos="5040"/>
        </w:tabs>
        <w:ind w:left="5040" w:hanging="180"/>
      </w:pPr>
      <w:rPr>
        <w:rFonts w:cs="Times New Roman"/>
      </w:rPr>
    </w:lvl>
    <w:lvl w:ilvl="6" w:tplc="04090001" w:tentative="1">
      <w:start w:val="1"/>
      <w:numFmt w:val="decimal"/>
      <w:lvlText w:val="%7."/>
      <w:lvlJc w:val="left"/>
      <w:pPr>
        <w:tabs>
          <w:tab w:val="num" w:pos="5760"/>
        </w:tabs>
        <w:ind w:left="5760" w:hanging="360"/>
      </w:pPr>
      <w:rPr>
        <w:rFonts w:cs="Times New Roman"/>
      </w:rPr>
    </w:lvl>
    <w:lvl w:ilvl="7" w:tplc="04090003" w:tentative="1">
      <w:start w:val="1"/>
      <w:numFmt w:val="lowerLetter"/>
      <w:lvlText w:val="%8."/>
      <w:lvlJc w:val="left"/>
      <w:pPr>
        <w:tabs>
          <w:tab w:val="num" w:pos="6480"/>
        </w:tabs>
        <w:ind w:left="6480" w:hanging="360"/>
      </w:pPr>
      <w:rPr>
        <w:rFonts w:cs="Times New Roman"/>
      </w:rPr>
    </w:lvl>
    <w:lvl w:ilvl="8" w:tplc="04090005" w:tentative="1">
      <w:start w:val="1"/>
      <w:numFmt w:val="lowerRoman"/>
      <w:lvlText w:val="%9."/>
      <w:lvlJc w:val="right"/>
      <w:pPr>
        <w:tabs>
          <w:tab w:val="num" w:pos="7200"/>
        </w:tabs>
        <w:ind w:left="7200" w:hanging="180"/>
      </w:pPr>
      <w:rPr>
        <w:rFonts w:cs="Times New Roman"/>
      </w:rPr>
    </w:lvl>
  </w:abstractNum>
  <w:num w:numId="1">
    <w:abstractNumId w:val="6"/>
  </w:num>
  <w:num w:numId="2">
    <w:abstractNumId w:val="5"/>
  </w:num>
  <w:num w:numId="3">
    <w:abstractNumId w:val="7"/>
  </w:num>
  <w:num w:numId="4">
    <w:abstractNumId w:val="1"/>
  </w:num>
  <w:num w:numId="5">
    <w:abstractNumId w:val="7"/>
  </w:num>
  <w:num w:numId="6">
    <w:abstractNumId w:val="7"/>
  </w:num>
  <w:num w:numId="7">
    <w:abstractNumId w:val="7"/>
  </w:num>
  <w:num w:numId="8">
    <w:abstractNumId w:val="7"/>
  </w:num>
  <w:num w:numId="9">
    <w:abstractNumId w:val="7"/>
  </w:num>
  <w:num w:numId="10">
    <w:abstractNumId w:val="7"/>
  </w:num>
  <w:num w:numId="11">
    <w:abstractNumId w:val="4"/>
  </w:num>
  <w:num w:numId="12">
    <w:abstractNumId w:val="2"/>
  </w:num>
  <w:num w:numId="13">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4D0"/>
    <w:rsid w:val="00007EC1"/>
    <w:rsid w:val="000F3C40"/>
    <w:rsid w:val="00254B85"/>
    <w:rsid w:val="0030683F"/>
    <w:rsid w:val="00331296"/>
    <w:rsid w:val="003E4CB8"/>
    <w:rsid w:val="004E7836"/>
    <w:rsid w:val="005D3BC9"/>
    <w:rsid w:val="00615579"/>
    <w:rsid w:val="006C394D"/>
    <w:rsid w:val="007D2E39"/>
    <w:rsid w:val="007D7F2E"/>
    <w:rsid w:val="00B76D2B"/>
    <w:rsid w:val="00D06B3A"/>
    <w:rsid w:val="00E73E4C"/>
    <w:rsid w:val="00EA4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basedOn w:val="DefaultParagraphFont"/>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Style 13,o,fr,Style 3,FR"/>
    <w:basedOn w:val="DefaultParagraphFont"/>
    <w:semiHidden/>
    <w:rPr>
      <w:vertAlign w:val="superscript"/>
    </w:rPr>
  </w:style>
  <w:style w:type="paragraph" w:styleId="FootnoteText">
    <w:name w:val="footnote text"/>
    <w:aliases w:val="Footnote Text Char,Footnote Text Char2 Char,Footnote Text Char1 Char Char,Footnote Text Char Char Char Char,Footnote Text Char2 Char Char Char Char,Footnote Text Char1 Char1 Char Char Char Char,Footnote Text Char2,Footnote Text Char1 Char"/>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basedOn w:val="DefaultParagraphFont"/>
    <w:semiHidden/>
    <w:rPr>
      <w:color w:val="800080"/>
      <w:u w:val="single"/>
    </w:rPr>
  </w:style>
  <w:style w:type="paragraph" w:styleId="BodyText2">
    <w:name w:val="Body Text 2"/>
    <w:basedOn w:val="Normal"/>
    <w:link w:val="BodyText2Char"/>
    <w:rsid w:val="00EA44D0"/>
    <w:rPr>
      <w:sz w:val="24"/>
    </w:rPr>
  </w:style>
  <w:style w:type="character" w:customStyle="1" w:styleId="BodyText2Char">
    <w:name w:val="Body Text 2 Char"/>
    <w:basedOn w:val="DefaultParagraphFont"/>
    <w:link w:val="BodyText2"/>
    <w:rsid w:val="00EA44D0"/>
    <w:rPr>
      <w:sz w:val="24"/>
    </w:rPr>
  </w:style>
  <w:style w:type="character" w:customStyle="1" w:styleId="FootnoteTextChar1">
    <w:name w:val="Footnote Text Char1"/>
    <w:aliases w:val="Footnote Text Char Char,Footnote Text Char2 Char Char,Footnote Text Char1 Char Char Char,Footnote Text Char Char Char Char Char,Footnote Text Char2 Char Char Char Char Char,Footnote Text Char1 Char1 Char Char Char Char Char"/>
    <w:link w:val="FootnoteText"/>
    <w:semiHidden/>
    <w:rsid w:val="00EA44D0"/>
    <w:rPr>
      <w:sz w:val="22"/>
    </w:rPr>
  </w:style>
  <w:style w:type="paragraph" w:customStyle="1" w:styleId="Default">
    <w:name w:val="Default"/>
    <w:rsid w:val="00EA44D0"/>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basedOn w:val="DefaultParagraphFont"/>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Style 13,o,fr,Style 3,FR"/>
    <w:basedOn w:val="DefaultParagraphFont"/>
    <w:semiHidden/>
    <w:rPr>
      <w:vertAlign w:val="superscript"/>
    </w:rPr>
  </w:style>
  <w:style w:type="paragraph" w:styleId="FootnoteText">
    <w:name w:val="footnote text"/>
    <w:aliases w:val="Footnote Text Char,Footnote Text Char2 Char,Footnote Text Char1 Char Char,Footnote Text Char Char Char Char,Footnote Text Char2 Char Char Char Char,Footnote Text Char1 Char1 Char Char Char Char,Footnote Text Char2,Footnote Text Char1 Char"/>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basedOn w:val="DefaultParagraphFont"/>
    <w:semiHidden/>
    <w:rPr>
      <w:color w:val="800080"/>
      <w:u w:val="single"/>
    </w:rPr>
  </w:style>
  <w:style w:type="paragraph" w:styleId="BodyText2">
    <w:name w:val="Body Text 2"/>
    <w:basedOn w:val="Normal"/>
    <w:link w:val="BodyText2Char"/>
    <w:rsid w:val="00EA44D0"/>
    <w:rPr>
      <w:sz w:val="24"/>
    </w:rPr>
  </w:style>
  <w:style w:type="character" w:customStyle="1" w:styleId="BodyText2Char">
    <w:name w:val="Body Text 2 Char"/>
    <w:basedOn w:val="DefaultParagraphFont"/>
    <w:link w:val="BodyText2"/>
    <w:rsid w:val="00EA44D0"/>
    <w:rPr>
      <w:sz w:val="24"/>
    </w:rPr>
  </w:style>
  <w:style w:type="character" w:customStyle="1" w:styleId="FootnoteTextChar1">
    <w:name w:val="Footnote Text Char1"/>
    <w:aliases w:val="Footnote Text Char Char,Footnote Text Char2 Char Char,Footnote Text Char1 Char Char Char,Footnote Text Char Char Char Char Char,Footnote Text Char2 Char Char Char Char Char,Footnote Text Char1 Char1 Char Char Char Char Char"/>
    <w:link w:val="FootnoteText"/>
    <w:semiHidden/>
    <w:rsid w:val="00EA44D0"/>
    <w:rPr>
      <w:sz w:val="22"/>
    </w:rPr>
  </w:style>
  <w:style w:type="paragraph" w:customStyle="1" w:styleId="Default">
    <w:name w:val="Default"/>
    <w:rsid w:val="00EA44D0"/>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Melvin.Spann@fcc.go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fcc.gov/cgb/ecfs"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FCC@BCPIWEB.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Public Notice - P</Template>
  <TotalTime>0</TotalTime>
  <Pages>2</Pages>
  <Words>1136</Words>
  <Characters>6448</Characters>
  <Application>Microsoft Office Word</Application>
  <DocSecurity>0</DocSecurity>
  <Lines>114</Lines>
  <Paragraphs>26</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7620</CharactersWithSpaces>
  <SharedDoc>false</SharedDoc>
  <HyperlinkBase> </HyperlinkBase>
  <HLinks>
    <vt:vector size="6" baseType="variant">
      <vt:variant>
        <vt:i4>6619244</vt:i4>
      </vt:variant>
      <vt:variant>
        <vt:i4>-1</vt:i4>
      </vt:variant>
      <vt:variant>
        <vt:i4>2054</vt:i4>
      </vt:variant>
      <vt:variant>
        <vt:i4>1</vt:i4>
      </vt:variant>
      <vt:variant>
        <vt:lpwstr>C:\WINDOWS\Desktop\fcc_logo.tif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2002-01-31T15:18:00Z</cp:lastPrinted>
  <dcterms:created xsi:type="dcterms:W3CDTF">2013-08-29T13:24:00Z</dcterms:created>
  <dcterms:modified xsi:type="dcterms:W3CDTF">2013-08-29T13:24:00Z</dcterms:modified>
  <cp:category> </cp:category>
  <cp:contentStatus> </cp:contentStatus>
</cp:coreProperties>
</file>