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2A6EEA">
      <w:pPr>
        <w:spacing w:after="0" w:line="240" w:lineRule="auto"/>
        <w:jc w:val="center"/>
        <w:rPr>
          <w:b/>
        </w:rPr>
      </w:pPr>
      <w:bookmarkStart w:id="0" w:name="_GoBack"/>
      <w:bookmarkEnd w:id="0"/>
      <w:r w:rsidRPr="0070224F">
        <w:rPr>
          <w:rFonts w:ascii="Times New Roman Bold" w:hAnsi="Times New Roman Bold"/>
          <w:b/>
        </w:rPr>
        <w:t>Before</w:t>
      </w:r>
      <w:r w:rsidRPr="001B76B3">
        <w:rPr>
          <w:rFonts w:ascii="Times New Roman" w:hAnsi="Times New Roman" w:cs="Times New Roman"/>
          <w:b/>
        </w:rPr>
        <w:t xml:space="preserve"> the</w:t>
      </w:r>
    </w:p>
    <w:p w:rsidR="00921803" w:rsidRDefault="002A6EEA" w:rsidP="00921803">
      <w:pPr>
        <w:pStyle w:val="StyleBoldCentered"/>
      </w:pPr>
      <w:r>
        <w:t>f</w:t>
      </w:r>
      <w:r w:rsidR="00921803">
        <w:rPr>
          <w:caps w:val="0"/>
        </w:rPr>
        <w:t>ederal Communications Commission</w:t>
      </w:r>
    </w:p>
    <w:p w:rsidR="004C2EE3" w:rsidRDefault="004C2EE3" w:rsidP="00096D8C">
      <w:pPr>
        <w:pStyle w:val="StyleBoldCentered"/>
      </w:pPr>
      <w:r>
        <w:t>W</w:t>
      </w:r>
      <w:r w:rsidR="00054490">
        <w:rPr>
          <w:caps w:val="0"/>
        </w:rPr>
        <w:t>ashington</w:t>
      </w:r>
      <w:r>
        <w:t>,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rsidTr="00CF00CC">
        <w:tc>
          <w:tcPr>
            <w:tcW w:w="4698" w:type="dxa"/>
          </w:tcPr>
          <w:p w:rsidR="004C2EE3" w:rsidRDefault="004C2EE3">
            <w:pPr>
              <w:tabs>
                <w:tab w:val="center" w:pos="4680"/>
              </w:tabs>
              <w:suppressAutoHyphens/>
              <w:rPr>
                <w:spacing w:val="-2"/>
              </w:rPr>
            </w:pPr>
            <w:r w:rsidRPr="00412DD0">
              <w:rPr>
                <w:rFonts w:ascii="Times New Roman" w:hAnsi="Times New Roman" w:cs="Times New Roman"/>
                <w:spacing w:val="-2"/>
              </w:rPr>
              <w:t>In the Matter of</w:t>
            </w:r>
          </w:p>
          <w:p w:rsidR="00D9602B" w:rsidRPr="001B76B3" w:rsidRDefault="001B76B3" w:rsidP="001C6FFB">
            <w:pPr>
              <w:tabs>
                <w:tab w:val="center" w:pos="4680"/>
              </w:tabs>
              <w:suppressAutoHyphens/>
              <w:rPr>
                <w:rFonts w:ascii="Times New Roman" w:hAnsi="Times New Roman" w:cs="Times New Roman"/>
                <w:color w:val="010101"/>
              </w:rPr>
            </w:pPr>
            <w:r w:rsidRPr="001B76B3">
              <w:rPr>
                <w:rFonts w:ascii="Times New Roman" w:hAnsi="Times New Roman" w:cs="Times New Roman"/>
              </w:rPr>
              <w:t>Cross Wireless, LLC</w:t>
            </w:r>
          </w:p>
          <w:p w:rsidR="0087450F" w:rsidRPr="007115F7" w:rsidRDefault="0087450F" w:rsidP="00D9602B">
            <w:pPr>
              <w:tabs>
                <w:tab w:val="center" w:pos="4680"/>
              </w:tabs>
              <w:suppressAutoHyphens/>
              <w:rPr>
                <w:spacing w:val="-2"/>
              </w:rPr>
            </w:pPr>
            <w:r>
              <w:rPr>
                <w:rFonts w:ascii="TimesNewRoman" w:hAnsi="TimesNewRoman" w:cs="TimesNewRoman"/>
                <w:color w:val="010101"/>
              </w:rPr>
              <w:t xml:space="preserve">Waiver of </w:t>
            </w:r>
            <w:r w:rsidR="00D9602B">
              <w:rPr>
                <w:rFonts w:ascii="TimesNewRoman" w:hAnsi="TimesNewRoman" w:cs="TimesNewRoman"/>
                <w:color w:val="010101"/>
              </w:rPr>
              <w:t>Section 54.1003(a) of the Commission’s Rules</w:t>
            </w:r>
          </w:p>
        </w:tc>
        <w:tc>
          <w:tcPr>
            <w:tcW w:w="630" w:type="dxa"/>
          </w:tcPr>
          <w:p w:rsidR="004C2EE3" w:rsidRPr="00CF00CC" w:rsidRDefault="004C2EE3" w:rsidP="00CF00CC">
            <w:pPr>
              <w:tabs>
                <w:tab w:val="center" w:pos="4680"/>
              </w:tabs>
              <w:suppressAutoHyphens/>
              <w:spacing w:after="0"/>
              <w:rPr>
                <w:rFonts w:ascii="Times New Roman" w:hAnsi="Times New Roman" w:cs="Times New Roman"/>
                <w:b/>
                <w:spacing w:val="-2"/>
              </w:rPr>
            </w:pPr>
            <w:r w:rsidRPr="00CF00CC">
              <w:rPr>
                <w:rFonts w:ascii="Times New Roman" w:hAnsi="Times New Roman" w:cs="Times New Roman"/>
                <w:b/>
                <w:spacing w:val="-2"/>
              </w:rPr>
              <w:t>)</w:t>
            </w:r>
          </w:p>
          <w:p w:rsidR="004C2EE3" w:rsidRPr="00CF00CC" w:rsidRDefault="004C2EE3" w:rsidP="00CF00CC">
            <w:pPr>
              <w:tabs>
                <w:tab w:val="center" w:pos="4680"/>
              </w:tabs>
              <w:suppressAutoHyphens/>
              <w:spacing w:after="0"/>
              <w:rPr>
                <w:rFonts w:ascii="Times New Roman" w:hAnsi="Times New Roman" w:cs="Times New Roman"/>
                <w:b/>
                <w:spacing w:val="-2"/>
              </w:rPr>
            </w:pPr>
            <w:r w:rsidRPr="00CF00CC">
              <w:rPr>
                <w:rFonts w:ascii="Times New Roman" w:hAnsi="Times New Roman" w:cs="Times New Roman"/>
                <w:b/>
                <w:spacing w:val="-2"/>
              </w:rPr>
              <w:t>)</w:t>
            </w:r>
          </w:p>
          <w:p w:rsidR="004C2EE3" w:rsidRPr="00CF00CC" w:rsidRDefault="004C2EE3" w:rsidP="00CF00CC">
            <w:pPr>
              <w:tabs>
                <w:tab w:val="center" w:pos="4680"/>
              </w:tabs>
              <w:suppressAutoHyphens/>
              <w:spacing w:after="0"/>
              <w:rPr>
                <w:rFonts w:ascii="Times New Roman" w:hAnsi="Times New Roman" w:cs="Times New Roman"/>
                <w:b/>
                <w:spacing w:val="-2"/>
              </w:rPr>
            </w:pPr>
            <w:r w:rsidRPr="00CF00CC">
              <w:rPr>
                <w:rFonts w:ascii="Times New Roman" w:hAnsi="Times New Roman" w:cs="Times New Roman"/>
                <w:b/>
                <w:spacing w:val="-2"/>
              </w:rPr>
              <w:t>)</w:t>
            </w:r>
          </w:p>
          <w:p w:rsidR="004C2EE3" w:rsidRPr="00CF00CC" w:rsidRDefault="004C2EE3" w:rsidP="00CF00CC">
            <w:pPr>
              <w:tabs>
                <w:tab w:val="center" w:pos="4680"/>
              </w:tabs>
              <w:suppressAutoHyphens/>
              <w:spacing w:after="0"/>
              <w:rPr>
                <w:rFonts w:ascii="Times New Roman" w:hAnsi="Times New Roman" w:cs="Times New Roman"/>
                <w:b/>
                <w:spacing w:val="-2"/>
              </w:rPr>
            </w:pPr>
            <w:r w:rsidRPr="00CF00CC">
              <w:rPr>
                <w:rFonts w:ascii="Times New Roman" w:hAnsi="Times New Roman" w:cs="Times New Roman"/>
                <w:b/>
                <w:spacing w:val="-2"/>
              </w:rPr>
              <w:t>)</w:t>
            </w:r>
          </w:p>
          <w:p w:rsidR="00CF00CC" w:rsidRPr="00CF00CC" w:rsidRDefault="00CF00CC" w:rsidP="00CF00CC">
            <w:pPr>
              <w:tabs>
                <w:tab w:val="center" w:pos="4680"/>
              </w:tabs>
              <w:suppressAutoHyphens/>
              <w:spacing w:after="0"/>
              <w:rPr>
                <w:rFonts w:ascii="Times New Roman" w:hAnsi="Times New Roman" w:cs="Times New Roman"/>
                <w:b/>
                <w:spacing w:val="-2"/>
              </w:rPr>
            </w:pPr>
            <w:r w:rsidRPr="00CF00CC">
              <w:rPr>
                <w:rFonts w:ascii="Times New Roman" w:hAnsi="Times New Roman" w:cs="Times New Roman"/>
                <w:b/>
                <w:spacing w:val="-2"/>
              </w:rPr>
              <w:t>)</w:t>
            </w:r>
          </w:p>
          <w:p w:rsidR="004C2EE3" w:rsidRPr="00CF00CC" w:rsidRDefault="004C2EE3" w:rsidP="00CF00CC">
            <w:pPr>
              <w:tabs>
                <w:tab w:val="center" w:pos="4680"/>
              </w:tabs>
              <w:suppressAutoHyphens/>
              <w:spacing w:after="0"/>
              <w:rPr>
                <w:rFonts w:ascii="Times New Roman" w:hAnsi="Times New Roman" w:cs="Times New Roman"/>
                <w:b/>
                <w:spacing w:val="-2"/>
              </w:rPr>
            </w:pPr>
          </w:p>
          <w:p w:rsidR="004C2EE3" w:rsidRPr="00CF00CC" w:rsidRDefault="004C2EE3" w:rsidP="00CF00CC">
            <w:pPr>
              <w:tabs>
                <w:tab w:val="center" w:pos="4680"/>
              </w:tabs>
              <w:suppressAutoHyphens/>
              <w:spacing w:after="0"/>
              <w:rPr>
                <w:rFonts w:ascii="Times New Roman" w:hAnsi="Times New Roman" w:cs="Times New Roman"/>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tc>
      </w:tr>
    </w:tbl>
    <w:p w:rsidR="00841AB1" w:rsidRDefault="00A033C0" w:rsidP="00F021FA">
      <w:pPr>
        <w:pStyle w:val="StyleBoldCentered"/>
      </w:pPr>
      <w:r>
        <w:t>ORDER</w:t>
      </w:r>
    </w:p>
    <w:p w:rsidR="004C2EE3" w:rsidRDefault="004C2EE3">
      <w:pPr>
        <w:tabs>
          <w:tab w:val="left" w:pos="-720"/>
        </w:tabs>
        <w:suppressAutoHyphens/>
        <w:spacing w:line="227" w:lineRule="auto"/>
        <w:rPr>
          <w:spacing w:val="-2"/>
        </w:rPr>
      </w:pPr>
    </w:p>
    <w:p w:rsidR="004C2EE3" w:rsidRPr="00412DD0" w:rsidRDefault="004C2EE3">
      <w:pPr>
        <w:tabs>
          <w:tab w:val="left" w:pos="720"/>
          <w:tab w:val="left" w:pos="5760"/>
        </w:tabs>
        <w:suppressAutoHyphens/>
        <w:spacing w:line="227" w:lineRule="auto"/>
        <w:rPr>
          <w:b/>
          <w:spacing w:val="-2"/>
        </w:rPr>
      </w:pPr>
      <w:r w:rsidRPr="00412DD0">
        <w:rPr>
          <w:rFonts w:ascii="Times New Roman" w:eastAsia="Times New Roman" w:hAnsi="Times New Roman" w:cs="Times New Roman"/>
          <w:b/>
          <w:snapToGrid w:val="0"/>
          <w:kern w:val="28"/>
          <w:szCs w:val="20"/>
        </w:rPr>
        <w:t xml:space="preserve">Adopted:  </w:t>
      </w:r>
      <w:r w:rsidR="00EC31D4">
        <w:rPr>
          <w:rFonts w:ascii="Times New Roman" w:eastAsia="Times New Roman" w:hAnsi="Times New Roman" w:cs="Times New Roman"/>
          <w:b/>
          <w:snapToGrid w:val="0"/>
          <w:kern w:val="28"/>
          <w:szCs w:val="20"/>
        </w:rPr>
        <w:t>September 11, 2013</w:t>
      </w:r>
      <w:r w:rsidRPr="00412DD0">
        <w:rPr>
          <w:b/>
          <w:spacing w:val="-2"/>
        </w:rPr>
        <w:tab/>
      </w:r>
      <w:r w:rsidR="00822CE0" w:rsidRPr="00412DD0">
        <w:rPr>
          <w:rFonts w:ascii="Times New Roman" w:eastAsia="Times New Roman" w:hAnsi="Times New Roman" w:cs="Times New Roman"/>
          <w:b/>
          <w:snapToGrid w:val="0"/>
          <w:kern w:val="28"/>
          <w:szCs w:val="20"/>
        </w:rPr>
        <w:t>Released</w:t>
      </w:r>
      <w:r w:rsidRPr="00412DD0">
        <w:rPr>
          <w:rFonts w:ascii="Times New Roman" w:eastAsia="Times New Roman" w:hAnsi="Times New Roman" w:cs="Times New Roman"/>
          <w:b/>
          <w:snapToGrid w:val="0"/>
          <w:kern w:val="28"/>
          <w:szCs w:val="20"/>
        </w:rPr>
        <w:t>:</w:t>
      </w:r>
      <w:r w:rsidR="00822CE0" w:rsidRPr="00412DD0">
        <w:rPr>
          <w:rFonts w:ascii="Times New Roman" w:eastAsia="Times New Roman" w:hAnsi="Times New Roman" w:cs="Times New Roman"/>
          <w:b/>
          <w:snapToGrid w:val="0"/>
          <w:kern w:val="28"/>
          <w:szCs w:val="20"/>
        </w:rPr>
        <w:t xml:space="preserve"> </w:t>
      </w:r>
      <w:r w:rsidRPr="00412DD0">
        <w:rPr>
          <w:rFonts w:ascii="Times New Roman" w:eastAsia="Times New Roman" w:hAnsi="Times New Roman" w:cs="Times New Roman"/>
          <w:b/>
          <w:snapToGrid w:val="0"/>
          <w:kern w:val="28"/>
          <w:szCs w:val="20"/>
        </w:rPr>
        <w:t xml:space="preserve"> </w:t>
      </w:r>
      <w:r w:rsidR="00EC31D4">
        <w:rPr>
          <w:rFonts w:ascii="Times New Roman" w:eastAsia="Times New Roman" w:hAnsi="Times New Roman" w:cs="Times New Roman"/>
          <w:b/>
          <w:snapToGrid w:val="0"/>
          <w:kern w:val="28"/>
          <w:szCs w:val="20"/>
        </w:rPr>
        <w:t>September 11, 2013</w:t>
      </w:r>
    </w:p>
    <w:p w:rsidR="004C2EE3" w:rsidRPr="00412DD0" w:rsidRDefault="004C2EE3">
      <w:pPr>
        <w:rPr>
          <w:rFonts w:ascii="Times New Roman" w:hAnsi="Times New Roman" w:cs="Times New Roman"/>
          <w:spacing w:val="-2"/>
        </w:rPr>
      </w:pPr>
      <w:r w:rsidRPr="00412DD0">
        <w:rPr>
          <w:rFonts w:ascii="Times New Roman" w:hAnsi="Times New Roman" w:cs="Times New Roman"/>
        </w:rPr>
        <w:t xml:space="preserve">By </w:t>
      </w:r>
      <w:r w:rsidR="004E4A22" w:rsidRPr="00412DD0">
        <w:rPr>
          <w:rFonts w:ascii="Times New Roman" w:hAnsi="Times New Roman" w:cs="Times New Roman"/>
        </w:rPr>
        <w:t>the</w:t>
      </w:r>
      <w:r w:rsidR="002A2D2E" w:rsidRPr="00412DD0">
        <w:rPr>
          <w:rFonts w:ascii="Times New Roman" w:hAnsi="Times New Roman" w:cs="Times New Roman"/>
        </w:rPr>
        <w:t xml:space="preserve"> </w:t>
      </w:r>
      <w:r w:rsidR="004C4AA8" w:rsidRPr="00412DD0">
        <w:rPr>
          <w:rFonts w:ascii="Times New Roman" w:hAnsi="Times New Roman" w:cs="Times New Roman"/>
          <w:spacing w:val="-2"/>
        </w:rPr>
        <w:t xml:space="preserve">Chief, </w:t>
      </w:r>
      <w:r w:rsidR="003E7BA3">
        <w:rPr>
          <w:rFonts w:ascii="Times New Roman" w:hAnsi="Times New Roman" w:cs="Times New Roman"/>
          <w:spacing w:val="-2"/>
        </w:rPr>
        <w:t xml:space="preserve">Auctions </w:t>
      </w:r>
      <w:r w:rsidR="00286800">
        <w:rPr>
          <w:rFonts w:ascii="Times New Roman" w:hAnsi="Times New Roman" w:cs="Times New Roman"/>
          <w:spacing w:val="-2"/>
        </w:rPr>
        <w:t xml:space="preserve">and </w:t>
      </w:r>
      <w:r w:rsidR="003E7BA3">
        <w:rPr>
          <w:rFonts w:ascii="Times New Roman" w:hAnsi="Times New Roman" w:cs="Times New Roman"/>
          <w:spacing w:val="-2"/>
        </w:rPr>
        <w:t xml:space="preserve">Spectrum Access Division, </w:t>
      </w:r>
      <w:r w:rsidR="004C4AA8" w:rsidRPr="00412DD0">
        <w:rPr>
          <w:rFonts w:ascii="Times New Roman" w:hAnsi="Times New Roman" w:cs="Times New Roman"/>
          <w:spacing w:val="-2"/>
        </w:rPr>
        <w:t>Wireless Telecommunications Bureau</w:t>
      </w:r>
      <w:r w:rsidR="0051568C" w:rsidRPr="005B2A40">
        <w:rPr>
          <w:rFonts w:ascii="Times New Roman" w:hAnsi="Times New Roman" w:cs="Times New Roman"/>
          <w:spacing w:val="-2"/>
        </w:rPr>
        <w:t>:</w:t>
      </w:r>
    </w:p>
    <w:p w:rsidR="00412FC5" w:rsidRDefault="004C4AA8" w:rsidP="00412FC5">
      <w:pPr>
        <w:pStyle w:val="Heading1"/>
      </w:pPr>
      <w:r>
        <w:t>INTRODUCTION</w:t>
      </w:r>
    </w:p>
    <w:p w:rsidR="00CE7EB4" w:rsidRDefault="002F7BBB" w:rsidP="00CE7EB4">
      <w:pPr>
        <w:pStyle w:val="ParaNum"/>
      </w:pPr>
      <w:r>
        <w:t>O</w:t>
      </w:r>
      <w:r w:rsidR="00CE7EB4" w:rsidRPr="00A165E3">
        <w:t xml:space="preserve">n </w:t>
      </w:r>
      <w:r w:rsidR="00CE7EB4">
        <w:t xml:space="preserve">our </w:t>
      </w:r>
      <w:r w:rsidR="00CE7EB4" w:rsidRPr="00A165E3">
        <w:t>own motion</w:t>
      </w:r>
      <w:r w:rsidR="00495FF0">
        <w:t>,</w:t>
      </w:r>
      <w:r w:rsidR="00CE7EB4" w:rsidRPr="00A165E3">
        <w:t xml:space="preserve"> </w:t>
      </w:r>
      <w:r w:rsidR="00CE7EB4">
        <w:t xml:space="preserve">we </w:t>
      </w:r>
      <w:r w:rsidR="00495FF0">
        <w:t xml:space="preserve">grant </w:t>
      </w:r>
      <w:r w:rsidR="00572FC3">
        <w:t xml:space="preserve">Cross Wireless, LLC (Cross) </w:t>
      </w:r>
      <w:r w:rsidR="00495FF0">
        <w:t xml:space="preserve">a waiver of </w:t>
      </w:r>
      <w:r w:rsidR="00CE7EB4">
        <w:t>the</w:t>
      </w:r>
      <w:r w:rsidR="00572FC3">
        <w:t xml:space="preserve"> </w:t>
      </w:r>
      <w:r w:rsidR="004F0469">
        <w:t>Mobility Fund Phase I eligibility rule that requires</w:t>
      </w:r>
      <w:r w:rsidR="00572FC3">
        <w:t xml:space="preserve"> </w:t>
      </w:r>
      <w:r w:rsidR="004940E8">
        <w:t>an applicant</w:t>
      </w:r>
      <w:r w:rsidR="00572FC3">
        <w:t xml:space="preserve"> to be formally designated as</w:t>
      </w:r>
      <w:r w:rsidR="003E7BA3">
        <w:t xml:space="preserve"> an</w:t>
      </w:r>
      <w:r w:rsidR="00CE7EB4">
        <w:t xml:space="preserve"> eligible telecommun</w:t>
      </w:r>
      <w:r w:rsidR="00957994">
        <w:t>i</w:t>
      </w:r>
      <w:r w:rsidR="00CE7EB4">
        <w:t>cations carrier</w:t>
      </w:r>
      <w:r w:rsidR="00EA386D">
        <w:t xml:space="preserve"> </w:t>
      </w:r>
      <w:r w:rsidR="00F40662">
        <w:t>(ETC)</w:t>
      </w:r>
      <w:r w:rsidR="00572FC3" w:rsidRPr="00572FC3">
        <w:t xml:space="preserve"> </w:t>
      </w:r>
      <w:r w:rsidR="00572FC3">
        <w:t>by the close of the</w:t>
      </w:r>
      <w:r w:rsidR="005F14B9">
        <w:t xml:space="preserve"> </w:t>
      </w:r>
      <w:r w:rsidR="00BF737D">
        <w:t xml:space="preserve">relevant </w:t>
      </w:r>
      <w:r w:rsidR="00790EA7">
        <w:t>a</w:t>
      </w:r>
      <w:r w:rsidR="005F14B9">
        <w:t xml:space="preserve">uction </w:t>
      </w:r>
      <w:r w:rsidR="00572FC3">
        <w:t>short-form filin</w:t>
      </w:r>
      <w:r w:rsidR="005F14B9">
        <w:t>g window</w:t>
      </w:r>
      <w:r w:rsidR="00572FC3">
        <w:t xml:space="preserve"> in </w:t>
      </w:r>
      <w:r w:rsidR="004940E8">
        <w:t xml:space="preserve">all of </w:t>
      </w:r>
      <w:r w:rsidR="00572FC3">
        <w:t xml:space="preserve">the areas for which </w:t>
      </w:r>
      <w:r w:rsidR="004940E8">
        <w:t xml:space="preserve">it </w:t>
      </w:r>
      <w:r w:rsidR="000919A1">
        <w:t xml:space="preserve">applies </w:t>
      </w:r>
      <w:r w:rsidR="00572FC3">
        <w:t xml:space="preserve">to bid for support.  </w:t>
      </w:r>
      <w:r w:rsidR="005F14B9">
        <w:t>Cross had six winning bids in Auction 901</w:t>
      </w:r>
      <w:r w:rsidR="000919A1">
        <w:t xml:space="preserve">, the first auction of Mobility Fund Phase I support.  </w:t>
      </w:r>
      <w:r w:rsidR="005F14B9">
        <w:t xml:space="preserve"> </w:t>
      </w:r>
      <w:r w:rsidR="000919A1">
        <w:t>H</w:t>
      </w:r>
      <w:r w:rsidR="00E71372">
        <w:t xml:space="preserve">owever, </w:t>
      </w:r>
      <w:r w:rsidR="00497C7A">
        <w:t xml:space="preserve">for eligible census blocks </w:t>
      </w:r>
      <w:r w:rsidR="00E71372">
        <w:t>i</w:t>
      </w:r>
      <w:r w:rsidR="00B824F1">
        <w:t xml:space="preserve">n three of the </w:t>
      </w:r>
      <w:r w:rsidR="00E8560B">
        <w:t xml:space="preserve">census </w:t>
      </w:r>
      <w:r w:rsidR="004E35DC">
        <w:t xml:space="preserve">tracts </w:t>
      </w:r>
      <w:r w:rsidR="00FA1C70">
        <w:t xml:space="preserve">for which </w:t>
      </w:r>
      <w:r w:rsidR="00497C7A">
        <w:t xml:space="preserve">Cross </w:t>
      </w:r>
      <w:r w:rsidR="00447EA1">
        <w:t>won</w:t>
      </w:r>
      <w:r w:rsidR="00E8560B">
        <w:t xml:space="preserve"> support</w:t>
      </w:r>
      <w:r w:rsidR="00B824F1">
        <w:t xml:space="preserve">, </w:t>
      </w:r>
      <w:r w:rsidR="00316C0A">
        <w:t xml:space="preserve">its </w:t>
      </w:r>
      <w:r w:rsidR="000F4997">
        <w:t xml:space="preserve">designation </w:t>
      </w:r>
      <w:r w:rsidR="00B824F1">
        <w:t xml:space="preserve">as an ETC, </w:t>
      </w:r>
      <w:r w:rsidR="00DC1645">
        <w:t xml:space="preserve">although </w:t>
      </w:r>
      <w:r w:rsidR="00D4764B">
        <w:t xml:space="preserve">timely </w:t>
      </w:r>
      <w:r w:rsidR="00B824F1">
        <w:t xml:space="preserve">recommended </w:t>
      </w:r>
      <w:r w:rsidR="00F47D6C">
        <w:t xml:space="preserve">by </w:t>
      </w:r>
      <w:r w:rsidR="00FA1C70">
        <w:t xml:space="preserve">a </w:t>
      </w:r>
      <w:r w:rsidR="00F47D6C">
        <w:t>state administrative law judge (ALJ)</w:t>
      </w:r>
      <w:r w:rsidR="004A2625">
        <w:t xml:space="preserve">, </w:t>
      </w:r>
      <w:r w:rsidR="00316C0A">
        <w:t xml:space="preserve">was </w:t>
      </w:r>
      <w:r w:rsidR="00447EA1">
        <w:t xml:space="preserve">not </w:t>
      </w:r>
      <w:r w:rsidR="004A2625">
        <w:t xml:space="preserve">formally </w:t>
      </w:r>
      <w:r w:rsidR="00BF4EEF">
        <w:t xml:space="preserve">certified </w:t>
      </w:r>
      <w:r w:rsidR="004A2625">
        <w:t xml:space="preserve">by the state </w:t>
      </w:r>
      <w:r w:rsidR="00B3120F">
        <w:t xml:space="preserve">commission </w:t>
      </w:r>
      <w:r w:rsidR="004A2625">
        <w:t xml:space="preserve">until </w:t>
      </w:r>
      <w:r w:rsidR="00886101">
        <w:t xml:space="preserve">two weeks </w:t>
      </w:r>
      <w:r w:rsidR="00447EA1">
        <w:t xml:space="preserve">after </w:t>
      </w:r>
      <w:r w:rsidR="00D31656">
        <w:t xml:space="preserve">the </w:t>
      </w:r>
      <w:r w:rsidR="00316C0A">
        <w:t>close of the short</w:t>
      </w:r>
      <w:r w:rsidR="00DC1645">
        <w:t>-</w:t>
      </w:r>
      <w:r w:rsidR="00316C0A">
        <w:t>form</w:t>
      </w:r>
      <w:r w:rsidR="00DC1645">
        <w:t xml:space="preserve"> filing window</w:t>
      </w:r>
      <w:r w:rsidR="00447EA1">
        <w:t>.</w:t>
      </w:r>
      <w:r w:rsidR="00B06F78">
        <w:t xml:space="preserve"> </w:t>
      </w:r>
      <w:r w:rsidR="00DE1DF8">
        <w:t xml:space="preserve"> </w:t>
      </w:r>
      <w:r w:rsidR="00B66BDE">
        <w:t xml:space="preserve">Because we </w:t>
      </w:r>
      <w:r w:rsidR="001302A2">
        <w:t xml:space="preserve">find </w:t>
      </w:r>
      <w:r w:rsidR="00B66BDE">
        <w:t xml:space="preserve">that </w:t>
      </w:r>
      <w:r w:rsidR="00BF4EEF">
        <w:t xml:space="preserve">a waiver </w:t>
      </w:r>
      <w:r w:rsidR="00930E4A">
        <w:t xml:space="preserve">of </w:t>
      </w:r>
      <w:r w:rsidR="00FA1C70">
        <w:t xml:space="preserve">the ETC </w:t>
      </w:r>
      <w:r w:rsidR="005F14B9">
        <w:t xml:space="preserve">eligibility </w:t>
      </w:r>
      <w:r w:rsidR="00574881">
        <w:t xml:space="preserve">requirement </w:t>
      </w:r>
      <w:r w:rsidR="00577803">
        <w:t xml:space="preserve">in this case </w:t>
      </w:r>
      <w:r w:rsidR="00316C0A">
        <w:t xml:space="preserve">would </w:t>
      </w:r>
      <w:r w:rsidR="007D5063" w:rsidRPr="00E83D3B">
        <w:rPr>
          <w:szCs w:val="22"/>
        </w:rPr>
        <w:t>not conflict with the policy underlying the rule</w:t>
      </w:r>
      <w:r w:rsidR="00F35B7A">
        <w:rPr>
          <w:szCs w:val="22"/>
        </w:rPr>
        <w:t xml:space="preserve"> and would serve the public interest</w:t>
      </w:r>
      <w:r w:rsidR="00B66BDE">
        <w:t xml:space="preserve">, we waive </w:t>
      </w:r>
      <w:r w:rsidR="00FA1C70">
        <w:t xml:space="preserve">the </w:t>
      </w:r>
      <w:r w:rsidR="008C13E4">
        <w:t>requirement</w:t>
      </w:r>
      <w:r w:rsidR="00FA1C70">
        <w:t xml:space="preserve"> </w:t>
      </w:r>
      <w:r w:rsidR="009E453A">
        <w:t xml:space="preserve">for Cross </w:t>
      </w:r>
      <w:r w:rsidR="007D5063">
        <w:t>to have received its</w:t>
      </w:r>
      <w:r w:rsidR="002D4DA7">
        <w:t xml:space="preserve"> formal ETC designation</w:t>
      </w:r>
      <w:r w:rsidR="00CD125B">
        <w:t xml:space="preserve"> </w:t>
      </w:r>
      <w:r w:rsidR="007D5063">
        <w:t xml:space="preserve">by the </w:t>
      </w:r>
      <w:r w:rsidR="001C6FFB">
        <w:t>short-form filing window</w:t>
      </w:r>
      <w:r w:rsidR="002D6563">
        <w:t xml:space="preserve"> in the three census tracts at issue</w:t>
      </w:r>
      <w:r w:rsidR="00B66BDE">
        <w:t>.</w:t>
      </w:r>
    </w:p>
    <w:p w:rsidR="009C5812" w:rsidRPr="00A165E3" w:rsidRDefault="007C007E" w:rsidP="007C007E">
      <w:pPr>
        <w:pStyle w:val="Heading1"/>
        <w:tabs>
          <w:tab w:val="left" w:pos="720"/>
        </w:tabs>
      </w:pPr>
      <w:r>
        <w:t>background</w:t>
      </w:r>
      <w:r w:rsidR="000209D1">
        <w:t xml:space="preserve"> </w:t>
      </w:r>
    </w:p>
    <w:p w:rsidR="00921D21" w:rsidRDefault="000919A1" w:rsidP="000F4997">
      <w:pPr>
        <w:pStyle w:val="ParaNum"/>
      </w:pPr>
      <w:r>
        <w:t>The bidding in Auction 901 occurred o</w:t>
      </w:r>
      <w:r w:rsidR="009B2F14">
        <w:t>n September 27, 2012</w:t>
      </w:r>
      <w:r>
        <w:t>.</w:t>
      </w:r>
      <w:r w:rsidR="009B2F14">
        <w:rPr>
          <w:rStyle w:val="FootnoteReference"/>
        </w:rPr>
        <w:footnoteReference w:id="2"/>
      </w:r>
      <w:r w:rsidR="009B2F14">
        <w:t xml:space="preserve">  The auction produced 33 winning bidders eligible to receive a total of nearly </w:t>
      </w:r>
      <w:r w:rsidR="00DD2DC5">
        <w:t>$</w:t>
      </w:r>
      <w:r w:rsidR="009B2F14">
        <w:t xml:space="preserve">300 million in one-time </w:t>
      </w:r>
      <w:r w:rsidR="00AA2756">
        <w:t>Mobility Fund Phase I</w:t>
      </w:r>
      <w:r w:rsidR="009B2F14">
        <w:t xml:space="preserve"> universal service support to provide </w:t>
      </w:r>
      <w:r w:rsidR="0060544C">
        <w:t xml:space="preserve">advanced </w:t>
      </w:r>
      <w:r w:rsidR="009B2F14">
        <w:t xml:space="preserve">mobile </w:t>
      </w:r>
      <w:r w:rsidR="00567287">
        <w:t>tele</w:t>
      </w:r>
      <w:r w:rsidR="00B76972">
        <w:t xml:space="preserve">communications </w:t>
      </w:r>
      <w:r w:rsidR="00567287">
        <w:t xml:space="preserve">services </w:t>
      </w:r>
      <w:r w:rsidR="009B2F14">
        <w:t>in areas without such services.</w:t>
      </w:r>
      <w:r w:rsidR="009B2F14">
        <w:rPr>
          <w:rStyle w:val="FootnoteReference"/>
        </w:rPr>
        <w:footnoteReference w:id="3"/>
      </w:r>
      <w:r w:rsidR="009B2F14" w:rsidRPr="001238E7">
        <w:t xml:space="preserve"> </w:t>
      </w:r>
      <w:r w:rsidR="009B2F14">
        <w:t xml:space="preserve"> To </w:t>
      </w:r>
      <w:r w:rsidR="00412DD0">
        <w:t>participate in the auction, each applicant</w:t>
      </w:r>
      <w:r>
        <w:t>, with a narrow exception not relevant here,</w:t>
      </w:r>
      <w:r w:rsidR="00412DD0">
        <w:t xml:space="preserve"> </w:t>
      </w:r>
      <w:r w:rsidR="00B75418">
        <w:t xml:space="preserve">was required </w:t>
      </w:r>
      <w:r w:rsidR="00F377C0">
        <w:t>to have been, by the July 11, 2012</w:t>
      </w:r>
      <w:r w:rsidR="006248C1">
        <w:t>, close of the</w:t>
      </w:r>
      <w:r w:rsidR="00F377C0">
        <w:t xml:space="preserve"> short-form filing </w:t>
      </w:r>
      <w:r w:rsidR="006248C1">
        <w:t>window</w:t>
      </w:r>
      <w:r w:rsidR="00707C22">
        <w:t xml:space="preserve">, formally designated as an </w:t>
      </w:r>
      <w:r w:rsidR="00226887">
        <w:t xml:space="preserve">ETC </w:t>
      </w:r>
      <w:r w:rsidR="00707C22">
        <w:t xml:space="preserve">in the </w:t>
      </w:r>
      <w:r w:rsidR="0023253A">
        <w:t>geographic areas</w:t>
      </w:r>
      <w:r w:rsidR="00707C22">
        <w:t xml:space="preserve"> for which it was applying to bid for support.</w:t>
      </w:r>
      <w:r w:rsidR="00B1321E">
        <w:rPr>
          <w:rStyle w:val="FootnoteReference"/>
        </w:rPr>
        <w:footnoteReference w:id="4"/>
      </w:r>
      <w:r w:rsidR="00111AD3">
        <w:t xml:space="preserve"> </w:t>
      </w:r>
      <w:r w:rsidR="004940E8">
        <w:t xml:space="preserve"> The Commission’s short </w:t>
      </w:r>
      <w:r w:rsidR="004940E8">
        <w:lastRenderedPageBreak/>
        <w:t xml:space="preserve">form application did not, however, require an applicant to </w:t>
      </w:r>
      <w:r w:rsidR="001A1BF0">
        <w:t>identify</w:t>
      </w:r>
      <w:r w:rsidR="004940E8">
        <w:t xml:space="preserve"> the specific </w:t>
      </w:r>
      <w:r w:rsidR="00B45B1C">
        <w:t>areas</w:t>
      </w:r>
      <w:r w:rsidR="004940E8">
        <w:t xml:space="preserve"> for which it intended to bid. </w:t>
      </w:r>
      <w:r w:rsidR="00111AD3">
        <w:t xml:space="preserve"> </w:t>
      </w:r>
      <w:r w:rsidR="00CD125B">
        <w:t>Cross ti</w:t>
      </w:r>
      <w:r w:rsidR="00635217">
        <w:t>mely filed an Auction 901 short-</w:t>
      </w:r>
      <w:r w:rsidR="00CD125B">
        <w:t>form application</w:t>
      </w:r>
      <w:r w:rsidR="00360A07">
        <w:t>,</w:t>
      </w:r>
      <w:r w:rsidR="00D9772E">
        <w:rPr>
          <w:rStyle w:val="FootnoteReference"/>
        </w:rPr>
        <w:footnoteReference w:id="5"/>
      </w:r>
      <w:r w:rsidR="0065094D">
        <w:t xml:space="preserve"> </w:t>
      </w:r>
      <w:r w:rsidR="00D9772E">
        <w:t>bid in the auction</w:t>
      </w:r>
      <w:r w:rsidR="009F7B9A">
        <w:t>,</w:t>
      </w:r>
      <w:r w:rsidR="00CD125B">
        <w:t xml:space="preserve"> and</w:t>
      </w:r>
      <w:r w:rsidR="00257198">
        <w:t xml:space="preserve"> </w:t>
      </w:r>
      <w:r w:rsidR="00CD125B">
        <w:t xml:space="preserve">became </w:t>
      </w:r>
      <w:r w:rsidR="00143184">
        <w:t xml:space="preserve">the winning bidder </w:t>
      </w:r>
      <w:r w:rsidR="0054389E">
        <w:t xml:space="preserve">for </w:t>
      </w:r>
      <w:r w:rsidR="00D53D6A">
        <w:t xml:space="preserve">support </w:t>
      </w:r>
      <w:r w:rsidR="00FA5E8E">
        <w:t xml:space="preserve">for </w:t>
      </w:r>
      <w:r w:rsidR="0032017F">
        <w:t xml:space="preserve">certain census blocks in </w:t>
      </w:r>
      <w:r w:rsidR="00F222CD">
        <w:t xml:space="preserve">six </w:t>
      </w:r>
      <w:r w:rsidR="006E1B5B">
        <w:t xml:space="preserve">Oklahoma </w:t>
      </w:r>
      <w:r w:rsidR="00F222CD">
        <w:t xml:space="preserve">census </w:t>
      </w:r>
      <w:r w:rsidR="00BA24BC">
        <w:t>tracts</w:t>
      </w:r>
      <w:r w:rsidR="00FA5E8E">
        <w:t>.</w:t>
      </w:r>
      <w:r w:rsidR="00FA5E8E">
        <w:rPr>
          <w:rStyle w:val="FootnoteReference"/>
        </w:rPr>
        <w:footnoteReference w:id="6"/>
      </w:r>
    </w:p>
    <w:p w:rsidR="00B73A26" w:rsidRDefault="00ED652C" w:rsidP="0035281B">
      <w:pPr>
        <w:pStyle w:val="ParaNum"/>
      </w:pPr>
      <w:r w:rsidRPr="00CE1A81">
        <w:rPr>
          <w:szCs w:val="22"/>
        </w:rPr>
        <w:t xml:space="preserve">Every Auction 901 </w:t>
      </w:r>
      <w:r w:rsidR="00C1790E" w:rsidRPr="00CE1A81">
        <w:rPr>
          <w:szCs w:val="22"/>
        </w:rPr>
        <w:t xml:space="preserve">winning </w:t>
      </w:r>
      <w:r w:rsidRPr="00CE1A81">
        <w:rPr>
          <w:szCs w:val="22"/>
        </w:rPr>
        <w:t xml:space="preserve">bidder was required to </w:t>
      </w:r>
      <w:r w:rsidR="00BF5A17" w:rsidRPr="00CE1A81">
        <w:rPr>
          <w:szCs w:val="22"/>
        </w:rPr>
        <w:t xml:space="preserve">file an application for </w:t>
      </w:r>
      <w:r w:rsidR="00BF5A17" w:rsidRPr="0064330D">
        <w:rPr>
          <w:color w:val="000000"/>
          <w:szCs w:val="22"/>
        </w:rPr>
        <w:t>Mobility Fund Phase I Support (</w:t>
      </w:r>
      <w:r w:rsidR="00124643" w:rsidRPr="0064330D">
        <w:rPr>
          <w:color w:val="000000"/>
          <w:szCs w:val="22"/>
        </w:rPr>
        <w:t xml:space="preserve">referred to as </w:t>
      </w:r>
      <w:r w:rsidRPr="00CE1A81">
        <w:rPr>
          <w:szCs w:val="22"/>
        </w:rPr>
        <w:t>a long-form application</w:t>
      </w:r>
      <w:r w:rsidR="00BF5A17" w:rsidRPr="00CE1A81">
        <w:rPr>
          <w:szCs w:val="22"/>
        </w:rPr>
        <w:t>)</w:t>
      </w:r>
      <w:r w:rsidRPr="00CE1A81">
        <w:rPr>
          <w:szCs w:val="22"/>
        </w:rPr>
        <w:t xml:space="preserve"> by November 5, 2012.</w:t>
      </w:r>
      <w:r w:rsidRPr="00417739">
        <w:rPr>
          <w:rStyle w:val="FootnoteReference"/>
          <w:szCs w:val="22"/>
        </w:rPr>
        <w:footnoteReference w:id="7"/>
      </w:r>
      <w:r w:rsidRPr="000919A1">
        <w:rPr>
          <w:szCs w:val="22"/>
        </w:rPr>
        <w:t xml:space="preserve">  </w:t>
      </w:r>
      <w:r w:rsidR="00673AE4" w:rsidRPr="000919A1">
        <w:rPr>
          <w:szCs w:val="22"/>
        </w:rPr>
        <w:t xml:space="preserve">Commission staff review of </w:t>
      </w:r>
      <w:r w:rsidR="001302A2" w:rsidRPr="000919A1">
        <w:rPr>
          <w:szCs w:val="22"/>
        </w:rPr>
        <w:t>Cross’s long-form application</w:t>
      </w:r>
      <w:r w:rsidR="006323E6" w:rsidRPr="00A63B91">
        <w:rPr>
          <w:szCs w:val="22"/>
        </w:rPr>
        <w:t xml:space="preserve"> </w:t>
      </w:r>
      <w:r w:rsidR="00673AE4" w:rsidRPr="00A63B91">
        <w:rPr>
          <w:szCs w:val="22"/>
        </w:rPr>
        <w:t xml:space="preserve">revealed </w:t>
      </w:r>
      <w:r w:rsidR="001302A2" w:rsidRPr="00A63B91">
        <w:rPr>
          <w:szCs w:val="22"/>
        </w:rPr>
        <w:t>that</w:t>
      </w:r>
      <w:r w:rsidR="00867089" w:rsidRPr="00A63B91">
        <w:rPr>
          <w:szCs w:val="22"/>
        </w:rPr>
        <w:t xml:space="preserve">, while Cross </w:t>
      </w:r>
      <w:r w:rsidR="007A5640" w:rsidRPr="00A63B91">
        <w:rPr>
          <w:szCs w:val="22"/>
        </w:rPr>
        <w:t xml:space="preserve">had been </w:t>
      </w:r>
      <w:r w:rsidR="00867089" w:rsidRPr="00A63B91">
        <w:rPr>
          <w:szCs w:val="22"/>
        </w:rPr>
        <w:t xml:space="preserve">designated </w:t>
      </w:r>
      <w:r w:rsidR="007A5640" w:rsidRPr="00A63B91">
        <w:rPr>
          <w:szCs w:val="22"/>
        </w:rPr>
        <w:t xml:space="preserve">an </w:t>
      </w:r>
      <w:r w:rsidR="00867089" w:rsidRPr="00A63B91">
        <w:rPr>
          <w:szCs w:val="22"/>
        </w:rPr>
        <w:t xml:space="preserve">ETC </w:t>
      </w:r>
      <w:r w:rsidR="007A5640" w:rsidRPr="00A63B91">
        <w:rPr>
          <w:szCs w:val="22"/>
        </w:rPr>
        <w:t xml:space="preserve">by </w:t>
      </w:r>
      <w:r w:rsidR="00867089" w:rsidRPr="00A63B91">
        <w:rPr>
          <w:szCs w:val="22"/>
        </w:rPr>
        <w:t xml:space="preserve">the time </w:t>
      </w:r>
      <w:r w:rsidR="00826153" w:rsidRPr="00A63B91">
        <w:rPr>
          <w:szCs w:val="22"/>
        </w:rPr>
        <w:t xml:space="preserve">it </w:t>
      </w:r>
      <w:r w:rsidR="00867089" w:rsidRPr="00A63B91">
        <w:rPr>
          <w:szCs w:val="22"/>
        </w:rPr>
        <w:t xml:space="preserve">bid in the auction, </w:t>
      </w:r>
      <w:r w:rsidR="00826153" w:rsidRPr="0064330D">
        <w:rPr>
          <w:szCs w:val="22"/>
        </w:rPr>
        <w:t xml:space="preserve">it </w:t>
      </w:r>
      <w:r w:rsidR="007A5640" w:rsidRPr="0064330D">
        <w:rPr>
          <w:szCs w:val="22"/>
        </w:rPr>
        <w:t xml:space="preserve">did </w:t>
      </w:r>
      <w:r w:rsidR="006E1B5B" w:rsidRPr="0064330D">
        <w:rPr>
          <w:szCs w:val="22"/>
        </w:rPr>
        <w:t xml:space="preserve">not </w:t>
      </w:r>
      <w:r w:rsidR="007A5640" w:rsidRPr="0064330D">
        <w:rPr>
          <w:szCs w:val="22"/>
        </w:rPr>
        <w:t xml:space="preserve">receive </w:t>
      </w:r>
      <w:r w:rsidR="00867089" w:rsidRPr="0064330D">
        <w:rPr>
          <w:szCs w:val="22"/>
        </w:rPr>
        <w:t xml:space="preserve">its ETC </w:t>
      </w:r>
      <w:r w:rsidR="00C31FC4" w:rsidRPr="0064330D">
        <w:rPr>
          <w:szCs w:val="22"/>
        </w:rPr>
        <w:t>designat</w:t>
      </w:r>
      <w:r w:rsidR="00867089" w:rsidRPr="0064330D">
        <w:rPr>
          <w:szCs w:val="22"/>
        </w:rPr>
        <w:t xml:space="preserve">ion </w:t>
      </w:r>
      <w:r w:rsidR="00826153" w:rsidRPr="0064330D">
        <w:rPr>
          <w:szCs w:val="22"/>
        </w:rPr>
        <w:t xml:space="preserve">for </w:t>
      </w:r>
      <w:r w:rsidR="00DA428A" w:rsidRPr="0064330D">
        <w:rPr>
          <w:szCs w:val="22"/>
        </w:rPr>
        <w:t xml:space="preserve">areas associated with </w:t>
      </w:r>
      <w:r w:rsidR="00826153" w:rsidRPr="0064330D">
        <w:rPr>
          <w:szCs w:val="22"/>
        </w:rPr>
        <w:t xml:space="preserve">three of the census tracts for which it won support </w:t>
      </w:r>
      <w:r w:rsidR="006E1B5B" w:rsidRPr="0064330D">
        <w:rPr>
          <w:szCs w:val="22"/>
        </w:rPr>
        <w:t xml:space="preserve">until </w:t>
      </w:r>
      <w:r w:rsidR="006A57AB" w:rsidRPr="0064330D">
        <w:rPr>
          <w:szCs w:val="22"/>
        </w:rPr>
        <w:t xml:space="preserve">two weeks </w:t>
      </w:r>
      <w:r w:rsidR="000F4383" w:rsidRPr="0064330D">
        <w:rPr>
          <w:szCs w:val="22"/>
        </w:rPr>
        <w:t xml:space="preserve">after the close of the </w:t>
      </w:r>
      <w:r w:rsidR="006A57AB" w:rsidRPr="0064330D">
        <w:rPr>
          <w:szCs w:val="22"/>
        </w:rPr>
        <w:t xml:space="preserve">filing </w:t>
      </w:r>
      <w:r w:rsidR="000F4383" w:rsidRPr="0064330D">
        <w:rPr>
          <w:szCs w:val="22"/>
        </w:rPr>
        <w:t>window for Auction 901 short-form applications.</w:t>
      </w:r>
      <w:r w:rsidR="00826153" w:rsidRPr="0064330D">
        <w:rPr>
          <w:rStyle w:val="FootnoteReference"/>
          <w:szCs w:val="22"/>
        </w:rPr>
        <w:footnoteReference w:id="8"/>
      </w:r>
      <w:r w:rsidR="00B450AC" w:rsidRPr="0064330D">
        <w:rPr>
          <w:szCs w:val="22"/>
        </w:rPr>
        <w:t xml:space="preserve"> </w:t>
      </w:r>
      <w:r w:rsidR="002A349F" w:rsidRPr="0064330D">
        <w:rPr>
          <w:szCs w:val="22"/>
        </w:rPr>
        <w:t xml:space="preserve"> </w:t>
      </w:r>
      <w:r w:rsidR="00826153" w:rsidRPr="0064330D">
        <w:rPr>
          <w:szCs w:val="22"/>
        </w:rPr>
        <w:t>A</w:t>
      </w:r>
      <w:r w:rsidR="00264B68" w:rsidRPr="0064330D">
        <w:rPr>
          <w:szCs w:val="22"/>
        </w:rPr>
        <w:t xml:space="preserve">n </w:t>
      </w:r>
      <w:r w:rsidR="006E1B5B" w:rsidRPr="0064330D">
        <w:rPr>
          <w:szCs w:val="22"/>
        </w:rPr>
        <w:t xml:space="preserve">ALJ with the </w:t>
      </w:r>
      <w:r w:rsidR="00826153" w:rsidRPr="0064330D">
        <w:rPr>
          <w:szCs w:val="22"/>
        </w:rPr>
        <w:t xml:space="preserve">Oklahoma Corporation Commission (OCC) </w:t>
      </w:r>
      <w:r w:rsidR="00C60661" w:rsidRPr="0064330D">
        <w:rPr>
          <w:szCs w:val="22"/>
        </w:rPr>
        <w:t xml:space="preserve">had </w:t>
      </w:r>
      <w:r w:rsidR="006A57AB" w:rsidRPr="0064330D">
        <w:rPr>
          <w:szCs w:val="22"/>
        </w:rPr>
        <w:t xml:space="preserve">conducted a hearing </w:t>
      </w:r>
      <w:r w:rsidR="000B4CD0" w:rsidRPr="0064330D">
        <w:rPr>
          <w:szCs w:val="22"/>
        </w:rPr>
        <w:t xml:space="preserve">on the merits </w:t>
      </w:r>
      <w:r w:rsidR="006A57AB" w:rsidRPr="0064330D">
        <w:rPr>
          <w:szCs w:val="22"/>
        </w:rPr>
        <w:t xml:space="preserve">on </w:t>
      </w:r>
      <w:r w:rsidR="00B450AC" w:rsidRPr="0064330D">
        <w:rPr>
          <w:szCs w:val="22"/>
        </w:rPr>
        <w:t xml:space="preserve">Cross’s application for ETC </w:t>
      </w:r>
      <w:r w:rsidR="006A7642" w:rsidRPr="0064330D">
        <w:rPr>
          <w:szCs w:val="22"/>
        </w:rPr>
        <w:t>designat</w:t>
      </w:r>
      <w:r w:rsidR="00B450AC" w:rsidRPr="0064330D">
        <w:rPr>
          <w:szCs w:val="22"/>
        </w:rPr>
        <w:t>ion</w:t>
      </w:r>
      <w:r w:rsidR="006E1B5B" w:rsidRPr="0064330D">
        <w:rPr>
          <w:szCs w:val="22"/>
        </w:rPr>
        <w:t xml:space="preserve"> </w:t>
      </w:r>
      <w:r w:rsidR="00867089" w:rsidRPr="0064330D">
        <w:rPr>
          <w:szCs w:val="22"/>
        </w:rPr>
        <w:t>on July 5, 2012, six days before the short-form filing deadline,</w:t>
      </w:r>
      <w:r w:rsidR="00867089" w:rsidRPr="0064330D">
        <w:rPr>
          <w:rStyle w:val="FootnoteReference"/>
          <w:szCs w:val="22"/>
        </w:rPr>
        <w:footnoteReference w:id="9"/>
      </w:r>
      <w:r w:rsidR="00E33970" w:rsidRPr="0064330D">
        <w:rPr>
          <w:szCs w:val="22"/>
        </w:rPr>
        <w:t xml:space="preserve"> </w:t>
      </w:r>
      <w:r w:rsidR="006E1B5B" w:rsidRPr="0064330D">
        <w:rPr>
          <w:szCs w:val="22"/>
        </w:rPr>
        <w:t xml:space="preserve">and </w:t>
      </w:r>
      <w:r w:rsidR="00826153" w:rsidRPr="0064330D">
        <w:rPr>
          <w:szCs w:val="22"/>
        </w:rPr>
        <w:t xml:space="preserve">during the hearing </w:t>
      </w:r>
      <w:r w:rsidR="00E82E66" w:rsidRPr="0064330D">
        <w:rPr>
          <w:szCs w:val="22"/>
        </w:rPr>
        <w:t xml:space="preserve">had </w:t>
      </w:r>
      <w:r w:rsidR="006E1B5B" w:rsidRPr="0064330D">
        <w:rPr>
          <w:szCs w:val="22"/>
        </w:rPr>
        <w:t>recommended on the record that the OCC approve Cross’s application</w:t>
      </w:r>
      <w:r w:rsidR="00826153" w:rsidRPr="0064330D">
        <w:rPr>
          <w:szCs w:val="22"/>
        </w:rPr>
        <w:t>; however</w:t>
      </w:r>
      <w:r w:rsidR="00E82E66" w:rsidRPr="0064330D">
        <w:rPr>
          <w:szCs w:val="22"/>
        </w:rPr>
        <w:t>,</w:t>
      </w:r>
      <w:r w:rsidR="00CD125B" w:rsidRPr="0064330D">
        <w:rPr>
          <w:szCs w:val="22"/>
        </w:rPr>
        <w:t xml:space="preserve"> t</w:t>
      </w:r>
      <w:r w:rsidR="008D1DAD" w:rsidRPr="0064330D">
        <w:rPr>
          <w:szCs w:val="22"/>
        </w:rPr>
        <w:t>he</w:t>
      </w:r>
      <w:r w:rsidR="006A7642" w:rsidRPr="0064330D">
        <w:rPr>
          <w:szCs w:val="22"/>
        </w:rPr>
        <w:t xml:space="preserve"> ALJ </w:t>
      </w:r>
      <w:r w:rsidR="00DF102C" w:rsidRPr="0064330D">
        <w:rPr>
          <w:szCs w:val="22"/>
        </w:rPr>
        <w:t xml:space="preserve">did </w:t>
      </w:r>
      <w:r w:rsidR="00901EE4" w:rsidRPr="0064330D">
        <w:rPr>
          <w:szCs w:val="22"/>
        </w:rPr>
        <w:t xml:space="preserve">not </w:t>
      </w:r>
      <w:r w:rsidR="00E33970" w:rsidRPr="0064330D">
        <w:rPr>
          <w:szCs w:val="22"/>
        </w:rPr>
        <w:t xml:space="preserve">issue </w:t>
      </w:r>
      <w:r w:rsidR="006A7642" w:rsidRPr="0064330D">
        <w:rPr>
          <w:szCs w:val="22"/>
        </w:rPr>
        <w:t xml:space="preserve">his recommendation </w:t>
      </w:r>
      <w:r w:rsidR="002E6D67" w:rsidRPr="0064330D">
        <w:rPr>
          <w:szCs w:val="22"/>
        </w:rPr>
        <w:t xml:space="preserve">in writing </w:t>
      </w:r>
      <w:r w:rsidR="006A7642" w:rsidRPr="0064330D">
        <w:rPr>
          <w:szCs w:val="22"/>
        </w:rPr>
        <w:t>to the O</w:t>
      </w:r>
      <w:r w:rsidR="00210BE6" w:rsidRPr="0064330D">
        <w:rPr>
          <w:szCs w:val="22"/>
        </w:rPr>
        <w:t xml:space="preserve">CC </w:t>
      </w:r>
      <w:r w:rsidR="0005626B" w:rsidRPr="0064330D">
        <w:rPr>
          <w:szCs w:val="22"/>
        </w:rPr>
        <w:t xml:space="preserve">until </w:t>
      </w:r>
      <w:r w:rsidR="006A7642" w:rsidRPr="0064330D">
        <w:rPr>
          <w:szCs w:val="22"/>
        </w:rPr>
        <w:t>July 17, 2012</w:t>
      </w:r>
      <w:r w:rsidR="00210BE6" w:rsidRPr="0064330D">
        <w:rPr>
          <w:szCs w:val="22"/>
        </w:rPr>
        <w:t>.</w:t>
      </w:r>
      <w:r w:rsidR="008D1DAD" w:rsidRPr="0064330D">
        <w:rPr>
          <w:rStyle w:val="FootnoteReference"/>
          <w:szCs w:val="22"/>
        </w:rPr>
        <w:footnoteReference w:id="10"/>
      </w:r>
      <w:r w:rsidR="00210BE6" w:rsidRPr="0064330D">
        <w:rPr>
          <w:szCs w:val="22"/>
        </w:rPr>
        <w:t xml:space="preserve">  </w:t>
      </w:r>
      <w:r w:rsidR="00DF102C" w:rsidRPr="0064330D">
        <w:rPr>
          <w:szCs w:val="22"/>
        </w:rPr>
        <w:t xml:space="preserve">On </w:t>
      </w:r>
      <w:r w:rsidR="008220D1" w:rsidRPr="0064330D">
        <w:rPr>
          <w:szCs w:val="22"/>
        </w:rPr>
        <w:t xml:space="preserve">July 25, 2012, </w:t>
      </w:r>
      <w:r w:rsidR="00210BE6" w:rsidRPr="0064330D">
        <w:rPr>
          <w:szCs w:val="22"/>
        </w:rPr>
        <w:t>t</w:t>
      </w:r>
      <w:r w:rsidR="006A7642" w:rsidRPr="0064330D">
        <w:rPr>
          <w:szCs w:val="22"/>
        </w:rPr>
        <w:t xml:space="preserve">he </w:t>
      </w:r>
      <w:r w:rsidR="00210BE6" w:rsidRPr="0064330D">
        <w:rPr>
          <w:szCs w:val="22"/>
        </w:rPr>
        <w:t xml:space="preserve">OCC </w:t>
      </w:r>
      <w:r w:rsidR="006E11EB" w:rsidRPr="0064330D">
        <w:rPr>
          <w:szCs w:val="22"/>
        </w:rPr>
        <w:t xml:space="preserve">formally </w:t>
      </w:r>
      <w:r w:rsidR="00C70195" w:rsidRPr="0064330D">
        <w:rPr>
          <w:szCs w:val="22"/>
        </w:rPr>
        <w:t>grant</w:t>
      </w:r>
      <w:r w:rsidR="008220D1" w:rsidRPr="0064330D">
        <w:rPr>
          <w:szCs w:val="22"/>
        </w:rPr>
        <w:t>ed</w:t>
      </w:r>
      <w:r w:rsidR="00C70195" w:rsidRPr="0064330D">
        <w:rPr>
          <w:szCs w:val="22"/>
        </w:rPr>
        <w:t xml:space="preserve"> Cross its ETC designation</w:t>
      </w:r>
      <w:r w:rsidR="00CD125B" w:rsidRPr="0064330D">
        <w:rPr>
          <w:szCs w:val="22"/>
        </w:rPr>
        <w:t xml:space="preserve"> in the three census tracts in issue</w:t>
      </w:r>
      <w:r w:rsidR="0034339E" w:rsidRPr="0064330D">
        <w:rPr>
          <w:szCs w:val="22"/>
        </w:rPr>
        <w:t>.  In so doing</w:t>
      </w:r>
      <w:r w:rsidR="008220D1" w:rsidRPr="0064330D">
        <w:rPr>
          <w:szCs w:val="22"/>
        </w:rPr>
        <w:t xml:space="preserve">, </w:t>
      </w:r>
      <w:r w:rsidR="0034339E" w:rsidRPr="0064330D">
        <w:rPr>
          <w:szCs w:val="22"/>
        </w:rPr>
        <w:t xml:space="preserve">the OCC </w:t>
      </w:r>
      <w:r w:rsidR="008220D1" w:rsidRPr="0064330D">
        <w:rPr>
          <w:szCs w:val="22"/>
        </w:rPr>
        <w:t>approv</w:t>
      </w:r>
      <w:r w:rsidR="0034339E" w:rsidRPr="0064330D">
        <w:rPr>
          <w:szCs w:val="22"/>
        </w:rPr>
        <w:t xml:space="preserve">ed </w:t>
      </w:r>
      <w:r w:rsidR="008220D1" w:rsidRPr="0064330D">
        <w:rPr>
          <w:szCs w:val="22"/>
        </w:rPr>
        <w:t xml:space="preserve">the ALJ’s </w:t>
      </w:r>
      <w:r w:rsidR="00CD125B" w:rsidRPr="0064330D">
        <w:rPr>
          <w:szCs w:val="22"/>
        </w:rPr>
        <w:t>July 5</w:t>
      </w:r>
      <w:r w:rsidR="00815C31" w:rsidRPr="0064330D">
        <w:rPr>
          <w:szCs w:val="22"/>
        </w:rPr>
        <w:t>, 2013</w:t>
      </w:r>
      <w:r w:rsidR="00CD125B" w:rsidRPr="0064330D">
        <w:rPr>
          <w:szCs w:val="22"/>
        </w:rPr>
        <w:t xml:space="preserve"> </w:t>
      </w:r>
      <w:r w:rsidR="008220D1" w:rsidRPr="0064330D">
        <w:rPr>
          <w:szCs w:val="22"/>
        </w:rPr>
        <w:t xml:space="preserve">recommendations </w:t>
      </w:r>
      <w:r w:rsidR="00454A98" w:rsidRPr="0064330D">
        <w:rPr>
          <w:szCs w:val="22"/>
        </w:rPr>
        <w:t>without modification</w:t>
      </w:r>
      <w:r w:rsidR="008220D1" w:rsidRPr="0064330D">
        <w:rPr>
          <w:szCs w:val="22"/>
        </w:rPr>
        <w:t xml:space="preserve"> </w:t>
      </w:r>
      <w:r w:rsidR="008220D1">
        <w:t>and adopt</w:t>
      </w:r>
      <w:r w:rsidR="0034339E">
        <w:t xml:space="preserve">ed </w:t>
      </w:r>
      <w:r w:rsidR="00437E72">
        <w:t xml:space="preserve">the ALJ’s </w:t>
      </w:r>
      <w:r w:rsidR="008220D1">
        <w:t>findings as the OCC</w:t>
      </w:r>
      <w:r w:rsidR="00454A98">
        <w:t xml:space="preserve"> order</w:t>
      </w:r>
      <w:r w:rsidR="008220D1">
        <w:t>.</w:t>
      </w:r>
      <w:r w:rsidR="008220D1">
        <w:rPr>
          <w:rStyle w:val="FootnoteReference"/>
        </w:rPr>
        <w:footnoteReference w:id="11"/>
      </w:r>
      <w:r w:rsidR="00180014">
        <w:t xml:space="preserve"> </w:t>
      </w:r>
    </w:p>
    <w:p w:rsidR="005B4483" w:rsidRDefault="005B4483" w:rsidP="005B4483">
      <w:pPr>
        <w:pStyle w:val="Heading1"/>
        <w:tabs>
          <w:tab w:val="left" w:pos="720"/>
        </w:tabs>
      </w:pPr>
      <w:r>
        <w:t>discussion</w:t>
      </w:r>
    </w:p>
    <w:p w:rsidR="00752980" w:rsidRDefault="000C5C12" w:rsidP="00F867A9">
      <w:pPr>
        <w:pStyle w:val="ParaNum"/>
      </w:pPr>
      <w:r w:rsidRPr="00752980">
        <w:rPr>
          <w:szCs w:val="22"/>
        </w:rPr>
        <w:t>The Commission may waive its rules on its own motion “if good cause therefor is shown.”</w:t>
      </w:r>
      <w:r>
        <w:rPr>
          <w:rStyle w:val="FootnoteReference"/>
          <w:szCs w:val="22"/>
        </w:rPr>
        <w:footnoteReference w:id="12"/>
      </w:r>
      <w:r w:rsidRPr="00752980">
        <w:rPr>
          <w:szCs w:val="22"/>
        </w:rPr>
        <w:t xml:space="preserve">  </w:t>
      </w:r>
      <w:r w:rsidR="002D3830" w:rsidRPr="00752980">
        <w:rPr>
          <w:szCs w:val="22"/>
        </w:rPr>
        <w:t xml:space="preserve">A waiver </w:t>
      </w:r>
      <w:r w:rsidR="00432CEC" w:rsidRPr="00752980">
        <w:rPr>
          <w:szCs w:val="22"/>
        </w:rPr>
        <w:t xml:space="preserve">of the rules </w:t>
      </w:r>
      <w:r w:rsidR="002D3830" w:rsidRPr="00752980">
        <w:rPr>
          <w:szCs w:val="22"/>
        </w:rPr>
        <w:t xml:space="preserve">is appropriate </w:t>
      </w:r>
      <w:r w:rsidR="007E666C" w:rsidRPr="00752980">
        <w:rPr>
          <w:szCs w:val="22"/>
        </w:rPr>
        <w:t xml:space="preserve">only </w:t>
      </w:r>
      <w:r w:rsidR="002D3830" w:rsidRPr="00752980">
        <w:rPr>
          <w:szCs w:val="22"/>
        </w:rPr>
        <w:t>if “special circumstances warrant a deviation from the general rule and such deviation will serve the public interest.”</w:t>
      </w:r>
      <w:r w:rsidR="002D3830">
        <w:rPr>
          <w:rStyle w:val="FootnoteReference"/>
          <w:szCs w:val="22"/>
        </w:rPr>
        <w:footnoteReference w:id="13"/>
      </w:r>
      <w:r w:rsidR="002D3830" w:rsidRPr="00752980">
        <w:rPr>
          <w:szCs w:val="22"/>
        </w:rPr>
        <w:t xml:space="preserve">  </w:t>
      </w:r>
      <w:r w:rsidR="00D555A8" w:rsidRPr="00752980">
        <w:rPr>
          <w:szCs w:val="22"/>
        </w:rPr>
        <w:t>I</w:t>
      </w:r>
      <w:r w:rsidR="002D3830" w:rsidRPr="00752980">
        <w:rPr>
          <w:szCs w:val="22"/>
        </w:rPr>
        <w:t>n certain cases, a rule waiver may serve the public interest where the waiver would not conflict with the policy underlying the rule.</w:t>
      </w:r>
      <w:r w:rsidR="002D3830">
        <w:rPr>
          <w:rStyle w:val="FootnoteReference"/>
          <w:szCs w:val="22"/>
        </w:rPr>
        <w:footnoteReference w:id="14"/>
      </w:r>
      <w:r w:rsidR="00752980" w:rsidRPr="00752980">
        <w:t xml:space="preserve"> </w:t>
      </w:r>
      <w:r w:rsidR="003C0857">
        <w:t xml:space="preserve"> </w:t>
      </w:r>
      <w:r w:rsidR="00934560">
        <w:t xml:space="preserve">As explained below, we conclude that a waiver is appropriate under the </w:t>
      </w:r>
      <w:r w:rsidR="00AA3684">
        <w:t xml:space="preserve">specific </w:t>
      </w:r>
      <w:r w:rsidR="00934560">
        <w:t xml:space="preserve">circumstances presented here. </w:t>
      </w:r>
    </w:p>
    <w:p w:rsidR="002D3830" w:rsidRPr="00322B03" w:rsidRDefault="00576271" w:rsidP="00435CFB">
      <w:pPr>
        <w:pStyle w:val="ParaNum"/>
      </w:pPr>
      <w:r w:rsidRPr="00A86DD1" w:rsidDel="00576271">
        <w:t xml:space="preserve"> </w:t>
      </w:r>
      <w:r w:rsidR="005715AC">
        <w:rPr>
          <w:szCs w:val="22"/>
        </w:rPr>
        <w:t xml:space="preserve">We </w:t>
      </w:r>
      <w:r>
        <w:rPr>
          <w:szCs w:val="22"/>
        </w:rPr>
        <w:t xml:space="preserve">first </w:t>
      </w:r>
      <w:r w:rsidR="005715AC">
        <w:rPr>
          <w:szCs w:val="22"/>
        </w:rPr>
        <w:t xml:space="preserve">evaluate </w:t>
      </w:r>
      <w:r w:rsidR="00662875">
        <w:t xml:space="preserve">whether a waiver </w:t>
      </w:r>
      <w:r w:rsidR="009C4D54">
        <w:rPr>
          <w:szCs w:val="22"/>
        </w:rPr>
        <w:t xml:space="preserve">would conflict with </w:t>
      </w:r>
      <w:r w:rsidR="00D555A8" w:rsidRPr="00E83D3B">
        <w:rPr>
          <w:szCs w:val="22"/>
        </w:rPr>
        <w:t xml:space="preserve">the policy underlying the </w:t>
      </w:r>
      <w:r w:rsidR="00A86DD1">
        <w:rPr>
          <w:szCs w:val="22"/>
        </w:rPr>
        <w:t xml:space="preserve">requirement </w:t>
      </w:r>
      <w:r w:rsidR="00AE2865">
        <w:rPr>
          <w:szCs w:val="22"/>
        </w:rPr>
        <w:t>adopted i</w:t>
      </w:r>
      <w:r w:rsidR="00AE2865" w:rsidRPr="00E83D3B">
        <w:rPr>
          <w:szCs w:val="22"/>
        </w:rPr>
        <w:t xml:space="preserve">n the </w:t>
      </w:r>
      <w:r w:rsidR="00AE2865" w:rsidRPr="00E83D3B">
        <w:rPr>
          <w:i/>
          <w:iCs/>
        </w:rPr>
        <w:t>USF/ICC Transformation Order</w:t>
      </w:r>
      <w:r w:rsidR="00AE2865">
        <w:rPr>
          <w:szCs w:val="22"/>
        </w:rPr>
        <w:t xml:space="preserve"> </w:t>
      </w:r>
      <w:r w:rsidR="00A86DD1">
        <w:rPr>
          <w:szCs w:val="22"/>
        </w:rPr>
        <w:t xml:space="preserve">that </w:t>
      </w:r>
      <w:r w:rsidR="000956C8">
        <w:rPr>
          <w:szCs w:val="22"/>
        </w:rPr>
        <w:t>a</w:t>
      </w:r>
      <w:r w:rsidR="00A86DD1">
        <w:rPr>
          <w:szCs w:val="22"/>
        </w:rPr>
        <w:t xml:space="preserve">uction participants </w:t>
      </w:r>
      <w:r w:rsidR="00F7537B">
        <w:rPr>
          <w:szCs w:val="22"/>
        </w:rPr>
        <w:t xml:space="preserve">seeking Mobility Fund Phase I support </w:t>
      </w:r>
      <w:r w:rsidR="00A86DD1">
        <w:rPr>
          <w:szCs w:val="22"/>
        </w:rPr>
        <w:t xml:space="preserve">be formally designated as </w:t>
      </w:r>
      <w:r w:rsidR="00D555A8" w:rsidRPr="00E83D3B">
        <w:rPr>
          <w:szCs w:val="22"/>
        </w:rPr>
        <w:t>ETC</w:t>
      </w:r>
      <w:r w:rsidR="00A86DD1">
        <w:rPr>
          <w:szCs w:val="22"/>
        </w:rPr>
        <w:t>s by the close of the short-form filing window</w:t>
      </w:r>
      <w:r w:rsidR="00AC302C" w:rsidRPr="00E83D3B">
        <w:rPr>
          <w:szCs w:val="22"/>
        </w:rPr>
        <w:t>.</w:t>
      </w:r>
      <w:r w:rsidR="00F60235">
        <w:rPr>
          <w:rStyle w:val="FootnoteReference"/>
          <w:szCs w:val="22"/>
        </w:rPr>
        <w:footnoteReference w:id="15"/>
      </w:r>
      <w:r w:rsidR="00A245AC" w:rsidRPr="00E83D3B">
        <w:rPr>
          <w:szCs w:val="22"/>
        </w:rPr>
        <w:t xml:space="preserve">  </w:t>
      </w:r>
      <w:r w:rsidR="007370AD">
        <w:rPr>
          <w:szCs w:val="22"/>
        </w:rPr>
        <w:t>In establishing this requirement, t</w:t>
      </w:r>
      <w:r w:rsidR="005715AC">
        <w:rPr>
          <w:szCs w:val="22"/>
        </w:rPr>
        <w:t>he Commission</w:t>
      </w:r>
      <w:r w:rsidR="00E02F15">
        <w:rPr>
          <w:szCs w:val="22"/>
        </w:rPr>
        <w:t xml:space="preserve"> </w:t>
      </w:r>
      <w:r w:rsidR="003F76D9" w:rsidRPr="00E83D3B">
        <w:rPr>
          <w:szCs w:val="22"/>
        </w:rPr>
        <w:t>reject</w:t>
      </w:r>
      <w:r w:rsidR="007370AD">
        <w:rPr>
          <w:szCs w:val="22"/>
        </w:rPr>
        <w:t>ed</w:t>
      </w:r>
      <w:r w:rsidR="00E02F15">
        <w:rPr>
          <w:szCs w:val="22"/>
        </w:rPr>
        <w:t xml:space="preserve"> </w:t>
      </w:r>
      <w:r w:rsidR="0098502A">
        <w:rPr>
          <w:szCs w:val="22"/>
        </w:rPr>
        <w:t xml:space="preserve">the </w:t>
      </w:r>
      <w:r w:rsidR="00A245AC" w:rsidRPr="00E83D3B">
        <w:rPr>
          <w:szCs w:val="22"/>
        </w:rPr>
        <w:t>alternat</w:t>
      </w:r>
      <w:r w:rsidR="0098502A">
        <w:rPr>
          <w:szCs w:val="22"/>
        </w:rPr>
        <w:t>ive</w:t>
      </w:r>
      <w:r w:rsidR="00E743E3" w:rsidRPr="00E83D3B">
        <w:rPr>
          <w:szCs w:val="22"/>
        </w:rPr>
        <w:t xml:space="preserve"> </w:t>
      </w:r>
      <w:r w:rsidR="00322B03" w:rsidRPr="00E83D3B">
        <w:rPr>
          <w:szCs w:val="22"/>
        </w:rPr>
        <w:t>“</w:t>
      </w:r>
      <w:r w:rsidR="00A245AC" w:rsidRPr="00E83D3B">
        <w:rPr>
          <w:szCs w:val="22"/>
        </w:rPr>
        <w:t xml:space="preserve">of allowing parties to bid for support prior to being designated </w:t>
      </w:r>
      <w:r w:rsidR="00322B03" w:rsidRPr="00E83D3B">
        <w:rPr>
          <w:szCs w:val="22"/>
        </w:rPr>
        <w:t xml:space="preserve">an </w:t>
      </w:r>
      <w:r w:rsidR="00A245AC" w:rsidRPr="00E83D3B">
        <w:rPr>
          <w:szCs w:val="22"/>
        </w:rPr>
        <w:t xml:space="preserve">ETC, </w:t>
      </w:r>
      <w:r w:rsidR="00322B03" w:rsidRPr="00E83D3B">
        <w:rPr>
          <w:szCs w:val="22"/>
        </w:rPr>
        <w:t xml:space="preserve">provided </w:t>
      </w:r>
      <w:r w:rsidR="00A245AC" w:rsidRPr="00E83D3B">
        <w:rPr>
          <w:szCs w:val="22"/>
        </w:rPr>
        <w:t>they ha</w:t>
      </w:r>
      <w:r w:rsidR="00322B03" w:rsidRPr="00E83D3B">
        <w:rPr>
          <w:szCs w:val="22"/>
        </w:rPr>
        <w:t>[</w:t>
      </w:r>
      <w:r w:rsidR="00E743E3" w:rsidRPr="00E83D3B">
        <w:rPr>
          <w:szCs w:val="22"/>
        </w:rPr>
        <w:t>d</w:t>
      </w:r>
      <w:r w:rsidR="00322B03" w:rsidRPr="00E83D3B">
        <w:rPr>
          <w:szCs w:val="22"/>
        </w:rPr>
        <w:t>]</w:t>
      </w:r>
      <w:r w:rsidR="00A245AC" w:rsidRPr="00E83D3B">
        <w:rPr>
          <w:szCs w:val="22"/>
        </w:rPr>
        <w:t xml:space="preserve"> an application for designation pending</w:t>
      </w:r>
      <w:r w:rsidR="007370AD">
        <w:rPr>
          <w:szCs w:val="22"/>
        </w:rPr>
        <w:t>.</w:t>
      </w:r>
      <w:r w:rsidR="00322B03" w:rsidRPr="00E83D3B">
        <w:rPr>
          <w:szCs w:val="22"/>
        </w:rPr>
        <w:t>”</w:t>
      </w:r>
      <w:r w:rsidR="005715AC">
        <w:rPr>
          <w:szCs w:val="22"/>
        </w:rPr>
        <w:t xml:space="preserve"> </w:t>
      </w:r>
      <w:r w:rsidR="008575A6">
        <w:rPr>
          <w:szCs w:val="22"/>
        </w:rPr>
        <w:t xml:space="preserve">It </w:t>
      </w:r>
      <w:r w:rsidR="00E02F15">
        <w:rPr>
          <w:szCs w:val="22"/>
        </w:rPr>
        <w:t xml:space="preserve">explained that </w:t>
      </w:r>
      <w:r w:rsidR="003F76D9" w:rsidRPr="00E83D3B">
        <w:rPr>
          <w:szCs w:val="22"/>
        </w:rPr>
        <w:t xml:space="preserve">that option </w:t>
      </w:r>
      <w:r w:rsidR="00322B03" w:rsidRPr="00E83D3B">
        <w:rPr>
          <w:szCs w:val="22"/>
        </w:rPr>
        <w:t>“</w:t>
      </w:r>
      <w:r w:rsidR="003F76D9" w:rsidRPr="00E83D3B">
        <w:rPr>
          <w:szCs w:val="22"/>
        </w:rPr>
        <w:t xml:space="preserve">would </w:t>
      </w:r>
      <w:r w:rsidR="00A245AC" w:rsidRPr="00E83D3B">
        <w:rPr>
          <w:szCs w:val="22"/>
        </w:rPr>
        <w:t>inject uncertainties as to eligibility that could interfere with speedy deployment of networks by those that are awarded support, or disrupt the Mobility Fund auction.</w:t>
      </w:r>
      <w:r w:rsidR="00E743E3" w:rsidRPr="00E83D3B">
        <w:rPr>
          <w:szCs w:val="22"/>
        </w:rPr>
        <w:t>”</w:t>
      </w:r>
      <w:r w:rsidR="00DA0A76">
        <w:rPr>
          <w:rStyle w:val="FootnoteReference"/>
          <w:szCs w:val="22"/>
        </w:rPr>
        <w:footnoteReference w:id="16"/>
      </w:r>
      <w:r w:rsidR="005D4234">
        <w:rPr>
          <w:szCs w:val="22"/>
        </w:rPr>
        <w:t xml:space="preserve">  </w:t>
      </w:r>
    </w:p>
    <w:p w:rsidR="001A2A81" w:rsidRDefault="005D4234" w:rsidP="00752980">
      <w:pPr>
        <w:pStyle w:val="ParaNum"/>
      </w:pPr>
      <w:r>
        <w:rPr>
          <w:szCs w:val="22"/>
        </w:rPr>
        <w:t xml:space="preserve">In this case, however, </w:t>
      </w:r>
      <w:r w:rsidR="00A86DD1">
        <w:rPr>
          <w:szCs w:val="22"/>
        </w:rPr>
        <w:t>Cross</w:t>
      </w:r>
      <w:r w:rsidR="00586D50">
        <w:rPr>
          <w:szCs w:val="22"/>
        </w:rPr>
        <w:t xml:space="preserve"> received its</w:t>
      </w:r>
      <w:r w:rsidR="00A33A66">
        <w:rPr>
          <w:szCs w:val="22"/>
        </w:rPr>
        <w:t xml:space="preserve"> formal ETC designation </w:t>
      </w:r>
      <w:r w:rsidR="00586D50">
        <w:rPr>
          <w:szCs w:val="22"/>
        </w:rPr>
        <w:t xml:space="preserve">for the three </w:t>
      </w:r>
      <w:r w:rsidR="00CF612C">
        <w:rPr>
          <w:szCs w:val="22"/>
        </w:rPr>
        <w:t>census tracts</w:t>
      </w:r>
      <w:r w:rsidR="00586D50">
        <w:rPr>
          <w:szCs w:val="22"/>
        </w:rPr>
        <w:t xml:space="preserve"> </w:t>
      </w:r>
      <w:r w:rsidR="00232106">
        <w:rPr>
          <w:szCs w:val="22"/>
        </w:rPr>
        <w:t>at</w:t>
      </w:r>
      <w:r w:rsidR="00586D50">
        <w:rPr>
          <w:szCs w:val="22"/>
        </w:rPr>
        <w:t xml:space="preserve"> issue</w:t>
      </w:r>
      <w:r w:rsidR="00322B03">
        <w:rPr>
          <w:szCs w:val="22"/>
        </w:rPr>
        <w:t xml:space="preserve"> </w:t>
      </w:r>
      <w:r w:rsidR="00C60661">
        <w:rPr>
          <w:szCs w:val="22"/>
        </w:rPr>
        <w:t xml:space="preserve">more than two months before the start of </w:t>
      </w:r>
      <w:r w:rsidR="00F25E14">
        <w:rPr>
          <w:szCs w:val="22"/>
        </w:rPr>
        <w:t xml:space="preserve">bidding.  </w:t>
      </w:r>
      <w:r>
        <w:rPr>
          <w:szCs w:val="22"/>
        </w:rPr>
        <w:t xml:space="preserve">Even before </w:t>
      </w:r>
      <w:r w:rsidR="0055733F">
        <w:rPr>
          <w:szCs w:val="22"/>
        </w:rPr>
        <w:t xml:space="preserve">the short-form filing deadline the </w:t>
      </w:r>
      <w:r w:rsidR="00232106">
        <w:rPr>
          <w:szCs w:val="22"/>
        </w:rPr>
        <w:t xml:space="preserve">OCC’s </w:t>
      </w:r>
      <w:r w:rsidR="0055733F">
        <w:rPr>
          <w:szCs w:val="22"/>
        </w:rPr>
        <w:t xml:space="preserve">ALJ </w:t>
      </w:r>
      <w:r w:rsidR="00A51EEC">
        <w:rPr>
          <w:szCs w:val="22"/>
        </w:rPr>
        <w:t xml:space="preserve">had recommended on the record that Cross’s </w:t>
      </w:r>
      <w:r w:rsidR="0055733F">
        <w:rPr>
          <w:szCs w:val="22"/>
        </w:rPr>
        <w:t>application be approved</w:t>
      </w:r>
      <w:r w:rsidR="00232106">
        <w:rPr>
          <w:szCs w:val="22"/>
        </w:rPr>
        <w:t xml:space="preserve">, </w:t>
      </w:r>
      <w:r>
        <w:rPr>
          <w:szCs w:val="22"/>
        </w:rPr>
        <w:t xml:space="preserve">a recommendation that </w:t>
      </w:r>
      <w:r w:rsidR="00A51EEC">
        <w:rPr>
          <w:szCs w:val="22"/>
        </w:rPr>
        <w:t xml:space="preserve">followed </w:t>
      </w:r>
      <w:r w:rsidR="00232106">
        <w:rPr>
          <w:szCs w:val="22"/>
        </w:rPr>
        <w:t xml:space="preserve">testimony </w:t>
      </w:r>
      <w:r>
        <w:rPr>
          <w:szCs w:val="22"/>
        </w:rPr>
        <w:t xml:space="preserve">from </w:t>
      </w:r>
      <w:r w:rsidR="00232106">
        <w:rPr>
          <w:szCs w:val="22"/>
        </w:rPr>
        <w:t>the OCC staff witness</w:t>
      </w:r>
      <w:r w:rsidR="009C1784">
        <w:rPr>
          <w:szCs w:val="22"/>
        </w:rPr>
        <w:t xml:space="preserve"> </w:t>
      </w:r>
      <w:r w:rsidR="000A500A">
        <w:rPr>
          <w:szCs w:val="22"/>
        </w:rPr>
        <w:t xml:space="preserve">that </w:t>
      </w:r>
      <w:r w:rsidR="00685783">
        <w:rPr>
          <w:szCs w:val="22"/>
        </w:rPr>
        <w:t>g</w:t>
      </w:r>
      <w:r w:rsidR="000A500A">
        <w:rPr>
          <w:szCs w:val="22"/>
        </w:rPr>
        <w:t>rant of Cross’s application</w:t>
      </w:r>
      <w:r w:rsidR="00685783">
        <w:rPr>
          <w:szCs w:val="22"/>
        </w:rPr>
        <w:t xml:space="preserve"> </w:t>
      </w:r>
      <w:r w:rsidR="00386F14">
        <w:rPr>
          <w:szCs w:val="22"/>
        </w:rPr>
        <w:t xml:space="preserve">would be in the public interest and </w:t>
      </w:r>
      <w:r w:rsidR="00685783">
        <w:rPr>
          <w:szCs w:val="22"/>
        </w:rPr>
        <w:t>would not harm any other ETC</w:t>
      </w:r>
      <w:r w:rsidR="00232106">
        <w:rPr>
          <w:szCs w:val="22"/>
        </w:rPr>
        <w:t>.</w:t>
      </w:r>
      <w:r w:rsidR="00232106">
        <w:rPr>
          <w:rStyle w:val="FootnoteReference"/>
          <w:szCs w:val="22"/>
        </w:rPr>
        <w:footnoteReference w:id="17"/>
      </w:r>
      <w:r w:rsidR="004528AF">
        <w:rPr>
          <w:szCs w:val="22"/>
        </w:rPr>
        <w:t xml:space="preserve"> </w:t>
      </w:r>
    </w:p>
    <w:p w:rsidR="00D558A6" w:rsidRPr="00D558A6" w:rsidRDefault="00EA2079" w:rsidP="008575A6">
      <w:pPr>
        <w:pStyle w:val="ParaNum"/>
      </w:pPr>
      <w:r>
        <w:t>Moreover, w</w:t>
      </w:r>
      <w:r w:rsidR="00FA25B8">
        <w:t xml:space="preserve">e </w:t>
      </w:r>
      <w:r w:rsidR="00351AC2">
        <w:t>conclude that in the context of the first auction of Mobility Fund Phase I support, Cross exercised adequate diligence in seeking to expand its ETC designation</w:t>
      </w:r>
      <w:r w:rsidR="008575A6">
        <w:t xml:space="preserve">.  </w:t>
      </w:r>
      <w:r w:rsidR="00351AC2">
        <w:t>F</w:t>
      </w:r>
      <w:r w:rsidR="009D200F">
        <w:t>or many applicants, like Cross, obtaining ETC desi</w:t>
      </w:r>
      <w:r w:rsidR="009823B4">
        <w:t>gnation requires</w:t>
      </w:r>
      <w:r w:rsidR="009D200F">
        <w:t xml:space="preserve"> approval by the relevant state authority.  </w:t>
      </w:r>
      <w:r w:rsidR="00075F5E">
        <w:t xml:space="preserve">In </w:t>
      </w:r>
      <w:r w:rsidR="00D61712">
        <w:t>adopting the</w:t>
      </w:r>
      <w:r w:rsidR="00075F5E">
        <w:t xml:space="preserve"> ETC </w:t>
      </w:r>
      <w:r w:rsidR="009D200F">
        <w:t xml:space="preserve">eligibility </w:t>
      </w:r>
      <w:r w:rsidR="00DD1282">
        <w:t>requirement</w:t>
      </w:r>
      <w:r w:rsidR="00075F5E">
        <w:t xml:space="preserve"> for Mobility Fund </w:t>
      </w:r>
      <w:r w:rsidR="00287755">
        <w:t xml:space="preserve">Phase </w:t>
      </w:r>
      <w:r w:rsidR="00075F5E">
        <w:t xml:space="preserve">I, the Commission </w:t>
      </w:r>
      <w:r w:rsidR="00D61712">
        <w:t xml:space="preserve">therefore </w:t>
      </w:r>
      <w:r w:rsidR="00075F5E">
        <w:t xml:space="preserve">advised potential applicants </w:t>
      </w:r>
      <w:r w:rsidR="005715AC">
        <w:t xml:space="preserve">to </w:t>
      </w:r>
      <w:r w:rsidR="00075F5E">
        <w:t xml:space="preserve">begin the process of becoming formally designated as ETCs promptly in order to be eligible </w:t>
      </w:r>
      <w:r w:rsidR="000D1C13">
        <w:t xml:space="preserve">in time </w:t>
      </w:r>
      <w:r w:rsidR="00075F5E">
        <w:t>to participate in the auction.</w:t>
      </w:r>
      <w:r w:rsidR="00795C16">
        <w:rPr>
          <w:rStyle w:val="FootnoteReference"/>
        </w:rPr>
        <w:footnoteReference w:id="18"/>
      </w:r>
      <w:r w:rsidR="00FA4D90">
        <w:t xml:space="preserve">  Cross </w:t>
      </w:r>
      <w:r w:rsidR="0094093A">
        <w:t xml:space="preserve">filed </w:t>
      </w:r>
      <w:r w:rsidR="00FA4D90">
        <w:t>its application with the OCC requesting the relevant ETC designation</w:t>
      </w:r>
      <w:r w:rsidR="00D61712">
        <w:t>s</w:t>
      </w:r>
      <w:r w:rsidR="00FA4D90">
        <w:t xml:space="preserve"> on May 9, 2012, one week after the release of the </w:t>
      </w:r>
      <w:r w:rsidR="00FA4D90" w:rsidRPr="008575A6">
        <w:rPr>
          <w:i/>
        </w:rPr>
        <w:t>Procedures PN</w:t>
      </w:r>
      <w:r w:rsidR="00FA431A">
        <w:t>, which finalized the list of areas eligible for support in Auction 901 and the procedures governing the auction process</w:t>
      </w:r>
      <w:r w:rsidR="00FA4D90" w:rsidRPr="00B716ED">
        <w:t>.</w:t>
      </w:r>
      <w:r w:rsidR="00D260D7" w:rsidRPr="00D558A6">
        <w:rPr>
          <w:rStyle w:val="FootnoteReference"/>
        </w:rPr>
        <w:footnoteReference w:id="19"/>
      </w:r>
      <w:r w:rsidR="007B29A4">
        <w:t xml:space="preserve">  </w:t>
      </w:r>
      <w:r w:rsidR="00FA431A">
        <w:t xml:space="preserve">Under </w:t>
      </w:r>
      <w:r w:rsidR="00CC436E">
        <w:t>the circumstances, w</w:t>
      </w:r>
      <w:r w:rsidR="000C2AB1">
        <w:t xml:space="preserve">e </w:t>
      </w:r>
      <w:r w:rsidR="00CC436E">
        <w:t xml:space="preserve">find that </w:t>
      </w:r>
      <w:r w:rsidR="00FC07E9">
        <w:t xml:space="preserve">that Cross </w:t>
      </w:r>
      <w:r w:rsidR="00CC436E">
        <w:t xml:space="preserve">demonstrated adequate diligence in </w:t>
      </w:r>
      <w:r w:rsidR="004C7147">
        <w:t xml:space="preserve">applying for its </w:t>
      </w:r>
      <w:r w:rsidR="006B79D0">
        <w:t>ETC des</w:t>
      </w:r>
      <w:r w:rsidR="00D61712">
        <w:t>i</w:t>
      </w:r>
      <w:r w:rsidR="006B79D0">
        <w:t>g</w:t>
      </w:r>
      <w:r w:rsidR="00D61712">
        <w:t>nation</w:t>
      </w:r>
      <w:r w:rsidR="007B29A4">
        <w:t>.</w:t>
      </w:r>
      <w:r w:rsidR="007F4B77">
        <w:rPr>
          <w:rStyle w:val="FootnoteReference"/>
        </w:rPr>
        <w:footnoteReference w:id="20"/>
      </w:r>
    </w:p>
    <w:p w:rsidR="007C25C2" w:rsidRDefault="00BE4E07" w:rsidP="007C25C2">
      <w:pPr>
        <w:pStyle w:val="ParaNum"/>
      </w:pPr>
      <w:r>
        <w:rPr>
          <w:szCs w:val="22"/>
        </w:rPr>
        <w:t>Furthermore</w:t>
      </w:r>
      <w:r w:rsidR="006B79D0">
        <w:rPr>
          <w:szCs w:val="22"/>
        </w:rPr>
        <w:t xml:space="preserve">, </w:t>
      </w:r>
      <w:r w:rsidR="00CC436E">
        <w:rPr>
          <w:szCs w:val="22"/>
        </w:rPr>
        <w:t xml:space="preserve">given that the forms and procedures for Auction 901 were new to applicants, </w:t>
      </w:r>
      <w:r w:rsidR="006B79D0">
        <w:rPr>
          <w:szCs w:val="22"/>
        </w:rPr>
        <w:t>it appear</w:t>
      </w:r>
      <w:r w:rsidR="00CC436E">
        <w:rPr>
          <w:szCs w:val="22"/>
        </w:rPr>
        <w:t>s</w:t>
      </w:r>
      <w:r w:rsidR="006B79D0">
        <w:rPr>
          <w:szCs w:val="22"/>
        </w:rPr>
        <w:t xml:space="preserve"> that Cross exercise</w:t>
      </w:r>
      <w:r w:rsidR="00CC436E">
        <w:rPr>
          <w:szCs w:val="22"/>
        </w:rPr>
        <w:t>d</w:t>
      </w:r>
      <w:r w:rsidR="006B79D0">
        <w:rPr>
          <w:szCs w:val="22"/>
        </w:rPr>
        <w:t xml:space="preserve"> </w:t>
      </w:r>
      <w:r w:rsidR="00CC436E">
        <w:rPr>
          <w:szCs w:val="22"/>
        </w:rPr>
        <w:t xml:space="preserve">adequate </w:t>
      </w:r>
      <w:r w:rsidR="006B79D0">
        <w:rPr>
          <w:szCs w:val="22"/>
        </w:rPr>
        <w:t>diligence in the auction</w:t>
      </w:r>
      <w:r w:rsidR="0015405A">
        <w:rPr>
          <w:szCs w:val="22"/>
        </w:rPr>
        <w:t xml:space="preserve"> </w:t>
      </w:r>
      <w:r w:rsidR="006B79D0">
        <w:rPr>
          <w:szCs w:val="22"/>
        </w:rPr>
        <w:t xml:space="preserve">process.  </w:t>
      </w:r>
      <w:r w:rsidR="00874766">
        <w:rPr>
          <w:szCs w:val="22"/>
        </w:rPr>
        <w:t>As stated above, Cross</w:t>
      </w:r>
      <w:r w:rsidR="00802CD3">
        <w:rPr>
          <w:szCs w:val="22"/>
        </w:rPr>
        <w:t xml:space="preserve"> was under no obligation </w:t>
      </w:r>
      <w:r w:rsidR="00600467">
        <w:rPr>
          <w:szCs w:val="22"/>
        </w:rPr>
        <w:t xml:space="preserve">at </w:t>
      </w:r>
      <w:r w:rsidR="009D2218">
        <w:rPr>
          <w:szCs w:val="22"/>
        </w:rPr>
        <w:t>the short</w:t>
      </w:r>
      <w:r w:rsidR="00D40CA5">
        <w:rPr>
          <w:szCs w:val="22"/>
        </w:rPr>
        <w:t>-</w:t>
      </w:r>
      <w:r w:rsidR="009D2218">
        <w:rPr>
          <w:szCs w:val="22"/>
        </w:rPr>
        <w:t xml:space="preserve">form filing deadline </w:t>
      </w:r>
      <w:r w:rsidR="00802CD3">
        <w:rPr>
          <w:szCs w:val="22"/>
        </w:rPr>
        <w:t xml:space="preserve">to indicate the specific </w:t>
      </w:r>
      <w:r w:rsidR="00CC436E">
        <w:rPr>
          <w:szCs w:val="22"/>
        </w:rPr>
        <w:t xml:space="preserve">geographic areas </w:t>
      </w:r>
      <w:r w:rsidR="00802CD3">
        <w:rPr>
          <w:szCs w:val="22"/>
        </w:rPr>
        <w:t xml:space="preserve">for which it </w:t>
      </w:r>
      <w:r w:rsidR="005608EA">
        <w:rPr>
          <w:szCs w:val="22"/>
        </w:rPr>
        <w:t xml:space="preserve">intended to </w:t>
      </w:r>
      <w:r w:rsidR="003B7D6B">
        <w:rPr>
          <w:szCs w:val="22"/>
        </w:rPr>
        <w:t>bid</w:t>
      </w:r>
      <w:r w:rsidR="00414DAD">
        <w:rPr>
          <w:szCs w:val="22"/>
        </w:rPr>
        <w:t>, and</w:t>
      </w:r>
      <w:r w:rsidR="009D2218">
        <w:rPr>
          <w:szCs w:val="22"/>
        </w:rPr>
        <w:t xml:space="preserve"> </w:t>
      </w:r>
      <w:r w:rsidR="005608EA">
        <w:rPr>
          <w:szCs w:val="22"/>
        </w:rPr>
        <w:t>compliance with the eligibility requirement required</w:t>
      </w:r>
      <w:r w:rsidR="00C66114">
        <w:rPr>
          <w:szCs w:val="22"/>
        </w:rPr>
        <w:t xml:space="preserve"> only</w:t>
      </w:r>
      <w:r w:rsidR="005608EA">
        <w:rPr>
          <w:szCs w:val="22"/>
        </w:rPr>
        <w:t xml:space="preserve"> a general certification</w:t>
      </w:r>
      <w:r w:rsidR="00E73B32">
        <w:rPr>
          <w:szCs w:val="22"/>
        </w:rPr>
        <w:t xml:space="preserve"> of ETC designation</w:t>
      </w:r>
      <w:r w:rsidR="00802CD3">
        <w:rPr>
          <w:szCs w:val="22"/>
        </w:rPr>
        <w:t xml:space="preserve">.  </w:t>
      </w:r>
      <w:r w:rsidR="00AD039B">
        <w:rPr>
          <w:szCs w:val="22"/>
        </w:rPr>
        <w:t xml:space="preserve">Additionally, </w:t>
      </w:r>
      <w:r w:rsidR="00CC436E">
        <w:rPr>
          <w:szCs w:val="22"/>
        </w:rPr>
        <w:t xml:space="preserve">while </w:t>
      </w:r>
      <w:r w:rsidR="00A31D78">
        <w:rPr>
          <w:szCs w:val="22"/>
        </w:rPr>
        <w:t xml:space="preserve">the </w:t>
      </w:r>
      <w:r w:rsidR="0068025D">
        <w:rPr>
          <w:szCs w:val="22"/>
        </w:rPr>
        <w:t xml:space="preserve">Commission’s </w:t>
      </w:r>
      <w:r w:rsidR="00A31D78">
        <w:rPr>
          <w:szCs w:val="22"/>
        </w:rPr>
        <w:t xml:space="preserve">software </w:t>
      </w:r>
      <w:r w:rsidR="00CC436E">
        <w:rPr>
          <w:szCs w:val="22"/>
        </w:rPr>
        <w:t xml:space="preserve">did not prevent </w:t>
      </w:r>
      <w:r w:rsidR="006300C9">
        <w:rPr>
          <w:szCs w:val="22"/>
        </w:rPr>
        <w:t>Cross</w:t>
      </w:r>
      <w:r w:rsidR="00A00E80">
        <w:rPr>
          <w:szCs w:val="22"/>
        </w:rPr>
        <w:t xml:space="preserve"> </w:t>
      </w:r>
      <w:r w:rsidR="00251E4F">
        <w:rPr>
          <w:szCs w:val="22"/>
        </w:rPr>
        <w:t xml:space="preserve">from </w:t>
      </w:r>
      <w:r w:rsidR="0068025D">
        <w:rPr>
          <w:szCs w:val="22"/>
        </w:rPr>
        <w:t>bid</w:t>
      </w:r>
      <w:r w:rsidR="00251E4F">
        <w:rPr>
          <w:szCs w:val="22"/>
        </w:rPr>
        <w:t>ding</w:t>
      </w:r>
      <w:r w:rsidR="0068025D">
        <w:rPr>
          <w:szCs w:val="22"/>
        </w:rPr>
        <w:t xml:space="preserve"> for </w:t>
      </w:r>
      <w:r w:rsidR="006300C9">
        <w:rPr>
          <w:szCs w:val="22"/>
        </w:rPr>
        <w:t xml:space="preserve">areas in which </w:t>
      </w:r>
      <w:r w:rsidR="0068025D">
        <w:rPr>
          <w:szCs w:val="22"/>
        </w:rPr>
        <w:t xml:space="preserve">its </w:t>
      </w:r>
      <w:r w:rsidR="006300C9">
        <w:rPr>
          <w:szCs w:val="22"/>
        </w:rPr>
        <w:t xml:space="preserve">ETC </w:t>
      </w:r>
      <w:r w:rsidR="0068025D">
        <w:rPr>
          <w:szCs w:val="22"/>
        </w:rPr>
        <w:t xml:space="preserve">designation </w:t>
      </w:r>
      <w:r w:rsidR="00523CAC">
        <w:rPr>
          <w:szCs w:val="22"/>
        </w:rPr>
        <w:t xml:space="preserve">had been </w:t>
      </w:r>
      <w:r w:rsidR="00365932">
        <w:rPr>
          <w:szCs w:val="22"/>
        </w:rPr>
        <w:t xml:space="preserve">formalized </w:t>
      </w:r>
      <w:r w:rsidR="002A00DC">
        <w:rPr>
          <w:szCs w:val="22"/>
        </w:rPr>
        <w:t xml:space="preserve">only </w:t>
      </w:r>
      <w:r w:rsidR="006300C9">
        <w:rPr>
          <w:szCs w:val="22"/>
        </w:rPr>
        <w:t xml:space="preserve">after </w:t>
      </w:r>
      <w:r w:rsidR="0033128E">
        <w:rPr>
          <w:szCs w:val="22"/>
        </w:rPr>
        <w:t xml:space="preserve">it had filed </w:t>
      </w:r>
      <w:r w:rsidR="00A00E80">
        <w:rPr>
          <w:szCs w:val="22"/>
        </w:rPr>
        <w:t>it</w:t>
      </w:r>
      <w:r w:rsidR="006300C9">
        <w:rPr>
          <w:szCs w:val="22"/>
        </w:rPr>
        <w:t xml:space="preserve">s short form </w:t>
      </w:r>
      <w:r w:rsidR="00FA25B8">
        <w:rPr>
          <w:szCs w:val="22"/>
        </w:rPr>
        <w:t>application</w:t>
      </w:r>
      <w:r w:rsidR="00CC436E">
        <w:rPr>
          <w:szCs w:val="22"/>
        </w:rPr>
        <w:t>,</w:t>
      </w:r>
      <w:r w:rsidR="00AD039B">
        <w:rPr>
          <w:szCs w:val="22"/>
        </w:rPr>
        <w:t xml:space="preserve"> </w:t>
      </w:r>
      <w:r w:rsidR="00596750">
        <w:rPr>
          <w:szCs w:val="22"/>
        </w:rPr>
        <w:t>Cross</w:t>
      </w:r>
      <w:r w:rsidR="00CC436E">
        <w:rPr>
          <w:szCs w:val="22"/>
        </w:rPr>
        <w:t>’s</w:t>
      </w:r>
      <w:r w:rsidR="00596750">
        <w:rPr>
          <w:szCs w:val="22"/>
        </w:rPr>
        <w:t xml:space="preserve"> </w:t>
      </w:r>
      <w:r w:rsidR="00CC436E">
        <w:rPr>
          <w:szCs w:val="22"/>
        </w:rPr>
        <w:t xml:space="preserve">winning bids </w:t>
      </w:r>
      <w:r w:rsidR="008575A6">
        <w:rPr>
          <w:szCs w:val="22"/>
        </w:rPr>
        <w:t xml:space="preserve">covered </w:t>
      </w:r>
      <w:r w:rsidR="00CC436E">
        <w:rPr>
          <w:szCs w:val="22"/>
        </w:rPr>
        <w:t xml:space="preserve">only </w:t>
      </w:r>
      <w:r w:rsidR="00251E4F">
        <w:rPr>
          <w:szCs w:val="22"/>
        </w:rPr>
        <w:t xml:space="preserve">areas in which it </w:t>
      </w:r>
      <w:r w:rsidR="00EF114C">
        <w:rPr>
          <w:szCs w:val="22"/>
        </w:rPr>
        <w:t xml:space="preserve">had </w:t>
      </w:r>
      <w:r w:rsidR="00CC436E">
        <w:rPr>
          <w:szCs w:val="22"/>
        </w:rPr>
        <w:t xml:space="preserve">actually </w:t>
      </w:r>
      <w:r w:rsidR="002D4C5D">
        <w:rPr>
          <w:szCs w:val="22"/>
        </w:rPr>
        <w:t xml:space="preserve">been designated an </w:t>
      </w:r>
      <w:r w:rsidR="00542FF8">
        <w:rPr>
          <w:szCs w:val="22"/>
        </w:rPr>
        <w:t>ETC</w:t>
      </w:r>
      <w:r w:rsidR="00596750">
        <w:rPr>
          <w:szCs w:val="22"/>
        </w:rPr>
        <w:t xml:space="preserve">.  </w:t>
      </w:r>
    </w:p>
    <w:p w:rsidR="00682694" w:rsidRDefault="008813F5" w:rsidP="007C25C2">
      <w:pPr>
        <w:pStyle w:val="ParaNum"/>
      </w:pPr>
      <w:r w:rsidRPr="008813F5">
        <w:rPr>
          <w:szCs w:val="22"/>
        </w:rPr>
        <w:t>For all these reasons, we conclude that Cross’s failure to meet the deadline for some of its winning bids did not undermine the purpose of the deadline.  We further find that in these circumstances grant of the waiver serves the public interest by giving effect to Cross’s winning bids, which will provide support to enable the availability of 3G or better mobile voice and broadband service across all six of the areas covered by those winning bids.</w:t>
      </w:r>
      <w:r w:rsidR="00D57B64" w:rsidRPr="007C25C2">
        <w:rPr>
          <w:szCs w:val="22"/>
        </w:rPr>
        <w:t xml:space="preserve">  </w:t>
      </w:r>
    </w:p>
    <w:p w:rsidR="00C206B0" w:rsidRDefault="00C206B0" w:rsidP="00C206B0">
      <w:pPr>
        <w:pStyle w:val="Heading1"/>
        <w:tabs>
          <w:tab w:val="left" w:pos="720"/>
        </w:tabs>
      </w:pPr>
      <w:r>
        <w:t>ordering clauses</w:t>
      </w:r>
    </w:p>
    <w:p w:rsidR="00C206B0" w:rsidRPr="00FA1616" w:rsidRDefault="005D5013" w:rsidP="00C206B0">
      <w:pPr>
        <w:pStyle w:val="ParaNum"/>
      </w:pPr>
      <w:r>
        <w:rPr>
          <w:szCs w:val="22"/>
        </w:rPr>
        <w:t>Accordingly, IT IS ORDERED that, pursuant to the authority contained in sections 1, 4(i), 4(j), 5(c), 201, 254, and 303(r) of the Communications Act, 47 U.S.C. §§ 151, 154(i), 154(j), 155(c), 201, 254, 303(r), and sections</w:t>
      </w:r>
      <w:r w:rsidR="00C201D5">
        <w:rPr>
          <w:szCs w:val="22"/>
        </w:rPr>
        <w:t xml:space="preserve"> </w:t>
      </w:r>
      <w:r>
        <w:rPr>
          <w:szCs w:val="22"/>
        </w:rPr>
        <w:t xml:space="preserve">0.131, 0.331, and 1.3 of the Commission’s rules, 47 C.F.R. §§ 0.131, 0.331, and 1.3, </w:t>
      </w:r>
      <w:r w:rsidR="00F73E81">
        <w:rPr>
          <w:szCs w:val="22"/>
        </w:rPr>
        <w:t xml:space="preserve">section 54.1003(a) </w:t>
      </w:r>
      <w:r w:rsidR="00F73E81">
        <w:t>of the Commission’s rules</w:t>
      </w:r>
      <w:r w:rsidR="00F73E81">
        <w:rPr>
          <w:szCs w:val="22"/>
        </w:rPr>
        <w:t>, 47 C.F.R. § 54.1003(a),</w:t>
      </w:r>
      <w:r w:rsidR="00EA16D9">
        <w:t xml:space="preserve"> </w:t>
      </w:r>
      <w:r w:rsidR="00E1471D">
        <w:t xml:space="preserve">is waived </w:t>
      </w:r>
      <w:r w:rsidR="00EA16D9">
        <w:t xml:space="preserve">for Cross Wireless, LLC, </w:t>
      </w:r>
      <w:r>
        <w:rPr>
          <w:szCs w:val="22"/>
        </w:rPr>
        <w:t>to the extent described herein.</w:t>
      </w:r>
    </w:p>
    <w:p w:rsidR="0044564E" w:rsidRDefault="0044564E" w:rsidP="002A6EEA">
      <w:pPr>
        <w:pStyle w:val="ParaNum"/>
        <w:spacing w:after="240"/>
      </w:pPr>
      <w:r>
        <w:t>IT IS FURTHER ORDERED that, pursuant to section 1.102(b)(1) of the Commission’s rules, 47 C.F.R. § 1.102(b)(1), this order SHALL BE effective upon release.</w:t>
      </w:r>
    </w:p>
    <w:p w:rsidR="0044564E" w:rsidRPr="00412DD0" w:rsidRDefault="0044564E" w:rsidP="002A6EEA">
      <w:pPr>
        <w:keepNext/>
        <w:spacing w:after="0" w:line="240" w:lineRule="auto"/>
        <w:ind w:left="4320"/>
        <w:rPr>
          <w:rFonts w:ascii="Times New Roman" w:hAnsi="Times New Roman" w:cs="Times New Roman"/>
        </w:rPr>
      </w:pPr>
      <w:r w:rsidRPr="00412DD0">
        <w:rPr>
          <w:rFonts w:ascii="Times New Roman" w:hAnsi="Times New Roman" w:cs="Times New Roman"/>
        </w:rPr>
        <w:t>FEDERAL COMMUNICATIONS COMMISSION</w:t>
      </w:r>
    </w:p>
    <w:p w:rsidR="0044564E" w:rsidRDefault="0044564E" w:rsidP="002A6EEA">
      <w:pPr>
        <w:keepNext/>
        <w:spacing w:line="240" w:lineRule="auto"/>
        <w:ind w:left="4320"/>
        <w:rPr>
          <w:rFonts w:ascii="Times New Roman" w:hAnsi="Times New Roman" w:cs="Times New Roman"/>
        </w:rPr>
      </w:pPr>
    </w:p>
    <w:p w:rsidR="002A6EEA" w:rsidRPr="00412DD0" w:rsidRDefault="002A6EEA" w:rsidP="002A6EEA">
      <w:pPr>
        <w:keepNext/>
        <w:spacing w:line="240" w:lineRule="auto"/>
        <w:ind w:left="4320"/>
        <w:rPr>
          <w:rFonts w:ascii="Times New Roman" w:hAnsi="Times New Roman" w:cs="Times New Roman"/>
        </w:rPr>
      </w:pPr>
    </w:p>
    <w:p w:rsidR="00EB2A26" w:rsidRPr="000D4737" w:rsidRDefault="003E7BA3" w:rsidP="000D4737">
      <w:pPr>
        <w:keepNext/>
        <w:ind w:left="4320"/>
        <w:rPr>
          <w:rFonts w:ascii="Times New Roman" w:hAnsi="Times New Roman" w:cs="Times New Roman"/>
        </w:rPr>
      </w:pPr>
      <w:bookmarkStart w:id="1" w:name="SR;3307"/>
      <w:bookmarkStart w:id="2" w:name="SearchTerm"/>
      <w:bookmarkEnd w:id="1"/>
      <w:bookmarkEnd w:id="2"/>
      <w:r>
        <w:rPr>
          <w:rStyle w:val="searchterm"/>
          <w:rFonts w:ascii="Times New Roman" w:hAnsi="Times New Roman" w:cs="Times New Roman"/>
        </w:rPr>
        <w:t xml:space="preserve">Margaret </w:t>
      </w:r>
      <w:r>
        <w:rPr>
          <w:rFonts w:ascii="Times New Roman" w:hAnsi="Times New Roman" w:cs="Times New Roman"/>
        </w:rPr>
        <w:t>W. Wiener</w:t>
      </w:r>
      <w:r w:rsidR="009A15B0" w:rsidRPr="00EF6ED6">
        <w:rPr>
          <w:rFonts w:ascii="Times New Roman" w:hAnsi="Times New Roman" w:cs="Times New Roman"/>
        </w:rPr>
        <w:br/>
      </w:r>
      <w:bookmarkStart w:id="3" w:name="sp_999_7"/>
      <w:bookmarkStart w:id="4" w:name="SDU_7"/>
      <w:r w:rsidR="009A15B0" w:rsidRPr="00EF6ED6">
        <w:rPr>
          <w:rFonts w:ascii="Times New Roman" w:hAnsi="Times New Roman" w:cs="Times New Roman"/>
        </w:rPr>
        <w:t>Chief</w:t>
      </w:r>
      <w:r>
        <w:rPr>
          <w:rFonts w:ascii="Times New Roman" w:hAnsi="Times New Roman" w:cs="Times New Roman"/>
        </w:rPr>
        <w:t xml:space="preserve">, Auctions </w:t>
      </w:r>
      <w:r w:rsidR="000D4737">
        <w:rPr>
          <w:rFonts w:ascii="Times New Roman" w:hAnsi="Times New Roman" w:cs="Times New Roman"/>
        </w:rPr>
        <w:t xml:space="preserve">and </w:t>
      </w:r>
      <w:r>
        <w:rPr>
          <w:rFonts w:ascii="Times New Roman" w:hAnsi="Times New Roman" w:cs="Times New Roman"/>
        </w:rPr>
        <w:t>Spectrum Access Division</w:t>
      </w:r>
      <w:r w:rsidR="009A15B0" w:rsidRPr="00EF6ED6">
        <w:rPr>
          <w:rFonts w:ascii="Times New Roman" w:hAnsi="Times New Roman" w:cs="Times New Roman"/>
        </w:rPr>
        <w:br/>
        <w:t>Wireless Telecommunications Bureau</w:t>
      </w:r>
      <w:bookmarkEnd w:id="3"/>
      <w:bookmarkEnd w:id="4"/>
    </w:p>
    <w:sectPr w:rsidR="00EB2A26" w:rsidRPr="000D4737" w:rsidSect="00DC592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24" w:rsidRDefault="001C7824">
      <w:pPr>
        <w:spacing w:line="20" w:lineRule="exact"/>
      </w:pPr>
    </w:p>
  </w:endnote>
  <w:endnote w:type="continuationSeparator" w:id="0">
    <w:p w:rsidR="001C7824" w:rsidRDefault="001C7824">
      <w:r>
        <w:t xml:space="preserve"> </w:t>
      </w:r>
    </w:p>
  </w:endnote>
  <w:endnote w:type="continuationNotice" w:id="1">
    <w:p w:rsidR="001C7824" w:rsidRDefault="001C78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end"/>
    </w:r>
  </w:p>
  <w:p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separate"/>
    </w:r>
    <w:r w:rsidR="000D4737">
      <w:rPr>
        <w:noProof/>
      </w:rPr>
      <w:t>4</w:t>
    </w:r>
    <w:r>
      <w:fldChar w:fldCharType="end"/>
    </w:r>
  </w:p>
  <w:p w:rsidR="006F7393" w:rsidRDefault="006F7393">
    <w:pPr>
      <w:spacing w:before="140" w:line="100" w:lineRule="exact"/>
      <w:rPr>
        <w:sz w:val="10"/>
      </w:rPr>
    </w:pPr>
  </w:p>
  <w:p w:rsidR="006F7393" w:rsidRDefault="006F739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24" w:rsidRDefault="001C7824">
      <w:r>
        <w:separator/>
      </w:r>
    </w:p>
  </w:footnote>
  <w:footnote w:type="continuationSeparator" w:id="0">
    <w:p w:rsidR="001C7824" w:rsidRDefault="001C7824">
      <w:pPr>
        <w:rPr>
          <w:sz w:val="20"/>
        </w:rPr>
      </w:pPr>
      <w:r w:rsidRPr="00E16E17">
        <w:rPr>
          <w:rFonts w:ascii="Times New Roman" w:hAnsi="Times New Roman" w:cs="Times New Roman"/>
          <w:sz w:val="20"/>
        </w:rPr>
        <w:t>(Continued from previous page)</w:t>
      </w:r>
      <w:r>
        <w:rPr>
          <w:sz w:val="20"/>
        </w:rPr>
        <w:t xml:space="preserve">  </w:t>
      </w:r>
      <w:r>
        <w:rPr>
          <w:sz w:val="20"/>
        </w:rPr>
        <w:separator/>
      </w:r>
    </w:p>
  </w:footnote>
  <w:footnote w:type="continuationNotice" w:id="1">
    <w:p w:rsidR="001C7824" w:rsidRPr="00E16E17" w:rsidRDefault="001C7824">
      <w:pPr>
        <w:rPr>
          <w:rFonts w:ascii="Times New Roman" w:hAnsi="Times New Roman" w:cs="Times New Roman"/>
          <w:sz w:val="20"/>
        </w:rPr>
      </w:pPr>
      <w:r w:rsidRPr="00E16E17">
        <w:rPr>
          <w:rFonts w:ascii="Times New Roman" w:hAnsi="Times New Roman" w:cs="Times New Roman"/>
          <w:sz w:val="20"/>
        </w:rPr>
        <w:t>(continued….)</w:t>
      </w:r>
    </w:p>
  </w:footnote>
  <w:footnote w:id="2">
    <w:p w:rsidR="009B2F14" w:rsidRPr="005B0247" w:rsidRDefault="009B2F14" w:rsidP="009B2F14">
      <w:pPr>
        <w:pStyle w:val="FootnoteText"/>
      </w:pPr>
      <w:r>
        <w:rPr>
          <w:rStyle w:val="FootnoteReference"/>
        </w:rPr>
        <w:footnoteRef/>
      </w:r>
      <w:r>
        <w:t xml:space="preserve"> “Mobility Fund Phase I Auction Closes; Winning Bidders Announced for Auction 901,” </w:t>
      </w:r>
      <w:r>
        <w:rPr>
          <w:i/>
        </w:rPr>
        <w:t>Public Notice</w:t>
      </w:r>
      <w:r>
        <w:t>, 27 FCC Rcd 12031, 12032 (</w:t>
      </w:r>
      <w:r w:rsidR="009F354F">
        <w:t xml:space="preserve">WTB/WCB </w:t>
      </w:r>
      <w:r>
        <w:t>2012) (“</w:t>
      </w:r>
      <w:r w:rsidRPr="00FF321E">
        <w:rPr>
          <w:i/>
        </w:rPr>
        <w:t>Closing PN</w:t>
      </w:r>
      <w:r>
        <w:t>”).</w:t>
      </w:r>
    </w:p>
  </w:footnote>
  <w:footnote w:id="3">
    <w:p w:rsidR="009B2F14" w:rsidRPr="000E5116" w:rsidRDefault="009B2F14" w:rsidP="009B2F14">
      <w:pPr>
        <w:pStyle w:val="FootnoteText"/>
        <w:rPr>
          <w:i/>
        </w:rPr>
      </w:pPr>
      <w:r>
        <w:rPr>
          <w:rStyle w:val="FootnoteReference"/>
        </w:rPr>
        <w:footnoteRef/>
      </w:r>
      <w:r>
        <w:t xml:space="preserve"> </w:t>
      </w:r>
      <w:r>
        <w:rPr>
          <w:i/>
        </w:rPr>
        <w:t>Id.</w:t>
      </w:r>
    </w:p>
  </w:footnote>
  <w:footnote w:id="4">
    <w:p w:rsidR="00B1321E" w:rsidRPr="00634F1C" w:rsidRDefault="00B1321E">
      <w:pPr>
        <w:pStyle w:val="FootnoteText"/>
      </w:pPr>
      <w:r>
        <w:rPr>
          <w:rStyle w:val="FootnoteReference"/>
        </w:rPr>
        <w:footnoteRef/>
      </w:r>
      <w:r>
        <w:t xml:space="preserve"> </w:t>
      </w:r>
      <w:r w:rsidR="006248C1">
        <w:t xml:space="preserve">“Mobility </w:t>
      </w:r>
      <w:r w:rsidR="003B643B">
        <w:t>F</w:t>
      </w:r>
      <w:r w:rsidR="006248C1">
        <w:t xml:space="preserve">und Phase I Auction Scheduled for September 27, 2012; Notice and Filing Requirements and Other Procedures for Auction 901,” </w:t>
      </w:r>
      <w:r w:rsidR="006248C1">
        <w:rPr>
          <w:i/>
        </w:rPr>
        <w:t xml:space="preserve">Public </w:t>
      </w:r>
      <w:r w:rsidR="006248C1" w:rsidRPr="005E5D31">
        <w:rPr>
          <w:i/>
        </w:rPr>
        <w:t>Notice</w:t>
      </w:r>
      <w:r w:rsidR="006248C1">
        <w:t xml:space="preserve">, 27 FCC Rcd 4725, 4740 </w:t>
      </w:r>
      <w:r w:rsidR="00FA560B">
        <w:t>¶</w:t>
      </w:r>
      <w:r w:rsidR="006248C1">
        <w:t xml:space="preserve">¶ </w:t>
      </w:r>
      <w:r w:rsidR="00FA560B">
        <w:t xml:space="preserve">32, </w:t>
      </w:r>
      <w:r w:rsidR="006248C1">
        <w:t>40 (WTB/WCB 2012) (“</w:t>
      </w:r>
      <w:r w:rsidR="006248C1" w:rsidRPr="005E5D31">
        <w:rPr>
          <w:i/>
        </w:rPr>
        <w:t xml:space="preserve">Procedures </w:t>
      </w:r>
      <w:r w:rsidR="006248C1">
        <w:rPr>
          <w:i/>
        </w:rPr>
        <w:t>PN</w:t>
      </w:r>
      <w:r w:rsidR="00EF4FB6">
        <w:t>”);</w:t>
      </w:r>
      <w:r w:rsidR="006248C1">
        <w:t xml:space="preserve"> </w:t>
      </w:r>
      <w:r w:rsidR="000811B2" w:rsidRPr="00EF4FB6">
        <w:rPr>
          <w:iCs/>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w:t>
      </w:r>
      <w:r w:rsidR="000811B2">
        <w:t xml:space="preserve">, </w:t>
      </w:r>
      <w:r w:rsidR="000811B2" w:rsidRPr="00EF4FB6">
        <w:rPr>
          <w:i/>
        </w:rPr>
        <w:t>Report and Order and Further Notice of Proposed Rulemaking</w:t>
      </w:r>
      <w:r w:rsidR="000811B2">
        <w:t>, 26 FCC Rcd 17663, 17798-801 ¶¶ 388-89 (2011) (</w:t>
      </w:r>
      <w:r w:rsidR="000811B2">
        <w:rPr>
          <w:i/>
          <w:iCs/>
        </w:rPr>
        <w:t>USF/ICC Transformation Order</w:t>
      </w:r>
      <w:r w:rsidR="000811B2">
        <w:t xml:space="preserve">), </w:t>
      </w:r>
      <w:r w:rsidR="000811B2">
        <w:rPr>
          <w:i/>
          <w:iCs/>
        </w:rPr>
        <w:t>pets.</w:t>
      </w:r>
      <w:r w:rsidR="007B6983">
        <w:rPr>
          <w:i/>
          <w:iCs/>
        </w:rPr>
        <w:t xml:space="preserve"> </w:t>
      </w:r>
      <w:r w:rsidR="000811B2">
        <w:rPr>
          <w:i/>
          <w:iCs/>
        </w:rPr>
        <w:t>for review pending sub nom.</w:t>
      </w:r>
      <w:r w:rsidR="000811B2">
        <w:rPr>
          <w:iCs/>
        </w:rPr>
        <w:t xml:space="preserve"> </w:t>
      </w:r>
      <w:r w:rsidR="000811B2">
        <w:rPr>
          <w:i/>
          <w:iCs/>
        </w:rPr>
        <w:t>In re: FCC 11-161</w:t>
      </w:r>
      <w:r w:rsidR="000811B2">
        <w:t xml:space="preserve">, No. 11-9900 (10th Cir. filed Dec. 8, 2011).  </w:t>
      </w:r>
      <w:r w:rsidR="00122904">
        <w:rPr>
          <w:i/>
        </w:rPr>
        <w:t>S</w:t>
      </w:r>
      <w:r w:rsidR="00AF65A4">
        <w:rPr>
          <w:i/>
        </w:rPr>
        <w:t xml:space="preserve">ee </w:t>
      </w:r>
      <w:r w:rsidR="00AF65A4">
        <w:t xml:space="preserve">47 C.F.R. </w:t>
      </w:r>
      <w:r w:rsidR="00606B5C">
        <w:t>§</w:t>
      </w:r>
      <w:r w:rsidR="00AF65A4">
        <w:t>§ 54.1003(a)</w:t>
      </w:r>
      <w:r w:rsidR="00606B5C">
        <w:t>, 54.1005(a)</w:t>
      </w:r>
      <w:r w:rsidR="00387D91">
        <w:t>(3)</w:t>
      </w:r>
      <w:r w:rsidR="00122904">
        <w:t xml:space="preserve">; </w:t>
      </w:r>
      <w:r w:rsidR="00122904">
        <w:rPr>
          <w:i/>
        </w:rPr>
        <w:t xml:space="preserve">but see </w:t>
      </w:r>
      <w:r w:rsidR="00122904">
        <w:t>47 C.F.R. § 54.1004</w:t>
      </w:r>
      <w:r w:rsidR="00645D74">
        <w:t>(a)</w:t>
      </w:r>
      <w:r w:rsidR="009A1196">
        <w:t xml:space="preserve"> (</w:t>
      </w:r>
      <w:r w:rsidR="002F3D99">
        <w:t>permitting</w:t>
      </w:r>
      <w:r w:rsidR="009A1196">
        <w:t xml:space="preserve"> a </w:t>
      </w:r>
      <w:r w:rsidR="009A1196">
        <w:rPr>
          <w:color w:val="000000"/>
        </w:rPr>
        <w:t xml:space="preserve">Tribally-owned or -controlled entity that has pending an application to be designated an </w:t>
      </w:r>
      <w:r w:rsidR="002D2C91">
        <w:rPr>
          <w:color w:val="000000"/>
        </w:rPr>
        <w:t>ETC</w:t>
      </w:r>
      <w:r w:rsidR="009A1196">
        <w:rPr>
          <w:color w:val="000000"/>
        </w:rPr>
        <w:t xml:space="preserve"> to participate in a Mobility Fund Phase I auction but requiring </w:t>
      </w:r>
      <w:r w:rsidR="00EC6CE2">
        <w:rPr>
          <w:color w:val="000000"/>
        </w:rPr>
        <w:t xml:space="preserve">such an auction winner to be designated an </w:t>
      </w:r>
      <w:r w:rsidR="009A1196">
        <w:rPr>
          <w:color w:val="000000"/>
        </w:rPr>
        <w:t xml:space="preserve">ETC </w:t>
      </w:r>
      <w:r w:rsidR="00EC6CE2">
        <w:rPr>
          <w:color w:val="000000"/>
        </w:rPr>
        <w:t xml:space="preserve">before </w:t>
      </w:r>
      <w:r w:rsidR="002F3D99">
        <w:rPr>
          <w:color w:val="000000"/>
        </w:rPr>
        <w:t xml:space="preserve">receiving </w:t>
      </w:r>
      <w:r w:rsidR="00EC6CE2">
        <w:rPr>
          <w:color w:val="000000"/>
        </w:rPr>
        <w:t>Phase I support)</w:t>
      </w:r>
      <w:r w:rsidR="004E12C9">
        <w:t>.</w:t>
      </w:r>
      <w:r w:rsidR="00634F1C">
        <w:t xml:space="preserve">  An </w:t>
      </w:r>
      <w:r w:rsidR="002D2C91">
        <w:t>ETC</w:t>
      </w:r>
      <w:r w:rsidR="00634F1C">
        <w:t xml:space="preserve"> is a carrier designated to receive support under subpart C of the Commission’s Universal Service rules.  47 C.F.R. §§</w:t>
      </w:r>
      <w:r w:rsidR="000811B2">
        <w:t> </w:t>
      </w:r>
      <w:r w:rsidR="00634F1C">
        <w:t>54.5, 54.201-54.20</w:t>
      </w:r>
      <w:r w:rsidR="00EB715B">
        <w:t>3</w:t>
      </w:r>
      <w:r w:rsidR="00634F1C">
        <w:t xml:space="preserve">; </w:t>
      </w:r>
      <w:r w:rsidR="00634F1C">
        <w:rPr>
          <w:i/>
        </w:rPr>
        <w:t xml:space="preserve">see </w:t>
      </w:r>
      <w:r w:rsidR="00634F1C">
        <w:t>47 U.S.C. § 214(e).</w:t>
      </w:r>
    </w:p>
  </w:footnote>
  <w:footnote w:id="5">
    <w:p w:rsidR="00D9772E" w:rsidRPr="003570CF" w:rsidRDefault="00D9772E" w:rsidP="00D9772E">
      <w:pPr>
        <w:pStyle w:val="FootnoteText"/>
      </w:pPr>
      <w:r>
        <w:rPr>
          <w:rStyle w:val="FootnoteReference"/>
        </w:rPr>
        <w:footnoteRef/>
      </w:r>
      <w:r>
        <w:t xml:space="preserve"> </w:t>
      </w:r>
      <w:r>
        <w:rPr>
          <w:i/>
        </w:rPr>
        <w:t xml:space="preserve">See </w:t>
      </w:r>
      <w:r>
        <w:t xml:space="preserve">“Mobility Fund Phase I Auction; 52 Bidders Qualified to Participate in Auction 901,” </w:t>
      </w:r>
      <w:r>
        <w:rPr>
          <w:i/>
        </w:rPr>
        <w:t>Public Notice</w:t>
      </w:r>
      <w:r>
        <w:t>, 27 FCC Rcd 10919, 10929</w:t>
      </w:r>
      <w:r w:rsidR="002363CA">
        <w:t xml:space="preserve"> (WTB/WCB 2012)</w:t>
      </w:r>
      <w:r w:rsidR="00A84C31">
        <w:t>.</w:t>
      </w:r>
    </w:p>
  </w:footnote>
  <w:footnote w:id="6">
    <w:p w:rsidR="00FA5E8E" w:rsidRDefault="00FA5E8E">
      <w:pPr>
        <w:pStyle w:val="FootnoteText"/>
      </w:pPr>
      <w:r>
        <w:rPr>
          <w:rStyle w:val="FootnoteReference"/>
        </w:rPr>
        <w:footnoteRef/>
      </w:r>
      <w:r>
        <w:t xml:space="preserve"> </w:t>
      </w:r>
      <w:r w:rsidR="00EB6F49" w:rsidRPr="00FF321E">
        <w:rPr>
          <w:i/>
        </w:rPr>
        <w:t>Closing PN</w:t>
      </w:r>
      <w:r w:rsidR="00EB6F49">
        <w:t xml:space="preserve">, </w:t>
      </w:r>
      <w:r w:rsidR="00672BF0">
        <w:t xml:space="preserve">27 FCC Rcd </w:t>
      </w:r>
      <w:r w:rsidR="00EB6F49">
        <w:t xml:space="preserve">at </w:t>
      </w:r>
      <w:r w:rsidR="00672BF0">
        <w:t>12045.</w:t>
      </w:r>
    </w:p>
  </w:footnote>
  <w:footnote w:id="7">
    <w:p w:rsidR="00ED652C" w:rsidRDefault="00ED652C" w:rsidP="00ED652C">
      <w:pPr>
        <w:pStyle w:val="FootnoteText"/>
      </w:pPr>
      <w:r>
        <w:rPr>
          <w:rStyle w:val="FootnoteReference"/>
        </w:rPr>
        <w:footnoteRef/>
      </w:r>
      <w:r>
        <w:t xml:space="preserve"> </w:t>
      </w:r>
      <w:r w:rsidR="00C71431" w:rsidRPr="005E5D31">
        <w:rPr>
          <w:i/>
        </w:rPr>
        <w:t xml:space="preserve">Procedures </w:t>
      </w:r>
      <w:r w:rsidR="00C71431">
        <w:rPr>
          <w:i/>
        </w:rPr>
        <w:t>PN</w:t>
      </w:r>
      <w:r w:rsidR="00C71431">
        <w:rPr>
          <w:szCs w:val="22"/>
        </w:rPr>
        <w:t>, 27 FCC Rcd at 4768 ¶ 158</w:t>
      </w:r>
      <w:r w:rsidR="00433ED8">
        <w:rPr>
          <w:szCs w:val="22"/>
        </w:rPr>
        <w:t>, 47</w:t>
      </w:r>
      <w:r w:rsidR="00E33970">
        <w:rPr>
          <w:szCs w:val="22"/>
        </w:rPr>
        <w:t>6</w:t>
      </w:r>
      <w:r w:rsidR="00433ED8">
        <w:rPr>
          <w:szCs w:val="22"/>
        </w:rPr>
        <w:t>9-</w:t>
      </w:r>
      <w:r w:rsidR="00E33970">
        <w:rPr>
          <w:szCs w:val="22"/>
        </w:rPr>
        <w:t>4775</w:t>
      </w:r>
      <w:r w:rsidR="00433ED8">
        <w:rPr>
          <w:szCs w:val="22"/>
        </w:rPr>
        <w:t xml:space="preserve"> ¶¶ 160-</w:t>
      </w:r>
      <w:r w:rsidR="00E33970">
        <w:rPr>
          <w:szCs w:val="22"/>
        </w:rPr>
        <w:t>182</w:t>
      </w:r>
      <w:r w:rsidR="00433ED8">
        <w:rPr>
          <w:szCs w:val="22"/>
        </w:rPr>
        <w:t xml:space="preserve">; </w:t>
      </w:r>
      <w:r w:rsidR="00352299">
        <w:rPr>
          <w:szCs w:val="22"/>
        </w:rPr>
        <w:t xml:space="preserve">47 C.F.R. § </w:t>
      </w:r>
      <w:r w:rsidR="00352299">
        <w:t xml:space="preserve">54.1005(b).  </w:t>
      </w:r>
      <w:r>
        <w:t xml:space="preserve">The long-form filing deadline originally was scheduled for November 1, 2012, but was extended because of the disruption resulting from Hurricane Sandy.  </w:t>
      </w:r>
      <w:r>
        <w:rPr>
          <w:i/>
        </w:rPr>
        <w:t>Closing PN</w:t>
      </w:r>
      <w:r>
        <w:t xml:space="preserve">, 27 FCC Rcd at 12034 ¶ 10; “Mobility Fund Phase I Auction Long-Form Application Deadline Extended,” </w:t>
      </w:r>
      <w:r>
        <w:rPr>
          <w:i/>
        </w:rPr>
        <w:t>Public Notice</w:t>
      </w:r>
      <w:r>
        <w:t xml:space="preserve">, </w:t>
      </w:r>
      <w:r>
        <w:rPr>
          <w:rStyle w:val="documentbody"/>
        </w:rPr>
        <w:t>27 FCC Rcd 13424</w:t>
      </w:r>
      <w:r>
        <w:t xml:space="preserve"> (WTB/WCB 2012).</w:t>
      </w:r>
    </w:p>
  </w:footnote>
  <w:footnote w:id="8">
    <w:p w:rsidR="00826153" w:rsidRDefault="00826153" w:rsidP="00826153">
      <w:pPr>
        <w:pStyle w:val="FootnoteText"/>
      </w:pPr>
      <w:r>
        <w:rPr>
          <w:rStyle w:val="FootnoteReference"/>
        </w:rPr>
        <w:footnoteRef/>
      </w:r>
      <w:r>
        <w:t xml:space="preserve"> Winning bid numbers </w:t>
      </w:r>
      <w:r w:rsidRPr="00BB49A6">
        <w:rPr>
          <w:rStyle w:val="item-name"/>
        </w:rPr>
        <w:t>T40107080600-5620</w:t>
      </w:r>
      <w:r>
        <w:rPr>
          <w:rStyle w:val="item-name"/>
        </w:rPr>
        <w:t xml:space="preserve">, </w:t>
      </w:r>
      <w:r w:rsidRPr="00323AAC">
        <w:rPr>
          <w:rStyle w:val="item-name"/>
        </w:rPr>
        <w:t>T40133583700-5830</w:t>
      </w:r>
      <w:r>
        <w:rPr>
          <w:rStyle w:val="item-name"/>
        </w:rPr>
        <w:t xml:space="preserve">, </w:t>
      </w:r>
      <w:r w:rsidRPr="00323AAC">
        <w:rPr>
          <w:rStyle w:val="item-name"/>
        </w:rPr>
        <w:t>and T40133583800-5830.</w:t>
      </w:r>
    </w:p>
  </w:footnote>
  <w:footnote w:id="9">
    <w:p w:rsidR="00867089" w:rsidRPr="00333502" w:rsidRDefault="00867089" w:rsidP="00867089">
      <w:pPr>
        <w:pStyle w:val="FootnoteText"/>
      </w:pPr>
      <w:r>
        <w:rPr>
          <w:rStyle w:val="FootnoteReference"/>
        </w:rPr>
        <w:footnoteRef/>
      </w:r>
      <w:r>
        <w:t xml:space="preserve"> </w:t>
      </w:r>
      <w:r>
        <w:rPr>
          <w:i/>
        </w:rPr>
        <w:t xml:space="preserve">See </w:t>
      </w:r>
      <w:r>
        <w:t>Oklahoma Corporation Commission, Application of Cross Wireless, LLC, Final Order, Case No. PUD 201200076, Order No. 600169, at 1-2, 7 (July 25, 2012) (“OCC Order”).</w:t>
      </w:r>
      <w:r>
        <w:rPr>
          <w:highlight w:val="lightGray"/>
        </w:rPr>
        <w:t xml:space="preserve"> </w:t>
      </w:r>
    </w:p>
  </w:footnote>
  <w:footnote w:id="10">
    <w:p w:rsidR="008D1DAD" w:rsidRPr="00D12499" w:rsidRDefault="008D1DAD" w:rsidP="008D1DAD">
      <w:pPr>
        <w:pStyle w:val="FootnoteText"/>
      </w:pPr>
      <w:r>
        <w:rPr>
          <w:rStyle w:val="FootnoteReference"/>
        </w:rPr>
        <w:footnoteRef/>
      </w:r>
      <w:r>
        <w:t xml:space="preserve"> </w:t>
      </w:r>
      <w:r>
        <w:rPr>
          <w:i/>
        </w:rPr>
        <w:t xml:space="preserve">See </w:t>
      </w:r>
      <w:r>
        <w:t>OCC Order at 8.</w:t>
      </w:r>
      <w:r w:rsidR="008B39B5">
        <w:t xml:space="preserve">  </w:t>
      </w:r>
    </w:p>
  </w:footnote>
  <w:footnote w:id="11">
    <w:p w:rsidR="008220D1" w:rsidRDefault="008220D1" w:rsidP="008220D1">
      <w:pPr>
        <w:pStyle w:val="FootnoteText"/>
      </w:pPr>
      <w:r>
        <w:rPr>
          <w:rStyle w:val="FootnoteReference"/>
        </w:rPr>
        <w:footnoteRef/>
      </w:r>
      <w:r>
        <w:t xml:space="preserve"> </w:t>
      </w:r>
      <w:r>
        <w:rPr>
          <w:i/>
        </w:rPr>
        <w:t xml:space="preserve">See </w:t>
      </w:r>
      <w:r w:rsidR="003B7D6B">
        <w:rPr>
          <w:i/>
        </w:rPr>
        <w:t>id.</w:t>
      </w:r>
      <w:r>
        <w:t xml:space="preserve"> at 7-8.</w:t>
      </w:r>
    </w:p>
  </w:footnote>
  <w:footnote w:id="12">
    <w:p w:rsidR="000C5C12" w:rsidRDefault="000C5C12">
      <w:pPr>
        <w:pStyle w:val="FootnoteText"/>
      </w:pPr>
      <w:r>
        <w:rPr>
          <w:rStyle w:val="FootnoteReference"/>
        </w:rPr>
        <w:footnoteRef/>
      </w:r>
      <w:r>
        <w:t xml:space="preserve"> 47 C.F.R. § 1.3.</w:t>
      </w:r>
    </w:p>
  </w:footnote>
  <w:footnote w:id="13">
    <w:p w:rsidR="002D3830" w:rsidRDefault="002D3830" w:rsidP="002D3830">
      <w:pPr>
        <w:pStyle w:val="FootnoteText"/>
      </w:pPr>
      <w:r>
        <w:rPr>
          <w:rStyle w:val="FootnoteReference"/>
        </w:rPr>
        <w:footnoteRef/>
      </w:r>
      <w:r>
        <w:t xml:space="preserve"> </w:t>
      </w:r>
      <w:r>
        <w:rPr>
          <w:i/>
        </w:rPr>
        <w:t>See, e.g</w:t>
      </w:r>
      <w:r>
        <w:t xml:space="preserve">., </w:t>
      </w:r>
      <w:r>
        <w:rPr>
          <w:i/>
        </w:rPr>
        <w:t>Northeast Cellular Tel. Co. v. FCC</w:t>
      </w:r>
      <w:r>
        <w:t>, 897 F.2d 1164, 1166 (D.C. Cir. 1990).</w:t>
      </w:r>
    </w:p>
  </w:footnote>
  <w:footnote w:id="14">
    <w:p w:rsidR="002D3830" w:rsidRDefault="002D3830" w:rsidP="002D3830">
      <w:pPr>
        <w:pStyle w:val="FootnoteText"/>
      </w:pPr>
      <w:r>
        <w:rPr>
          <w:rStyle w:val="FootnoteReference"/>
        </w:rPr>
        <w:footnoteRef/>
      </w:r>
      <w:r>
        <w:t xml:space="preserve"> </w:t>
      </w:r>
      <w:r w:rsidR="00610EF6" w:rsidRPr="003A5D4C">
        <w:rPr>
          <w:i/>
        </w:rPr>
        <w:t>See</w:t>
      </w:r>
      <w:r w:rsidR="00610EF6" w:rsidRPr="00620F61">
        <w:t xml:space="preserve"> </w:t>
      </w:r>
      <w:r w:rsidR="00610EF6" w:rsidRPr="0047605E">
        <w:rPr>
          <w:i/>
        </w:rPr>
        <w:t>WAIT Radio v. FCC</w:t>
      </w:r>
      <w:r w:rsidR="00610EF6" w:rsidRPr="00620F61">
        <w:t xml:space="preserve">, 418 F.2d 1153, 1157 (D.C. Cir. 1969) </w:t>
      </w:r>
      <w:r w:rsidR="00610EF6">
        <w:t xml:space="preserve">(finding that the Commission may decide in some instances that </w:t>
      </w:r>
      <w:r w:rsidR="00F17060">
        <w:t xml:space="preserve">a </w:t>
      </w:r>
      <w:r w:rsidR="00610EF6">
        <w:t>rule waiver serves the public interest if an applicant’s proposal will not undermine the policy served by the rule).</w:t>
      </w:r>
    </w:p>
  </w:footnote>
  <w:footnote w:id="15">
    <w:p w:rsidR="00F60235" w:rsidRPr="00765A50" w:rsidRDefault="00F60235">
      <w:pPr>
        <w:pStyle w:val="FootnoteText"/>
      </w:pPr>
      <w:r>
        <w:rPr>
          <w:rStyle w:val="FootnoteReference"/>
        </w:rPr>
        <w:footnoteRef/>
      </w:r>
      <w:r>
        <w:t xml:space="preserve"> </w:t>
      </w:r>
      <w:r w:rsidR="00765A50" w:rsidRPr="00D87548">
        <w:rPr>
          <w:i/>
          <w:iCs/>
        </w:rPr>
        <w:t>USF/ICC Transformation</w:t>
      </w:r>
      <w:r w:rsidR="00765A50">
        <w:rPr>
          <w:i/>
          <w:iCs/>
        </w:rPr>
        <w:t xml:space="preserve"> </w:t>
      </w:r>
      <w:r w:rsidR="00765A50" w:rsidRPr="00D87548">
        <w:rPr>
          <w:i/>
          <w:iCs/>
        </w:rPr>
        <w:t>Order</w:t>
      </w:r>
      <w:r w:rsidR="00765A50">
        <w:rPr>
          <w:iCs/>
        </w:rPr>
        <w:t xml:space="preserve">, 26 FCC Rcd at 17798-99 </w:t>
      </w:r>
      <w:r w:rsidR="00A245AC">
        <w:rPr>
          <w:iCs/>
        </w:rPr>
        <w:t xml:space="preserve">¶¶ </w:t>
      </w:r>
      <w:r w:rsidR="00F35B7A">
        <w:rPr>
          <w:iCs/>
        </w:rPr>
        <w:t>3</w:t>
      </w:r>
      <w:r w:rsidR="00A245AC">
        <w:rPr>
          <w:iCs/>
        </w:rPr>
        <w:t>88-392.</w:t>
      </w:r>
    </w:p>
  </w:footnote>
  <w:footnote w:id="16">
    <w:p w:rsidR="00DA0A76" w:rsidRDefault="00DA0A76">
      <w:pPr>
        <w:pStyle w:val="FootnoteText"/>
      </w:pPr>
      <w:r>
        <w:rPr>
          <w:rStyle w:val="FootnoteReference"/>
        </w:rPr>
        <w:footnoteRef/>
      </w:r>
      <w:r>
        <w:t xml:space="preserve"> </w:t>
      </w:r>
      <w:r w:rsidR="00E83661">
        <w:rPr>
          <w:i/>
        </w:rPr>
        <w:t>Id.</w:t>
      </w:r>
      <w:r>
        <w:rPr>
          <w:iCs/>
        </w:rPr>
        <w:t xml:space="preserve"> at 17799 ¶ 392.</w:t>
      </w:r>
    </w:p>
  </w:footnote>
  <w:footnote w:id="17">
    <w:p w:rsidR="00232106" w:rsidRDefault="00232106" w:rsidP="00232106">
      <w:pPr>
        <w:pStyle w:val="FootnoteText"/>
      </w:pPr>
      <w:r>
        <w:rPr>
          <w:rStyle w:val="FootnoteReference"/>
        </w:rPr>
        <w:footnoteRef/>
      </w:r>
      <w:r>
        <w:t xml:space="preserve"> OCC Order at </w:t>
      </w:r>
      <w:r w:rsidR="006A5B0F">
        <w:t>5</w:t>
      </w:r>
      <w:r>
        <w:t>-7.</w:t>
      </w:r>
    </w:p>
  </w:footnote>
  <w:footnote w:id="18">
    <w:p w:rsidR="00795C16" w:rsidRPr="00A83426" w:rsidRDefault="00795C16">
      <w:pPr>
        <w:pStyle w:val="FootnoteText"/>
      </w:pPr>
      <w:r>
        <w:rPr>
          <w:rStyle w:val="FootnoteReference"/>
        </w:rPr>
        <w:footnoteRef/>
      </w:r>
      <w:r>
        <w:t xml:space="preserve"> </w:t>
      </w:r>
      <w:r w:rsidR="00A63B91" w:rsidRPr="00D87548">
        <w:rPr>
          <w:i/>
          <w:iCs/>
        </w:rPr>
        <w:t>USF/ICC Transformation</w:t>
      </w:r>
      <w:r w:rsidR="00A63B91">
        <w:rPr>
          <w:i/>
          <w:iCs/>
        </w:rPr>
        <w:t xml:space="preserve"> </w:t>
      </w:r>
      <w:r w:rsidR="00A63B91" w:rsidRPr="00D87548">
        <w:rPr>
          <w:i/>
          <w:iCs/>
        </w:rPr>
        <w:t>Order</w:t>
      </w:r>
      <w:r w:rsidR="00A63B91">
        <w:rPr>
          <w:iCs/>
        </w:rPr>
        <w:t xml:space="preserve">, 26 FCC Rcd </w:t>
      </w:r>
      <w:r>
        <w:rPr>
          <w:iCs/>
        </w:rPr>
        <w:t>at 17</w:t>
      </w:r>
      <w:r w:rsidR="003E7355">
        <w:rPr>
          <w:iCs/>
        </w:rPr>
        <w:t xml:space="preserve">798 </w:t>
      </w:r>
      <w:r>
        <w:rPr>
          <w:iCs/>
        </w:rPr>
        <w:t>¶ 390.</w:t>
      </w:r>
      <w:r w:rsidR="00A05CBE">
        <w:rPr>
          <w:iCs/>
        </w:rPr>
        <w:t xml:space="preserve">  </w:t>
      </w:r>
    </w:p>
  </w:footnote>
  <w:footnote w:id="19">
    <w:p w:rsidR="00D260D7" w:rsidRDefault="00D260D7">
      <w:pPr>
        <w:pStyle w:val="FootnoteText"/>
      </w:pPr>
      <w:r>
        <w:rPr>
          <w:rStyle w:val="FootnoteReference"/>
        </w:rPr>
        <w:footnoteRef/>
      </w:r>
      <w:r>
        <w:t xml:space="preserve"> </w:t>
      </w:r>
      <w:r>
        <w:rPr>
          <w:i/>
        </w:rPr>
        <w:t xml:space="preserve">See </w:t>
      </w:r>
      <w:r>
        <w:t xml:space="preserve">OCC Order at 1; </w:t>
      </w:r>
      <w:r>
        <w:rPr>
          <w:i/>
        </w:rPr>
        <w:t>Procedures PN</w:t>
      </w:r>
      <w:r>
        <w:t xml:space="preserve">, 27 FCC Rcd </w:t>
      </w:r>
      <w:r w:rsidR="00E1471D">
        <w:t xml:space="preserve">at </w:t>
      </w:r>
      <w:r>
        <w:t>4725.</w:t>
      </w:r>
      <w:r w:rsidR="00FA431A">
        <w:t xml:space="preserve">  </w:t>
      </w:r>
    </w:p>
  </w:footnote>
  <w:footnote w:id="20">
    <w:p w:rsidR="007F4B77" w:rsidRDefault="007F4B77" w:rsidP="007F4B77">
      <w:pPr>
        <w:pStyle w:val="FootnoteText"/>
      </w:pPr>
      <w:r>
        <w:rPr>
          <w:rStyle w:val="FootnoteReference"/>
        </w:rPr>
        <w:footnoteRef/>
      </w:r>
      <w:r>
        <w:t xml:space="preserve"> </w:t>
      </w:r>
      <w:r>
        <w:rPr>
          <w:i/>
        </w:rPr>
        <w:t xml:space="preserve">See </w:t>
      </w:r>
      <w:r>
        <w:t xml:space="preserve">OCC Order at 8.  It appears from the record that prior to filing its short form application Cross may not have been contemplating bidding on the census tracts at issue.  During the July 5, 2012 hearing, the ALJ asked Cross’s witness, General Manager John C. Ruhl, whether Cross would be participating in “Phase I of the Mobility Fund that required an ETC order by July 11, 2012.”  </w:t>
      </w:r>
      <w:r>
        <w:rPr>
          <w:i/>
        </w:rPr>
        <w:t>Id</w:t>
      </w:r>
      <w:r w:rsidR="00A60D8B">
        <w:rPr>
          <w:i/>
        </w:rPr>
        <w:t>.</w:t>
      </w:r>
      <w:r w:rsidR="00A60D8B">
        <w:t xml:space="preserve"> at</w:t>
      </w:r>
      <w:r>
        <w:t xml:space="preserve"> 5.  Ruhl replied that Cross had already been designated as an ETC in the areas on which it would participate in the Phase I Mobility Fund auction and that grant of its pending application would provide it with the ETC eligibility it needed for Phase II.  </w:t>
      </w:r>
      <w:r>
        <w:rPr>
          <w:i/>
        </w:rPr>
        <w:t>Id.</w:t>
      </w:r>
      <w:r>
        <w:t xml:space="preserve">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74" w:rsidRDefault="00900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DC592A">
    <w:pPr>
      <w:pStyle w:val="Header"/>
      <w:rPr>
        <w:b w:val="0"/>
      </w:rPr>
    </w:pPr>
    <w:r>
      <w:tab/>
      <w:t>Federal Communications Commission</w:t>
    </w:r>
    <w:r>
      <w:tab/>
    </w:r>
    <w:r w:rsidR="00E35BBB" w:rsidRPr="00F879F6">
      <w:t>DA 13-1847</w:t>
    </w:r>
  </w:p>
  <w:p w:rsidR="006F7393" w:rsidRDefault="004D073E">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29BB49B4" wp14:editId="11074D12">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Header"/>
      <w:pBdr>
        <w:bottom w:val="single" w:sz="12" w:space="1" w:color="auto"/>
      </w:pBdr>
      <w:rPr>
        <w:b w:val="0"/>
      </w:rPr>
    </w:pPr>
    <w:r>
      <w:tab/>
      <w:t>Federal Communications Commission</w:t>
    </w:r>
    <w:r>
      <w:tab/>
    </w:r>
    <w:r w:rsidR="007600A4" w:rsidRPr="00F879F6">
      <w:t>DA 13-1847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A341C52"/>
    <w:lvl w:ilvl="0">
      <w:start w:val="1"/>
      <w:numFmt w:val="decimal"/>
      <w:lvlText w:val="%1."/>
      <w:lvlJc w:val="left"/>
      <w:pPr>
        <w:tabs>
          <w:tab w:val="num" w:pos="144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3"/>
  </w:num>
  <w:num w:numId="17">
    <w:abstractNumId w:val="6"/>
  </w:num>
  <w:num w:numId="18">
    <w:abstractNumId w:val="6"/>
    <w:lvlOverride w:ilvl="0">
      <w:startOverride w:val="1"/>
    </w:lvlOverride>
  </w:num>
  <w:num w:numId="19">
    <w:abstractNumId w:val="3"/>
  </w:num>
  <w:num w:numId="20">
    <w:abstractNumId w:val="6"/>
  </w:num>
  <w:num w:numId="21">
    <w:abstractNumId w:val="3"/>
  </w:num>
  <w:num w:numId="22">
    <w:abstractNumId w:val="7"/>
  </w:num>
  <w:num w:numId="23">
    <w:abstractNumId w:val="4"/>
  </w:num>
  <w:num w:numId="24">
    <w:abstractNumId w:val="6"/>
  </w:num>
  <w:num w:numId="25">
    <w:abstractNumId w:val="6"/>
  </w:num>
  <w:num w:numId="26">
    <w:abstractNumId w:val="6"/>
  </w:num>
  <w:num w:numId="27">
    <w:abstractNumId w:val="6"/>
  </w:num>
  <w:num w:numId="28">
    <w:abstractNumId w:val="6"/>
    <w:lvlOverride w:ilvl="0">
      <w:startOverride w:val="1"/>
    </w:lvlOverride>
  </w:num>
  <w:num w:numId="29">
    <w:abstractNumId w:val="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0C2A"/>
    <w:rsid w:val="0000165D"/>
    <w:rsid w:val="0000222B"/>
    <w:rsid w:val="00003EA0"/>
    <w:rsid w:val="00004A73"/>
    <w:rsid w:val="000057F5"/>
    <w:rsid w:val="00011184"/>
    <w:rsid w:val="00012778"/>
    <w:rsid w:val="00012DCA"/>
    <w:rsid w:val="00012E3B"/>
    <w:rsid w:val="00014107"/>
    <w:rsid w:val="0001475E"/>
    <w:rsid w:val="000164AC"/>
    <w:rsid w:val="00017AE9"/>
    <w:rsid w:val="000209D1"/>
    <w:rsid w:val="00020C55"/>
    <w:rsid w:val="000226E0"/>
    <w:rsid w:val="000232A3"/>
    <w:rsid w:val="00023650"/>
    <w:rsid w:val="00030E4B"/>
    <w:rsid w:val="00034A61"/>
    <w:rsid w:val="00036039"/>
    <w:rsid w:val="00037F90"/>
    <w:rsid w:val="00040273"/>
    <w:rsid w:val="00041ECE"/>
    <w:rsid w:val="00043F2D"/>
    <w:rsid w:val="00045802"/>
    <w:rsid w:val="000505EC"/>
    <w:rsid w:val="00050BC1"/>
    <w:rsid w:val="00054490"/>
    <w:rsid w:val="0005626B"/>
    <w:rsid w:val="0006609F"/>
    <w:rsid w:val="0006711D"/>
    <w:rsid w:val="00067FAE"/>
    <w:rsid w:val="000704E1"/>
    <w:rsid w:val="00071651"/>
    <w:rsid w:val="00072D32"/>
    <w:rsid w:val="00075F5E"/>
    <w:rsid w:val="0007693E"/>
    <w:rsid w:val="000811B2"/>
    <w:rsid w:val="000852BA"/>
    <w:rsid w:val="00086120"/>
    <w:rsid w:val="000875BF"/>
    <w:rsid w:val="0009189E"/>
    <w:rsid w:val="000919A1"/>
    <w:rsid w:val="00094AF8"/>
    <w:rsid w:val="000956C8"/>
    <w:rsid w:val="000962F9"/>
    <w:rsid w:val="00096D8C"/>
    <w:rsid w:val="0009772A"/>
    <w:rsid w:val="000A500A"/>
    <w:rsid w:val="000A5EA4"/>
    <w:rsid w:val="000A7B60"/>
    <w:rsid w:val="000B4CD0"/>
    <w:rsid w:val="000B6CA7"/>
    <w:rsid w:val="000B7D38"/>
    <w:rsid w:val="000C0B65"/>
    <w:rsid w:val="000C2AB1"/>
    <w:rsid w:val="000C363B"/>
    <w:rsid w:val="000C5C12"/>
    <w:rsid w:val="000D0C54"/>
    <w:rsid w:val="000D1697"/>
    <w:rsid w:val="000D1C13"/>
    <w:rsid w:val="000D4737"/>
    <w:rsid w:val="000D6C93"/>
    <w:rsid w:val="000E07A7"/>
    <w:rsid w:val="000E11AB"/>
    <w:rsid w:val="000E336C"/>
    <w:rsid w:val="000E3D42"/>
    <w:rsid w:val="000E5116"/>
    <w:rsid w:val="000E52EB"/>
    <w:rsid w:val="000E5C1E"/>
    <w:rsid w:val="000E5F97"/>
    <w:rsid w:val="000E68CB"/>
    <w:rsid w:val="000E7ABF"/>
    <w:rsid w:val="000E7F8B"/>
    <w:rsid w:val="000F4383"/>
    <w:rsid w:val="000F480D"/>
    <w:rsid w:val="000F4997"/>
    <w:rsid w:val="000F53E2"/>
    <w:rsid w:val="00102927"/>
    <w:rsid w:val="00105CCF"/>
    <w:rsid w:val="00111AD3"/>
    <w:rsid w:val="0012113F"/>
    <w:rsid w:val="00122904"/>
    <w:rsid w:val="00122BD5"/>
    <w:rsid w:val="001238E7"/>
    <w:rsid w:val="00123C50"/>
    <w:rsid w:val="00124643"/>
    <w:rsid w:val="00126BDD"/>
    <w:rsid w:val="001302A2"/>
    <w:rsid w:val="00132640"/>
    <w:rsid w:val="00133A65"/>
    <w:rsid w:val="001340D1"/>
    <w:rsid w:val="00134CCB"/>
    <w:rsid w:val="00141203"/>
    <w:rsid w:val="00143184"/>
    <w:rsid w:val="00144BD7"/>
    <w:rsid w:val="00146D6A"/>
    <w:rsid w:val="001513B6"/>
    <w:rsid w:val="0015405A"/>
    <w:rsid w:val="00156A1A"/>
    <w:rsid w:val="001573D4"/>
    <w:rsid w:val="00157964"/>
    <w:rsid w:val="0016706C"/>
    <w:rsid w:val="001727D3"/>
    <w:rsid w:val="00172CF2"/>
    <w:rsid w:val="001738A6"/>
    <w:rsid w:val="00174257"/>
    <w:rsid w:val="00174855"/>
    <w:rsid w:val="00180014"/>
    <w:rsid w:val="00180295"/>
    <w:rsid w:val="001820A0"/>
    <w:rsid w:val="0018462E"/>
    <w:rsid w:val="00196895"/>
    <w:rsid w:val="001973AB"/>
    <w:rsid w:val="001977B3"/>
    <w:rsid w:val="001A1BF0"/>
    <w:rsid w:val="001A2789"/>
    <w:rsid w:val="001A2A81"/>
    <w:rsid w:val="001A6714"/>
    <w:rsid w:val="001A6FBF"/>
    <w:rsid w:val="001B1321"/>
    <w:rsid w:val="001B1667"/>
    <w:rsid w:val="001B246B"/>
    <w:rsid w:val="001B48E9"/>
    <w:rsid w:val="001B5B5B"/>
    <w:rsid w:val="001B76B3"/>
    <w:rsid w:val="001C327F"/>
    <w:rsid w:val="001C34F8"/>
    <w:rsid w:val="001C3B23"/>
    <w:rsid w:val="001C5D3C"/>
    <w:rsid w:val="001C6FFB"/>
    <w:rsid w:val="001C7824"/>
    <w:rsid w:val="001D1D6D"/>
    <w:rsid w:val="001D216F"/>
    <w:rsid w:val="001D4E29"/>
    <w:rsid w:val="001D6BCF"/>
    <w:rsid w:val="001E0132"/>
    <w:rsid w:val="001E01CA"/>
    <w:rsid w:val="001E042F"/>
    <w:rsid w:val="001E1577"/>
    <w:rsid w:val="001E2766"/>
    <w:rsid w:val="001F28CF"/>
    <w:rsid w:val="001F36D1"/>
    <w:rsid w:val="001F37B0"/>
    <w:rsid w:val="001F4269"/>
    <w:rsid w:val="001F6FAD"/>
    <w:rsid w:val="001F70A9"/>
    <w:rsid w:val="00200FFC"/>
    <w:rsid w:val="00201E1D"/>
    <w:rsid w:val="002040DA"/>
    <w:rsid w:val="00204AD9"/>
    <w:rsid w:val="00204C9F"/>
    <w:rsid w:val="00204F78"/>
    <w:rsid w:val="00206414"/>
    <w:rsid w:val="00210BE6"/>
    <w:rsid w:val="0021160A"/>
    <w:rsid w:val="002130CB"/>
    <w:rsid w:val="00216F30"/>
    <w:rsid w:val="00220003"/>
    <w:rsid w:val="0022237D"/>
    <w:rsid w:val="00225238"/>
    <w:rsid w:val="0022571B"/>
    <w:rsid w:val="00226887"/>
    <w:rsid w:val="00232106"/>
    <w:rsid w:val="0023253A"/>
    <w:rsid w:val="002327F9"/>
    <w:rsid w:val="002352E1"/>
    <w:rsid w:val="002363CA"/>
    <w:rsid w:val="0024130A"/>
    <w:rsid w:val="00244311"/>
    <w:rsid w:val="00244EED"/>
    <w:rsid w:val="0024721B"/>
    <w:rsid w:val="002475D6"/>
    <w:rsid w:val="002512A4"/>
    <w:rsid w:val="00251E4F"/>
    <w:rsid w:val="002530C0"/>
    <w:rsid w:val="00254A70"/>
    <w:rsid w:val="00257198"/>
    <w:rsid w:val="00263267"/>
    <w:rsid w:val="00263AB4"/>
    <w:rsid w:val="00264195"/>
    <w:rsid w:val="00264B68"/>
    <w:rsid w:val="002655AF"/>
    <w:rsid w:val="00265BAD"/>
    <w:rsid w:val="00267C05"/>
    <w:rsid w:val="002762B9"/>
    <w:rsid w:val="0027707D"/>
    <w:rsid w:val="00282E6D"/>
    <w:rsid w:val="00285017"/>
    <w:rsid w:val="00286800"/>
    <w:rsid w:val="00287755"/>
    <w:rsid w:val="002931BC"/>
    <w:rsid w:val="0029541D"/>
    <w:rsid w:val="002958AE"/>
    <w:rsid w:val="00295978"/>
    <w:rsid w:val="00297342"/>
    <w:rsid w:val="00297E63"/>
    <w:rsid w:val="002A00DC"/>
    <w:rsid w:val="002A0DA6"/>
    <w:rsid w:val="002A1C65"/>
    <w:rsid w:val="002A2D2E"/>
    <w:rsid w:val="002A349F"/>
    <w:rsid w:val="002A6EEA"/>
    <w:rsid w:val="002A7370"/>
    <w:rsid w:val="002A7BAC"/>
    <w:rsid w:val="002B00F1"/>
    <w:rsid w:val="002B1FED"/>
    <w:rsid w:val="002B6257"/>
    <w:rsid w:val="002B6B87"/>
    <w:rsid w:val="002B7A26"/>
    <w:rsid w:val="002C2F58"/>
    <w:rsid w:val="002C4121"/>
    <w:rsid w:val="002C64E3"/>
    <w:rsid w:val="002D019B"/>
    <w:rsid w:val="002D2063"/>
    <w:rsid w:val="002D2C91"/>
    <w:rsid w:val="002D3830"/>
    <w:rsid w:val="002D4C5D"/>
    <w:rsid w:val="002D4DA7"/>
    <w:rsid w:val="002D6563"/>
    <w:rsid w:val="002E0C61"/>
    <w:rsid w:val="002E4901"/>
    <w:rsid w:val="002E546B"/>
    <w:rsid w:val="002E6D67"/>
    <w:rsid w:val="002F1854"/>
    <w:rsid w:val="002F3D99"/>
    <w:rsid w:val="002F4DC2"/>
    <w:rsid w:val="002F59C4"/>
    <w:rsid w:val="002F6A0D"/>
    <w:rsid w:val="002F737E"/>
    <w:rsid w:val="002F7BBB"/>
    <w:rsid w:val="003038B8"/>
    <w:rsid w:val="00303FBC"/>
    <w:rsid w:val="00304E4A"/>
    <w:rsid w:val="0031242E"/>
    <w:rsid w:val="00315FA1"/>
    <w:rsid w:val="00316C0A"/>
    <w:rsid w:val="003179F6"/>
    <w:rsid w:val="0032017F"/>
    <w:rsid w:val="003214CC"/>
    <w:rsid w:val="00322B03"/>
    <w:rsid w:val="00323AAC"/>
    <w:rsid w:val="00324320"/>
    <w:rsid w:val="00325982"/>
    <w:rsid w:val="00326257"/>
    <w:rsid w:val="0033128E"/>
    <w:rsid w:val="0033165C"/>
    <w:rsid w:val="00331F49"/>
    <w:rsid w:val="00332BE1"/>
    <w:rsid w:val="00333502"/>
    <w:rsid w:val="00333AC2"/>
    <w:rsid w:val="003372DA"/>
    <w:rsid w:val="0034070D"/>
    <w:rsid w:val="003420E0"/>
    <w:rsid w:val="0034339E"/>
    <w:rsid w:val="0034362D"/>
    <w:rsid w:val="00343749"/>
    <w:rsid w:val="003442BA"/>
    <w:rsid w:val="00347A09"/>
    <w:rsid w:val="00350303"/>
    <w:rsid w:val="00351AC2"/>
    <w:rsid w:val="00352299"/>
    <w:rsid w:val="0035281B"/>
    <w:rsid w:val="00356DD5"/>
    <w:rsid w:val="003570CF"/>
    <w:rsid w:val="00360A07"/>
    <w:rsid w:val="00362308"/>
    <w:rsid w:val="003627F8"/>
    <w:rsid w:val="00362CB5"/>
    <w:rsid w:val="00365932"/>
    <w:rsid w:val="00365D9B"/>
    <w:rsid w:val="003675D2"/>
    <w:rsid w:val="00372527"/>
    <w:rsid w:val="003745BC"/>
    <w:rsid w:val="00375963"/>
    <w:rsid w:val="00377C59"/>
    <w:rsid w:val="00383A08"/>
    <w:rsid w:val="00386F14"/>
    <w:rsid w:val="0038787D"/>
    <w:rsid w:val="00387D91"/>
    <w:rsid w:val="0039428E"/>
    <w:rsid w:val="00394663"/>
    <w:rsid w:val="003973C9"/>
    <w:rsid w:val="003A05C0"/>
    <w:rsid w:val="003A07BE"/>
    <w:rsid w:val="003A281B"/>
    <w:rsid w:val="003A4A97"/>
    <w:rsid w:val="003A5D4C"/>
    <w:rsid w:val="003A611F"/>
    <w:rsid w:val="003B0550"/>
    <w:rsid w:val="003B1157"/>
    <w:rsid w:val="003B643B"/>
    <w:rsid w:val="003B694F"/>
    <w:rsid w:val="003B6A14"/>
    <w:rsid w:val="003B7D6B"/>
    <w:rsid w:val="003C0857"/>
    <w:rsid w:val="003C25E5"/>
    <w:rsid w:val="003C35E7"/>
    <w:rsid w:val="003C3CDB"/>
    <w:rsid w:val="003C5FC1"/>
    <w:rsid w:val="003C62C5"/>
    <w:rsid w:val="003D2EF5"/>
    <w:rsid w:val="003D3134"/>
    <w:rsid w:val="003D3871"/>
    <w:rsid w:val="003D7F5B"/>
    <w:rsid w:val="003E054C"/>
    <w:rsid w:val="003E180D"/>
    <w:rsid w:val="003E1B5C"/>
    <w:rsid w:val="003E2EC3"/>
    <w:rsid w:val="003E5D16"/>
    <w:rsid w:val="003E7157"/>
    <w:rsid w:val="003E7355"/>
    <w:rsid w:val="003E7BA3"/>
    <w:rsid w:val="003F171C"/>
    <w:rsid w:val="003F2BDF"/>
    <w:rsid w:val="003F45F7"/>
    <w:rsid w:val="003F6E8F"/>
    <w:rsid w:val="003F76D9"/>
    <w:rsid w:val="00401181"/>
    <w:rsid w:val="00401665"/>
    <w:rsid w:val="00401924"/>
    <w:rsid w:val="004023EE"/>
    <w:rsid w:val="004057E4"/>
    <w:rsid w:val="00411F34"/>
    <w:rsid w:val="00412DD0"/>
    <w:rsid w:val="00412F70"/>
    <w:rsid w:val="00412FC5"/>
    <w:rsid w:val="00414DAD"/>
    <w:rsid w:val="00415D4A"/>
    <w:rsid w:val="004173DB"/>
    <w:rsid w:val="00417739"/>
    <w:rsid w:val="00422276"/>
    <w:rsid w:val="00422E3F"/>
    <w:rsid w:val="00423995"/>
    <w:rsid w:val="004242F1"/>
    <w:rsid w:val="004249EF"/>
    <w:rsid w:val="00427C2A"/>
    <w:rsid w:val="00432CCA"/>
    <w:rsid w:val="00432CEC"/>
    <w:rsid w:val="0043319F"/>
    <w:rsid w:val="00433ED8"/>
    <w:rsid w:val="00435CFB"/>
    <w:rsid w:val="00437E72"/>
    <w:rsid w:val="00444243"/>
    <w:rsid w:val="0044564E"/>
    <w:rsid w:val="00445A00"/>
    <w:rsid w:val="00447C34"/>
    <w:rsid w:val="00447EA1"/>
    <w:rsid w:val="00451B0F"/>
    <w:rsid w:val="004528AF"/>
    <w:rsid w:val="00454A98"/>
    <w:rsid w:val="004562E6"/>
    <w:rsid w:val="0045797B"/>
    <w:rsid w:val="00457B77"/>
    <w:rsid w:val="00461743"/>
    <w:rsid w:val="004730DC"/>
    <w:rsid w:val="004731DA"/>
    <w:rsid w:val="00474A8C"/>
    <w:rsid w:val="004755DE"/>
    <w:rsid w:val="00475D1E"/>
    <w:rsid w:val="0047605E"/>
    <w:rsid w:val="00482AD0"/>
    <w:rsid w:val="00482EFD"/>
    <w:rsid w:val="004845B7"/>
    <w:rsid w:val="00486196"/>
    <w:rsid w:val="00490DF5"/>
    <w:rsid w:val="004940E8"/>
    <w:rsid w:val="00494BDD"/>
    <w:rsid w:val="00495F1A"/>
    <w:rsid w:val="00495FF0"/>
    <w:rsid w:val="004973ED"/>
    <w:rsid w:val="00497C7A"/>
    <w:rsid w:val="004A2625"/>
    <w:rsid w:val="004A32BE"/>
    <w:rsid w:val="004A3391"/>
    <w:rsid w:val="004A4D47"/>
    <w:rsid w:val="004A5F99"/>
    <w:rsid w:val="004C17E1"/>
    <w:rsid w:val="004C2EE3"/>
    <w:rsid w:val="004C2F83"/>
    <w:rsid w:val="004C4AA8"/>
    <w:rsid w:val="004C5261"/>
    <w:rsid w:val="004C5F6D"/>
    <w:rsid w:val="004C7147"/>
    <w:rsid w:val="004C7212"/>
    <w:rsid w:val="004D073E"/>
    <w:rsid w:val="004D203C"/>
    <w:rsid w:val="004D3A37"/>
    <w:rsid w:val="004D5419"/>
    <w:rsid w:val="004D5CB7"/>
    <w:rsid w:val="004D6A19"/>
    <w:rsid w:val="004D7356"/>
    <w:rsid w:val="004E082A"/>
    <w:rsid w:val="004E12C9"/>
    <w:rsid w:val="004E1585"/>
    <w:rsid w:val="004E35DC"/>
    <w:rsid w:val="004E4A22"/>
    <w:rsid w:val="004F0469"/>
    <w:rsid w:val="004F1F3C"/>
    <w:rsid w:val="004F5FA7"/>
    <w:rsid w:val="004F63BF"/>
    <w:rsid w:val="00500BEC"/>
    <w:rsid w:val="00501241"/>
    <w:rsid w:val="00502C84"/>
    <w:rsid w:val="00502DE5"/>
    <w:rsid w:val="005052C0"/>
    <w:rsid w:val="00507FE1"/>
    <w:rsid w:val="00511348"/>
    <w:rsid w:val="00511968"/>
    <w:rsid w:val="005140E8"/>
    <w:rsid w:val="0051503C"/>
    <w:rsid w:val="0051568C"/>
    <w:rsid w:val="005168EF"/>
    <w:rsid w:val="00520179"/>
    <w:rsid w:val="005229C2"/>
    <w:rsid w:val="00522C74"/>
    <w:rsid w:val="00523CAC"/>
    <w:rsid w:val="005246D8"/>
    <w:rsid w:val="005319C7"/>
    <w:rsid w:val="005379C1"/>
    <w:rsid w:val="0054043C"/>
    <w:rsid w:val="005427CD"/>
    <w:rsid w:val="00542FF8"/>
    <w:rsid w:val="0054389E"/>
    <w:rsid w:val="00545B5C"/>
    <w:rsid w:val="00547014"/>
    <w:rsid w:val="00547353"/>
    <w:rsid w:val="005511B2"/>
    <w:rsid w:val="005518F3"/>
    <w:rsid w:val="0055614C"/>
    <w:rsid w:val="0055733F"/>
    <w:rsid w:val="005606DE"/>
    <w:rsid w:val="005608EA"/>
    <w:rsid w:val="00563A05"/>
    <w:rsid w:val="00566F23"/>
    <w:rsid w:val="005671AC"/>
    <w:rsid w:val="00567287"/>
    <w:rsid w:val="005715AC"/>
    <w:rsid w:val="00572533"/>
    <w:rsid w:val="00572FC3"/>
    <w:rsid w:val="0057461B"/>
    <w:rsid w:val="00574881"/>
    <w:rsid w:val="0057616B"/>
    <w:rsid w:val="00576271"/>
    <w:rsid w:val="00577803"/>
    <w:rsid w:val="00581477"/>
    <w:rsid w:val="00582FD5"/>
    <w:rsid w:val="00586205"/>
    <w:rsid w:val="00586D50"/>
    <w:rsid w:val="00587F4B"/>
    <w:rsid w:val="00591FC1"/>
    <w:rsid w:val="00593704"/>
    <w:rsid w:val="00596750"/>
    <w:rsid w:val="005A3AA9"/>
    <w:rsid w:val="005A4431"/>
    <w:rsid w:val="005A6231"/>
    <w:rsid w:val="005A7AFF"/>
    <w:rsid w:val="005B0247"/>
    <w:rsid w:val="005B0A90"/>
    <w:rsid w:val="005B1AF3"/>
    <w:rsid w:val="005B2A40"/>
    <w:rsid w:val="005B3082"/>
    <w:rsid w:val="005B4483"/>
    <w:rsid w:val="005B4C9A"/>
    <w:rsid w:val="005B4EC4"/>
    <w:rsid w:val="005B52F0"/>
    <w:rsid w:val="005C4591"/>
    <w:rsid w:val="005C583E"/>
    <w:rsid w:val="005C6A0E"/>
    <w:rsid w:val="005C74C7"/>
    <w:rsid w:val="005D4234"/>
    <w:rsid w:val="005D5013"/>
    <w:rsid w:val="005D725E"/>
    <w:rsid w:val="005D7473"/>
    <w:rsid w:val="005D7C61"/>
    <w:rsid w:val="005E020A"/>
    <w:rsid w:val="005E5D31"/>
    <w:rsid w:val="005F0D08"/>
    <w:rsid w:val="005F14B9"/>
    <w:rsid w:val="005F3832"/>
    <w:rsid w:val="005F38F2"/>
    <w:rsid w:val="005F7477"/>
    <w:rsid w:val="00600467"/>
    <w:rsid w:val="006006EF"/>
    <w:rsid w:val="00600A4B"/>
    <w:rsid w:val="00603D01"/>
    <w:rsid w:val="0060544C"/>
    <w:rsid w:val="006067FF"/>
    <w:rsid w:val="00606B00"/>
    <w:rsid w:val="00606B5C"/>
    <w:rsid w:val="00607BA5"/>
    <w:rsid w:val="00610EF6"/>
    <w:rsid w:val="006130B6"/>
    <w:rsid w:val="00613CAA"/>
    <w:rsid w:val="00614C50"/>
    <w:rsid w:val="00620F61"/>
    <w:rsid w:val="00621513"/>
    <w:rsid w:val="006218ED"/>
    <w:rsid w:val="00622101"/>
    <w:rsid w:val="0062394A"/>
    <w:rsid w:val="006242C1"/>
    <w:rsid w:val="006248C1"/>
    <w:rsid w:val="00626EB6"/>
    <w:rsid w:val="006300C9"/>
    <w:rsid w:val="0063026D"/>
    <w:rsid w:val="006323E6"/>
    <w:rsid w:val="00634F1C"/>
    <w:rsid w:val="00635217"/>
    <w:rsid w:val="006352B8"/>
    <w:rsid w:val="00636544"/>
    <w:rsid w:val="00641F7F"/>
    <w:rsid w:val="0064330D"/>
    <w:rsid w:val="00644373"/>
    <w:rsid w:val="00645D74"/>
    <w:rsid w:val="00645E10"/>
    <w:rsid w:val="0065094D"/>
    <w:rsid w:val="0065096F"/>
    <w:rsid w:val="006546DD"/>
    <w:rsid w:val="00655D03"/>
    <w:rsid w:val="0065663A"/>
    <w:rsid w:val="00662875"/>
    <w:rsid w:val="0066562E"/>
    <w:rsid w:val="006711AC"/>
    <w:rsid w:val="00672BF0"/>
    <w:rsid w:val="0067347F"/>
    <w:rsid w:val="00673AE4"/>
    <w:rsid w:val="00673D99"/>
    <w:rsid w:val="006762C1"/>
    <w:rsid w:val="0068025D"/>
    <w:rsid w:val="00680A97"/>
    <w:rsid w:val="00681BD2"/>
    <w:rsid w:val="00681C33"/>
    <w:rsid w:val="00682694"/>
    <w:rsid w:val="00683F84"/>
    <w:rsid w:val="00685783"/>
    <w:rsid w:val="00687009"/>
    <w:rsid w:val="0069181A"/>
    <w:rsid w:val="006934F2"/>
    <w:rsid w:val="006975C7"/>
    <w:rsid w:val="006A3A45"/>
    <w:rsid w:val="006A3D80"/>
    <w:rsid w:val="006A46F1"/>
    <w:rsid w:val="006A57AB"/>
    <w:rsid w:val="006A5B0F"/>
    <w:rsid w:val="006A6A81"/>
    <w:rsid w:val="006A7642"/>
    <w:rsid w:val="006B2675"/>
    <w:rsid w:val="006B3A05"/>
    <w:rsid w:val="006B57D0"/>
    <w:rsid w:val="006B6793"/>
    <w:rsid w:val="006B79D0"/>
    <w:rsid w:val="006C33A3"/>
    <w:rsid w:val="006C38C1"/>
    <w:rsid w:val="006C4A32"/>
    <w:rsid w:val="006C62F7"/>
    <w:rsid w:val="006C6337"/>
    <w:rsid w:val="006D17E1"/>
    <w:rsid w:val="006D5FF7"/>
    <w:rsid w:val="006D79D6"/>
    <w:rsid w:val="006D7C42"/>
    <w:rsid w:val="006E0F61"/>
    <w:rsid w:val="006E10FF"/>
    <w:rsid w:val="006E11EB"/>
    <w:rsid w:val="006E1B5B"/>
    <w:rsid w:val="006E40C3"/>
    <w:rsid w:val="006E4EFF"/>
    <w:rsid w:val="006E6272"/>
    <w:rsid w:val="006F4280"/>
    <w:rsid w:val="006F4535"/>
    <w:rsid w:val="006F47C8"/>
    <w:rsid w:val="006F7393"/>
    <w:rsid w:val="006F765D"/>
    <w:rsid w:val="0070224F"/>
    <w:rsid w:val="007059C2"/>
    <w:rsid w:val="007069D7"/>
    <w:rsid w:val="00707A0E"/>
    <w:rsid w:val="00707C22"/>
    <w:rsid w:val="007115F7"/>
    <w:rsid w:val="00712D9C"/>
    <w:rsid w:val="007154F9"/>
    <w:rsid w:val="00720237"/>
    <w:rsid w:val="007202A2"/>
    <w:rsid w:val="00722ACF"/>
    <w:rsid w:val="00722F74"/>
    <w:rsid w:val="00723A3F"/>
    <w:rsid w:val="00725D06"/>
    <w:rsid w:val="0072612C"/>
    <w:rsid w:val="0073053D"/>
    <w:rsid w:val="00731EB0"/>
    <w:rsid w:val="007346CC"/>
    <w:rsid w:val="00735A09"/>
    <w:rsid w:val="00736AB5"/>
    <w:rsid w:val="007370AD"/>
    <w:rsid w:val="00740BC9"/>
    <w:rsid w:val="0074104C"/>
    <w:rsid w:val="00743B3A"/>
    <w:rsid w:val="00743FEF"/>
    <w:rsid w:val="00744878"/>
    <w:rsid w:val="00750471"/>
    <w:rsid w:val="00751356"/>
    <w:rsid w:val="007514E8"/>
    <w:rsid w:val="0075253F"/>
    <w:rsid w:val="00752980"/>
    <w:rsid w:val="00753564"/>
    <w:rsid w:val="007600A4"/>
    <w:rsid w:val="00760B40"/>
    <w:rsid w:val="007614C1"/>
    <w:rsid w:val="00761996"/>
    <w:rsid w:val="00761BC3"/>
    <w:rsid w:val="00762951"/>
    <w:rsid w:val="00763571"/>
    <w:rsid w:val="00765A50"/>
    <w:rsid w:val="00777DE8"/>
    <w:rsid w:val="007809F8"/>
    <w:rsid w:val="0078258A"/>
    <w:rsid w:val="00785689"/>
    <w:rsid w:val="00787CF3"/>
    <w:rsid w:val="00790DA8"/>
    <w:rsid w:val="00790EA7"/>
    <w:rsid w:val="007952DF"/>
    <w:rsid w:val="007953BE"/>
    <w:rsid w:val="00795C16"/>
    <w:rsid w:val="00795DB7"/>
    <w:rsid w:val="007961CB"/>
    <w:rsid w:val="007972D7"/>
    <w:rsid w:val="0079754B"/>
    <w:rsid w:val="007A1E6D"/>
    <w:rsid w:val="007A5640"/>
    <w:rsid w:val="007A5F5E"/>
    <w:rsid w:val="007B0872"/>
    <w:rsid w:val="007B08B1"/>
    <w:rsid w:val="007B21F8"/>
    <w:rsid w:val="007B29A4"/>
    <w:rsid w:val="007B353B"/>
    <w:rsid w:val="007B6983"/>
    <w:rsid w:val="007B7C7E"/>
    <w:rsid w:val="007C007E"/>
    <w:rsid w:val="007C25C2"/>
    <w:rsid w:val="007C58EE"/>
    <w:rsid w:val="007C6AB6"/>
    <w:rsid w:val="007C6F03"/>
    <w:rsid w:val="007D0460"/>
    <w:rsid w:val="007D38BD"/>
    <w:rsid w:val="007D4EEE"/>
    <w:rsid w:val="007D5063"/>
    <w:rsid w:val="007D6700"/>
    <w:rsid w:val="007E666C"/>
    <w:rsid w:val="007E78BA"/>
    <w:rsid w:val="007F0DF5"/>
    <w:rsid w:val="007F1639"/>
    <w:rsid w:val="007F4B77"/>
    <w:rsid w:val="0080131B"/>
    <w:rsid w:val="0080169E"/>
    <w:rsid w:val="00802CD3"/>
    <w:rsid w:val="00807C6A"/>
    <w:rsid w:val="00807FBC"/>
    <w:rsid w:val="00810C2D"/>
    <w:rsid w:val="00812EC0"/>
    <w:rsid w:val="0081436B"/>
    <w:rsid w:val="00815C31"/>
    <w:rsid w:val="00820F64"/>
    <w:rsid w:val="008220D1"/>
    <w:rsid w:val="00822CE0"/>
    <w:rsid w:val="0082338D"/>
    <w:rsid w:val="00824CFA"/>
    <w:rsid w:val="00826153"/>
    <w:rsid w:val="00826A34"/>
    <w:rsid w:val="00827FD7"/>
    <w:rsid w:val="008309F2"/>
    <w:rsid w:val="00832F45"/>
    <w:rsid w:val="00833779"/>
    <w:rsid w:val="00834E59"/>
    <w:rsid w:val="008351B3"/>
    <w:rsid w:val="0083650C"/>
    <w:rsid w:val="00836679"/>
    <w:rsid w:val="00841AB1"/>
    <w:rsid w:val="0084383C"/>
    <w:rsid w:val="00843EFF"/>
    <w:rsid w:val="00850507"/>
    <w:rsid w:val="00853CF7"/>
    <w:rsid w:val="00854D31"/>
    <w:rsid w:val="0085663E"/>
    <w:rsid w:val="008575A6"/>
    <w:rsid w:val="00860147"/>
    <w:rsid w:val="00860778"/>
    <w:rsid w:val="00861E97"/>
    <w:rsid w:val="00862A40"/>
    <w:rsid w:val="00862B02"/>
    <w:rsid w:val="008643ED"/>
    <w:rsid w:val="00867089"/>
    <w:rsid w:val="00871DD6"/>
    <w:rsid w:val="008724F3"/>
    <w:rsid w:val="0087450F"/>
    <w:rsid w:val="00874766"/>
    <w:rsid w:val="00874863"/>
    <w:rsid w:val="00874A43"/>
    <w:rsid w:val="00875265"/>
    <w:rsid w:val="008813F5"/>
    <w:rsid w:val="008834F2"/>
    <w:rsid w:val="00883813"/>
    <w:rsid w:val="00886101"/>
    <w:rsid w:val="008876F1"/>
    <w:rsid w:val="00892C7E"/>
    <w:rsid w:val="00895593"/>
    <w:rsid w:val="00895691"/>
    <w:rsid w:val="00895736"/>
    <w:rsid w:val="00897C6F"/>
    <w:rsid w:val="008A01ED"/>
    <w:rsid w:val="008A154E"/>
    <w:rsid w:val="008A76A8"/>
    <w:rsid w:val="008B39B5"/>
    <w:rsid w:val="008B435A"/>
    <w:rsid w:val="008B4DAD"/>
    <w:rsid w:val="008C13E4"/>
    <w:rsid w:val="008C3D5D"/>
    <w:rsid w:val="008D1152"/>
    <w:rsid w:val="008D1DAD"/>
    <w:rsid w:val="008D1FCC"/>
    <w:rsid w:val="008D707A"/>
    <w:rsid w:val="008E22C6"/>
    <w:rsid w:val="008E4516"/>
    <w:rsid w:val="008E56AE"/>
    <w:rsid w:val="008F47F3"/>
    <w:rsid w:val="008F5056"/>
    <w:rsid w:val="008F7E50"/>
    <w:rsid w:val="009005B8"/>
    <w:rsid w:val="00900C74"/>
    <w:rsid w:val="00901EE4"/>
    <w:rsid w:val="00903F29"/>
    <w:rsid w:val="00904750"/>
    <w:rsid w:val="0090564D"/>
    <w:rsid w:val="00915FA2"/>
    <w:rsid w:val="00916EA9"/>
    <w:rsid w:val="00921803"/>
    <w:rsid w:val="00921D21"/>
    <w:rsid w:val="00922F03"/>
    <w:rsid w:val="00926503"/>
    <w:rsid w:val="009271E1"/>
    <w:rsid w:val="00927897"/>
    <w:rsid w:val="00930E4A"/>
    <w:rsid w:val="009317B6"/>
    <w:rsid w:val="00932517"/>
    <w:rsid w:val="00934560"/>
    <w:rsid w:val="0094093A"/>
    <w:rsid w:val="0094665E"/>
    <w:rsid w:val="0095121B"/>
    <w:rsid w:val="009533D1"/>
    <w:rsid w:val="00957994"/>
    <w:rsid w:val="00960787"/>
    <w:rsid w:val="00960D24"/>
    <w:rsid w:val="00963C02"/>
    <w:rsid w:val="00965BD3"/>
    <w:rsid w:val="0097179D"/>
    <w:rsid w:val="00971A09"/>
    <w:rsid w:val="00980300"/>
    <w:rsid w:val="00980660"/>
    <w:rsid w:val="0098082A"/>
    <w:rsid w:val="009823B4"/>
    <w:rsid w:val="0098502A"/>
    <w:rsid w:val="009851BA"/>
    <w:rsid w:val="00985920"/>
    <w:rsid w:val="00986C2C"/>
    <w:rsid w:val="00986F96"/>
    <w:rsid w:val="009870FD"/>
    <w:rsid w:val="009873E7"/>
    <w:rsid w:val="009900DA"/>
    <w:rsid w:val="009917E9"/>
    <w:rsid w:val="00991814"/>
    <w:rsid w:val="009932D8"/>
    <w:rsid w:val="00993D3A"/>
    <w:rsid w:val="00994754"/>
    <w:rsid w:val="00995CF3"/>
    <w:rsid w:val="00997033"/>
    <w:rsid w:val="009A1196"/>
    <w:rsid w:val="009A15B0"/>
    <w:rsid w:val="009A1C6B"/>
    <w:rsid w:val="009B2F14"/>
    <w:rsid w:val="009B5959"/>
    <w:rsid w:val="009C0E35"/>
    <w:rsid w:val="009C1784"/>
    <w:rsid w:val="009C20A1"/>
    <w:rsid w:val="009C2358"/>
    <w:rsid w:val="009C2B59"/>
    <w:rsid w:val="009C41A7"/>
    <w:rsid w:val="009C4D54"/>
    <w:rsid w:val="009C4F08"/>
    <w:rsid w:val="009C5812"/>
    <w:rsid w:val="009C7B9E"/>
    <w:rsid w:val="009C7F9F"/>
    <w:rsid w:val="009D01F0"/>
    <w:rsid w:val="009D02ED"/>
    <w:rsid w:val="009D16C6"/>
    <w:rsid w:val="009D200F"/>
    <w:rsid w:val="009D2218"/>
    <w:rsid w:val="009D7AB1"/>
    <w:rsid w:val="009E453A"/>
    <w:rsid w:val="009E5626"/>
    <w:rsid w:val="009E7FF0"/>
    <w:rsid w:val="009F10B9"/>
    <w:rsid w:val="009F354F"/>
    <w:rsid w:val="009F3553"/>
    <w:rsid w:val="009F5071"/>
    <w:rsid w:val="009F50E3"/>
    <w:rsid w:val="009F623B"/>
    <w:rsid w:val="009F6CCA"/>
    <w:rsid w:val="009F72C7"/>
    <w:rsid w:val="009F7514"/>
    <w:rsid w:val="009F7B9A"/>
    <w:rsid w:val="00A0028A"/>
    <w:rsid w:val="00A00E80"/>
    <w:rsid w:val="00A01746"/>
    <w:rsid w:val="00A033C0"/>
    <w:rsid w:val="00A05CBE"/>
    <w:rsid w:val="00A0770F"/>
    <w:rsid w:val="00A12C5E"/>
    <w:rsid w:val="00A13F8E"/>
    <w:rsid w:val="00A148BA"/>
    <w:rsid w:val="00A1601A"/>
    <w:rsid w:val="00A16101"/>
    <w:rsid w:val="00A17D54"/>
    <w:rsid w:val="00A245AC"/>
    <w:rsid w:val="00A24B88"/>
    <w:rsid w:val="00A25022"/>
    <w:rsid w:val="00A31D78"/>
    <w:rsid w:val="00A32A14"/>
    <w:rsid w:val="00A32D9C"/>
    <w:rsid w:val="00A33A66"/>
    <w:rsid w:val="00A34C57"/>
    <w:rsid w:val="00A43069"/>
    <w:rsid w:val="00A43D93"/>
    <w:rsid w:val="00A43E92"/>
    <w:rsid w:val="00A445D0"/>
    <w:rsid w:val="00A44D37"/>
    <w:rsid w:val="00A45F4F"/>
    <w:rsid w:val="00A47D9A"/>
    <w:rsid w:val="00A50987"/>
    <w:rsid w:val="00A51439"/>
    <w:rsid w:val="00A51EEC"/>
    <w:rsid w:val="00A52ADE"/>
    <w:rsid w:val="00A53314"/>
    <w:rsid w:val="00A600A9"/>
    <w:rsid w:val="00A6067B"/>
    <w:rsid w:val="00A60B9B"/>
    <w:rsid w:val="00A60D8B"/>
    <w:rsid w:val="00A6296B"/>
    <w:rsid w:val="00A63B91"/>
    <w:rsid w:val="00A65447"/>
    <w:rsid w:val="00A66C34"/>
    <w:rsid w:val="00A70750"/>
    <w:rsid w:val="00A70D10"/>
    <w:rsid w:val="00A72C55"/>
    <w:rsid w:val="00A73E44"/>
    <w:rsid w:val="00A75AAD"/>
    <w:rsid w:val="00A7615A"/>
    <w:rsid w:val="00A83426"/>
    <w:rsid w:val="00A846F8"/>
    <w:rsid w:val="00A84C31"/>
    <w:rsid w:val="00A865B6"/>
    <w:rsid w:val="00A86DD1"/>
    <w:rsid w:val="00A92D03"/>
    <w:rsid w:val="00A936A9"/>
    <w:rsid w:val="00A94063"/>
    <w:rsid w:val="00AA0EFE"/>
    <w:rsid w:val="00AA1D20"/>
    <w:rsid w:val="00AA2756"/>
    <w:rsid w:val="00AA3684"/>
    <w:rsid w:val="00AA55B7"/>
    <w:rsid w:val="00AA5B9E"/>
    <w:rsid w:val="00AA699F"/>
    <w:rsid w:val="00AA7C38"/>
    <w:rsid w:val="00AB1EE9"/>
    <w:rsid w:val="00AB2407"/>
    <w:rsid w:val="00AB2923"/>
    <w:rsid w:val="00AB2E36"/>
    <w:rsid w:val="00AB53DF"/>
    <w:rsid w:val="00AB5BA2"/>
    <w:rsid w:val="00AC174B"/>
    <w:rsid w:val="00AC302C"/>
    <w:rsid w:val="00AC3FD1"/>
    <w:rsid w:val="00AC447E"/>
    <w:rsid w:val="00AC781F"/>
    <w:rsid w:val="00AD039B"/>
    <w:rsid w:val="00AD5037"/>
    <w:rsid w:val="00AD619E"/>
    <w:rsid w:val="00AD61F0"/>
    <w:rsid w:val="00AD74A4"/>
    <w:rsid w:val="00AE2865"/>
    <w:rsid w:val="00AE4625"/>
    <w:rsid w:val="00AF1C08"/>
    <w:rsid w:val="00AF1D94"/>
    <w:rsid w:val="00AF310B"/>
    <w:rsid w:val="00AF6252"/>
    <w:rsid w:val="00AF64F2"/>
    <w:rsid w:val="00AF65A4"/>
    <w:rsid w:val="00B0080E"/>
    <w:rsid w:val="00B01FCE"/>
    <w:rsid w:val="00B04263"/>
    <w:rsid w:val="00B059F3"/>
    <w:rsid w:val="00B065A1"/>
    <w:rsid w:val="00B06F78"/>
    <w:rsid w:val="00B07E5C"/>
    <w:rsid w:val="00B10A28"/>
    <w:rsid w:val="00B12364"/>
    <w:rsid w:val="00B1321E"/>
    <w:rsid w:val="00B15F03"/>
    <w:rsid w:val="00B16C67"/>
    <w:rsid w:val="00B27ECC"/>
    <w:rsid w:val="00B30439"/>
    <w:rsid w:val="00B30595"/>
    <w:rsid w:val="00B3120F"/>
    <w:rsid w:val="00B32735"/>
    <w:rsid w:val="00B32E9B"/>
    <w:rsid w:val="00B368CA"/>
    <w:rsid w:val="00B36AE7"/>
    <w:rsid w:val="00B36B31"/>
    <w:rsid w:val="00B37A01"/>
    <w:rsid w:val="00B450AC"/>
    <w:rsid w:val="00B45B1C"/>
    <w:rsid w:val="00B45D51"/>
    <w:rsid w:val="00B45F7E"/>
    <w:rsid w:val="00B47E93"/>
    <w:rsid w:val="00B52613"/>
    <w:rsid w:val="00B5270F"/>
    <w:rsid w:val="00B54E9E"/>
    <w:rsid w:val="00B55E2E"/>
    <w:rsid w:val="00B60133"/>
    <w:rsid w:val="00B666BA"/>
    <w:rsid w:val="00B66BDE"/>
    <w:rsid w:val="00B66E8B"/>
    <w:rsid w:val="00B671ED"/>
    <w:rsid w:val="00B70EF2"/>
    <w:rsid w:val="00B7161A"/>
    <w:rsid w:val="00B716ED"/>
    <w:rsid w:val="00B72FEF"/>
    <w:rsid w:val="00B7371C"/>
    <w:rsid w:val="00B73A26"/>
    <w:rsid w:val="00B75418"/>
    <w:rsid w:val="00B76847"/>
    <w:rsid w:val="00B76972"/>
    <w:rsid w:val="00B80793"/>
    <w:rsid w:val="00B811F7"/>
    <w:rsid w:val="00B81F98"/>
    <w:rsid w:val="00B824F1"/>
    <w:rsid w:val="00B838EE"/>
    <w:rsid w:val="00B83A11"/>
    <w:rsid w:val="00B86210"/>
    <w:rsid w:val="00B869AC"/>
    <w:rsid w:val="00B87B4F"/>
    <w:rsid w:val="00B907D4"/>
    <w:rsid w:val="00B914AC"/>
    <w:rsid w:val="00B96DA7"/>
    <w:rsid w:val="00B978DD"/>
    <w:rsid w:val="00BA24BC"/>
    <w:rsid w:val="00BA4B21"/>
    <w:rsid w:val="00BA5DC6"/>
    <w:rsid w:val="00BA6196"/>
    <w:rsid w:val="00BA6FE2"/>
    <w:rsid w:val="00BB2954"/>
    <w:rsid w:val="00BB30B0"/>
    <w:rsid w:val="00BB49A6"/>
    <w:rsid w:val="00BC02F3"/>
    <w:rsid w:val="00BC312D"/>
    <w:rsid w:val="00BC6D8C"/>
    <w:rsid w:val="00BD05D6"/>
    <w:rsid w:val="00BD08F0"/>
    <w:rsid w:val="00BD1418"/>
    <w:rsid w:val="00BD2BBF"/>
    <w:rsid w:val="00BD41DB"/>
    <w:rsid w:val="00BD6B74"/>
    <w:rsid w:val="00BD782F"/>
    <w:rsid w:val="00BD7FDC"/>
    <w:rsid w:val="00BE4E07"/>
    <w:rsid w:val="00BF4878"/>
    <w:rsid w:val="00BF4EEF"/>
    <w:rsid w:val="00BF5A17"/>
    <w:rsid w:val="00BF5A2A"/>
    <w:rsid w:val="00BF5CDF"/>
    <w:rsid w:val="00BF737D"/>
    <w:rsid w:val="00C01F55"/>
    <w:rsid w:val="00C04CD9"/>
    <w:rsid w:val="00C06048"/>
    <w:rsid w:val="00C06B0F"/>
    <w:rsid w:val="00C072A6"/>
    <w:rsid w:val="00C12E4B"/>
    <w:rsid w:val="00C14141"/>
    <w:rsid w:val="00C16B0B"/>
    <w:rsid w:val="00C1790E"/>
    <w:rsid w:val="00C201D5"/>
    <w:rsid w:val="00C206B0"/>
    <w:rsid w:val="00C20EA8"/>
    <w:rsid w:val="00C217B5"/>
    <w:rsid w:val="00C21937"/>
    <w:rsid w:val="00C27D6E"/>
    <w:rsid w:val="00C31200"/>
    <w:rsid w:val="00C31FC4"/>
    <w:rsid w:val="00C33B34"/>
    <w:rsid w:val="00C34006"/>
    <w:rsid w:val="00C34EB0"/>
    <w:rsid w:val="00C355BC"/>
    <w:rsid w:val="00C36980"/>
    <w:rsid w:val="00C42087"/>
    <w:rsid w:val="00C426B1"/>
    <w:rsid w:val="00C42AF0"/>
    <w:rsid w:val="00C42E4F"/>
    <w:rsid w:val="00C437E3"/>
    <w:rsid w:val="00C50B65"/>
    <w:rsid w:val="00C56B28"/>
    <w:rsid w:val="00C60661"/>
    <w:rsid w:val="00C6169F"/>
    <w:rsid w:val="00C623EC"/>
    <w:rsid w:val="00C64DA2"/>
    <w:rsid w:val="00C66114"/>
    <w:rsid w:val="00C679A0"/>
    <w:rsid w:val="00C70195"/>
    <w:rsid w:val="00C70521"/>
    <w:rsid w:val="00C71347"/>
    <w:rsid w:val="00C71431"/>
    <w:rsid w:val="00C7192B"/>
    <w:rsid w:val="00C749DF"/>
    <w:rsid w:val="00C76BCC"/>
    <w:rsid w:val="00C778D0"/>
    <w:rsid w:val="00C807A7"/>
    <w:rsid w:val="00C807A8"/>
    <w:rsid w:val="00C832FE"/>
    <w:rsid w:val="00C83D58"/>
    <w:rsid w:val="00C84FA2"/>
    <w:rsid w:val="00C86154"/>
    <w:rsid w:val="00C86838"/>
    <w:rsid w:val="00C86C75"/>
    <w:rsid w:val="00C90D6A"/>
    <w:rsid w:val="00C911F4"/>
    <w:rsid w:val="00C948A1"/>
    <w:rsid w:val="00CA247E"/>
    <w:rsid w:val="00CB2616"/>
    <w:rsid w:val="00CB4607"/>
    <w:rsid w:val="00CC436E"/>
    <w:rsid w:val="00CC72B6"/>
    <w:rsid w:val="00CD125B"/>
    <w:rsid w:val="00CD3B29"/>
    <w:rsid w:val="00CD424D"/>
    <w:rsid w:val="00CD4EAC"/>
    <w:rsid w:val="00CD747F"/>
    <w:rsid w:val="00CE1A81"/>
    <w:rsid w:val="00CE1E33"/>
    <w:rsid w:val="00CE35CD"/>
    <w:rsid w:val="00CE683E"/>
    <w:rsid w:val="00CE6A97"/>
    <w:rsid w:val="00CE7EB4"/>
    <w:rsid w:val="00CF00CC"/>
    <w:rsid w:val="00CF305F"/>
    <w:rsid w:val="00CF4DBB"/>
    <w:rsid w:val="00CF612C"/>
    <w:rsid w:val="00CF7D30"/>
    <w:rsid w:val="00D01083"/>
    <w:rsid w:val="00D01E9D"/>
    <w:rsid w:val="00D0218D"/>
    <w:rsid w:val="00D0445F"/>
    <w:rsid w:val="00D04796"/>
    <w:rsid w:val="00D10C35"/>
    <w:rsid w:val="00D12499"/>
    <w:rsid w:val="00D14C2E"/>
    <w:rsid w:val="00D16959"/>
    <w:rsid w:val="00D244D1"/>
    <w:rsid w:val="00D260D7"/>
    <w:rsid w:val="00D30006"/>
    <w:rsid w:val="00D30DF5"/>
    <w:rsid w:val="00D31656"/>
    <w:rsid w:val="00D32252"/>
    <w:rsid w:val="00D40CA5"/>
    <w:rsid w:val="00D42DF2"/>
    <w:rsid w:val="00D42E16"/>
    <w:rsid w:val="00D44F0D"/>
    <w:rsid w:val="00D465C2"/>
    <w:rsid w:val="00D4764B"/>
    <w:rsid w:val="00D507EC"/>
    <w:rsid w:val="00D50AF6"/>
    <w:rsid w:val="00D51E27"/>
    <w:rsid w:val="00D53015"/>
    <w:rsid w:val="00D53D6A"/>
    <w:rsid w:val="00D555A8"/>
    <w:rsid w:val="00D558A6"/>
    <w:rsid w:val="00D55B90"/>
    <w:rsid w:val="00D56B60"/>
    <w:rsid w:val="00D57B64"/>
    <w:rsid w:val="00D60D47"/>
    <w:rsid w:val="00D6133A"/>
    <w:rsid w:val="00D61712"/>
    <w:rsid w:val="00D65A67"/>
    <w:rsid w:val="00D6611B"/>
    <w:rsid w:val="00D74742"/>
    <w:rsid w:val="00D76F97"/>
    <w:rsid w:val="00D7732E"/>
    <w:rsid w:val="00D802A3"/>
    <w:rsid w:val="00D80CAD"/>
    <w:rsid w:val="00D847C4"/>
    <w:rsid w:val="00D87548"/>
    <w:rsid w:val="00D9026F"/>
    <w:rsid w:val="00D91426"/>
    <w:rsid w:val="00D94783"/>
    <w:rsid w:val="00D9602B"/>
    <w:rsid w:val="00D9772E"/>
    <w:rsid w:val="00DA0A76"/>
    <w:rsid w:val="00DA0E7A"/>
    <w:rsid w:val="00DA14F6"/>
    <w:rsid w:val="00DA2529"/>
    <w:rsid w:val="00DA2A86"/>
    <w:rsid w:val="00DA428A"/>
    <w:rsid w:val="00DB130A"/>
    <w:rsid w:val="00DB138C"/>
    <w:rsid w:val="00DB15EF"/>
    <w:rsid w:val="00DB39D3"/>
    <w:rsid w:val="00DB3F64"/>
    <w:rsid w:val="00DC10A1"/>
    <w:rsid w:val="00DC1645"/>
    <w:rsid w:val="00DC1873"/>
    <w:rsid w:val="00DC1A03"/>
    <w:rsid w:val="00DC21F0"/>
    <w:rsid w:val="00DC592A"/>
    <w:rsid w:val="00DC655F"/>
    <w:rsid w:val="00DD0B59"/>
    <w:rsid w:val="00DD1282"/>
    <w:rsid w:val="00DD2DBA"/>
    <w:rsid w:val="00DD2DC5"/>
    <w:rsid w:val="00DD6CC6"/>
    <w:rsid w:val="00DD75A1"/>
    <w:rsid w:val="00DD7EBD"/>
    <w:rsid w:val="00DE1DF8"/>
    <w:rsid w:val="00DE2914"/>
    <w:rsid w:val="00DE2F02"/>
    <w:rsid w:val="00DF102C"/>
    <w:rsid w:val="00DF3C50"/>
    <w:rsid w:val="00DF3F36"/>
    <w:rsid w:val="00DF521E"/>
    <w:rsid w:val="00DF62B6"/>
    <w:rsid w:val="00DF7F70"/>
    <w:rsid w:val="00E016CD"/>
    <w:rsid w:val="00E02F15"/>
    <w:rsid w:val="00E0342B"/>
    <w:rsid w:val="00E06109"/>
    <w:rsid w:val="00E06593"/>
    <w:rsid w:val="00E07225"/>
    <w:rsid w:val="00E07558"/>
    <w:rsid w:val="00E07E87"/>
    <w:rsid w:val="00E12A4D"/>
    <w:rsid w:val="00E1471D"/>
    <w:rsid w:val="00E15E5A"/>
    <w:rsid w:val="00E16D0A"/>
    <w:rsid w:val="00E16E17"/>
    <w:rsid w:val="00E209AA"/>
    <w:rsid w:val="00E211C0"/>
    <w:rsid w:val="00E21248"/>
    <w:rsid w:val="00E2440E"/>
    <w:rsid w:val="00E27227"/>
    <w:rsid w:val="00E27678"/>
    <w:rsid w:val="00E33970"/>
    <w:rsid w:val="00E343D3"/>
    <w:rsid w:val="00E35BBB"/>
    <w:rsid w:val="00E43132"/>
    <w:rsid w:val="00E44896"/>
    <w:rsid w:val="00E44E73"/>
    <w:rsid w:val="00E45739"/>
    <w:rsid w:val="00E45E58"/>
    <w:rsid w:val="00E5409F"/>
    <w:rsid w:val="00E603B2"/>
    <w:rsid w:val="00E606D1"/>
    <w:rsid w:val="00E6113B"/>
    <w:rsid w:val="00E61B37"/>
    <w:rsid w:val="00E638FD"/>
    <w:rsid w:val="00E67310"/>
    <w:rsid w:val="00E70CAE"/>
    <w:rsid w:val="00E71372"/>
    <w:rsid w:val="00E73B32"/>
    <w:rsid w:val="00E743E3"/>
    <w:rsid w:val="00E760C7"/>
    <w:rsid w:val="00E80872"/>
    <w:rsid w:val="00E82E66"/>
    <w:rsid w:val="00E833C2"/>
    <w:rsid w:val="00E83661"/>
    <w:rsid w:val="00E83D3B"/>
    <w:rsid w:val="00E83E75"/>
    <w:rsid w:val="00E844C9"/>
    <w:rsid w:val="00E85151"/>
    <w:rsid w:val="00E8560B"/>
    <w:rsid w:val="00E91C10"/>
    <w:rsid w:val="00E95128"/>
    <w:rsid w:val="00E9689D"/>
    <w:rsid w:val="00E977C5"/>
    <w:rsid w:val="00EA16D9"/>
    <w:rsid w:val="00EA2079"/>
    <w:rsid w:val="00EA386D"/>
    <w:rsid w:val="00EA3D01"/>
    <w:rsid w:val="00EA58E5"/>
    <w:rsid w:val="00EA5AA1"/>
    <w:rsid w:val="00EA74FE"/>
    <w:rsid w:val="00EB13DE"/>
    <w:rsid w:val="00EB261B"/>
    <w:rsid w:val="00EB2A26"/>
    <w:rsid w:val="00EB2E98"/>
    <w:rsid w:val="00EB6F49"/>
    <w:rsid w:val="00EB6FD8"/>
    <w:rsid w:val="00EB715B"/>
    <w:rsid w:val="00EC31D4"/>
    <w:rsid w:val="00EC58C1"/>
    <w:rsid w:val="00EC6A3C"/>
    <w:rsid w:val="00EC6CE2"/>
    <w:rsid w:val="00ED4E77"/>
    <w:rsid w:val="00ED5832"/>
    <w:rsid w:val="00ED652C"/>
    <w:rsid w:val="00ED6D69"/>
    <w:rsid w:val="00ED76C3"/>
    <w:rsid w:val="00ED7C8B"/>
    <w:rsid w:val="00EE102F"/>
    <w:rsid w:val="00EE3118"/>
    <w:rsid w:val="00EE38AC"/>
    <w:rsid w:val="00EE6488"/>
    <w:rsid w:val="00EE77EB"/>
    <w:rsid w:val="00EE7DA9"/>
    <w:rsid w:val="00EF0315"/>
    <w:rsid w:val="00EF0726"/>
    <w:rsid w:val="00EF114C"/>
    <w:rsid w:val="00EF1419"/>
    <w:rsid w:val="00EF20B4"/>
    <w:rsid w:val="00EF4FB6"/>
    <w:rsid w:val="00EF6118"/>
    <w:rsid w:val="00EF6B7F"/>
    <w:rsid w:val="00EF7732"/>
    <w:rsid w:val="00F00EE7"/>
    <w:rsid w:val="00F011DB"/>
    <w:rsid w:val="00F021FA"/>
    <w:rsid w:val="00F02529"/>
    <w:rsid w:val="00F05993"/>
    <w:rsid w:val="00F17060"/>
    <w:rsid w:val="00F17724"/>
    <w:rsid w:val="00F222CD"/>
    <w:rsid w:val="00F24AC6"/>
    <w:rsid w:val="00F25E14"/>
    <w:rsid w:val="00F35B7A"/>
    <w:rsid w:val="00F377C0"/>
    <w:rsid w:val="00F40147"/>
    <w:rsid w:val="00F40662"/>
    <w:rsid w:val="00F4235A"/>
    <w:rsid w:val="00F42B90"/>
    <w:rsid w:val="00F43933"/>
    <w:rsid w:val="00F44D27"/>
    <w:rsid w:val="00F44F4E"/>
    <w:rsid w:val="00F47101"/>
    <w:rsid w:val="00F47D6C"/>
    <w:rsid w:val="00F50C1B"/>
    <w:rsid w:val="00F5217C"/>
    <w:rsid w:val="00F53A53"/>
    <w:rsid w:val="00F54D97"/>
    <w:rsid w:val="00F56331"/>
    <w:rsid w:val="00F5798D"/>
    <w:rsid w:val="00F60235"/>
    <w:rsid w:val="00F60D9B"/>
    <w:rsid w:val="00F62E97"/>
    <w:rsid w:val="00F64209"/>
    <w:rsid w:val="00F66BDF"/>
    <w:rsid w:val="00F67A72"/>
    <w:rsid w:val="00F71112"/>
    <w:rsid w:val="00F72F6F"/>
    <w:rsid w:val="00F73E81"/>
    <w:rsid w:val="00F74658"/>
    <w:rsid w:val="00F7537B"/>
    <w:rsid w:val="00F77313"/>
    <w:rsid w:val="00F80323"/>
    <w:rsid w:val="00F81490"/>
    <w:rsid w:val="00F82AEB"/>
    <w:rsid w:val="00F86615"/>
    <w:rsid w:val="00F867A9"/>
    <w:rsid w:val="00F936E5"/>
    <w:rsid w:val="00F93BF5"/>
    <w:rsid w:val="00F95983"/>
    <w:rsid w:val="00F96997"/>
    <w:rsid w:val="00FA06F1"/>
    <w:rsid w:val="00FA0A35"/>
    <w:rsid w:val="00FA0D81"/>
    <w:rsid w:val="00FA1616"/>
    <w:rsid w:val="00FA1715"/>
    <w:rsid w:val="00FA1C70"/>
    <w:rsid w:val="00FA25B8"/>
    <w:rsid w:val="00FA3D3B"/>
    <w:rsid w:val="00FA431A"/>
    <w:rsid w:val="00FA4D90"/>
    <w:rsid w:val="00FA560B"/>
    <w:rsid w:val="00FA5E8E"/>
    <w:rsid w:val="00FA7B41"/>
    <w:rsid w:val="00FB2F53"/>
    <w:rsid w:val="00FB7890"/>
    <w:rsid w:val="00FB79A7"/>
    <w:rsid w:val="00FC07E9"/>
    <w:rsid w:val="00FC319E"/>
    <w:rsid w:val="00FE6465"/>
    <w:rsid w:val="00FE6643"/>
    <w:rsid w:val="00FF321E"/>
    <w:rsid w:val="00FF4127"/>
    <w:rsid w:val="00FF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548"/>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widowControl w:val="0"/>
      <w:numPr>
        <w:numId w:val="2"/>
      </w:numPr>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basedOn w:val="DefaultParagraphFont"/>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semiHidden/>
    <w:rsid w:val="000E3D42"/>
    <w:pPr>
      <w:spacing w:after="120"/>
    </w:pPr>
  </w:style>
  <w:style w:type="character" w:styleId="FootnoteReference">
    <w:name w:val="footnote reference"/>
    <w:aliases w:val="Style 12,(NECG) Footnote Reference,Style 13,Appel note de bas de p,Style 124,fr,o,Style 3,FR,Style 17,Footnote Reference/,Style 6,Style 7"/>
    <w:basedOn w:val="DefaultParagraphFont"/>
    <w:rPr>
      <w:rFonts w:ascii="Times New Roman" w:hAnsi="Times New Roman"/>
      <w:dstrike w:val="0"/>
      <w:color w:val="auto"/>
      <w:sz w:val="22"/>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link w:val="FooterChar"/>
    <w:uiPriority w:val="99"/>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numPr>
        <w:numId w:val="1"/>
      </w:numPr>
      <w:tabs>
        <w:tab w:val="clear" w:pos="360"/>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basedOn w:val="DefaultParagraphFont"/>
    <w:uiPriority w:val="99"/>
    <w:rsid w:val="002A2D2E"/>
    <w:rPr>
      <w:color w:val="0000FF"/>
      <w:u w:val="single"/>
    </w:rPr>
  </w:style>
  <w:style w:type="character" w:customStyle="1" w:styleId="FooterChar">
    <w:name w:val="Footer Char"/>
    <w:basedOn w:val="DefaultParagraphFont"/>
    <w:link w:val="Footer"/>
    <w:uiPriority w:val="99"/>
    <w:rsid w:val="00303FBC"/>
    <w:rPr>
      <w:snapToGrid w:val="0"/>
      <w:kern w:val="28"/>
      <w:sz w:val="22"/>
    </w:rPr>
  </w:style>
  <w:style w:type="paragraph" w:styleId="BalloonText">
    <w:name w:val="Balloon Text"/>
    <w:basedOn w:val="Normal"/>
    <w:link w:val="BalloonTextChar"/>
    <w:rsid w:val="00303FBC"/>
    <w:pPr>
      <w:widowControl w:val="0"/>
      <w:spacing w:after="0" w:line="240" w:lineRule="auto"/>
    </w:pPr>
    <w:rPr>
      <w:rFonts w:ascii="Tahoma" w:eastAsia="Times New Roman" w:hAnsi="Tahoma" w:cs="Tahoma"/>
      <w:snapToGrid w:val="0"/>
      <w:kern w:val="28"/>
      <w:sz w:val="16"/>
      <w:szCs w:val="16"/>
    </w:rPr>
  </w:style>
  <w:style w:type="character" w:customStyle="1" w:styleId="BalloonTextChar">
    <w:name w:val="Balloon Text Char"/>
    <w:basedOn w:val="DefaultParagraphFont"/>
    <w:link w:val="BalloonText"/>
    <w:rsid w:val="00303FBC"/>
    <w:rPr>
      <w:rFonts w:ascii="Tahoma" w:hAnsi="Tahoma" w:cs="Tahoma"/>
      <w:snapToGrid w:val="0"/>
      <w:kern w:val="28"/>
      <w:sz w:val="16"/>
      <w:szCs w:val="16"/>
    </w:rPr>
  </w:style>
  <w:style w:type="character" w:customStyle="1" w:styleId="ParaNumCharChar">
    <w:name w:val="ParaNum Char Char"/>
    <w:link w:val="ParaNum"/>
    <w:rsid w:val="0044564E"/>
    <w:rPr>
      <w:snapToGrid w:val="0"/>
      <w:kern w:val="28"/>
      <w:sz w:val="22"/>
    </w:rPr>
  </w:style>
  <w:style w:type="character" w:styleId="CommentReference">
    <w:name w:val="annotation reference"/>
    <w:basedOn w:val="DefaultParagraphFont"/>
    <w:rsid w:val="00F011DB"/>
    <w:rPr>
      <w:sz w:val="16"/>
      <w:szCs w:val="16"/>
    </w:rPr>
  </w:style>
  <w:style w:type="paragraph" w:styleId="CommentText">
    <w:name w:val="annotation text"/>
    <w:basedOn w:val="Normal"/>
    <w:link w:val="CommentTextChar"/>
    <w:rsid w:val="00F011DB"/>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F011DB"/>
    <w:rPr>
      <w:snapToGrid w:val="0"/>
      <w:kern w:val="28"/>
    </w:rPr>
  </w:style>
  <w:style w:type="paragraph" w:styleId="CommentSubject">
    <w:name w:val="annotation subject"/>
    <w:basedOn w:val="CommentText"/>
    <w:next w:val="CommentText"/>
    <w:link w:val="CommentSubjectChar"/>
    <w:rsid w:val="00F011DB"/>
    <w:rPr>
      <w:b/>
      <w:bCs/>
    </w:rPr>
  </w:style>
  <w:style w:type="character" w:customStyle="1" w:styleId="CommentSubjectChar">
    <w:name w:val="Comment Subject Char"/>
    <w:basedOn w:val="CommentTextChar"/>
    <w:link w:val="CommentSubject"/>
    <w:rsid w:val="00F011DB"/>
    <w:rPr>
      <w:b/>
      <w:bCs/>
      <w:snapToGrid w:val="0"/>
      <w:kern w:val="28"/>
    </w:rPr>
  </w:style>
  <w:style w:type="character" w:customStyle="1" w:styleId="documentbody">
    <w:name w:val="documentbody"/>
    <w:basedOn w:val="DefaultParagraphFont"/>
    <w:rsid w:val="009D16C6"/>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2D3830"/>
  </w:style>
  <w:style w:type="character" w:customStyle="1" w:styleId="searchterm">
    <w:name w:val="searchterm"/>
    <w:basedOn w:val="DefaultParagraphFont"/>
    <w:rsid w:val="009A15B0"/>
  </w:style>
  <w:style w:type="character" w:customStyle="1" w:styleId="item-name">
    <w:name w:val="item-name"/>
    <w:basedOn w:val="DefaultParagraphFont"/>
    <w:rsid w:val="00BB49A6"/>
  </w:style>
  <w:style w:type="character" w:customStyle="1" w:styleId="resultsublistitem">
    <w:name w:val="resultsublistitem"/>
    <w:basedOn w:val="DefaultParagraphFont"/>
    <w:rsid w:val="00C86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548"/>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widowControl w:val="0"/>
      <w:numPr>
        <w:numId w:val="2"/>
      </w:numPr>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basedOn w:val="DefaultParagraphFont"/>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semiHidden/>
    <w:rsid w:val="000E3D42"/>
    <w:pPr>
      <w:spacing w:after="120"/>
    </w:pPr>
  </w:style>
  <w:style w:type="character" w:styleId="FootnoteReference">
    <w:name w:val="footnote reference"/>
    <w:aliases w:val="Style 12,(NECG) Footnote Reference,Style 13,Appel note de bas de p,Style 124,fr,o,Style 3,FR,Style 17,Footnote Reference/,Style 6,Style 7"/>
    <w:basedOn w:val="DefaultParagraphFont"/>
    <w:rPr>
      <w:rFonts w:ascii="Times New Roman" w:hAnsi="Times New Roman"/>
      <w:dstrike w:val="0"/>
      <w:color w:val="auto"/>
      <w:sz w:val="22"/>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link w:val="FooterChar"/>
    <w:uiPriority w:val="99"/>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numPr>
        <w:numId w:val="1"/>
      </w:numPr>
      <w:tabs>
        <w:tab w:val="clear" w:pos="360"/>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basedOn w:val="DefaultParagraphFont"/>
    <w:uiPriority w:val="99"/>
    <w:rsid w:val="002A2D2E"/>
    <w:rPr>
      <w:color w:val="0000FF"/>
      <w:u w:val="single"/>
    </w:rPr>
  </w:style>
  <w:style w:type="character" w:customStyle="1" w:styleId="FooterChar">
    <w:name w:val="Footer Char"/>
    <w:basedOn w:val="DefaultParagraphFont"/>
    <w:link w:val="Footer"/>
    <w:uiPriority w:val="99"/>
    <w:rsid w:val="00303FBC"/>
    <w:rPr>
      <w:snapToGrid w:val="0"/>
      <w:kern w:val="28"/>
      <w:sz w:val="22"/>
    </w:rPr>
  </w:style>
  <w:style w:type="paragraph" w:styleId="BalloonText">
    <w:name w:val="Balloon Text"/>
    <w:basedOn w:val="Normal"/>
    <w:link w:val="BalloonTextChar"/>
    <w:rsid w:val="00303FBC"/>
    <w:pPr>
      <w:widowControl w:val="0"/>
      <w:spacing w:after="0" w:line="240" w:lineRule="auto"/>
    </w:pPr>
    <w:rPr>
      <w:rFonts w:ascii="Tahoma" w:eastAsia="Times New Roman" w:hAnsi="Tahoma" w:cs="Tahoma"/>
      <w:snapToGrid w:val="0"/>
      <w:kern w:val="28"/>
      <w:sz w:val="16"/>
      <w:szCs w:val="16"/>
    </w:rPr>
  </w:style>
  <w:style w:type="character" w:customStyle="1" w:styleId="BalloonTextChar">
    <w:name w:val="Balloon Text Char"/>
    <w:basedOn w:val="DefaultParagraphFont"/>
    <w:link w:val="BalloonText"/>
    <w:rsid w:val="00303FBC"/>
    <w:rPr>
      <w:rFonts w:ascii="Tahoma" w:hAnsi="Tahoma" w:cs="Tahoma"/>
      <w:snapToGrid w:val="0"/>
      <w:kern w:val="28"/>
      <w:sz w:val="16"/>
      <w:szCs w:val="16"/>
    </w:rPr>
  </w:style>
  <w:style w:type="character" w:customStyle="1" w:styleId="ParaNumCharChar">
    <w:name w:val="ParaNum Char Char"/>
    <w:link w:val="ParaNum"/>
    <w:rsid w:val="0044564E"/>
    <w:rPr>
      <w:snapToGrid w:val="0"/>
      <w:kern w:val="28"/>
      <w:sz w:val="22"/>
    </w:rPr>
  </w:style>
  <w:style w:type="character" w:styleId="CommentReference">
    <w:name w:val="annotation reference"/>
    <w:basedOn w:val="DefaultParagraphFont"/>
    <w:rsid w:val="00F011DB"/>
    <w:rPr>
      <w:sz w:val="16"/>
      <w:szCs w:val="16"/>
    </w:rPr>
  </w:style>
  <w:style w:type="paragraph" w:styleId="CommentText">
    <w:name w:val="annotation text"/>
    <w:basedOn w:val="Normal"/>
    <w:link w:val="CommentTextChar"/>
    <w:rsid w:val="00F011DB"/>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F011DB"/>
    <w:rPr>
      <w:snapToGrid w:val="0"/>
      <w:kern w:val="28"/>
    </w:rPr>
  </w:style>
  <w:style w:type="paragraph" w:styleId="CommentSubject">
    <w:name w:val="annotation subject"/>
    <w:basedOn w:val="CommentText"/>
    <w:next w:val="CommentText"/>
    <w:link w:val="CommentSubjectChar"/>
    <w:rsid w:val="00F011DB"/>
    <w:rPr>
      <w:b/>
      <w:bCs/>
    </w:rPr>
  </w:style>
  <w:style w:type="character" w:customStyle="1" w:styleId="CommentSubjectChar">
    <w:name w:val="Comment Subject Char"/>
    <w:basedOn w:val="CommentTextChar"/>
    <w:link w:val="CommentSubject"/>
    <w:rsid w:val="00F011DB"/>
    <w:rPr>
      <w:b/>
      <w:bCs/>
      <w:snapToGrid w:val="0"/>
      <w:kern w:val="28"/>
    </w:rPr>
  </w:style>
  <w:style w:type="character" w:customStyle="1" w:styleId="documentbody">
    <w:name w:val="documentbody"/>
    <w:basedOn w:val="DefaultParagraphFont"/>
    <w:rsid w:val="009D16C6"/>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2D3830"/>
  </w:style>
  <w:style w:type="character" w:customStyle="1" w:styleId="searchterm">
    <w:name w:val="searchterm"/>
    <w:basedOn w:val="DefaultParagraphFont"/>
    <w:rsid w:val="009A15B0"/>
  </w:style>
  <w:style w:type="character" w:customStyle="1" w:styleId="item-name">
    <w:name w:val="item-name"/>
    <w:basedOn w:val="DefaultParagraphFont"/>
    <w:rsid w:val="00BB49A6"/>
  </w:style>
  <w:style w:type="character" w:customStyle="1" w:styleId="resultsublistitem">
    <w:name w:val="resultsublistitem"/>
    <w:basedOn w:val="DefaultParagraphFont"/>
    <w:rsid w:val="00C8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6716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2013-08-22T15:19:00Z</cp:lastPrinted>
  <dcterms:created xsi:type="dcterms:W3CDTF">2013-09-11T18:41:00Z</dcterms:created>
  <dcterms:modified xsi:type="dcterms:W3CDTF">2013-09-11T18:41:00Z</dcterms:modified>
  <cp:category> </cp:category>
  <cp:contentStatus> </cp:contentStatus>
</cp:coreProperties>
</file>