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B4F" w:rsidRDefault="00A94B4F">
      <w:pPr>
        <w:jc w:val="center"/>
        <w:rPr>
          <w:b/>
          <w:szCs w:val="22"/>
        </w:rPr>
      </w:pPr>
      <w:bookmarkStart w:id="0" w:name="_GoBack"/>
      <w:bookmarkEnd w:id="0"/>
      <w:r>
        <w:rPr>
          <w:b/>
          <w:szCs w:val="22"/>
        </w:rPr>
        <w:t>Before the</w:t>
      </w:r>
    </w:p>
    <w:p w:rsidR="00A94B4F" w:rsidRDefault="00A94B4F">
      <w:pPr>
        <w:jc w:val="center"/>
        <w:rPr>
          <w:b/>
          <w:szCs w:val="22"/>
        </w:rPr>
      </w:pPr>
      <w:r>
        <w:rPr>
          <w:b/>
          <w:szCs w:val="22"/>
        </w:rPr>
        <w:t>Federal Communications Commission</w:t>
      </w:r>
    </w:p>
    <w:p w:rsidR="00A94B4F" w:rsidRDefault="00A94B4F">
      <w:pPr>
        <w:jc w:val="center"/>
        <w:rPr>
          <w:b/>
          <w:szCs w:val="22"/>
        </w:rPr>
      </w:pPr>
      <w:r>
        <w:rPr>
          <w:b/>
          <w:szCs w:val="22"/>
        </w:rPr>
        <w:t>Washington, D.C.  20554</w:t>
      </w:r>
    </w:p>
    <w:p w:rsidR="00A94B4F" w:rsidRDefault="00A94B4F"/>
    <w:tbl>
      <w:tblPr>
        <w:tblW w:w="8748" w:type="dxa"/>
        <w:tblLayout w:type="fixed"/>
        <w:tblLook w:val="0000" w:firstRow="0" w:lastRow="0" w:firstColumn="0" w:lastColumn="0" w:noHBand="0" w:noVBand="0"/>
      </w:tblPr>
      <w:tblGrid>
        <w:gridCol w:w="4698"/>
        <w:gridCol w:w="4050"/>
      </w:tblGrid>
      <w:tr w:rsidR="00A94B4F">
        <w:tc>
          <w:tcPr>
            <w:tcW w:w="4698" w:type="dxa"/>
          </w:tcPr>
          <w:p w:rsidR="00A94B4F" w:rsidRDefault="00A94B4F">
            <w:pPr>
              <w:tabs>
                <w:tab w:val="center" w:pos="4680"/>
              </w:tabs>
              <w:suppressAutoHyphens/>
              <w:rPr>
                <w:spacing w:val="-2"/>
              </w:rPr>
            </w:pPr>
            <w:r>
              <w:rPr>
                <w:spacing w:val="-2"/>
              </w:rPr>
              <w:t>In the Matter of</w:t>
            </w:r>
          </w:p>
          <w:p w:rsidR="00A94B4F" w:rsidRDefault="00A94B4F">
            <w:pPr>
              <w:tabs>
                <w:tab w:val="center" w:pos="4680"/>
              </w:tabs>
              <w:suppressAutoHyphens/>
              <w:rPr>
                <w:spacing w:val="-2"/>
              </w:rPr>
            </w:pPr>
          </w:p>
          <w:p w:rsidR="007768A2" w:rsidRDefault="007F2216" w:rsidP="008773E9">
            <w:pPr>
              <w:snapToGrid w:val="0"/>
              <w:rPr>
                <w:szCs w:val="22"/>
              </w:rPr>
            </w:pPr>
            <w:r>
              <w:rPr>
                <w:szCs w:val="22"/>
              </w:rPr>
              <w:t>Standing Rock Telecommunications, Inc.</w:t>
            </w:r>
          </w:p>
          <w:p w:rsidR="00A94B4F" w:rsidRDefault="008773E9" w:rsidP="007768A2">
            <w:pPr>
              <w:snapToGrid w:val="0"/>
              <w:rPr>
                <w:szCs w:val="22"/>
              </w:rPr>
            </w:pPr>
            <w:r>
              <w:rPr>
                <w:szCs w:val="22"/>
              </w:rPr>
              <w:t xml:space="preserve">Request </w:t>
            </w:r>
            <w:r w:rsidR="007F2216">
              <w:rPr>
                <w:szCs w:val="22"/>
              </w:rPr>
              <w:t xml:space="preserve">for </w:t>
            </w:r>
            <w:r w:rsidR="001C33A3">
              <w:rPr>
                <w:szCs w:val="22"/>
              </w:rPr>
              <w:t>Limited Extension of Time</w:t>
            </w:r>
            <w:r w:rsidR="00D47F43">
              <w:rPr>
                <w:szCs w:val="22"/>
              </w:rPr>
              <w:t xml:space="preserve"> to Submit Bank Commitment Letter for Mobility Fund Phase</w:t>
            </w:r>
            <w:r w:rsidR="007768A2">
              <w:rPr>
                <w:szCs w:val="22"/>
              </w:rPr>
              <w:t> </w:t>
            </w:r>
            <w:r w:rsidR="00D47F43">
              <w:rPr>
                <w:szCs w:val="22"/>
              </w:rPr>
              <w:t>I Support</w:t>
            </w:r>
            <w:r w:rsidR="00CE0BD1">
              <w:rPr>
                <w:szCs w:val="22"/>
              </w:rPr>
              <w:t xml:space="preserve"> (Auction 901)</w:t>
            </w:r>
          </w:p>
        </w:tc>
        <w:tc>
          <w:tcPr>
            <w:tcW w:w="4050" w:type="dxa"/>
          </w:tcPr>
          <w:p w:rsidR="00A94B4F" w:rsidRDefault="00A94B4F">
            <w:pPr>
              <w:ind w:right="2358"/>
              <w:rPr>
                <w:b/>
              </w:rPr>
            </w:pPr>
            <w:r>
              <w:rPr>
                <w:b/>
              </w:rPr>
              <w:t>)</w:t>
            </w:r>
          </w:p>
          <w:p w:rsidR="00A94B4F" w:rsidRDefault="00A94B4F">
            <w:pPr>
              <w:rPr>
                <w:b/>
              </w:rPr>
            </w:pPr>
            <w:r>
              <w:rPr>
                <w:b/>
              </w:rPr>
              <w:t>)</w:t>
            </w:r>
            <w:r>
              <w:t xml:space="preserve">     </w:t>
            </w:r>
          </w:p>
          <w:p w:rsidR="00A94B4F" w:rsidRDefault="00A94B4F">
            <w:r>
              <w:rPr>
                <w:b/>
              </w:rPr>
              <w:t xml:space="preserve">)     </w:t>
            </w:r>
          </w:p>
          <w:p w:rsidR="00A94B4F" w:rsidRDefault="00A94B4F">
            <w:r>
              <w:rPr>
                <w:b/>
              </w:rPr>
              <w:t xml:space="preserve">)     </w:t>
            </w:r>
          </w:p>
          <w:p w:rsidR="00957BE8" w:rsidRDefault="00A94B4F" w:rsidP="00957BE8">
            <w:r>
              <w:rPr>
                <w:b/>
              </w:rPr>
              <w:t xml:space="preserve">)     </w:t>
            </w:r>
          </w:p>
          <w:p w:rsidR="007768A2" w:rsidRPr="00CE0BD1" w:rsidRDefault="007768A2" w:rsidP="007F2216">
            <w:pPr>
              <w:rPr>
                <w:b/>
              </w:rPr>
            </w:pPr>
            <w:r w:rsidRPr="007768A2">
              <w:rPr>
                <w:b/>
              </w:rPr>
              <w:t>)</w:t>
            </w:r>
          </w:p>
        </w:tc>
      </w:tr>
      <w:tr w:rsidR="007F2216">
        <w:tc>
          <w:tcPr>
            <w:tcW w:w="4698" w:type="dxa"/>
          </w:tcPr>
          <w:p w:rsidR="007F2216" w:rsidRDefault="007F2216">
            <w:pPr>
              <w:tabs>
                <w:tab w:val="center" w:pos="4680"/>
              </w:tabs>
              <w:suppressAutoHyphens/>
              <w:rPr>
                <w:spacing w:val="-2"/>
              </w:rPr>
            </w:pPr>
          </w:p>
          <w:p w:rsidR="00EF427D" w:rsidRDefault="00EF427D">
            <w:pPr>
              <w:tabs>
                <w:tab w:val="center" w:pos="4680"/>
              </w:tabs>
              <w:suppressAutoHyphens/>
              <w:rPr>
                <w:spacing w:val="-2"/>
              </w:rPr>
            </w:pPr>
          </w:p>
        </w:tc>
        <w:tc>
          <w:tcPr>
            <w:tcW w:w="4050" w:type="dxa"/>
          </w:tcPr>
          <w:p w:rsidR="007F2216" w:rsidRDefault="007F2216">
            <w:pPr>
              <w:ind w:right="2358"/>
              <w:rPr>
                <w:b/>
              </w:rPr>
            </w:pPr>
          </w:p>
        </w:tc>
      </w:tr>
    </w:tbl>
    <w:p w:rsidR="00A94B4F" w:rsidRDefault="00A94B4F">
      <w:pPr>
        <w:jc w:val="center"/>
        <w:rPr>
          <w:b/>
        </w:rPr>
      </w:pPr>
      <w:r>
        <w:rPr>
          <w:b/>
        </w:rPr>
        <w:t>ORDER</w:t>
      </w:r>
    </w:p>
    <w:p w:rsidR="00A94B4F" w:rsidRDefault="00A94B4F">
      <w:pPr>
        <w:rPr>
          <w:szCs w:val="22"/>
        </w:rPr>
      </w:pPr>
    </w:p>
    <w:p w:rsidR="00A94B4F" w:rsidRDefault="00B23927">
      <w:pPr>
        <w:tabs>
          <w:tab w:val="right" w:pos="9360"/>
        </w:tabs>
        <w:rPr>
          <w:b/>
          <w:szCs w:val="22"/>
        </w:rPr>
      </w:pPr>
      <w:r>
        <w:rPr>
          <w:b/>
          <w:szCs w:val="22"/>
        </w:rPr>
        <w:t xml:space="preserve">Adopted:  </w:t>
      </w:r>
      <w:r w:rsidR="004E73FF">
        <w:rPr>
          <w:b/>
          <w:szCs w:val="22"/>
        </w:rPr>
        <w:t>September 11</w:t>
      </w:r>
      <w:r>
        <w:rPr>
          <w:b/>
          <w:szCs w:val="22"/>
        </w:rPr>
        <w:t>, 2013</w:t>
      </w:r>
      <w:r>
        <w:rPr>
          <w:b/>
          <w:szCs w:val="22"/>
        </w:rPr>
        <w:tab/>
        <w:t xml:space="preserve">Released:  </w:t>
      </w:r>
      <w:r w:rsidR="004E73FF">
        <w:rPr>
          <w:b/>
          <w:szCs w:val="22"/>
        </w:rPr>
        <w:t>September 11</w:t>
      </w:r>
      <w:r w:rsidR="00A94B4F">
        <w:rPr>
          <w:b/>
          <w:szCs w:val="22"/>
        </w:rPr>
        <w:t>, 2013</w:t>
      </w:r>
    </w:p>
    <w:p w:rsidR="00A94B4F" w:rsidRDefault="00A94B4F">
      <w:pPr>
        <w:tabs>
          <w:tab w:val="left" w:pos="5760"/>
        </w:tabs>
        <w:rPr>
          <w:szCs w:val="22"/>
        </w:rPr>
      </w:pPr>
    </w:p>
    <w:p w:rsidR="00A94B4F" w:rsidRDefault="00A94B4F" w:rsidP="00EF427D">
      <w:pPr>
        <w:tabs>
          <w:tab w:val="left" w:pos="5760"/>
        </w:tabs>
        <w:spacing w:after="240"/>
        <w:rPr>
          <w:szCs w:val="22"/>
        </w:rPr>
      </w:pPr>
      <w:r>
        <w:rPr>
          <w:szCs w:val="22"/>
        </w:rPr>
        <w:t xml:space="preserve">By the Chief, </w:t>
      </w:r>
      <w:r w:rsidR="00D47F43">
        <w:rPr>
          <w:szCs w:val="22"/>
        </w:rPr>
        <w:t xml:space="preserve">Auctions and Spectrum Access Division, </w:t>
      </w:r>
      <w:r>
        <w:rPr>
          <w:szCs w:val="22"/>
        </w:rPr>
        <w:t>Wireless Telecommunications Bureau:</w:t>
      </w:r>
    </w:p>
    <w:p w:rsidR="00A94B4F" w:rsidRDefault="00A94B4F">
      <w:pPr>
        <w:pStyle w:val="Heading1"/>
        <w:rPr>
          <w:szCs w:val="22"/>
        </w:rPr>
      </w:pPr>
      <w:r>
        <w:rPr>
          <w:szCs w:val="22"/>
        </w:rPr>
        <w:t>INTRODUCTION</w:t>
      </w:r>
    </w:p>
    <w:p w:rsidR="007F2216" w:rsidRDefault="00A94B4F">
      <w:pPr>
        <w:pStyle w:val="ParaNum"/>
        <w:rPr>
          <w:szCs w:val="22"/>
        </w:rPr>
      </w:pPr>
      <w:r>
        <w:rPr>
          <w:szCs w:val="22"/>
        </w:rPr>
        <w:t xml:space="preserve">In this order, </w:t>
      </w:r>
      <w:r w:rsidR="008773E9">
        <w:rPr>
          <w:szCs w:val="22"/>
        </w:rPr>
        <w:t>we</w:t>
      </w:r>
      <w:r w:rsidR="007F2216">
        <w:rPr>
          <w:szCs w:val="22"/>
        </w:rPr>
        <w:t xml:space="preserve"> grant a request from Standing Rock Telecommunications, Inc. (</w:t>
      </w:r>
      <w:r w:rsidR="00C73C4F">
        <w:rPr>
          <w:szCs w:val="22"/>
        </w:rPr>
        <w:t>SRTI</w:t>
      </w:r>
      <w:r w:rsidR="007F2216">
        <w:rPr>
          <w:szCs w:val="22"/>
        </w:rPr>
        <w:t xml:space="preserve">) for </w:t>
      </w:r>
      <w:r w:rsidR="00B0119D">
        <w:rPr>
          <w:szCs w:val="22"/>
        </w:rPr>
        <w:t xml:space="preserve">a </w:t>
      </w:r>
      <w:r w:rsidR="001C33A3">
        <w:rPr>
          <w:szCs w:val="22"/>
        </w:rPr>
        <w:t xml:space="preserve">limited </w:t>
      </w:r>
      <w:r w:rsidR="00B0119D">
        <w:rPr>
          <w:szCs w:val="22"/>
        </w:rPr>
        <w:t xml:space="preserve">extension of time to submit a </w:t>
      </w:r>
      <w:r w:rsidR="00140043">
        <w:rPr>
          <w:szCs w:val="22"/>
        </w:rPr>
        <w:t xml:space="preserve">bank </w:t>
      </w:r>
      <w:r w:rsidR="00B0119D">
        <w:rPr>
          <w:szCs w:val="22"/>
        </w:rPr>
        <w:t xml:space="preserve">commitment letter in </w:t>
      </w:r>
      <w:r w:rsidR="00140043">
        <w:rPr>
          <w:szCs w:val="22"/>
        </w:rPr>
        <w:t xml:space="preserve">support of </w:t>
      </w:r>
      <w:r w:rsidR="00B0119D">
        <w:rPr>
          <w:szCs w:val="22"/>
        </w:rPr>
        <w:t xml:space="preserve">its </w:t>
      </w:r>
      <w:r w:rsidR="005C1B88">
        <w:rPr>
          <w:szCs w:val="22"/>
        </w:rPr>
        <w:t xml:space="preserve">long-form application </w:t>
      </w:r>
      <w:r w:rsidR="00B23927">
        <w:rPr>
          <w:szCs w:val="22"/>
        </w:rPr>
        <w:t xml:space="preserve">for </w:t>
      </w:r>
      <w:r w:rsidR="005C1B88">
        <w:rPr>
          <w:szCs w:val="22"/>
        </w:rPr>
        <w:t xml:space="preserve">Mobility Fund Phase I </w:t>
      </w:r>
      <w:r w:rsidR="00B23927">
        <w:rPr>
          <w:szCs w:val="22"/>
        </w:rPr>
        <w:t>support</w:t>
      </w:r>
      <w:r w:rsidR="005C1B88">
        <w:rPr>
          <w:szCs w:val="22"/>
        </w:rPr>
        <w:t xml:space="preserve">.  Specifically, SRTI </w:t>
      </w:r>
      <w:r w:rsidR="003B4208">
        <w:rPr>
          <w:szCs w:val="22"/>
        </w:rPr>
        <w:t xml:space="preserve">seeks </w:t>
      </w:r>
      <w:r w:rsidR="005C1B88">
        <w:rPr>
          <w:szCs w:val="22"/>
        </w:rPr>
        <w:t>a</w:t>
      </w:r>
      <w:r w:rsidR="00F6541A">
        <w:rPr>
          <w:szCs w:val="22"/>
        </w:rPr>
        <w:t>n extension of time</w:t>
      </w:r>
      <w:r w:rsidR="001F6155">
        <w:rPr>
          <w:szCs w:val="22"/>
        </w:rPr>
        <w:t xml:space="preserve"> </w:t>
      </w:r>
      <w:r w:rsidR="005C1B88">
        <w:rPr>
          <w:szCs w:val="22"/>
        </w:rPr>
        <w:t xml:space="preserve">to file </w:t>
      </w:r>
      <w:r w:rsidR="001F6155">
        <w:rPr>
          <w:szCs w:val="22"/>
        </w:rPr>
        <w:t xml:space="preserve">the required </w:t>
      </w:r>
      <w:r w:rsidR="005C1B88">
        <w:rPr>
          <w:szCs w:val="22"/>
        </w:rPr>
        <w:t>commitment letter</w:t>
      </w:r>
      <w:r w:rsidR="001F6155">
        <w:rPr>
          <w:szCs w:val="22"/>
        </w:rPr>
        <w:t>, citing the unique difficult</w:t>
      </w:r>
      <w:r w:rsidR="00D12902">
        <w:rPr>
          <w:szCs w:val="22"/>
        </w:rPr>
        <w:t>ies</w:t>
      </w:r>
      <w:r w:rsidR="001F6155">
        <w:rPr>
          <w:szCs w:val="22"/>
        </w:rPr>
        <w:t xml:space="preserve"> </w:t>
      </w:r>
      <w:r w:rsidR="00E04139">
        <w:rPr>
          <w:szCs w:val="22"/>
        </w:rPr>
        <w:t xml:space="preserve">it </w:t>
      </w:r>
      <w:r w:rsidR="001F6155">
        <w:rPr>
          <w:szCs w:val="22"/>
        </w:rPr>
        <w:t>face</w:t>
      </w:r>
      <w:r w:rsidR="00C95965">
        <w:rPr>
          <w:szCs w:val="22"/>
        </w:rPr>
        <w:t>s</w:t>
      </w:r>
      <w:r w:rsidR="001F6155">
        <w:rPr>
          <w:szCs w:val="22"/>
        </w:rPr>
        <w:t xml:space="preserve"> </w:t>
      </w:r>
      <w:r w:rsidR="00E04139">
        <w:rPr>
          <w:szCs w:val="22"/>
        </w:rPr>
        <w:t>as</w:t>
      </w:r>
      <w:r w:rsidR="001F6155">
        <w:rPr>
          <w:szCs w:val="22"/>
        </w:rPr>
        <w:t xml:space="preserve"> a Tribally-owned entity, </w:t>
      </w:r>
      <w:r w:rsidR="00A21B09">
        <w:rPr>
          <w:szCs w:val="22"/>
        </w:rPr>
        <w:t xml:space="preserve">including </w:t>
      </w:r>
      <w:r w:rsidR="00E04139">
        <w:rPr>
          <w:szCs w:val="22"/>
        </w:rPr>
        <w:t xml:space="preserve">the need to </w:t>
      </w:r>
      <w:r w:rsidR="001F6155">
        <w:rPr>
          <w:szCs w:val="22"/>
        </w:rPr>
        <w:t xml:space="preserve">work with banks that lack familiarity </w:t>
      </w:r>
      <w:r w:rsidR="00ED7C3C">
        <w:rPr>
          <w:szCs w:val="22"/>
        </w:rPr>
        <w:t>with</w:t>
      </w:r>
      <w:r w:rsidR="001F6155">
        <w:rPr>
          <w:szCs w:val="22"/>
        </w:rPr>
        <w:t xml:space="preserve"> issues of Tribal jurisdiction and administration of trust lands in Indian </w:t>
      </w:r>
      <w:r w:rsidR="00C3604C">
        <w:rPr>
          <w:szCs w:val="22"/>
        </w:rPr>
        <w:t>C</w:t>
      </w:r>
      <w:r w:rsidR="001F6155">
        <w:rPr>
          <w:szCs w:val="22"/>
        </w:rPr>
        <w:t>ountry</w:t>
      </w:r>
      <w:r w:rsidR="00ED7C3C">
        <w:rPr>
          <w:szCs w:val="22"/>
        </w:rPr>
        <w:t>,</w:t>
      </w:r>
      <w:r w:rsidR="008C65CF">
        <w:rPr>
          <w:rStyle w:val="FootnoteReference"/>
          <w:szCs w:val="22"/>
        </w:rPr>
        <w:footnoteReference w:id="2"/>
      </w:r>
      <w:r w:rsidR="001F6155">
        <w:rPr>
          <w:szCs w:val="22"/>
        </w:rPr>
        <w:t xml:space="preserve"> as well as the need to follow Tribal </w:t>
      </w:r>
      <w:r w:rsidR="006C6143">
        <w:rPr>
          <w:szCs w:val="22"/>
        </w:rPr>
        <w:t>g</w:t>
      </w:r>
      <w:r w:rsidR="001F6155">
        <w:rPr>
          <w:szCs w:val="22"/>
        </w:rPr>
        <w:t>overnment approval processes</w:t>
      </w:r>
      <w:r w:rsidR="00B23927">
        <w:rPr>
          <w:szCs w:val="22"/>
        </w:rPr>
        <w:t xml:space="preserve">.  </w:t>
      </w:r>
      <w:r w:rsidR="00F6541A">
        <w:rPr>
          <w:szCs w:val="22"/>
        </w:rPr>
        <w:t xml:space="preserve">SRTI </w:t>
      </w:r>
      <w:r w:rsidR="00D47F43">
        <w:rPr>
          <w:szCs w:val="22"/>
        </w:rPr>
        <w:t>request</w:t>
      </w:r>
      <w:r w:rsidR="00ED7C3C">
        <w:rPr>
          <w:szCs w:val="22"/>
        </w:rPr>
        <w:t>s</w:t>
      </w:r>
      <w:r w:rsidR="00D47F43">
        <w:rPr>
          <w:szCs w:val="22"/>
        </w:rPr>
        <w:t xml:space="preserve"> a four-week extension of time to file</w:t>
      </w:r>
      <w:r w:rsidR="00F6541A">
        <w:rPr>
          <w:szCs w:val="22"/>
        </w:rPr>
        <w:t xml:space="preserve"> its bank commitment letter</w:t>
      </w:r>
      <w:r w:rsidR="00F0575E">
        <w:rPr>
          <w:szCs w:val="22"/>
        </w:rPr>
        <w:t>.  After filing the</w:t>
      </w:r>
      <w:r w:rsidR="00ED7C3C">
        <w:rPr>
          <w:szCs w:val="22"/>
        </w:rPr>
        <w:t xml:space="preserve"> request</w:t>
      </w:r>
      <w:r w:rsidR="00D47F43">
        <w:rPr>
          <w:szCs w:val="22"/>
        </w:rPr>
        <w:t xml:space="preserve">, </w:t>
      </w:r>
      <w:r w:rsidR="00ED7C3C">
        <w:rPr>
          <w:szCs w:val="22"/>
        </w:rPr>
        <w:t>SRTI</w:t>
      </w:r>
      <w:r w:rsidR="00D47F43">
        <w:rPr>
          <w:szCs w:val="22"/>
        </w:rPr>
        <w:t xml:space="preserve"> submitted the required letter </w:t>
      </w:r>
      <w:r w:rsidR="00F0575E">
        <w:rPr>
          <w:szCs w:val="22"/>
        </w:rPr>
        <w:t xml:space="preserve">by </w:t>
      </w:r>
      <w:r w:rsidR="003B4208">
        <w:rPr>
          <w:szCs w:val="22"/>
        </w:rPr>
        <w:t>its requested deadline</w:t>
      </w:r>
      <w:r w:rsidR="00D47F43">
        <w:rPr>
          <w:szCs w:val="22"/>
        </w:rPr>
        <w:t>.</w:t>
      </w:r>
      <w:r w:rsidR="00F6541A">
        <w:rPr>
          <w:szCs w:val="22"/>
        </w:rPr>
        <w:t xml:space="preserve"> </w:t>
      </w:r>
      <w:r w:rsidR="00ED7C3C">
        <w:rPr>
          <w:szCs w:val="22"/>
        </w:rPr>
        <w:t xml:space="preserve"> </w:t>
      </w:r>
      <w:r w:rsidR="00B23927">
        <w:rPr>
          <w:szCs w:val="22"/>
        </w:rPr>
        <w:t>For the reasons set forth below, we grant</w:t>
      </w:r>
      <w:r w:rsidR="00F6541A">
        <w:rPr>
          <w:szCs w:val="22"/>
        </w:rPr>
        <w:t xml:space="preserve"> SRTI’s </w:t>
      </w:r>
      <w:r w:rsidR="00B23927">
        <w:rPr>
          <w:szCs w:val="22"/>
        </w:rPr>
        <w:t>request.</w:t>
      </w:r>
    </w:p>
    <w:p w:rsidR="00A94B4F" w:rsidRDefault="00A94B4F">
      <w:pPr>
        <w:pStyle w:val="Heading1"/>
        <w:rPr>
          <w:szCs w:val="22"/>
        </w:rPr>
      </w:pPr>
      <w:r>
        <w:rPr>
          <w:szCs w:val="22"/>
        </w:rPr>
        <w:t>Background</w:t>
      </w:r>
    </w:p>
    <w:p w:rsidR="00072154" w:rsidRPr="00EB240C" w:rsidRDefault="00AF77AF">
      <w:pPr>
        <w:pStyle w:val="ParaNum"/>
      </w:pPr>
      <w:r w:rsidRPr="00E04139">
        <w:rPr>
          <w:i/>
        </w:rPr>
        <w:t>Mobility Fund</w:t>
      </w:r>
      <w:r w:rsidR="00072154" w:rsidRPr="00E04139">
        <w:rPr>
          <w:i/>
        </w:rPr>
        <w:t xml:space="preserve"> Phase I</w:t>
      </w:r>
      <w:r w:rsidRPr="00E04139">
        <w:t xml:space="preserve">.  </w:t>
      </w:r>
      <w:r w:rsidR="00072154" w:rsidRPr="00E04139">
        <w:t xml:space="preserve">SRTI’s request arises out of its status </w:t>
      </w:r>
      <w:r w:rsidR="00D12902" w:rsidRPr="00E04139">
        <w:t xml:space="preserve">as </w:t>
      </w:r>
      <w:r w:rsidR="00072154" w:rsidRPr="00E04139">
        <w:t xml:space="preserve">a winning bidder in </w:t>
      </w:r>
      <w:r w:rsidR="00D47F43" w:rsidRPr="00E04139">
        <w:t>the Commission’s first a</w:t>
      </w:r>
      <w:r w:rsidR="00072154" w:rsidRPr="00E04139">
        <w:t>uction of Mobility Fund Phase I support</w:t>
      </w:r>
      <w:r w:rsidR="00D47F43" w:rsidRPr="00E04139">
        <w:t xml:space="preserve">, </w:t>
      </w:r>
      <w:r w:rsidR="00D47F43" w:rsidRPr="00EB240C">
        <w:t xml:space="preserve">which </w:t>
      </w:r>
      <w:r w:rsidR="00D47F43" w:rsidRPr="00946297">
        <w:t>was designated Auction 901</w:t>
      </w:r>
      <w:r w:rsidR="00072154" w:rsidRPr="00EB240C">
        <w:t xml:space="preserve">. </w:t>
      </w:r>
    </w:p>
    <w:p w:rsidR="00C73C4F" w:rsidRDefault="00377CB8">
      <w:pPr>
        <w:pStyle w:val="ParaNum"/>
      </w:pPr>
      <w:r>
        <w:t>I</w:t>
      </w:r>
      <w:r w:rsidR="00A94B4F">
        <w:t xml:space="preserve">n the </w:t>
      </w:r>
      <w:r w:rsidR="00A94B4F">
        <w:rPr>
          <w:i/>
        </w:rPr>
        <w:t>USF/ICC Transformation Order</w:t>
      </w:r>
      <w:r w:rsidR="00A94B4F">
        <w:t xml:space="preserve">, the Commission comprehensively reformed and modernized </w:t>
      </w:r>
      <w:r w:rsidR="00C73C4F">
        <w:t>the universal service system to help ensure the universal availability of fixed and mobile communication networks capable of providing voice and broadband services where people live, work, and travel</w:t>
      </w:r>
      <w:r w:rsidR="00A94B4F">
        <w:t>.</w:t>
      </w:r>
      <w:r w:rsidR="00A94B4F">
        <w:rPr>
          <w:rStyle w:val="FootnoteReference"/>
        </w:rPr>
        <w:footnoteReference w:id="3"/>
      </w:r>
      <w:r w:rsidR="00A94B4F">
        <w:t xml:space="preserve">  </w:t>
      </w:r>
      <w:r w:rsidR="00C73C4F">
        <w:rPr>
          <w:color w:val="000000"/>
          <w:szCs w:val="22"/>
        </w:rPr>
        <w:t>The Commission’s universal service reforms include a commitment to fiscal responsibility, accountability, and the use of market-based mechanisms, such as competitive bidding, to provide more targeted and efficient support than in the past.</w:t>
      </w:r>
      <w:r w:rsidR="00387772">
        <w:rPr>
          <w:rStyle w:val="FootnoteReference"/>
          <w:color w:val="000000"/>
          <w:szCs w:val="22"/>
        </w:rPr>
        <w:footnoteReference w:id="4"/>
      </w:r>
      <w:r w:rsidR="00C73C4F">
        <w:t xml:space="preserve">  For the first time, the Commission established a universal </w:t>
      </w:r>
      <w:r w:rsidR="00C73C4F">
        <w:lastRenderedPageBreak/>
        <w:t>service support mechanism dedicated exclusively to mobile services—the Mobility Fund.</w:t>
      </w:r>
      <w:r w:rsidR="00A94B4F">
        <w:rPr>
          <w:rStyle w:val="FootnoteReference"/>
        </w:rPr>
        <w:footnoteReference w:id="5"/>
      </w:r>
      <w:r w:rsidR="00072154">
        <w:t xml:space="preserve">  </w:t>
      </w:r>
      <w:r w:rsidR="00AB22DD">
        <w:t>In Phase I</w:t>
      </w:r>
      <w:r w:rsidR="001B073D">
        <w:t xml:space="preserve"> of the Mobility Fund</w:t>
      </w:r>
      <w:r w:rsidR="00AB22DD">
        <w:t>, the Commission set aside</w:t>
      </w:r>
      <w:r w:rsidR="00705D91">
        <w:t xml:space="preserve"> up to</w:t>
      </w:r>
      <w:r w:rsidR="00AB22DD">
        <w:t xml:space="preserve"> $300 million in one-time high-cost universal service support to carriers that committed to provide 3G or better mobile voice and broadband services in areas nationwide where such services were unavailable.</w:t>
      </w:r>
      <w:r w:rsidR="00AB22DD">
        <w:rPr>
          <w:rStyle w:val="FootnoteReference"/>
        </w:rPr>
        <w:footnoteReference w:id="6"/>
      </w:r>
      <w:r w:rsidR="00AB22DD">
        <w:t xml:space="preserve">  The Commission decided that Phase I funding would be awarded through a reverse auction mechanism and delegated to the Wireless Telecommunications Bureau </w:t>
      </w:r>
      <w:r w:rsidR="00EB240C">
        <w:t xml:space="preserve">and the Wireline Competition Bureau </w:t>
      </w:r>
      <w:r w:rsidR="00D53DE1">
        <w:t xml:space="preserve">(together, the Bureaus) </w:t>
      </w:r>
      <w:r w:rsidR="00AB22DD">
        <w:t>authority to implement this program.</w:t>
      </w:r>
      <w:r w:rsidR="00AB22DD">
        <w:rPr>
          <w:rStyle w:val="FootnoteReference"/>
        </w:rPr>
        <w:footnoteReference w:id="7"/>
      </w:r>
      <w:r w:rsidR="00AB22DD">
        <w:t xml:space="preserve">    </w:t>
      </w:r>
    </w:p>
    <w:p w:rsidR="00A94B4F" w:rsidRDefault="00705D91" w:rsidP="001B0171">
      <w:pPr>
        <w:pStyle w:val="ParaNum"/>
      </w:pPr>
      <w:r>
        <w:t xml:space="preserve">Bidding in </w:t>
      </w:r>
      <w:r w:rsidR="00C73C4F">
        <w:t xml:space="preserve">Auction 901 </w:t>
      </w:r>
      <w:r w:rsidR="00377CB8">
        <w:t>took place</w:t>
      </w:r>
      <w:r>
        <w:t xml:space="preserve"> </w:t>
      </w:r>
      <w:r w:rsidR="00C73C4F">
        <w:t>on September 27, 2012</w:t>
      </w:r>
      <w:r w:rsidR="00C73C4F" w:rsidRPr="00206D3E">
        <w:t>.</w:t>
      </w:r>
      <w:r w:rsidR="001B0171">
        <w:rPr>
          <w:rStyle w:val="FootnoteReference"/>
        </w:rPr>
        <w:footnoteReference w:id="8"/>
      </w:r>
      <w:r w:rsidR="00C73C4F" w:rsidRPr="00206D3E">
        <w:t xml:space="preserve"> </w:t>
      </w:r>
      <w:r w:rsidR="00C73C4F">
        <w:t xml:space="preserve"> </w:t>
      </w:r>
      <w:r w:rsidR="001E2826">
        <w:t>Winning bids</w:t>
      </w:r>
      <w:r w:rsidR="00C73C4F" w:rsidRPr="00206D3E">
        <w:t xml:space="preserve"> were </w:t>
      </w:r>
      <w:r w:rsidR="001E2826">
        <w:t xml:space="preserve">placed by </w:t>
      </w:r>
      <w:r w:rsidR="00C73C4F" w:rsidRPr="00206D3E">
        <w:t>33 bidders</w:t>
      </w:r>
      <w:r w:rsidR="001E2826">
        <w:t>,</w:t>
      </w:r>
      <w:r w:rsidR="00C73C4F" w:rsidRPr="00206D3E">
        <w:t xml:space="preserve"> </w:t>
      </w:r>
      <w:r w:rsidR="001E2826">
        <w:t xml:space="preserve">who </w:t>
      </w:r>
      <w:r w:rsidR="000450CC">
        <w:t xml:space="preserve">were </w:t>
      </w:r>
      <w:r w:rsidR="001E2826">
        <w:t xml:space="preserve">eligible to receive </w:t>
      </w:r>
      <w:r w:rsidR="00C73C4F" w:rsidRPr="00206D3E">
        <w:t>a total of $299,998,632</w:t>
      </w:r>
      <w:r w:rsidR="00C73C4F">
        <w:t xml:space="preserve"> </w:t>
      </w:r>
      <w:r w:rsidR="00C73C4F" w:rsidRPr="00206D3E">
        <w:t>in one-time Mobility Fund Phase</w:t>
      </w:r>
      <w:r w:rsidR="00C73C4F">
        <w:t> </w:t>
      </w:r>
      <w:r w:rsidR="00C73C4F" w:rsidRPr="00206D3E">
        <w:t>I universal service support.</w:t>
      </w:r>
      <w:r w:rsidR="00C73C4F">
        <w:rPr>
          <w:rStyle w:val="FootnoteReference"/>
        </w:rPr>
        <w:footnoteReference w:id="9"/>
      </w:r>
      <w:r w:rsidR="001B0171">
        <w:t xml:space="preserve">  </w:t>
      </w:r>
      <w:r w:rsidR="00A94B4F">
        <w:t xml:space="preserve">Winning </w:t>
      </w:r>
      <w:r w:rsidR="001B0171">
        <w:t>bidders</w:t>
      </w:r>
      <w:r w:rsidR="008F3F7A">
        <w:t>, such as SRTI,</w:t>
      </w:r>
      <w:r w:rsidR="001B0171">
        <w:t xml:space="preserve"> were required to</w:t>
      </w:r>
      <w:r w:rsidR="00A94B4F">
        <w:t xml:space="preserve"> submit </w:t>
      </w:r>
      <w:r w:rsidR="00BD179C">
        <w:t xml:space="preserve">FCC </w:t>
      </w:r>
      <w:r w:rsidR="001B0171">
        <w:t>Form 680, the</w:t>
      </w:r>
      <w:r w:rsidR="00A94B4F">
        <w:t xml:space="preserve"> post-auction long-form application</w:t>
      </w:r>
      <w:r w:rsidR="001B0171">
        <w:t>,</w:t>
      </w:r>
      <w:r w:rsidR="00A94B4F">
        <w:t xml:space="preserve"> </w:t>
      </w:r>
      <w:r w:rsidR="001B073D">
        <w:t>by</w:t>
      </w:r>
      <w:r w:rsidR="00A94B4F">
        <w:t xml:space="preserve"> November 5, 2012.</w:t>
      </w:r>
      <w:r w:rsidR="00A94B4F">
        <w:rPr>
          <w:rStyle w:val="FootnoteReference"/>
        </w:rPr>
        <w:footnoteReference w:id="10"/>
      </w:r>
      <w:r w:rsidR="00A94B4F">
        <w:t xml:space="preserve">  </w:t>
      </w:r>
    </w:p>
    <w:p w:rsidR="00A94B4F" w:rsidRDefault="00865C58">
      <w:pPr>
        <w:pStyle w:val="ParaNum"/>
      </w:pPr>
      <w:r>
        <w:rPr>
          <w:rFonts w:ascii="Times" w:hAnsi="Times"/>
          <w:i/>
        </w:rPr>
        <w:t xml:space="preserve">Bank Commitment Letter for </w:t>
      </w:r>
      <w:r w:rsidR="00A960D9">
        <w:rPr>
          <w:rFonts w:ascii="Times" w:hAnsi="Times"/>
          <w:i/>
        </w:rPr>
        <w:t>Long-form Application</w:t>
      </w:r>
      <w:r w:rsidR="00AF77AF">
        <w:rPr>
          <w:rFonts w:ascii="Times" w:hAnsi="Times"/>
        </w:rPr>
        <w:t xml:space="preserve">.  </w:t>
      </w:r>
      <w:r w:rsidR="00A94B4F">
        <w:rPr>
          <w:rFonts w:ascii="Times" w:hAnsi="Times"/>
        </w:rPr>
        <w:t xml:space="preserve">In the </w:t>
      </w:r>
      <w:r w:rsidR="00C73C4F">
        <w:rPr>
          <w:rFonts w:ascii="Times" w:hAnsi="Times"/>
          <w:i/>
        </w:rPr>
        <w:t>USF/</w:t>
      </w:r>
      <w:r w:rsidR="00A94B4F">
        <w:rPr>
          <w:rFonts w:ascii="Times" w:hAnsi="Times"/>
          <w:i/>
        </w:rPr>
        <w:t>ICC Transformation Order</w:t>
      </w:r>
      <w:r w:rsidR="00A94B4F">
        <w:rPr>
          <w:rFonts w:ascii="Times" w:hAnsi="Times"/>
        </w:rPr>
        <w:t xml:space="preserve">, the Commission decided that winning bidders in </w:t>
      </w:r>
      <w:r>
        <w:rPr>
          <w:rFonts w:ascii="Times" w:hAnsi="Times"/>
        </w:rPr>
        <w:t>a</w:t>
      </w:r>
      <w:r w:rsidR="00A94B4F">
        <w:rPr>
          <w:rFonts w:ascii="Times" w:hAnsi="Times"/>
        </w:rPr>
        <w:t xml:space="preserve"> Phase I reverse auction should be required to post </w:t>
      </w:r>
      <w:r w:rsidR="00E51923">
        <w:rPr>
          <w:rFonts w:ascii="Times" w:hAnsi="Times"/>
        </w:rPr>
        <w:t>l</w:t>
      </w:r>
      <w:r w:rsidR="001B073D">
        <w:rPr>
          <w:rFonts w:ascii="Times" w:hAnsi="Times"/>
        </w:rPr>
        <w:t xml:space="preserve">etters of </w:t>
      </w:r>
      <w:r w:rsidR="00E51923">
        <w:rPr>
          <w:rFonts w:ascii="Times" w:hAnsi="Times"/>
        </w:rPr>
        <w:t>c</w:t>
      </w:r>
      <w:r w:rsidR="001B073D">
        <w:rPr>
          <w:rFonts w:ascii="Times" w:hAnsi="Times"/>
        </w:rPr>
        <w:t>redit (</w:t>
      </w:r>
      <w:r w:rsidR="00A94B4F">
        <w:rPr>
          <w:rFonts w:ascii="Times" w:hAnsi="Times"/>
        </w:rPr>
        <w:t>LOCs</w:t>
      </w:r>
      <w:r w:rsidR="001B073D">
        <w:rPr>
          <w:rFonts w:ascii="Times" w:hAnsi="Times"/>
        </w:rPr>
        <w:t>)</w:t>
      </w:r>
      <w:r w:rsidR="00A94B4F">
        <w:rPr>
          <w:rFonts w:ascii="Times" w:hAnsi="Times"/>
        </w:rPr>
        <w:t xml:space="preserve"> as financial security prior to being authorized to receive Mobility Fund support.</w:t>
      </w:r>
      <w:r w:rsidR="00A94B4F">
        <w:rPr>
          <w:rStyle w:val="FootnoteReference"/>
          <w:rFonts w:ascii="Times" w:hAnsi="Times"/>
        </w:rPr>
        <w:footnoteReference w:id="11"/>
      </w:r>
      <w:r w:rsidR="00A94B4F">
        <w:rPr>
          <w:rFonts w:ascii="Times" w:hAnsi="Times"/>
        </w:rPr>
        <w:t xml:space="preserve">  The Commission </w:t>
      </w:r>
      <w:r w:rsidR="009715AB">
        <w:rPr>
          <w:rFonts w:ascii="Times" w:hAnsi="Times"/>
        </w:rPr>
        <w:t xml:space="preserve">concluded </w:t>
      </w:r>
      <w:r w:rsidR="00A94B4F">
        <w:rPr>
          <w:rFonts w:ascii="Times" w:hAnsi="Times"/>
        </w:rPr>
        <w:t>that such an instrument would protect the government’s interest in the funds it disburses in Mobility Fund Phase I.</w:t>
      </w:r>
      <w:r w:rsidR="00A94B4F">
        <w:rPr>
          <w:rStyle w:val="FootnoteReference"/>
          <w:rFonts w:ascii="Times" w:hAnsi="Times"/>
        </w:rPr>
        <w:footnoteReference w:id="12"/>
      </w:r>
      <w:r w:rsidR="00A94B4F">
        <w:rPr>
          <w:rFonts w:ascii="Times" w:hAnsi="Times"/>
        </w:rPr>
        <w:t xml:space="preserve">  The Commission decided that </w:t>
      </w:r>
      <w:r w:rsidR="00A94B4F">
        <w:t xml:space="preserve">an </w:t>
      </w:r>
      <w:r w:rsidR="00A94B4F">
        <w:rPr>
          <w:rFonts w:ascii="TimesNewRomanPSMT" w:hAnsi="TimesNewRomanPSMT" w:cs="TimesNewRomanPSMT"/>
          <w:szCs w:val="22"/>
        </w:rPr>
        <w:t>irrevocable stand-by LOC</w:t>
      </w:r>
      <w:r w:rsidR="00A94B4F">
        <w:rPr>
          <w:rFonts w:ascii="TimesNewRomanPSMT" w:hAnsi="TimesNewRomanPSMT" w:cs="TimesNewRomanPSMT"/>
          <w:sz w:val="14"/>
          <w:szCs w:val="14"/>
        </w:rPr>
        <w:t xml:space="preserve"> </w:t>
      </w:r>
      <w:r w:rsidR="00A94B4F">
        <w:rPr>
          <w:rFonts w:ascii="TimesNewRomanPSMT" w:hAnsi="TimesNewRomanPSMT" w:cs="TimesNewRomanPSMT"/>
          <w:szCs w:val="22"/>
        </w:rPr>
        <w:t>would be the best financial instrument to minimize the possibility that Mobility Fund support would become property of a recipient’s bankruptcy estate, thereby preventing the funds from being used promptly to accomplish the Mobility Fund’s goals.</w:t>
      </w:r>
      <w:r w:rsidR="00A94B4F">
        <w:rPr>
          <w:rStyle w:val="FootnoteReference"/>
          <w:rFonts w:ascii="TimesNewRomanPSMT" w:hAnsi="TimesNewRomanPSMT" w:cs="TimesNewRomanPSMT"/>
          <w:szCs w:val="22"/>
        </w:rPr>
        <w:footnoteReference w:id="13"/>
      </w:r>
      <w:r w:rsidR="009273BB">
        <w:rPr>
          <w:rFonts w:ascii="TimesNewRomanPSMT" w:hAnsi="TimesNewRomanPSMT" w:cs="TimesNewRomanPSMT"/>
          <w:szCs w:val="22"/>
        </w:rPr>
        <w:t xml:space="preserve">  </w:t>
      </w:r>
      <w:r w:rsidR="00687038">
        <w:t xml:space="preserve">Accordingly, as part of the long-form application, a winning bidder must </w:t>
      </w:r>
      <w:r w:rsidR="00BF7055">
        <w:t>submit</w:t>
      </w:r>
      <w:r w:rsidR="00687038">
        <w:t xml:space="preserve"> </w:t>
      </w:r>
      <w:r w:rsidR="00BD179C">
        <w:t xml:space="preserve">from a bank that is acceptable to the Commission </w:t>
      </w:r>
      <w:r w:rsidR="00687038">
        <w:t>either an LOC for each winning bid, or a written commitment letter to issue such an LOC.</w:t>
      </w:r>
      <w:r w:rsidR="00687038">
        <w:rPr>
          <w:rStyle w:val="FootnoteReference"/>
        </w:rPr>
        <w:footnoteReference w:id="14"/>
      </w:r>
      <w:r w:rsidR="00A94B4F">
        <w:t xml:space="preserve">  Section 54.1007(a)(1) of the rules </w:t>
      </w:r>
      <w:r w:rsidR="000E75EA">
        <w:t>provide</w:t>
      </w:r>
      <w:r w:rsidR="006A6A89">
        <w:t>s</w:t>
      </w:r>
      <w:r w:rsidR="000E75EA">
        <w:t xml:space="preserve"> the criteria</w:t>
      </w:r>
      <w:r w:rsidR="00A94B4F">
        <w:t xml:space="preserve"> </w:t>
      </w:r>
      <w:r w:rsidR="000E75EA">
        <w:t xml:space="preserve">for what is </w:t>
      </w:r>
      <w:r w:rsidR="00A94B4F">
        <w:t xml:space="preserve">an acceptable </w:t>
      </w:r>
      <w:r w:rsidR="00A94B4F" w:rsidRPr="002405D4">
        <w:t>bank</w:t>
      </w:r>
      <w:r w:rsidR="00A94B4F">
        <w:t>.</w:t>
      </w:r>
      <w:r w:rsidR="00A94B4F">
        <w:rPr>
          <w:rStyle w:val="FootnoteReference"/>
        </w:rPr>
        <w:footnoteReference w:id="15"/>
      </w:r>
    </w:p>
    <w:p w:rsidR="00A94B4F" w:rsidRDefault="00AF77AF">
      <w:pPr>
        <w:pStyle w:val="ParaNum"/>
      </w:pPr>
      <w:r w:rsidRPr="00AF77AF">
        <w:rPr>
          <w:i/>
        </w:rPr>
        <w:t>SRTI</w:t>
      </w:r>
      <w:r w:rsidR="00A13E65">
        <w:rPr>
          <w:i/>
        </w:rPr>
        <w:t xml:space="preserve"> Request for Extension</w:t>
      </w:r>
      <w:r>
        <w:t xml:space="preserve">.  </w:t>
      </w:r>
      <w:r w:rsidR="003914B5">
        <w:t xml:space="preserve">SRTI is a wireless carrier </w:t>
      </w:r>
      <w:r w:rsidR="009E3323">
        <w:t>that is 100% owned by</w:t>
      </w:r>
      <w:r w:rsidR="003914B5">
        <w:t xml:space="preserve"> the Standing Rock Sioux Tribe</w:t>
      </w:r>
      <w:r w:rsidR="00C3604C">
        <w:t>, a federally recognized Tribal Nation</w:t>
      </w:r>
      <w:r w:rsidR="003914B5">
        <w:t>.</w:t>
      </w:r>
      <w:r w:rsidR="003914B5">
        <w:rPr>
          <w:rStyle w:val="FootnoteReference"/>
        </w:rPr>
        <w:footnoteReference w:id="16"/>
      </w:r>
      <w:r w:rsidR="003914B5">
        <w:t xml:space="preserve">  In Auction 901, SRTI submitted four winning bids for $3,320,527.21 in total assigned support for </w:t>
      </w:r>
      <w:r w:rsidR="00970C96">
        <w:t>eligible areas</w:t>
      </w:r>
      <w:r w:rsidR="00B607D9">
        <w:t xml:space="preserve"> </w:t>
      </w:r>
      <w:r w:rsidR="00297857">
        <w:t>within</w:t>
      </w:r>
      <w:r w:rsidR="00B607D9">
        <w:t xml:space="preserve"> </w:t>
      </w:r>
      <w:r w:rsidR="00D16F8B">
        <w:t xml:space="preserve">the </w:t>
      </w:r>
      <w:r w:rsidR="00B607D9">
        <w:t xml:space="preserve">Standing Rock </w:t>
      </w:r>
      <w:r w:rsidR="00937DC3">
        <w:t xml:space="preserve">Sioux </w:t>
      </w:r>
      <w:r w:rsidR="00D16F8B">
        <w:t>Reservation</w:t>
      </w:r>
      <w:r w:rsidR="003914B5">
        <w:t>.</w:t>
      </w:r>
      <w:r w:rsidR="003914B5">
        <w:rPr>
          <w:rStyle w:val="FootnoteReference"/>
        </w:rPr>
        <w:footnoteReference w:id="17"/>
      </w:r>
      <w:r w:rsidR="003914B5">
        <w:t xml:space="preserve">  On November 5, 2012, </w:t>
      </w:r>
      <w:r w:rsidR="008164DE">
        <w:t xml:space="preserve">SRTI timely filed its FCC Form 680, including all of the required attachments except for one—the </w:t>
      </w:r>
      <w:r w:rsidR="001B739F">
        <w:t xml:space="preserve">required </w:t>
      </w:r>
      <w:r w:rsidR="008164DE">
        <w:t>LOC</w:t>
      </w:r>
      <w:r w:rsidR="001B739F">
        <w:t>s</w:t>
      </w:r>
      <w:r w:rsidR="008164DE">
        <w:t xml:space="preserve"> or </w:t>
      </w:r>
      <w:r w:rsidR="001B739F">
        <w:t xml:space="preserve">an </w:t>
      </w:r>
      <w:r w:rsidR="008164DE">
        <w:t xml:space="preserve">LOC commitment letter.  On the same date, </w:t>
      </w:r>
      <w:r w:rsidR="003914B5">
        <w:t xml:space="preserve">SRTI filed </w:t>
      </w:r>
      <w:r w:rsidR="00A13E65">
        <w:t xml:space="preserve">its request for </w:t>
      </w:r>
      <w:r w:rsidR="003914B5">
        <w:t xml:space="preserve">a </w:t>
      </w:r>
      <w:r w:rsidR="006C6143">
        <w:t>four</w:t>
      </w:r>
      <w:r w:rsidR="00A13E65">
        <w:t>-we</w:t>
      </w:r>
      <w:r w:rsidR="008F3F7A">
        <w:t>e</w:t>
      </w:r>
      <w:r w:rsidR="00A13E65">
        <w:t xml:space="preserve">k extension </w:t>
      </w:r>
      <w:r w:rsidR="003914B5">
        <w:t xml:space="preserve">of </w:t>
      </w:r>
      <w:r w:rsidR="00A13E65">
        <w:t xml:space="preserve">time to meet the </w:t>
      </w:r>
      <w:r w:rsidR="003914B5">
        <w:t xml:space="preserve">LOC </w:t>
      </w:r>
      <w:r w:rsidR="00A13E65">
        <w:t>requirement</w:t>
      </w:r>
      <w:r w:rsidR="003914B5">
        <w:t>.</w:t>
      </w:r>
    </w:p>
    <w:p w:rsidR="00510462" w:rsidRDefault="00510462" w:rsidP="00510462">
      <w:pPr>
        <w:pStyle w:val="ParaNum"/>
      </w:pPr>
      <w:r>
        <w:t xml:space="preserve">In its petition, SRTI states that </w:t>
      </w:r>
      <w:r w:rsidR="001B739F">
        <w:t xml:space="preserve">as of November 5, 2012, </w:t>
      </w:r>
      <w:r>
        <w:t xml:space="preserve">it </w:t>
      </w:r>
      <w:r w:rsidR="001B739F">
        <w:t xml:space="preserve">had </w:t>
      </w:r>
      <w:r>
        <w:t xml:space="preserve">made inquiries with </w:t>
      </w:r>
      <w:r w:rsidR="00D06DCC">
        <w:t xml:space="preserve">acceptable </w:t>
      </w:r>
      <w:r>
        <w:t xml:space="preserve">banks </w:t>
      </w:r>
      <w:r w:rsidR="00E541FB">
        <w:t>to secure</w:t>
      </w:r>
      <w:r>
        <w:t xml:space="preserve"> a letter of commitment and </w:t>
      </w:r>
      <w:r w:rsidR="001B739F">
        <w:t xml:space="preserve">the </w:t>
      </w:r>
      <w:r>
        <w:t>LOCs for each of its four winning bids.</w:t>
      </w:r>
      <w:r w:rsidR="00DF6A43">
        <w:rPr>
          <w:rStyle w:val="FootnoteReference"/>
        </w:rPr>
        <w:footnoteReference w:id="18"/>
      </w:r>
      <w:r>
        <w:t xml:space="preserve">  However, SRTI notes that </w:t>
      </w:r>
      <w:r w:rsidR="00970C96">
        <w:t xml:space="preserve">as a </w:t>
      </w:r>
      <w:r w:rsidR="00C15115">
        <w:t>Tribally-owned entit</w:t>
      </w:r>
      <w:r w:rsidR="00970C96">
        <w:t>y</w:t>
      </w:r>
      <w:r w:rsidR="003550D1">
        <w:t xml:space="preserve"> </w:t>
      </w:r>
      <w:r w:rsidR="00C15115">
        <w:t xml:space="preserve">operating on a Reservation, </w:t>
      </w:r>
      <w:r w:rsidR="00DA7E64">
        <w:t xml:space="preserve">it </w:t>
      </w:r>
      <w:r w:rsidR="00C15115">
        <w:t>face</w:t>
      </w:r>
      <w:r w:rsidR="00970C96">
        <w:t>s</w:t>
      </w:r>
      <w:r>
        <w:t xml:space="preserve"> significant additional complexities in arranging financing</w:t>
      </w:r>
      <w:r w:rsidR="00E541FB">
        <w:t xml:space="preserve"> and banking relationships</w:t>
      </w:r>
      <w:r>
        <w:t>.</w:t>
      </w:r>
      <w:r w:rsidR="00DF6A43">
        <w:rPr>
          <w:rStyle w:val="FootnoteReference"/>
        </w:rPr>
        <w:footnoteReference w:id="19"/>
      </w:r>
      <w:r>
        <w:t xml:space="preserve">  SRTI </w:t>
      </w:r>
      <w:r w:rsidR="00970C96">
        <w:t xml:space="preserve">asserts </w:t>
      </w:r>
      <w:r>
        <w:t xml:space="preserve">that many banks, including those that are considered </w:t>
      </w:r>
      <w:r w:rsidR="00DE5A45">
        <w:t>ac</w:t>
      </w:r>
      <w:r w:rsidR="006A6A89">
        <w:t>ceptable</w:t>
      </w:r>
      <w:r>
        <w:t xml:space="preserve"> banks </w:t>
      </w:r>
      <w:r w:rsidR="007956EE">
        <w:t>under the Commission’s rules</w:t>
      </w:r>
      <w:r>
        <w:t xml:space="preserve">, are unfamiliar with the special rules pertaining to Tribal jurisdiction and the administration of trust lands in Indian </w:t>
      </w:r>
      <w:r w:rsidR="00C3604C">
        <w:t>C</w:t>
      </w:r>
      <w:r>
        <w:t>ountry.</w:t>
      </w:r>
      <w:r w:rsidR="00DF6A43">
        <w:rPr>
          <w:rStyle w:val="FootnoteReference"/>
        </w:rPr>
        <w:footnoteReference w:id="20"/>
      </w:r>
      <w:r>
        <w:t xml:space="preserve">  </w:t>
      </w:r>
      <w:r w:rsidR="00356172">
        <w:t xml:space="preserve">SRTI explains that </w:t>
      </w:r>
      <w:r>
        <w:t xml:space="preserve">many of these </w:t>
      </w:r>
      <w:r w:rsidR="00D06DCC">
        <w:t xml:space="preserve">acceptable </w:t>
      </w:r>
      <w:r>
        <w:t>banks</w:t>
      </w:r>
      <w:r w:rsidR="00720424">
        <w:t xml:space="preserve"> </w:t>
      </w:r>
      <w:r>
        <w:t xml:space="preserve">do not regularly provide banking services to Tribal entities, </w:t>
      </w:r>
      <w:r w:rsidR="00C95965">
        <w:t xml:space="preserve">which </w:t>
      </w:r>
      <w:r>
        <w:t>prolongs and complicates the financing approval process.</w:t>
      </w:r>
      <w:r w:rsidR="00DF6A43">
        <w:rPr>
          <w:rStyle w:val="FootnoteReference"/>
        </w:rPr>
        <w:footnoteReference w:id="21"/>
      </w:r>
      <w:r>
        <w:t xml:space="preserve">  </w:t>
      </w:r>
      <w:r w:rsidR="00BF6608">
        <w:t>SRTI f</w:t>
      </w:r>
      <w:r w:rsidR="00A07AFE">
        <w:t xml:space="preserve">urther </w:t>
      </w:r>
      <w:r w:rsidR="00BF6608">
        <w:t>asserts that</w:t>
      </w:r>
      <w:r w:rsidR="008F3F7A">
        <w:t xml:space="preserve"> </w:t>
      </w:r>
      <w:r w:rsidR="00A07AFE">
        <w:t>some</w:t>
      </w:r>
      <w:r>
        <w:t xml:space="preserve"> banks </w:t>
      </w:r>
      <w:r w:rsidR="00FB76AB">
        <w:t>“</w:t>
      </w:r>
      <w:r>
        <w:t xml:space="preserve">impose </w:t>
      </w:r>
      <w:r w:rsidRPr="00356172">
        <w:t>substantial hurdles</w:t>
      </w:r>
      <w:r>
        <w:t xml:space="preserve"> on Tribal borrowers</w:t>
      </w:r>
      <w:r w:rsidR="004C2E1B">
        <w:t>,” although SRTI does not describe those hurdles</w:t>
      </w:r>
      <w:r>
        <w:t>.</w:t>
      </w:r>
      <w:r w:rsidR="00A07AFE">
        <w:rPr>
          <w:rStyle w:val="FootnoteReference"/>
        </w:rPr>
        <w:footnoteReference w:id="22"/>
      </w:r>
    </w:p>
    <w:p w:rsidR="007E64B9" w:rsidRDefault="007E64B9" w:rsidP="00510462">
      <w:pPr>
        <w:pStyle w:val="ParaNum"/>
      </w:pPr>
      <w:r>
        <w:t>SRTI also expla</w:t>
      </w:r>
      <w:r w:rsidR="00E541FB">
        <w:t>ins that it must follow Tribal g</w:t>
      </w:r>
      <w:r>
        <w:t xml:space="preserve">overnment processes to obtain </w:t>
      </w:r>
      <w:r w:rsidR="0009599E">
        <w:t xml:space="preserve">the Tribe’s approval to procure </w:t>
      </w:r>
      <w:r w:rsidR="00E541FB">
        <w:t xml:space="preserve">LOCs from </w:t>
      </w:r>
      <w:r w:rsidR="00D06DCC">
        <w:t>an acceptable</w:t>
      </w:r>
      <w:r w:rsidR="00E541FB">
        <w:t xml:space="preserve"> bank</w:t>
      </w:r>
      <w:r>
        <w:t>.</w:t>
      </w:r>
      <w:r w:rsidR="004F7932">
        <w:rPr>
          <w:rStyle w:val="FootnoteReference"/>
        </w:rPr>
        <w:footnoteReference w:id="23"/>
      </w:r>
      <w:r>
        <w:t xml:space="preserve">  SRTI</w:t>
      </w:r>
      <w:r w:rsidR="00937DC3">
        <w:t xml:space="preserve">’s petition </w:t>
      </w:r>
      <w:r w:rsidR="00DE5A45">
        <w:t>is accompanied by</w:t>
      </w:r>
      <w:r w:rsidR="00937DC3">
        <w:t xml:space="preserve"> a </w:t>
      </w:r>
      <w:r>
        <w:t xml:space="preserve">letter from </w:t>
      </w:r>
      <w:r w:rsidR="00937DC3">
        <w:t xml:space="preserve">Charles W. Murphy, Chairman of the Standing Rock Sioux Tribe.  Chairman Murphy explains that SRTI scheduled </w:t>
      </w:r>
      <w:r w:rsidR="004F7932">
        <w:t xml:space="preserve">a meeting </w:t>
      </w:r>
      <w:r w:rsidR="00937DC3">
        <w:t xml:space="preserve">with the appropriate Tribal </w:t>
      </w:r>
      <w:r w:rsidR="00C3604C">
        <w:t xml:space="preserve">Council </w:t>
      </w:r>
      <w:r w:rsidR="00937DC3">
        <w:t xml:space="preserve">subcommittee </w:t>
      </w:r>
      <w:r w:rsidR="004F7932">
        <w:t>in order to obtain the required approval</w:t>
      </w:r>
      <w:r w:rsidR="00937DC3">
        <w:t xml:space="preserve">; however, when </w:t>
      </w:r>
      <w:r w:rsidR="004F7932">
        <w:t>the</w:t>
      </w:r>
      <w:r w:rsidR="00937DC3">
        <w:t xml:space="preserve"> scheduled day arrived, the subcommittee was unable to meet and address SRTI’s LOC approval.</w:t>
      </w:r>
      <w:r w:rsidR="00A07AFE">
        <w:rPr>
          <w:rStyle w:val="FootnoteReference"/>
        </w:rPr>
        <w:footnoteReference w:id="24"/>
      </w:r>
      <w:r w:rsidR="00937DC3">
        <w:t xml:space="preserve">  Chairman Murphy indicates </w:t>
      </w:r>
      <w:r w:rsidR="00A07AFE">
        <w:t xml:space="preserve">that </w:t>
      </w:r>
      <w:r w:rsidR="00937DC3">
        <w:t xml:space="preserve">no Tribal Council meetings </w:t>
      </w:r>
      <w:r w:rsidR="00A07AFE">
        <w:t xml:space="preserve">that could have addressed SRTI’s </w:t>
      </w:r>
      <w:r w:rsidR="004A359F">
        <w:t xml:space="preserve">need for the </w:t>
      </w:r>
      <w:r w:rsidR="00A07AFE">
        <w:t>LOC</w:t>
      </w:r>
      <w:r w:rsidR="004A359F">
        <w:t>s</w:t>
      </w:r>
      <w:r w:rsidR="00A07AFE">
        <w:t xml:space="preserve"> </w:t>
      </w:r>
      <w:r w:rsidR="00C95965">
        <w:t>were scheduled to be</w:t>
      </w:r>
      <w:r w:rsidR="00937DC3">
        <w:t xml:space="preserve"> held </w:t>
      </w:r>
      <w:r w:rsidR="00C95965">
        <w:t xml:space="preserve">between </w:t>
      </w:r>
      <w:r w:rsidR="00937DC3">
        <w:t>the award of winning bids to SRTI</w:t>
      </w:r>
      <w:r w:rsidR="00A07AFE">
        <w:t xml:space="preserve"> and the November 5 long-form application deadline</w:t>
      </w:r>
      <w:r w:rsidR="00937DC3">
        <w:t>.</w:t>
      </w:r>
      <w:r w:rsidR="00A07AFE">
        <w:rPr>
          <w:rStyle w:val="FootnoteReference"/>
        </w:rPr>
        <w:footnoteReference w:id="25"/>
      </w:r>
      <w:r w:rsidR="00937DC3">
        <w:t xml:space="preserve">  SRTI </w:t>
      </w:r>
      <w:r w:rsidR="00F955DD">
        <w:t xml:space="preserve">planned </w:t>
      </w:r>
      <w:r w:rsidR="00937DC3">
        <w:t>to meet with the Tribal Council formally</w:t>
      </w:r>
      <w:r w:rsidR="004F7932">
        <w:t xml:space="preserve"> during a meeting scheduled in the </w:t>
      </w:r>
      <w:r w:rsidR="00A07AFE">
        <w:t>first full week of November</w:t>
      </w:r>
      <w:r w:rsidR="00B67389">
        <w:t>, which would allow</w:t>
      </w:r>
      <w:r w:rsidR="00A07AFE">
        <w:t xml:space="preserve"> </w:t>
      </w:r>
      <w:r w:rsidR="004F7932">
        <w:t>SRTI to go to the bank with the Tribe’s authorization to obtain the required LOCs.</w:t>
      </w:r>
      <w:r w:rsidR="00A07AFE">
        <w:rPr>
          <w:rStyle w:val="FootnoteReference"/>
        </w:rPr>
        <w:footnoteReference w:id="26"/>
      </w:r>
      <w:r w:rsidR="0009266B">
        <w:t xml:space="preserve">  </w:t>
      </w:r>
      <w:r w:rsidR="00B67389">
        <w:t xml:space="preserve">SRTI ultimately submitted its LOC commitment letter </w:t>
      </w:r>
      <w:r w:rsidR="00701507">
        <w:t xml:space="preserve">to the Commission </w:t>
      </w:r>
      <w:r w:rsidR="00B67389">
        <w:t xml:space="preserve">on December 3, 2012, within the </w:t>
      </w:r>
      <w:r w:rsidR="00791AD7">
        <w:t>extended</w:t>
      </w:r>
      <w:r w:rsidR="00B67389">
        <w:t xml:space="preserve"> time period</w:t>
      </w:r>
      <w:r w:rsidR="00791AD7">
        <w:t xml:space="preserve"> SRTI requested</w:t>
      </w:r>
      <w:r w:rsidR="00B67389">
        <w:t>.</w:t>
      </w:r>
    </w:p>
    <w:p w:rsidR="00361189" w:rsidRDefault="00361189" w:rsidP="00510462">
      <w:pPr>
        <w:pStyle w:val="ParaNum"/>
      </w:pPr>
      <w:r>
        <w:t xml:space="preserve">SRTI and Chairman Murphy note that granting the </w:t>
      </w:r>
      <w:r w:rsidR="009252A0">
        <w:t xml:space="preserve">waiver request would be consistent with the Commission’s broader policy of supporting Tribal efforts to expand the availability of telecommunications in Indian </w:t>
      </w:r>
      <w:r w:rsidR="00C3604C">
        <w:t>C</w:t>
      </w:r>
      <w:r w:rsidR="009252A0">
        <w:t>ountry.</w:t>
      </w:r>
      <w:r w:rsidR="00D45EFB">
        <w:rPr>
          <w:rStyle w:val="FootnoteReference"/>
        </w:rPr>
        <w:footnoteReference w:id="27"/>
      </w:r>
      <w:r w:rsidR="009252A0">
        <w:t xml:space="preserve">  SRTI states that the support from Mobility Fund Phase I will be the next significant step in promoting telephone and broadband penetration on the Reservation, which will provide benefits such as improved quality of service, increased consumer choice, </w:t>
      </w:r>
      <w:r w:rsidR="000E4A1D">
        <w:t xml:space="preserve">and </w:t>
      </w:r>
      <w:r w:rsidR="009252A0">
        <w:t xml:space="preserve">access to </w:t>
      </w:r>
      <w:r w:rsidR="000E4A1D">
        <w:t xml:space="preserve">reliable and affordable </w:t>
      </w:r>
      <w:r w:rsidR="009252A0">
        <w:t xml:space="preserve">communications services </w:t>
      </w:r>
      <w:r w:rsidR="000E4A1D">
        <w:t xml:space="preserve">throughout the Reservation, including </w:t>
      </w:r>
      <w:r w:rsidR="009252A0">
        <w:t>for public safety and emergency services</w:t>
      </w:r>
      <w:r w:rsidR="000E4A1D">
        <w:t>.</w:t>
      </w:r>
      <w:r w:rsidR="001168A3">
        <w:rPr>
          <w:rStyle w:val="FootnoteReference"/>
        </w:rPr>
        <w:footnoteReference w:id="28"/>
      </w:r>
    </w:p>
    <w:p w:rsidR="00A36CA6" w:rsidRDefault="00A36CA6" w:rsidP="00A36CA6">
      <w:pPr>
        <w:pStyle w:val="ParaNum"/>
      </w:pPr>
      <w:r w:rsidRPr="00A36CA6">
        <w:t>The Commission shares a historic federal trust relationship with federally recognized Tribes and has a longstanding policy of promoting Tribal self-sufficiency and economic development and of helping ensure that Tribes have adequate access to communications services</w:t>
      </w:r>
      <w:r>
        <w:t>.</w:t>
      </w:r>
      <w:r>
        <w:rPr>
          <w:rStyle w:val="FootnoteReference"/>
          <w:szCs w:val="22"/>
        </w:rPr>
        <w:footnoteReference w:id="29"/>
      </w:r>
      <w:r w:rsidRPr="00A36CA6">
        <w:t xml:space="preserve">  Tribal governments play a vital role in serving the needs and interests of their local communities, often in remote, low-income, and underserved regions of the country.  </w:t>
      </w:r>
    </w:p>
    <w:p w:rsidR="00A94B4F" w:rsidRDefault="00A94B4F">
      <w:pPr>
        <w:pStyle w:val="Heading1"/>
        <w:rPr>
          <w:szCs w:val="22"/>
        </w:rPr>
      </w:pPr>
      <w:r>
        <w:rPr>
          <w:szCs w:val="22"/>
        </w:rPr>
        <w:t>discussion</w:t>
      </w:r>
    </w:p>
    <w:p w:rsidR="00A94B4F" w:rsidRDefault="00A94B4F">
      <w:pPr>
        <w:pStyle w:val="ParaNum"/>
        <w:rPr>
          <w:szCs w:val="22"/>
        </w:rPr>
      </w:pPr>
      <w:r>
        <w:t xml:space="preserve">Based on </w:t>
      </w:r>
      <w:r w:rsidR="003E07CA">
        <w:t xml:space="preserve">the special circumstances presented </w:t>
      </w:r>
      <w:r w:rsidR="00D45EFB">
        <w:t>by SRTI</w:t>
      </w:r>
      <w:r w:rsidR="003E07CA">
        <w:t xml:space="preserve"> </w:t>
      </w:r>
      <w:r w:rsidR="00D45EFB">
        <w:t>and the Standing Rock Sioux Tribe</w:t>
      </w:r>
      <w:r>
        <w:t xml:space="preserve">, we find that </w:t>
      </w:r>
      <w:r w:rsidR="003E07CA">
        <w:t xml:space="preserve">allowing a </w:t>
      </w:r>
      <w:r w:rsidR="00B67389">
        <w:t>four-week</w:t>
      </w:r>
      <w:r w:rsidR="003E07CA">
        <w:t xml:space="preserve"> extension</w:t>
      </w:r>
      <w:r>
        <w:t xml:space="preserve"> </w:t>
      </w:r>
      <w:r w:rsidR="00B67389">
        <w:t xml:space="preserve">of time </w:t>
      </w:r>
      <w:r w:rsidR="003E07CA">
        <w:t xml:space="preserve">for submission of </w:t>
      </w:r>
      <w:r w:rsidR="00692628">
        <w:t>the required</w:t>
      </w:r>
      <w:r w:rsidR="003E07CA">
        <w:t xml:space="preserve"> LOC</w:t>
      </w:r>
      <w:r w:rsidR="00692628">
        <w:t>s</w:t>
      </w:r>
      <w:r>
        <w:t xml:space="preserve"> </w:t>
      </w:r>
      <w:r w:rsidR="003E07CA">
        <w:rPr>
          <w:szCs w:val="22"/>
        </w:rPr>
        <w:t>or a</w:t>
      </w:r>
      <w:r w:rsidR="00F05A79">
        <w:rPr>
          <w:szCs w:val="22"/>
        </w:rPr>
        <w:t>n</w:t>
      </w:r>
      <w:r w:rsidR="003E07CA">
        <w:rPr>
          <w:szCs w:val="22"/>
        </w:rPr>
        <w:t xml:space="preserve"> </w:t>
      </w:r>
      <w:r w:rsidR="00D45EFB">
        <w:rPr>
          <w:szCs w:val="22"/>
        </w:rPr>
        <w:t xml:space="preserve">LOC </w:t>
      </w:r>
      <w:r w:rsidR="003E07CA">
        <w:rPr>
          <w:szCs w:val="22"/>
        </w:rPr>
        <w:t xml:space="preserve">commitment letter </w:t>
      </w:r>
      <w:r>
        <w:t xml:space="preserve">will better serve the public interest than would strict adherence to the </w:t>
      </w:r>
      <w:r w:rsidR="00692628">
        <w:t>long-form application</w:t>
      </w:r>
      <w:r w:rsidR="003E07CA">
        <w:t xml:space="preserve"> deadline</w:t>
      </w:r>
      <w:r w:rsidR="0071601E">
        <w:t xml:space="preserve"> that was announced</w:t>
      </w:r>
      <w:r w:rsidR="00F30139">
        <w:t xml:space="preserve"> </w:t>
      </w:r>
      <w:r w:rsidR="000E4A1D">
        <w:t xml:space="preserve">by public notice </w:t>
      </w:r>
      <w:r w:rsidR="0071601E">
        <w:t xml:space="preserve">pursuant to </w:t>
      </w:r>
      <w:r w:rsidR="00F30139">
        <w:t>section</w:t>
      </w:r>
      <w:r w:rsidR="0071601E">
        <w:t> 54.1005(b)(1)</w:t>
      </w:r>
      <w:r w:rsidR="003E07CA">
        <w:t>.</w:t>
      </w:r>
      <w:r w:rsidR="00F30139">
        <w:rPr>
          <w:rStyle w:val="FootnoteReference"/>
        </w:rPr>
        <w:footnoteReference w:id="30"/>
      </w:r>
      <w:r w:rsidR="003E07CA">
        <w:t xml:space="preserve">  Therefore, we waive the </w:t>
      </w:r>
      <w:r w:rsidR="0037197A">
        <w:t xml:space="preserve">established </w:t>
      </w:r>
      <w:r w:rsidR="00692628">
        <w:t xml:space="preserve">November 5 </w:t>
      </w:r>
      <w:r w:rsidR="003E07CA">
        <w:t>deadline</w:t>
      </w:r>
      <w:r w:rsidR="003914B5">
        <w:t xml:space="preserve"> </w:t>
      </w:r>
      <w:r w:rsidR="0071601E">
        <w:t xml:space="preserve">to allow SRTI to submit </w:t>
      </w:r>
      <w:r w:rsidR="00F30139">
        <w:t>the required LOCs or a</w:t>
      </w:r>
      <w:r w:rsidR="00F05A79">
        <w:t>n</w:t>
      </w:r>
      <w:r w:rsidR="00F30139">
        <w:t xml:space="preserve"> </w:t>
      </w:r>
      <w:r w:rsidR="0071601E">
        <w:t>LOC commitment letter by</w:t>
      </w:r>
      <w:r w:rsidR="003914B5">
        <w:t xml:space="preserve"> December 3, 2012—the </w:t>
      </w:r>
      <w:r w:rsidR="00282BD3">
        <w:t>deadline</w:t>
      </w:r>
      <w:r w:rsidR="003914B5">
        <w:t xml:space="preserve"> that SRTI requested, and the date </w:t>
      </w:r>
      <w:r w:rsidR="00282BD3">
        <w:t>on which</w:t>
      </w:r>
      <w:r w:rsidR="003914B5">
        <w:t xml:space="preserve"> SRTI ultimately submitted </w:t>
      </w:r>
      <w:r w:rsidR="008164DE">
        <w:t>its LOC commitment letter</w:t>
      </w:r>
      <w:r>
        <w:t xml:space="preserve">. </w:t>
      </w:r>
    </w:p>
    <w:p w:rsidR="00A94B4F" w:rsidRDefault="00052581">
      <w:pPr>
        <w:pStyle w:val="ParaNum"/>
        <w:rPr>
          <w:szCs w:val="22"/>
        </w:rPr>
      </w:pPr>
      <w:r>
        <w:rPr>
          <w:szCs w:val="22"/>
        </w:rPr>
        <w:t xml:space="preserve">Section 1.3 of the Commission’s rules provides that a rule provision or requirement may be </w:t>
      </w:r>
      <w:r w:rsidR="00A94B4F">
        <w:rPr>
          <w:szCs w:val="22"/>
        </w:rPr>
        <w:t>waive</w:t>
      </w:r>
      <w:r>
        <w:rPr>
          <w:szCs w:val="22"/>
        </w:rPr>
        <w:t>d</w:t>
      </w:r>
      <w:r w:rsidR="00A94B4F">
        <w:rPr>
          <w:szCs w:val="22"/>
        </w:rPr>
        <w:t xml:space="preserve"> “for good cause shown.”</w:t>
      </w:r>
      <w:r w:rsidR="00A94B4F">
        <w:rPr>
          <w:rStyle w:val="FootnoteReference"/>
          <w:szCs w:val="22"/>
        </w:rPr>
        <w:footnoteReference w:id="31"/>
      </w:r>
      <w:r w:rsidR="00A94B4F">
        <w:rPr>
          <w:szCs w:val="22"/>
        </w:rPr>
        <w:t xml:space="preserve">  A waiver is appropriate only if “special circumstances warrant a deviation from the general rule and such deviation will serve the public interest.”</w:t>
      </w:r>
      <w:r w:rsidR="00A94B4F">
        <w:rPr>
          <w:rStyle w:val="FootnoteReference"/>
          <w:szCs w:val="22"/>
        </w:rPr>
        <w:footnoteReference w:id="32"/>
      </w:r>
      <w:r w:rsidR="00A94B4F">
        <w:rPr>
          <w:szCs w:val="22"/>
        </w:rPr>
        <w:t xml:space="preserve">  </w:t>
      </w:r>
      <w:r w:rsidR="00E51923">
        <w:rPr>
          <w:szCs w:val="22"/>
        </w:rPr>
        <w:t>Moreover, in certain cases, a rule waiver may serve the public interest where we find that the waiver would not conflict with the policy underlying the rule.</w:t>
      </w:r>
      <w:r w:rsidR="00E51923">
        <w:rPr>
          <w:rStyle w:val="FootnoteReference"/>
          <w:szCs w:val="22"/>
        </w:rPr>
        <w:footnoteReference w:id="33"/>
      </w:r>
    </w:p>
    <w:p w:rsidR="00EC08AE" w:rsidRPr="00FD0653" w:rsidRDefault="00CF6CFB" w:rsidP="00FD0653">
      <w:pPr>
        <w:pStyle w:val="ParaNum"/>
        <w:rPr>
          <w:rFonts w:ascii="TimesNewRomanPSMT" w:hAnsi="TimesNewRomanPSMT" w:cs="TimesNewRomanPSMT"/>
          <w:szCs w:val="22"/>
        </w:rPr>
      </w:pPr>
      <w:r>
        <w:rPr>
          <w:rFonts w:ascii="TimesNewRomanPSMT" w:hAnsi="TimesNewRomanPSMT" w:cs="TimesNewRomanPSMT"/>
          <w:szCs w:val="22"/>
        </w:rPr>
        <w:t>As we note above, t</w:t>
      </w:r>
      <w:r w:rsidR="00CC4A4A">
        <w:rPr>
          <w:rFonts w:ascii="TimesNewRomanPSMT" w:hAnsi="TimesNewRomanPSMT" w:cs="TimesNewRomanPSMT"/>
          <w:szCs w:val="22"/>
        </w:rPr>
        <w:t>he Commission has a longstanding policy of promoting Tribal self-sufficiency and economic development and of helping ensure that Tribes have adequate access to communications services.</w:t>
      </w:r>
      <w:r w:rsidR="00432715">
        <w:rPr>
          <w:rStyle w:val="FootnoteReference"/>
          <w:rFonts w:ascii="TimesNewRomanPSMT" w:hAnsi="TimesNewRomanPSMT" w:cs="TimesNewRomanPSMT"/>
          <w:szCs w:val="22"/>
        </w:rPr>
        <w:footnoteReference w:id="34"/>
      </w:r>
      <w:r w:rsidR="00FD0653">
        <w:rPr>
          <w:rFonts w:ascii="TimesNewRomanPSMT" w:hAnsi="TimesNewRomanPSMT" w:cs="TimesNewRomanPSMT"/>
          <w:szCs w:val="22"/>
        </w:rPr>
        <w:t xml:space="preserve">  </w:t>
      </w:r>
      <w:r w:rsidR="0071601E">
        <w:rPr>
          <w:rFonts w:ascii="TimesNewRomanPSMT" w:hAnsi="TimesNewRomanPSMT" w:cs="TimesNewRomanPSMT"/>
          <w:szCs w:val="22"/>
        </w:rPr>
        <w:t>T</w:t>
      </w:r>
      <w:r w:rsidR="007B2939" w:rsidRPr="00FD0653">
        <w:rPr>
          <w:rFonts w:ascii="TimesNewRomanPSMT" w:hAnsi="TimesNewRomanPSMT" w:cs="TimesNewRomanPSMT"/>
          <w:szCs w:val="22"/>
        </w:rPr>
        <w:t>he</w:t>
      </w:r>
      <w:r w:rsidR="00EC08AE" w:rsidRPr="00FD0653">
        <w:rPr>
          <w:rFonts w:ascii="TimesNewRomanPSMT" w:hAnsi="TimesNewRomanPSMT" w:cs="TimesNewRomanPSMT"/>
          <w:szCs w:val="22"/>
        </w:rPr>
        <w:t xml:space="preserve"> Commission has recognized its </w:t>
      </w:r>
      <w:r w:rsidR="00EC08AE" w:rsidRPr="00FD0653">
        <w:rPr>
          <w:szCs w:val="22"/>
        </w:rPr>
        <w:t>“</w:t>
      </w:r>
      <w:r w:rsidR="00EC08AE" w:rsidRPr="00FD0653">
        <w:rPr>
          <w:rFonts w:ascii="TimesNewRomanPSMT" w:hAnsi="TimesNewRomanPSMT" w:cs="TimesNewRomanPSMT"/>
          <w:szCs w:val="22"/>
        </w:rPr>
        <w:t xml:space="preserve">fiduciary duty to conduct [itself] </w:t>
      </w:r>
      <w:r w:rsidR="007B2939" w:rsidRPr="00FD0653">
        <w:rPr>
          <w:rFonts w:ascii="TimesNewRomanPSMT" w:hAnsi="TimesNewRomanPSMT" w:cs="TimesNewRomanPSMT"/>
          <w:szCs w:val="22"/>
        </w:rPr>
        <w:t>i</w:t>
      </w:r>
      <w:r w:rsidR="00EC08AE" w:rsidRPr="00FD0653">
        <w:rPr>
          <w:rFonts w:ascii="TimesNewRomanPSMT" w:hAnsi="TimesNewRomanPSMT" w:cs="TimesNewRomanPSMT"/>
          <w:szCs w:val="22"/>
        </w:rPr>
        <w:t xml:space="preserve">n matters affecting Indian tribes </w:t>
      </w:r>
      <w:r w:rsidR="007B2939" w:rsidRPr="00FD0653">
        <w:rPr>
          <w:rFonts w:ascii="TimesNewRomanPSMT" w:hAnsi="TimesNewRomanPSMT" w:cs="TimesNewRomanPSMT"/>
          <w:szCs w:val="22"/>
        </w:rPr>
        <w:t>i</w:t>
      </w:r>
      <w:r w:rsidR="00EC08AE" w:rsidRPr="00FD0653">
        <w:rPr>
          <w:rFonts w:ascii="TimesNewRomanPSMT" w:hAnsi="TimesNewRomanPSMT" w:cs="TimesNewRomanPSMT"/>
          <w:szCs w:val="22"/>
        </w:rPr>
        <w:t>n a manner that protects the interests of the tribes</w:t>
      </w:r>
      <w:r w:rsidR="00EC08AE" w:rsidRPr="00FD0653">
        <w:rPr>
          <w:szCs w:val="22"/>
        </w:rPr>
        <w:t>”</w:t>
      </w:r>
      <w:r w:rsidR="00EC08AE" w:rsidRPr="00FD0653">
        <w:rPr>
          <w:rFonts w:ascii="TimesNewRomanPSMT" w:hAnsi="TimesNewRomanPSMT" w:cs="TimesNewRomanPSMT"/>
          <w:szCs w:val="22"/>
        </w:rPr>
        <w:t xml:space="preserve"> and its corresponding obligation to interpret </w:t>
      </w:r>
      <w:r w:rsidR="00EC08AE" w:rsidRPr="00FD0653">
        <w:rPr>
          <w:szCs w:val="22"/>
        </w:rPr>
        <w:t>“</w:t>
      </w:r>
      <w:r w:rsidR="00EC08AE" w:rsidRPr="00FD0653">
        <w:rPr>
          <w:rFonts w:ascii="TimesNewRomanPSMT" w:hAnsi="TimesNewRomanPSMT" w:cs="TimesNewRomanPSMT"/>
          <w:szCs w:val="22"/>
        </w:rPr>
        <w:t>federal rules and policies . . . in a manner that comports with tribal sovereignty and the federal policy of empowering tribal independence.</w:t>
      </w:r>
      <w:r w:rsidR="00EC08AE" w:rsidRPr="00FD0653">
        <w:rPr>
          <w:szCs w:val="22"/>
        </w:rPr>
        <w:t>”</w:t>
      </w:r>
      <w:r w:rsidR="007B2939">
        <w:rPr>
          <w:rStyle w:val="FootnoteReference"/>
          <w:szCs w:val="22"/>
        </w:rPr>
        <w:footnoteReference w:id="35"/>
      </w:r>
      <w:r w:rsidR="00E82393" w:rsidRPr="00FD0653">
        <w:rPr>
          <w:szCs w:val="22"/>
        </w:rPr>
        <w:t xml:space="preserve">  In line with these Commission policies</w:t>
      </w:r>
      <w:r w:rsidR="00EC08AE" w:rsidRPr="00FD0653">
        <w:rPr>
          <w:szCs w:val="22"/>
        </w:rPr>
        <w:t xml:space="preserve">, we </w:t>
      </w:r>
      <w:r w:rsidR="004D567B">
        <w:rPr>
          <w:szCs w:val="22"/>
        </w:rPr>
        <w:t xml:space="preserve">respect </w:t>
      </w:r>
      <w:r w:rsidR="00EC08AE" w:rsidRPr="00FD0653">
        <w:rPr>
          <w:szCs w:val="22"/>
        </w:rPr>
        <w:t>the Standing Rock</w:t>
      </w:r>
      <w:r w:rsidR="007B2939" w:rsidRPr="00FD0653">
        <w:rPr>
          <w:szCs w:val="22"/>
        </w:rPr>
        <w:t xml:space="preserve"> Sioux Tribe’s governmental approval process for </w:t>
      </w:r>
      <w:r w:rsidR="0071601E">
        <w:rPr>
          <w:szCs w:val="22"/>
        </w:rPr>
        <w:t>a Tribally-owned entity to acquire</w:t>
      </w:r>
      <w:r w:rsidR="007B2939" w:rsidRPr="00FD0653">
        <w:rPr>
          <w:szCs w:val="22"/>
        </w:rPr>
        <w:t xml:space="preserve"> LOCs from a</w:t>
      </w:r>
      <w:r w:rsidR="00D06DCC">
        <w:rPr>
          <w:szCs w:val="22"/>
        </w:rPr>
        <w:t>n acceptable</w:t>
      </w:r>
      <w:r w:rsidR="007B2939" w:rsidRPr="00FD0653">
        <w:rPr>
          <w:szCs w:val="22"/>
        </w:rPr>
        <w:t xml:space="preserve"> bank, and we </w:t>
      </w:r>
      <w:r w:rsidR="00D17056">
        <w:rPr>
          <w:szCs w:val="22"/>
        </w:rPr>
        <w:t xml:space="preserve">recognize </w:t>
      </w:r>
      <w:r w:rsidR="007B2939" w:rsidRPr="00FD0653">
        <w:rPr>
          <w:szCs w:val="22"/>
        </w:rPr>
        <w:t xml:space="preserve">that this process contributed to the delay in executing </w:t>
      </w:r>
      <w:r w:rsidR="000523A1">
        <w:rPr>
          <w:szCs w:val="22"/>
        </w:rPr>
        <w:t>SRTI’s</w:t>
      </w:r>
      <w:r w:rsidR="00432715" w:rsidRPr="00FD0653">
        <w:rPr>
          <w:szCs w:val="22"/>
        </w:rPr>
        <w:t xml:space="preserve"> LOC commitment letter</w:t>
      </w:r>
      <w:r w:rsidR="007B2939" w:rsidRPr="00FD0653">
        <w:rPr>
          <w:szCs w:val="22"/>
        </w:rPr>
        <w:t>.</w:t>
      </w:r>
      <w:r w:rsidR="00DC6144" w:rsidRPr="00DC6144">
        <w:t xml:space="preserve"> </w:t>
      </w:r>
      <w:r w:rsidR="00DC6144">
        <w:t xml:space="preserve"> We also have </w:t>
      </w:r>
      <w:r w:rsidR="00281528">
        <w:t>n</w:t>
      </w:r>
      <w:r w:rsidR="00DC6144">
        <w:t xml:space="preserve">o reason to doubt that SRTI’s financing approval process was prolonged and complicated by </w:t>
      </w:r>
      <w:r w:rsidR="00DC6144">
        <w:rPr>
          <w:szCs w:val="22"/>
        </w:rPr>
        <w:t xml:space="preserve">the need to work with banks that lack familiarity with issues of Tribal jurisdiction and administration of trust lands in Indian </w:t>
      </w:r>
      <w:r w:rsidR="00C3604C">
        <w:rPr>
          <w:szCs w:val="22"/>
        </w:rPr>
        <w:t>C</w:t>
      </w:r>
      <w:r w:rsidR="00DC6144">
        <w:rPr>
          <w:szCs w:val="22"/>
        </w:rPr>
        <w:t>ountry</w:t>
      </w:r>
      <w:r w:rsidR="00DC6144">
        <w:rPr>
          <w:color w:val="010101"/>
        </w:rPr>
        <w:t>.</w:t>
      </w:r>
      <w:r w:rsidR="00304798">
        <w:rPr>
          <w:rStyle w:val="FootnoteReference"/>
          <w:szCs w:val="22"/>
        </w:rPr>
        <w:footnoteReference w:id="36"/>
      </w:r>
      <w:r w:rsidR="00E82393" w:rsidRPr="00FD0653">
        <w:rPr>
          <w:szCs w:val="22"/>
        </w:rPr>
        <w:t xml:space="preserve">  </w:t>
      </w:r>
      <w:r w:rsidR="004D4B52" w:rsidRPr="007E64B9">
        <w:rPr>
          <w:color w:val="010101"/>
        </w:rPr>
        <w:t xml:space="preserve">In recognition of the unique </w:t>
      </w:r>
      <w:r w:rsidR="00304798">
        <w:rPr>
          <w:color w:val="010101"/>
        </w:rPr>
        <w:t xml:space="preserve">and unavoidable </w:t>
      </w:r>
      <w:r w:rsidR="004D4B52" w:rsidRPr="007E64B9">
        <w:rPr>
          <w:color w:val="010101"/>
        </w:rPr>
        <w:t>challenges</w:t>
      </w:r>
      <w:r w:rsidR="004D4B52">
        <w:rPr>
          <w:color w:val="010101"/>
        </w:rPr>
        <w:t xml:space="preserve"> that SRTI, as a Tribally-owned entity</w:t>
      </w:r>
      <w:r w:rsidR="00281528">
        <w:rPr>
          <w:color w:val="010101"/>
        </w:rPr>
        <w:t xml:space="preserve"> operating on a Reservation</w:t>
      </w:r>
      <w:r w:rsidR="004D4B52">
        <w:rPr>
          <w:color w:val="010101"/>
        </w:rPr>
        <w:t xml:space="preserve">, encountered when it was </w:t>
      </w:r>
      <w:r>
        <w:rPr>
          <w:color w:val="010101"/>
        </w:rPr>
        <w:t xml:space="preserve">seeking to </w:t>
      </w:r>
      <w:r w:rsidR="004D4B52">
        <w:rPr>
          <w:color w:val="010101"/>
        </w:rPr>
        <w:t>secur</w:t>
      </w:r>
      <w:r>
        <w:rPr>
          <w:color w:val="010101"/>
        </w:rPr>
        <w:t>e</w:t>
      </w:r>
      <w:r w:rsidR="004D4B52">
        <w:rPr>
          <w:color w:val="010101"/>
        </w:rPr>
        <w:t xml:space="preserve"> its LOC commitment letter, we find that there is good cause for a waiver to grant an extension of time for SRTI to obtain the LOC commitment letter from </w:t>
      </w:r>
      <w:r w:rsidR="00282BD3">
        <w:rPr>
          <w:color w:val="010101"/>
        </w:rPr>
        <w:t xml:space="preserve">an acceptable </w:t>
      </w:r>
      <w:r w:rsidR="004D4B52">
        <w:rPr>
          <w:color w:val="010101"/>
        </w:rPr>
        <w:t xml:space="preserve">bank.  </w:t>
      </w:r>
      <w:r w:rsidR="004D4B52">
        <w:rPr>
          <w:rFonts w:ascii="TimesNewRomanPSMT" w:hAnsi="TimesNewRomanPSMT" w:cs="TimesNewRomanPSMT"/>
          <w:szCs w:val="22"/>
        </w:rPr>
        <w:t xml:space="preserve">In this instance, </w:t>
      </w:r>
      <w:r w:rsidR="004D4B52">
        <w:rPr>
          <w:szCs w:val="22"/>
        </w:rPr>
        <w:t>special circumstances warrant a deviation from the general rule, and such deviation will serve the public interest.</w:t>
      </w:r>
    </w:p>
    <w:p w:rsidR="00E51923" w:rsidRPr="00E51923" w:rsidRDefault="00E51923">
      <w:pPr>
        <w:pStyle w:val="ParaNum"/>
      </w:pPr>
      <w:r>
        <w:t xml:space="preserve">Further, we find that grant of the requested waiver would not conflict with the policy </w:t>
      </w:r>
      <w:r w:rsidR="001410DE">
        <w:t>objective</w:t>
      </w:r>
      <w:r w:rsidR="000C6201">
        <w:t>s</w:t>
      </w:r>
      <w:r w:rsidR="001410DE">
        <w:t xml:space="preserve"> of prompt processing</w:t>
      </w:r>
      <w:r w:rsidR="000C6201">
        <w:t xml:space="preserve"> of long-form applications and prompt distribution of universal service support</w:t>
      </w:r>
      <w:r>
        <w:t>.</w:t>
      </w:r>
      <w:r w:rsidR="001410DE">
        <w:t xml:space="preserve">  Auction 901 was the Commission’s first Mobility Fund auction, and </w:t>
      </w:r>
      <w:r w:rsidR="00D17056">
        <w:t xml:space="preserve">the forms, procedures, and requirements were new for Commission staff, for </w:t>
      </w:r>
      <w:r w:rsidR="00B0532D">
        <w:t>the Universal Service Administrative Company</w:t>
      </w:r>
      <w:r w:rsidR="00D17056">
        <w:t>,</w:t>
      </w:r>
      <w:r w:rsidR="001410DE">
        <w:t xml:space="preserve"> </w:t>
      </w:r>
      <w:r w:rsidR="00D17056">
        <w:t>and for applicants</w:t>
      </w:r>
      <w:r w:rsidR="00592744">
        <w:t xml:space="preserve">.  In this context, </w:t>
      </w:r>
      <w:r w:rsidR="001410DE">
        <w:t>the four-week delay in SRTI’s submission of its LOC commitment letter did not delay our processing of SRTI’s long-form</w:t>
      </w:r>
      <w:r w:rsidR="0037197A">
        <w:t xml:space="preserve"> </w:t>
      </w:r>
      <w:r w:rsidR="001410DE">
        <w:t>application</w:t>
      </w:r>
      <w:r w:rsidR="00B04CA3">
        <w:t xml:space="preserve"> or the distribution of Mobility Fund Phase I support</w:t>
      </w:r>
      <w:r w:rsidR="001410DE">
        <w:t>.</w:t>
      </w:r>
      <w:r w:rsidR="00592744">
        <w:rPr>
          <w:rStyle w:val="FootnoteReference"/>
        </w:rPr>
        <w:footnoteReference w:id="37"/>
      </w:r>
    </w:p>
    <w:p w:rsidR="00A94B4F" w:rsidRDefault="00A94B4F">
      <w:pPr>
        <w:pStyle w:val="ParaNum"/>
        <w:rPr>
          <w:rFonts w:ascii="Calibri" w:hAnsi="Calibri"/>
        </w:rPr>
      </w:pPr>
      <w:r>
        <w:t>Based on the foregoing reasons, we</w:t>
      </w:r>
      <w:r w:rsidR="00A23EBF">
        <w:t xml:space="preserve"> </w:t>
      </w:r>
      <w:r w:rsidR="00D45EFB">
        <w:t>waive</w:t>
      </w:r>
      <w:r w:rsidR="00CF6CFB">
        <w:t xml:space="preserve"> </w:t>
      </w:r>
      <w:r w:rsidR="00466467">
        <w:t xml:space="preserve">the November 5 deadline established by public notice pursuant to </w:t>
      </w:r>
      <w:r w:rsidR="00CF6CFB">
        <w:t xml:space="preserve">section 54.1005(b)(1) of the Commission’s rules </w:t>
      </w:r>
      <w:r w:rsidR="00D45EFB">
        <w:t>to allow SRTI to file its LOC commitment letter by December 3, 2012.</w:t>
      </w:r>
    </w:p>
    <w:p w:rsidR="00EF427D" w:rsidRDefault="00EF427D">
      <w:pPr>
        <w:rPr>
          <w:b/>
          <w:caps/>
          <w:szCs w:val="22"/>
        </w:rPr>
      </w:pPr>
      <w:r>
        <w:rPr>
          <w:szCs w:val="22"/>
        </w:rPr>
        <w:br w:type="page"/>
      </w:r>
    </w:p>
    <w:p w:rsidR="00A94B4F" w:rsidRDefault="00A94B4F">
      <w:pPr>
        <w:pStyle w:val="Heading1"/>
        <w:rPr>
          <w:szCs w:val="22"/>
        </w:rPr>
      </w:pPr>
      <w:r>
        <w:rPr>
          <w:szCs w:val="22"/>
        </w:rPr>
        <w:t>ORDERING CLAUSES</w:t>
      </w:r>
    </w:p>
    <w:p w:rsidR="00A94B4F" w:rsidRPr="00DF68E3" w:rsidRDefault="00A94B4F" w:rsidP="00DF68E3">
      <w:pPr>
        <w:pStyle w:val="ParaNum"/>
        <w:rPr>
          <w:szCs w:val="22"/>
        </w:rPr>
      </w:pPr>
      <w:r>
        <w:rPr>
          <w:szCs w:val="22"/>
        </w:rPr>
        <w:t xml:space="preserve">Accordingly, IT IS ORDERED that, pursuant to the authority contained in sections 1, 4(i), 4(j), 5(c), 201, 254, and 303(r) of the Communications Act, 47 U.S.C. §§ 151, 154(i), 154(j), 155(c), 201, 254, </w:t>
      </w:r>
      <w:r w:rsidR="00FC41B7">
        <w:rPr>
          <w:szCs w:val="22"/>
        </w:rPr>
        <w:t xml:space="preserve">and </w:t>
      </w:r>
      <w:r>
        <w:rPr>
          <w:szCs w:val="22"/>
        </w:rPr>
        <w:t>303(r), and sections 0.131, 0.331, and 1.3 of the C</w:t>
      </w:r>
      <w:r w:rsidR="00E45C81">
        <w:rPr>
          <w:szCs w:val="22"/>
        </w:rPr>
        <w:t>ommission’s rules, 47 C.F.R. §§ </w:t>
      </w:r>
      <w:r>
        <w:rPr>
          <w:szCs w:val="22"/>
        </w:rPr>
        <w:t xml:space="preserve">0.131, </w:t>
      </w:r>
      <w:r w:rsidR="00E45C81">
        <w:rPr>
          <w:szCs w:val="22"/>
        </w:rPr>
        <w:t xml:space="preserve">0.331, and 1.3, </w:t>
      </w:r>
      <w:r w:rsidR="00BE2373">
        <w:rPr>
          <w:szCs w:val="22"/>
        </w:rPr>
        <w:t xml:space="preserve">the petition of SRTI for </w:t>
      </w:r>
      <w:r w:rsidR="007A3F14">
        <w:rPr>
          <w:szCs w:val="22"/>
        </w:rPr>
        <w:t xml:space="preserve">extension </w:t>
      </w:r>
      <w:r w:rsidR="00BE2373">
        <w:rPr>
          <w:szCs w:val="22"/>
        </w:rPr>
        <w:t xml:space="preserve">of </w:t>
      </w:r>
      <w:r w:rsidR="001F7584">
        <w:rPr>
          <w:szCs w:val="22"/>
        </w:rPr>
        <w:t xml:space="preserve">the </w:t>
      </w:r>
      <w:r w:rsidR="009273BB">
        <w:rPr>
          <w:szCs w:val="22"/>
        </w:rPr>
        <w:t xml:space="preserve">established November 5, 2012, </w:t>
      </w:r>
      <w:r w:rsidR="001F7584">
        <w:rPr>
          <w:szCs w:val="22"/>
        </w:rPr>
        <w:t xml:space="preserve">deadline </w:t>
      </w:r>
      <w:r w:rsidR="00821B12">
        <w:rPr>
          <w:szCs w:val="22"/>
        </w:rPr>
        <w:t>for submission of a written</w:t>
      </w:r>
      <w:r w:rsidR="00FE4366">
        <w:rPr>
          <w:szCs w:val="22"/>
        </w:rPr>
        <w:t xml:space="preserve"> LOC commitment letter and/or LOCs </w:t>
      </w:r>
      <w:r w:rsidR="001F7584">
        <w:rPr>
          <w:szCs w:val="22"/>
        </w:rPr>
        <w:t>is GRANTED and section 54.1005(b)(1) of the Commission’s rules, 47 C.F.R. § 54.1005(b)(1), is WAIVED</w:t>
      </w:r>
      <w:r w:rsidR="0099300E">
        <w:rPr>
          <w:szCs w:val="22"/>
        </w:rPr>
        <w:t xml:space="preserve"> </w:t>
      </w:r>
      <w:r>
        <w:rPr>
          <w:szCs w:val="22"/>
        </w:rPr>
        <w:t xml:space="preserve">to the extent described </w:t>
      </w:r>
      <w:r w:rsidR="00326AE6">
        <w:rPr>
          <w:szCs w:val="22"/>
        </w:rPr>
        <w:t>above</w:t>
      </w:r>
      <w:r>
        <w:rPr>
          <w:szCs w:val="22"/>
        </w:rPr>
        <w:t xml:space="preserve">.  </w:t>
      </w:r>
    </w:p>
    <w:p w:rsidR="00A94B4F" w:rsidRDefault="00A94B4F">
      <w:pPr>
        <w:keepNext/>
      </w:pPr>
    </w:p>
    <w:p w:rsidR="00A94B4F" w:rsidRDefault="00A94B4F">
      <w:pPr>
        <w:keepNext/>
        <w:ind w:left="4320"/>
      </w:pPr>
      <w:r>
        <w:t>FEDERAL COMMUNICATIONS COMMISSION</w:t>
      </w:r>
    </w:p>
    <w:p w:rsidR="00A94B4F" w:rsidRDefault="00A94B4F">
      <w:pPr>
        <w:keepNext/>
        <w:ind w:left="4320"/>
      </w:pPr>
    </w:p>
    <w:p w:rsidR="00A94B4F" w:rsidRDefault="00A94B4F"/>
    <w:p w:rsidR="00CF6CFB" w:rsidRDefault="00CF6CFB"/>
    <w:p w:rsidR="00CF6CFB" w:rsidRDefault="00CF6CFB"/>
    <w:p w:rsidR="00A94B4F" w:rsidRDefault="00CF6CFB">
      <w:pPr>
        <w:ind w:left="4320"/>
      </w:pPr>
      <w:r>
        <w:t xml:space="preserve">Margaret </w:t>
      </w:r>
      <w:r w:rsidR="00F63039">
        <w:t>W. Wiener</w:t>
      </w:r>
    </w:p>
    <w:p w:rsidR="00F63039" w:rsidRDefault="00A94B4F">
      <w:pPr>
        <w:ind w:left="4320"/>
      </w:pPr>
      <w:r>
        <w:t>Chief</w:t>
      </w:r>
    </w:p>
    <w:p w:rsidR="00A94B4F" w:rsidRDefault="00F63039">
      <w:pPr>
        <w:ind w:left="4320"/>
      </w:pPr>
      <w:r>
        <w:t>Auctions and Spectrum Access Division</w:t>
      </w:r>
    </w:p>
    <w:p w:rsidR="00A94B4F" w:rsidRDefault="00A94B4F">
      <w:pPr>
        <w:ind w:left="4320"/>
      </w:pPr>
      <w:r>
        <w:t>Wireless Telecommunications Bureau</w:t>
      </w:r>
    </w:p>
    <w:p w:rsidR="00A94B4F" w:rsidRDefault="00A94B4F">
      <w:pPr>
        <w:ind w:left="4320"/>
      </w:pPr>
    </w:p>
    <w:p w:rsidR="00A94B4F" w:rsidRDefault="00A94B4F">
      <w:pPr>
        <w:ind w:left="4320"/>
      </w:pPr>
    </w:p>
    <w:p w:rsidR="00A94B4F" w:rsidRDefault="00A94B4F">
      <w:pPr>
        <w:ind w:left="4320"/>
      </w:pPr>
    </w:p>
    <w:sectPr w:rsidR="00A94B4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73B" w:rsidRDefault="007B373B">
      <w:r>
        <w:separator/>
      </w:r>
    </w:p>
  </w:endnote>
  <w:endnote w:type="continuationSeparator" w:id="0">
    <w:p w:rsidR="007B373B" w:rsidRDefault="007B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58" w:rsidRDefault="00865C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65C58" w:rsidRDefault="00865C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58" w:rsidRDefault="00865C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73FF">
      <w:rPr>
        <w:rStyle w:val="PageNumber"/>
        <w:noProof/>
      </w:rPr>
      <w:t>6</w:t>
    </w:r>
    <w:r>
      <w:rPr>
        <w:rStyle w:val="PageNumber"/>
      </w:rPr>
      <w:fldChar w:fldCharType="end"/>
    </w:r>
  </w:p>
  <w:p w:rsidR="00865C58" w:rsidRDefault="00865C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FC0" w:rsidRDefault="00E13F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73B" w:rsidRDefault="007B373B">
      <w:pPr>
        <w:spacing w:before="120"/>
        <w:rPr>
          <w:sz w:val="20"/>
        </w:rPr>
      </w:pPr>
      <w:r>
        <w:rPr>
          <w:sz w:val="20"/>
        </w:rPr>
        <w:separator/>
      </w:r>
    </w:p>
  </w:footnote>
  <w:footnote w:type="continuationSeparator" w:id="0">
    <w:p w:rsidR="007B373B" w:rsidRDefault="007B373B">
      <w:pPr>
        <w:spacing w:before="120"/>
        <w:rPr>
          <w:sz w:val="20"/>
        </w:rPr>
      </w:pPr>
      <w:r>
        <w:rPr>
          <w:sz w:val="20"/>
        </w:rPr>
        <w:t xml:space="preserve">(. . . continued from previous page)  </w:t>
      </w:r>
      <w:r>
        <w:rPr>
          <w:sz w:val="20"/>
        </w:rPr>
        <w:separator/>
      </w:r>
    </w:p>
  </w:footnote>
  <w:footnote w:type="continuationNotice" w:id="1">
    <w:p w:rsidR="007B373B" w:rsidRDefault="007B373B">
      <w:pPr>
        <w:jc w:val="right"/>
        <w:rPr>
          <w:sz w:val="20"/>
        </w:rPr>
      </w:pPr>
      <w:r>
        <w:rPr>
          <w:sz w:val="20"/>
        </w:rPr>
        <w:t>(continued....)</w:t>
      </w:r>
    </w:p>
  </w:footnote>
  <w:footnote w:id="2">
    <w:p w:rsidR="008C65CF" w:rsidRDefault="008C65CF">
      <w:pPr>
        <w:pStyle w:val="FootnoteText"/>
      </w:pPr>
      <w:r>
        <w:rPr>
          <w:rStyle w:val="FootnoteReference"/>
        </w:rPr>
        <w:footnoteRef/>
      </w:r>
      <w:r>
        <w:t xml:space="preserve"> Trust lands in Indian Country consist of lands the title to which are held in trust by the United States for Tribes or individual Indians.</w:t>
      </w:r>
    </w:p>
  </w:footnote>
  <w:footnote w:id="3">
    <w:p w:rsidR="00865C58" w:rsidRDefault="00865C58">
      <w:pPr>
        <w:pStyle w:val="FootnoteText"/>
        <w:jc w:val="left"/>
      </w:pPr>
      <w:r>
        <w:rPr>
          <w:rStyle w:val="FootnoteReference"/>
        </w:rPr>
        <w:footnoteRef/>
      </w:r>
      <w:r>
        <w:t xml:space="preserve"> Connect America Fund, WC Docket No. 10-90, A National Broadband Plan for Our Future, GN Docket No. 09-51, Establishing Just and Reasonable Rates for Local Exchange Carriers, WC Docket No. 07-135, High-Cost Universal Service Support, WC Docket No. 05-337, Developing an Unified Intercarrier Compensation Regime, CC Docket No. 01-92, Federal-State Joint Board on Universal Service, CC Docket No. 96-45, Lifeline and Link-Up, WC Docket No. 03-109, Universal Service Reform – Mobility Fund, WT Docket No. 10-208, </w:t>
      </w:r>
      <w:r>
        <w:rPr>
          <w:i/>
        </w:rPr>
        <w:t>Report and Order and Further Notice of Proposed Rulemaking</w:t>
      </w:r>
      <w:r>
        <w:t>, FCC 11-161, 26 FCC Rcd 17663, 17668 ¶ 5 (2011) (</w:t>
      </w:r>
      <w:r>
        <w:rPr>
          <w:i/>
        </w:rPr>
        <w:t>USF/ICC Transformation Order</w:t>
      </w:r>
      <w:r>
        <w:t xml:space="preserve">), </w:t>
      </w:r>
      <w:r>
        <w:rPr>
          <w:i/>
        </w:rPr>
        <w:t>pets</w:t>
      </w:r>
      <w:r>
        <w:t xml:space="preserve">. </w:t>
      </w:r>
      <w:r>
        <w:rPr>
          <w:i/>
        </w:rPr>
        <w:t>for review pending sub nom</w:t>
      </w:r>
      <w:r>
        <w:t xml:space="preserve">. </w:t>
      </w:r>
      <w:r>
        <w:rPr>
          <w:i/>
        </w:rPr>
        <w:t>In re:</w:t>
      </w:r>
      <w:r>
        <w:t xml:space="preserve"> </w:t>
      </w:r>
      <w:r>
        <w:rPr>
          <w:i/>
        </w:rPr>
        <w:t>FCC 11-161</w:t>
      </w:r>
      <w:r>
        <w:t>, No. 11-9900 (10th Cir. filed Dec. 8, 2011).</w:t>
      </w:r>
    </w:p>
  </w:footnote>
  <w:footnote w:id="4">
    <w:p w:rsidR="00865C58" w:rsidRPr="00387772" w:rsidRDefault="00865C58">
      <w:pPr>
        <w:pStyle w:val="FootnoteText"/>
      </w:pPr>
      <w:r>
        <w:rPr>
          <w:rStyle w:val="FootnoteReference"/>
        </w:rPr>
        <w:footnoteRef/>
      </w:r>
      <w:r>
        <w:t xml:space="preserve"> </w:t>
      </w:r>
      <w:r>
        <w:rPr>
          <w:i/>
        </w:rPr>
        <w:t>Id.</w:t>
      </w:r>
      <w:r>
        <w:t xml:space="preserve"> at 17667 ¶ 1.</w:t>
      </w:r>
    </w:p>
  </w:footnote>
  <w:footnote w:id="5">
    <w:p w:rsidR="00865C58" w:rsidRDefault="00865C58">
      <w:pPr>
        <w:pStyle w:val="FootnoteText"/>
        <w:jc w:val="left"/>
      </w:pPr>
      <w:r>
        <w:rPr>
          <w:rStyle w:val="FootnoteReference"/>
        </w:rPr>
        <w:footnoteRef/>
      </w:r>
      <w:r>
        <w:t xml:space="preserve"> </w:t>
      </w:r>
      <w:r>
        <w:rPr>
          <w:i/>
        </w:rPr>
        <w:t>Id.</w:t>
      </w:r>
      <w:r>
        <w:t xml:space="preserve"> at 17773 ¶¶ 299-300.</w:t>
      </w:r>
    </w:p>
  </w:footnote>
  <w:footnote w:id="6">
    <w:p w:rsidR="00865C58" w:rsidRDefault="00865C58" w:rsidP="00AB22DD">
      <w:pPr>
        <w:pStyle w:val="FootnoteText"/>
      </w:pPr>
      <w:r>
        <w:rPr>
          <w:rStyle w:val="FootnoteReference"/>
        </w:rPr>
        <w:footnoteRef/>
      </w:r>
      <w:r>
        <w:t xml:space="preserve"> </w:t>
      </w:r>
      <w:r>
        <w:rPr>
          <w:i/>
        </w:rPr>
        <w:t>Id.</w:t>
      </w:r>
      <w:r>
        <w:t xml:space="preserve"> at </w:t>
      </w:r>
      <w:r>
        <w:rPr>
          <w:snapToGrid w:val="0"/>
        </w:rPr>
        <w:t xml:space="preserve">17773 </w:t>
      </w:r>
      <w:r>
        <w:t xml:space="preserve">¶ </w:t>
      </w:r>
      <w:r>
        <w:rPr>
          <w:snapToGrid w:val="0"/>
        </w:rPr>
        <w:t xml:space="preserve">299; </w:t>
      </w:r>
      <w:r>
        <w:rPr>
          <w:i/>
          <w:snapToGrid w:val="0"/>
        </w:rPr>
        <w:t>see also</w:t>
      </w:r>
      <w:r>
        <w:rPr>
          <w:snapToGrid w:val="0"/>
        </w:rPr>
        <w:t xml:space="preserve"> </w:t>
      </w:r>
      <w:r>
        <w:t xml:space="preserve">Mobility Fund Phase I Auction Scheduled for September 27, 2012; Notice and Filing Requirements and Other Procedures for Auction 901, AU Docket No. 12-25, </w:t>
      </w:r>
      <w:r>
        <w:rPr>
          <w:i/>
        </w:rPr>
        <w:t>Public Notice</w:t>
      </w:r>
      <w:r>
        <w:t>, DA 12-641, 27 FCC Rcd 4725, 4727 ¶¶ 1-2 (2012) (</w:t>
      </w:r>
      <w:r>
        <w:rPr>
          <w:i/>
        </w:rPr>
        <w:t>Auction 901 Procedures Public Notice</w:t>
      </w:r>
      <w:r>
        <w:t>)</w:t>
      </w:r>
      <w:r>
        <w:rPr>
          <w:snapToGrid w:val="0"/>
        </w:rPr>
        <w:t>.</w:t>
      </w:r>
    </w:p>
  </w:footnote>
  <w:footnote w:id="7">
    <w:p w:rsidR="00865C58" w:rsidRDefault="00865C58">
      <w:pPr>
        <w:pStyle w:val="FootnoteText"/>
      </w:pPr>
      <w:r>
        <w:rPr>
          <w:rStyle w:val="FootnoteReference"/>
        </w:rPr>
        <w:footnoteRef/>
      </w:r>
      <w:r>
        <w:t xml:space="preserve"> </w:t>
      </w:r>
      <w:r>
        <w:rPr>
          <w:i/>
        </w:rPr>
        <w:t>USF/ICC Transformation Order</w:t>
      </w:r>
      <w:r>
        <w:t>, 26 FCC Rcd</w:t>
      </w:r>
      <w:r>
        <w:rPr>
          <w:snapToGrid w:val="0"/>
        </w:rPr>
        <w:t xml:space="preserve"> at 17773, 17781, 17783 </w:t>
      </w:r>
      <w:r>
        <w:t xml:space="preserve">¶¶ </w:t>
      </w:r>
      <w:r>
        <w:rPr>
          <w:snapToGrid w:val="0"/>
        </w:rPr>
        <w:t>299, 322, 329.</w:t>
      </w:r>
    </w:p>
  </w:footnote>
  <w:footnote w:id="8">
    <w:p w:rsidR="00865C58" w:rsidRDefault="00865C58" w:rsidP="001B0171">
      <w:pPr>
        <w:pStyle w:val="FootnoteText"/>
        <w:jc w:val="left"/>
      </w:pPr>
      <w:r>
        <w:rPr>
          <w:rStyle w:val="FootnoteReference"/>
        </w:rPr>
        <w:footnoteRef/>
      </w:r>
      <w:r>
        <w:t xml:space="preserve"> </w:t>
      </w:r>
      <w:r>
        <w:rPr>
          <w:i/>
        </w:rPr>
        <w:t>Auction 901 Procedures Public Notice</w:t>
      </w:r>
      <w:r>
        <w:t>, 27 FCC Rcd at 4727 ¶ 1.</w:t>
      </w:r>
    </w:p>
  </w:footnote>
  <w:footnote w:id="9">
    <w:p w:rsidR="00865C58" w:rsidRDefault="00865C58" w:rsidP="00C73C4F">
      <w:pPr>
        <w:pStyle w:val="FootnoteText"/>
      </w:pPr>
      <w:r>
        <w:rPr>
          <w:rStyle w:val="FootnoteReference"/>
        </w:rPr>
        <w:footnoteRef/>
      </w:r>
      <w:r>
        <w:t xml:space="preserve"> </w:t>
      </w:r>
      <w:r w:rsidRPr="00D90004">
        <w:t xml:space="preserve">Mobility Fund Phase I Auction Closes; Winning Bidders </w:t>
      </w:r>
      <w:r w:rsidRPr="001B0171">
        <w:t xml:space="preserve">Announced for Auction 901; FCC Form 680 Due November 1, 2012, AU Docket No. 12-25, </w:t>
      </w:r>
      <w:r w:rsidRPr="001B0171">
        <w:rPr>
          <w:i/>
          <w:iCs/>
        </w:rPr>
        <w:t>Public Notice</w:t>
      </w:r>
      <w:r w:rsidRPr="001B0171">
        <w:t>, DA 12-1</w:t>
      </w:r>
      <w:r w:rsidRPr="00D90004">
        <w:t>566, 27 FCC Rcd 12031</w:t>
      </w:r>
      <w:r>
        <w:t>, 12032 ¶ 1</w:t>
      </w:r>
      <w:r w:rsidRPr="00D90004">
        <w:t xml:space="preserve"> (2012) (</w:t>
      </w:r>
      <w:r w:rsidRPr="00D90004">
        <w:rPr>
          <w:i/>
          <w:iCs/>
        </w:rPr>
        <w:t>Auction 901 Closing Public Notice</w:t>
      </w:r>
      <w:r w:rsidRPr="00D90004">
        <w:t>)</w:t>
      </w:r>
      <w:r>
        <w:t>.</w:t>
      </w:r>
    </w:p>
  </w:footnote>
  <w:footnote w:id="10">
    <w:p w:rsidR="00865C58" w:rsidRDefault="00865C58">
      <w:pPr>
        <w:pStyle w:val="FootnoteText"/>
        <w:jc w:val="left"/>
      </w:pPr>
      <w:r>
        <w:rPr>
          <w:rStyle w:val="FootnoteReference"/>
        </w:rPr>
        <w:footnoteRef/>
      </w:r>
      <w:r>
        <w:t xml:space="preserve"> </w:t>
      </w:r>
      <w:r>
        <w:rPr>
          <w:i/>
        </w:rPr>
        <w:t>See</w:t>
      </w:r>
      <w:r>
        <w:t xml:space="preserve"> 47 C.F.R. § 54.1005(b)(1) (“Unless otherwise provided by public notice, winning bidders for Mobility Fund Phase I support shall file an application for Mobility Fund Phase I support no later than 10 business days after the public notice identifying them as winning bidders.”).  In a public notice released on October 3, 2012, </w:t>
      </w:r>
      <w:r w:rsidR="00A21B09">
        <w:t>the Bureaus</w:t>
      </w:r>
      <w:r>
        <w:t xml:space="preserve"> announced the results of Auction 901 and specified that long-form applications would be due on November 1, 2012.  </w:t>
      </w:r>
      <w:r>
        <w:rPr>
          <w:i/>
        </w:rPr>
        <w:t>Auction 901 Closing Public Notice</w:t>
      </w:r>
      <w:r>
        <w:t xml:space="preserve">, 27 FCC Rcd at 12033 ¶ 6.  On October 31, 2012, </w:t>
      </w:r>
      <w:r w:rsidR="00A21B09">
        <w:t>the Bureaus</w:t>
      </w:r>
      <w:r>
        <w:t xml:space="preserve"> postponed the long-form application deadline to November 5, 2012.  Mobility Fund Phase I Auction Long-Form Application Deadline Extended, AU Docket No. 12-25, </w:t>
      </w:r>
      <w:r>
        <w:rPr>
          <w:i/>
        </w:rPr>
        <w:t>Public Notice</w:t>
      </w:r>
      <w:r>
        <w:t>, DA 12-1736, 27 FCC Rcd 13424, 13424 ¶ 1 (2012).</w:t>
      </w:r>
      <w:r w:rsidR="00A21B09">
        <w:t xml:space="preserve"> </w:t>
      </w:r>
    </w:p>
  </w:footnote>
  <w:footnote w:id="11">
    <w:p w:rsidR="00865C58" w:rsidRDefault="00865C58">
      <w:pPr>
        <w:pStyle w:val="FootnoteText"/>
        <w:jc w:val="left"/>
      </w:pPr>
      <w:r>
        <w:rPr>
          <w:rStyle w:val="FootnoteReference"/>
        </w:rPr>
        <w:footnoteRef/>
      </w:r>
      <w:r>
        <w:t xml:space="preserve"> </w:t>
      </w:r>
      <w:r>
        <w:rPr>
          <w:i/>
        </w:rPr>
        <w:t>USF/ICC Transformation Order</w:t>
      </w:r>
      <w:r>
        <w:t>, 26 FCC Rcd at 17810-11 ¶¶ 443-47.</w:t>
      </w:r>
    </w:p>
  </w:footnote>
  <w:footnote w:id="12">
    <w:p w:rsidR="00865C58" w:rsidRDefault="00865C58">
      <w:pPr>
        <w:pStyle w:val="FootnoteText"/>
        <w:jc w:val="left"/>
      </w:pPr>
      <w:r>
        <w:rPr>
          <w:rStyle w:val="FootnoteReference"/>
        </w:rPr>
        <w:footnoteRef/>
      </w:r>
      <w:r>
        <w:t xml:space="preserve"> </w:t>
      </w:r>
      <w:r>
        <w:rPr>
          <w:i/>
        </w:rPr>
        <w:t>Id</w:t>
      </w:r>
      <w:r>
        <w:t>.</w:t>
      </w:r>
      <w:r w:rsidR="009715AB">
        <w:t xml:space="preserve"> at 17811 ¶ 447.</w:t>
      </w:r>
    </w:p>
  </w:footnote>
  <w:footnote w:id="13">
    <w:p w:rsidR="00865C58" w:rsidRDefault="00865C58">
      <w:pPr>
        <w:pStyle w:val="FootnoteText"/>
        <w:jc w:val="left"/>
      </w:pPr>
      <w:r>
        <w:rPr>
          <w:rStyle w:val="FootnoteReference"/>
        </w:rPr>
        <w:footnoteRef/>
      </w:r>
      <w:r>
        <w:t xml:space="preserve"> </w:t>
      </w:r>
      <w:r>
        <w:rPr>
          <w:i/>
        </w:rPr>
        <w:t>Id</w:t>
      </w:r>
      <w:r>
        <w:t xml:space="preserve">. at 17812 ¶ 449.  </w:t>
      </w:r>
    </w:p>
  </w:footnote>
  <w:footnote w:id="14">
    <w:p w:rsidR="00865C58" w:rsidRPr="003220FF" w:rsidRDefault="00865C58" w:rsidP="006831B0">
      <w:pPr>
        <w:pStyle w:val="FootnoteText"/>
        <w:jc w:val="left"/>
      </w:pPr>
      <w:r>
        <w:rPr>
          <w:rStyle w:val="FootnoteReference"/>
        </w:rPr>
        <w:footnoteRef/>
      </w:r>
      <w:r>
        <w:t xml:space="preserve"> 47 C.F.R. § 54.1005(b)(2)(vii); </w:t>
      </w:r>
      <w:r>
        <w:rPr>
          <w:i/>
        </w:rPr>
        <w:t>USF/ICC Transformation Order</w:t>
      </w:r>
      <w:r>
        <w:t xml:space="preserve">, 26 FCC Rcd at </w:t>
      </w:r>
      <w:r w:rsidR="00F7102D" w:rsidRPr="00F7102D">
        <w:t>17810 ¶ 444 &amp; n.738</w:t>
      </w:r>
      <w:r w:rsidR="00F7102D">
        <w:t>,</w:t>
      </w:r>
      <w:r w:rsidR="006831B0">
        <w:t xml:space="preserve"> </w:t>
      </w:r>
      <w:r>
        <w:rPr>
          <w:rFonts w:cs="TimesNewRomanPSMT"/>
          <w:szCs w:val="22"/>
        </w:rPr>
        <w:t xml:space="preserve">17812 </w:t>
      </w:r>
      <w:r>
        <w:t xml:space="preserve">¶ 450; </w:t>
      </w:r>
      <w:r>
        <w:rPr>
          <w:i/>
        </w:rPr>
        <w:t>Auction 901 Procedures Public Notice</w:t>
      </w:r>
      <w:r>
        <w:t xml:space="preserve">, 27 FCC Rcd at 4770-71 ¶ 169; </w:t>
      </w:r>
      <w:r>
        <w:rPr>
          <w:i/>
        </w:rPr>
        <w:t>Auction 901 Closing Public Notice</w:t>
      </w:r>
      <w:r>
        <w:t xml:space="preserve">, 27 FCC Rcd at 12036-37 ¶ 23.    </w:t>
      </w:r>
    </w:p>
  </w:footnote>
  <w:footnote w:id="15">
    <w:p w:rsidR="00865C58" w:rsidRDefault="00865C58">
      <w:pPr>
        <w:pStyle w:val="FootnoteText"/>
        <w:jc w:val="left"/>
      </w:pPr>
      <w:r>
        <w:rPr>
          <w:rStyle w:val="FootnoteReference"/>
        </w:rPr>
        <w:footnoteRef/>
      </w:r>
      <w:r>
        <w:t xml:space="preserve"> 47 C.F.R. § 54.1007(a)(1).  </w:t>
      </w:r>
      <w:r w:rsidRPr="00865C58">
        <w:t xml:space="preserve">On November 1, 2012, the Bureaus waived section 54.1007(a)(1) on </w:t>
      </w:r>
      <w:r w:rsidR="00277D71">
        <w:t>their</w:t>
      </w:r>
      <w:r w:rsidRPr="00865C58">
        <w:t xml:space="preserve"> own motion to allow Auction 901 winning bidders seeking authorization for Mobility Fund Phase I support to use CoBank, ACB as an issuing bank for the required LOC, in addition to the acceptable banks described in section 54.1007(a)(1).</w:t>
      </w:r>
      <w:r>
        <w:t xml:space="preserve">  Mobility Fund Phase I; Waiver of Section 54.1007(a)(1) of the Commission’s Rules</w:t>
      </w:r>
      <w:r w:rsidRPr="001B0171">
        <w:t xml:space="preserve">, </w:t>
      </w:r>
      <w:r>
        <w:t xml:space="preserve">WC Docket No. 10-90, WT Docket No. 10-208, </w:t>
      </w:r>
      <w:r w:rsidRPr="001B0171">
        <w:t xml:space="preserve">AU Docket No. 12-25, </w:t>
      </w:r>
      <w:r>
        <w:rPr>
          <w:i/>
          <w:iCs/>
        </w:rPr>
        <w:t>Order</w:t>
      </w:r>
      <w:r w:rsidRPr="001B0171">
        <w:t>, DA 12-1</w:t>
      </w:r>
      <w:r>
        <w:t>747</w:t>
      </w:r>
      <w:r w:rsidRPr="00D90004">
        <w:t xml:space="preserve">, </w:t>
      </w:r>
      <w:r w:rsidRPr="002405D4">
        <w:t>27</w:t>
      </w:r>
      <w:r w:rsidRPr="00D90004">
        <w:t xml:space="preserve"> FCC Rcd </w:t>
      </w:r>
      <w:r>
        <w:t>13457, 13457 ¶ 1</w:t>
      </w:r>
      <w:r w:rsidRPr="00D90004">
        <w:t xml:space="preserve"> (</w:t>
      </w:r>
      <w:r>
        <w:t>2012).</w:t>
      </w:r>
    </w:p>
  </w:footnote>
  <w:footnote w:id="16">
    <w:p w:rsidR="00865C58" w:rsidRDefault="00865C58">
      <w:pPr>
        <w:pStyle w:val="FootnoteText"/>
      </w:pPr>
      <w:r>
        <w:rPr>
          <w:rStyle w:val="FootnoteReference"/>
        </w:rPr>
        <w:footnoteRef/>
      </w:r>
      <w:r>
        <w:t xml:space="preserve"> Petition of Standing Rock Telecommunications, Inc. for Temporary Waiver or Suspension of FCC Form 680 Filing Deadline, at 1 (Nov. 5, 2012) (SRTI Petition).</w:t>
      </w:r>
    </w:p>
  </w:footnote>
  <w:footnote w:id="17">
    <w:p w:rsidR="00865C58" w:rsidRPr="00C321AC" w:rsidRDefault="00865C58" w:rsidP="003914B5">
      <w:pPr>
        <w:pStyle w:val="FootnoteText"/>
      </w:pPr>
      <w:r>
        <w:rPr>
          <w:rStyle w:val="FootnoteReference"/>
        </w:rPr>
        <w:footnoteRef/>
      </w:r>
      <w:r>
        <w:t xml:space="preserve"> </w:t>
      </w:r>
      <w:r>
        <w:rPr>
          <w:i/>
        </w:rPr>
        <w:t>Auction 901 Closing Public Notice</w:t>
      </w:r>
      <w:r>
        <w:t>, 27 FCC Rcd 12031, at Attachment A; SRTI Petition at 1.</w:t>
      </w:r>
    </w:p>
  </w:footnote>
  <w:footnote w:id="18">
    <w:p w:rsidR="00865C58" w:rsidRDefault="00865C58">
      <w:pPr>
        <w:pStyle w:val="FootnoteText"/>
      </w:pPr>
      <w:r>
        <w:rPr>
          <w:rStyle w:val="FootnoteReference"/>
        </w:rPr>
        <w:footnoteRef/>
      </w:r>
      <w:r>
        <w:t xml:space="preserve"> SRTI Petition at 2.</w:t>
      </w:r>
    </w:p>
  </w:footnote>
  <w:footnote w:id="19">
    <w:p w:rsidR="00865C58" w:rsidRPr="00DF6A43" w:rsidRDefault="00865C58">
      <w:pPr>
        <w:pStyle w:val="FootnoteText"/>
      </w:pPr>
      <w:r>
        <w:rPr>
          <w:rStyle w:val="FootnoteReference"/>
        </w:rPr>
        <w:footnoteRef/>
      </w:r>
      <w:r>
        <w:t xml:space="preserve"> </w:t>
      </w:r>
      <w:r>
        <w:rPr>
          <w:i/>
        </w:rPr>
        <w:t>Id.</w:t>
      </w:r>
      <w:r>
        <w:t xml:space="preserve">; </w:t>
      </w:r>
      <w:r>
        <w:rPr>
          <w:i/>
        </w:rPr>
        <w:t>see also</w:t>
      </w:r>
      <w:r>
        <w:t xml:space="preserve"> Letter from Miles McAllister, General Manager, SRTI, to Julius Genachowski, Chairman, Federal Communications Commission, at 1 (Nov. 1, 2012) (McAllister Letter).</w:t>
      </w:r>
    </w:p>
  </w:footnote>
  <w:footnote w:id="20">
    <w:p w:rsidR="00865C58" w:rsidRDefault="00865C58">
      <w:pPr>
        <w:pStyle w:val="FootnoteText"/>
      </w:pPr>
      <w:r>
        <w:rPr>
          <w:rStyle w:val="FootnoteReference"/>
        </w:rPr>
        <w:footnoteRef/>
      </w:r>
      <w:r>
        <w:t xml:space="preserve"> SRTI Petition at 2; McAllister Letter at 1; </w:t>
      </w:r>
      <w:r w:rsidRPr="00A07AFE">
        <w:t xml:space="preserve">Letter from </w:t>
      </w:r>
      <w:r>
        <w:t>Charles W. Murphy</w:t>
      </w:r>
      <w:r w:rsidRPr="00A07AFE">
        <w:t xml:space="preserve">, </w:t>
      </w:r>
      <w:r>
        <w:t>Chairman</w:t>
      </w:r>
      <w:r w:rsidRPr="00A07AFE">
        <w:t xml:space="preserve">, </w:t>
      </w:r>
      <w:r>
        <w:t>Standing Rock Sioux Tribe</w:t>
      </w:r>
      <w:r w:rsidRPr="00A07AFE">
        <w:t>, to Julius Genachowski, Chairman, F</w:t>
      </w:r>
      <w:r>
        <w:t xml:space="preserve">ederal </w:t>
      </w:r>
      <w:r w:rsidRPr="00A07AFE">
        <w:t>C</w:t>
      </w:r>
      <w:r>
        <w:t xml:space="preserve">ommunications </w:t>
      </w:r>
      <w:r w:rsidRPr="00A07AFE">
        <w:t>C</w:t>
      </w:r>
      <w:r>
        <w:t>ommission</w:t>
      </w:r>
      <w:r w:rsidRPr="00A07AFE">
        <w:t>, at 1</w:t>
      </w:r>
      <w:r>
        <w:t>-2</w:t>
      </w:r>
      <w:r w:rsidRPr="00A07AFE">
        <w:t xml:space="preserve"> (Nov. 1, 2012) (</w:t>
      </w:r>
      <w:r>
        <w:t>Chairman Murphy</w:t>
      </w:r>
      <w:r w:rsidRPr="00A07AFE">
        <w:t xml:space="preserve"> Letter)</w:t>
      </w:r>
      <w:r>
        <w:t xml:space="preserve">; </w:t>
      </w:r>
      <w:r>
        <w:rPr>
          <w:i/>
        </w:rPr>
        <w:t xml:space="preserve">see also </w:t>
      </w:r>
      <w:r>
        <w:t>47 C.F.R. § 54.1007(a)(1) (defining acceptable banks).</w:t>
      </w:r>
    </w:p>
  </w:footnote>
  <w:footnote w:id="21">
    <w:p w:rsidR="00865C58" w:rsidRPr="00DF6A43" w:rsidRDefault="00865C58">
      <w:pPr>
        <w:pStyle w:val="FootnoteText"/>
        <w:rPr>
          <w:i/>
        </w:rPr>
      </w:pPr>
      <w:r>
        <w:rPr>
          <w:rStyle w:val="FootnoteReference"/>
        </w:rPr>
        <w:footnoteRef/>
      </w:r>
      <w:r>
        <w:t xml:space="preserve"> SRTI Petition at 2; McAllister Letter at 1; Chairman Murphy Letter at 1-2.</w:t>
      </w:r>
    </w:p>
  </w:footnote>
  <w:footnote w:id="22">
    <w:p w:rsidR="00865C58" w:rsidRDefault="00865C58">
      <w:pPr>
        <w:pStyle w:val="FootnoteText"/>
      </w:pPr>
      <w:r>
        <w:rPr>
          <w:rStyle w:val="FootnoteReference"/>
        </w:rPr>
        <w:footnoteRef/>
      </w:r>
      <w:r>
        <w:t xml:space="preserve"> SRTI Petition at 2; Chairman Murphy</w:t>
      </w:r>
      <w:r w:rsidRPr="00A07AFE">
        <w:t xml:space="preserve"> Letter</w:t>
      </w:r>
      <w:r>
        <w:t xml:space="preserve"> at 2</w:t>
      </w:r>
      <w:r w:rsidRPr="00A07AFE">
        <w:t>.</w:t>
      </w:r>
    </w:p>
  </w:footnote>
  <w:footnote w:id="23">
    <w:p w:rsidR="00865C58" w:rsidRDefault="00865C58">
      <w:pPr>
        <w:pStyle w:val="FootnoteText"/>
      </w:pPr>
      <w:r>
        <w:rPr>
          <w:rStyle w:val="FootnoteReference"/>
        </w:rPr>
        <w:footnoteRef/>
      </w:r>
      <w:r>
        <w:t xml:space="preserve"> SRTI Petition at 2-3.</w:t>
      </w:r>
    </w:p>
  </w:footnote>
  <w:footnote w:id="24">
    <w:p w:rsidR="00865C58" w:rsidRDefault="00865C58">
      <w:pPr>
        <w:pStyle w:val="FootnoteText"/>
      </w:pPr>
      <w:r>
        <w:rPr>
          <w:rStyle w:val="FootnoteReference"/>
        </w:rPr>
        <w:footnoteRef/>
      </w:r>
      <w:r>
        <w:t xml:space="preserve"> Chairman Murphy Letter at 1.</w:t>
      </w:r>
    </w:p>
  </w:footnote>
  <w:footnote w:id="25">
    <w:p w:rsidR="00865C58" w:rsidRPr="00A07AFE" w:rsidRDefault="00865C58">
      <w:pPr>
        <w:pStyle w:val="FootnoteText"/>
        <w:rPr>
          <w:i/>
        </w:rPr>
      </w:pPr>
      <w:r>
        <w:rPr>
          <w:rStyle w:val="FootnoteReference"/>
        </w:rPr>
        <w:footnoteRef/>
      </w:r>
      <w:r>
        <w:t xml:space="preserve"> </w:t>
      </w:r>
      <w:r>
        <w:rPr>
          <w:i/>
        </w:rPr>
        <w:t>Id.</w:t>
      </w:r>
    </w:p>
  </w:footnote>
  <w:footnote w:id="26">
    <w:p w:rsidR="00865C58" w:rsidRPr="00A07AFE" w:rsidRDefault="00865C58">
      <w:pPr>
        <w:pStyle w:val="FootnoteText"/>
        <w:rPr>
          <w:i/>
        </w:rPr>
      </w:pPr>
      <w:r>
        <w:rPr>
          <w:rStyle w:val="FootnoteReference"/>
        </w:rPr>
        <w:footnoteRef/>
      </w:r>
      <w:r>
        <w:t xml:space="preserve"> </w:t>
      </w:r>
      <w:r>
        <w:rPr>
          <w:i/>
        </w:rPr>
        <w:t>Id.</w:t>
      </w:r>
    </w:p>
  </w:footnote>
  <w:footnote w:id="27">
    <w:p w:rsidR="00865C58" w:rsidRDefault="00865C58">
      <w:pPr>
        <w:pStyle w:val="FootnoteText"/>
      </w:pPr>
      <w:r>
        <w:rPr>
          <w:rStyle w:val="FootnoteReference"/>
        </w:rPr>
        <w:footnoteRef/>
      </w:r>
      <w:r>
        <w:t xml:space="preserve"> SRTI Petition at 3-4; McAllister Letter at 1; Chairman Murphy Letter at 2.</w:t>
      </w:r>
    </w:p>
  </w:footnote>
  <w:footnote w:id="28">
    <w:p w:rsidR="00865C58" w:rsidRDefault="00865C58">
      <w:pPr>
        <w:pStyle w:val="FootnoteText"/>
      </w:pPr>
      <w:r>
        <w:rPr>
          <w:rStyle w:val="FootnoteReference"/>
        </w:rPr>
        <w:footnoteRef/>
      </w:r>
      <w:r>
        <w:t xml:space="preserve"> SRTI Petition at 3-4.</w:t>
      </w:r>
    </w:p>
  </w:footnote>
  <w:footnote w:id="29">
    <w:p w:rsidR="00865C58" w:rsidRDefault="00865C58" w:rsidP="00946297">
      <w:pPr>
        <w:pStyle w:val="FootnoteText"/>
        <w:jc w:val="left"/>
      </w:pPr>
      <w:r>
        <w:rPr>
          <w:rStyle w:val="FootnoteReference"/>
        </w:rPr>
        <w:footnoteRef/>
      </w:r>
      <w:r>
        <w:t xml:space="preserve"> </w:t>
      </w:r>
      <w:r w:rsidRPr="00C9780C">
        <w:t>Statement of Policy on Establishing a Government-to-Government Relationship with Indian Tribes</w:t>
      </w:r>
      <w:r>
        <w:t xml:space="preserve">, </w:t>
      </w:r>
      <w:r w:rsidRPr="00C9780C">
        <w:rPr>
          <w:i/>
        </w:rPr>
        <w:t>Policy Statement</w:t>
      </w:r>
      <w:r>
        <w:t>, 16 FCC Rcd 4078, 4080–81 (2000) (</w:t>
      </w:r>
      <w:r>
        <w:rPr>
          <w:i/>
        </w:rPr>
        <w:t>Tribal Policy Statement</w:t>
      </w:r>
      <w:r>
        <w:t>).</w:t>
      </w:r>
    </w:p>
  </w:footnote>
  <w:footnote w:id="30">
    <w:p w:rsidR="00865C58" w:rsidRDefault="00865C58">
      <w:pPr>
        <w:pStyle w:val="FootnoteText"/>
      </w:pPr>
      <w:r>
        <w:rPr>
          <w:rStyle w:val="FootnoteReference"/>
        </w:rPr>
        <w:footnoteRef/>
      </w:r>
      <w:r>
        <w:t xml:space="preserve"> 47 C.F.R. § 54.1005(b)(1).</w:t>
      </w:r>
    </w:p>
  </w:footnote>
  <w:footnote w:id="31">
    <w:p w:rsidR="00865C58" w:rsidRDefault="00865C58">
      <w:pPr>
        <w:pStyle w:val="FootnoteText"/>
        <w:jc w:val="left"/>
      </w:pPr>
      <w:r>
        <w:rPr>
          <w:rStyle w:val="FootnoteReference"/>
        </w:rPr>
        <w:footnoteRef/>
      </w:r>
      <w:r>
        <w:t xml:space="preserve"> </w:t>
      </w:r>
      <w:r>
        <w:rPr>
          <w:i/>
        </w:rPr>
        <w:t>See</w:t>
      </w:r>
      <w:r>
        <w:t xml:space="preserve"> 47 C.F.R. §§ 1.3, 0.131(a).</w:t>
      </w:r>
    </w:p>
  </w:footnote>
  <w:footnote w:id="32">
    <w:p w:rsidR="00865C58" w:rsidRDefault="00865C58">
      <w:pPr>
        <w:pStyle w:val="FootnoteText"/>
        <w:jc w:val="left"/>
      </w:pPr>
      <w:r>
        <w:rPr>
          <w:rStyle w:val="FootnoteReference"/>
        </w:rPr>
        <w:footnoteRef/>
      </w:r>
      <w:r>
        <w:t xml:space="preserve"> </w:t>
      </w:r>
      <w:r>
        <w:rPr>
          <w:i/>
        </w:rPr>
        <w:t>See, e.g</w:t>
      </w:r>
      <w:r>
        <w:t xml:space="preserve">., </w:t>
      </w:r>
      <w:r>
        <w:rPr>
          <w:i/>
        </w:rPr>
        <w:t>Northeast Cellular Tel. Co. v. FCC</w:t>
      </w:r>
      <w:r>
        <w:t xml:space="preserve">, 897 F.2d 1164, 1166 (D.C. Cir. 1990); </w:t>
      </w:r>
      <w:r>
        <w:rPr>
          <w:i/>
        </w:rPr>
        <w:t>cf</w:t>
      </w:r>
      <w:r>
        <w:t>. 47 C.F.R. § 1.925(b)(3)(ii).</w:t>
      </w:r>
    </w:p>
  </w:footnote>
  <w:footnote w:id="33">
    <w:p w:rsidR="00E51923" w:rsidRDefault="00E51923" w:rsidP="00946297">
      <w:pPr>
        <w:pStyle w:val="FootnoteText"/>
        <w:jc w:val="left"/>
      </w:pPr>
      <w:r>
        <w:rPr>
          <w:rStyle w:val="FootnoteReference"/>
        </w:rPr>
        <w:footnoteRef/>
      </w:r>
      <w:r>
        <w:t xml:space="preserve"> </w:t>
      </w:r>
      <w:r>
        <w:rPr>
          <w:i/>
        </w:rPr>
        <w:t>See WAIT Radio v. FCC</w:t>
      </w:r>
      <w:r>
        <w:t xml:space="preserve">, 418 F.2d 1153, 1155, 1157 (D.C. Cir. 1969); </w:t>
      </w:r>
      <w:r>
        <w:rPr>
          <w:i/>
        </w:rPr>
        <w:t>cf</w:t>
      </w:r>
      <w:r>
        <w:t>. 47 C.F.R. § 1.925(b)(3)(i).</w:t>
      </w:r>
    </w:p>
  </w:footnote>
  <w:footnote w:id="34">
    <w:p w:rsidR="00865C58" w:rsidRPr="00432715" w:rsidRDefault="00865C58">
      <w:pPr>
        <w:pStyle w:val="FootnoteText"/>
        <w:rPr>
          <w:i/>
        </w:rPr>
      </w:pPr>
      <w:r>
        <w:rPr>
          <w:rStyle w:val="FootnoteReference"/>
        </w:rPr>
        <w:footnoteRef/>
      </w:r>
      <w:r>
        <w:t xml:space="preserve"> </w:t>
      </w:r>
      <w:r>
        <w:rPr>
          <w:i/>
        </w:rPr>
        <w:t xml:space="preserve">Tribal </w:t>
      </w:r>
      <w:r w:rsidRPr="00FD1F47">
        <w:rPr>
          <w:i/>
        </w:rPr>
        <w:t>Policy Statement</w:t>
      </w:r>
      <w:r>
        <w:t xml:space="preserve">, </w:t>
      </w:r>
      <w:r w:rsidRPr="008B0937">
        <w:t xml:space="preserve">16 FCC Rcd </w:t>
      </w:r>
      <w:r>
        <w:t>at</w:t>
      </w:r>
      <w:r w:rsidRPr="008B0937">
        <w:t xml:space="preserve"> 4080-81 (recognizing the Commission’s general trust relationship with, and responsibility to, federally recognized Tribes)</w:t>
      </w:r>
      <w:r>
        <w:t>.</w:t>
      </w:r>
    </w:p>
  </w:footnote>
  <w:footnote w:id="35">
    <w:p w:rsidR="00865C58" w:rsidRDefault="00865C58" w:rsidP="00946297">
      <w:pPr>
        <w:pStyle w:val="FootnoteText"/>
        <w:jc w:val="left"/>
      </w:pPr>
      <w:r>
        <w:rPr>
          <w:rStyle w:val="FootnoteReference"/>
        </w:rPr>
        <w:footnoteRef/>
      </w:r>
      <w:r>
        <w:t xml:space="preserve"> </w:t>
      </w:r>
      <w:r w:rsidRPr="00DC01FD">
        <w:t>Federal-State Joint Board on Universal Service</w:t>
      </w:r>
      <w:r>
        <w:t>; Promoting Deployment and Subscribership in Unserved and Underserved Areas, Including Tribal and Insular Areas; Western Wireless Corporation, Crow Reservation in Montana; Smith Bagley, Inc.; Cheyenne River Sioux Tribe Telephone Authority; Western Wireless Corporation, Wyoming; Cellco Partnership d/b/a Bell Atlantic Mobile, Inc.; Petitions for Designation as an Eligible Telecommunications Carrier and for Related Waivers to Provide Universal Service</w:t>
      </w:r>
      <w:r w:rsidRPr="007B2939">
        <w:t xml:space="preserve">, CC Docket No. 96-45, </w:t>
      </w:r>
      <w:r w:rsidRPr="00DC01FD">
        <w:rPr>
          <w:i/>
        </w:rPr>
        <w:t>Twelfth Report and Order, Memorandum Opinion and Order, and Further Notice of Proposed Rulemaking</w:t>
      </w:r>
      <w:r>
        <w:t>, 15 FCC Rcd 12</w:t>
      </w:r>
      <w:r w:rsidRPr="007B2939">
        <w:t>2</w:t>
      </w:r>
      <w:r>
        <w:t>08, 12</w:t>
      </w:r>
      <w:r w:rsidRPr="007B2939">
        <w:t>2</w:t>
      </w:r>
      <w:r>
        <w:t>63 ¶</w:t>
      </w:r>
      <w:r w:rsidRPr="007B2939">
        <w:t xml:space="preserve"> </w:t>
      </w:r>
      <w:r>
        <w:t>119</w:t>
      </w:r>
      <w:r w:rsidRPr="007B2939">
        <w:t xml:space="preserve"> (2000)</w:t>
      </w:r>
      <w:r>
        <w:t>.</w:t>
      </w:r>
    </w:p>
  </w:footnote>
  <w:footnote w:id="36">
    <w:p w:rsidR="00304798" w:rsidRDefault="00304798" w:rsidP="00C532B1">
      <w:pPr>
        <w:pStyle w:val="FootnoteText"/>
        <w:jc w:val="left"/>
      </w:pPr>
      <w:r>
        <w:rPr>
          <w:rStyle w:val="FootnoteReference"/>
        </w:rPr>
        <w:footnoteRef/>
      </w:r>
      <w:r>
        <w:t xml:space="preserve"> </w:t>
      </w:r>
      <w:r w:rsidR="00DC6144">
        <w:rPr>
          <w:i/>
        </w:rPr>
        <w:t xml:space="preserve">See </w:t>
      </w:r>
      <w:r>
        <w:rPr>
          <w:i/>
        </w:rPr>
        <w:t>Federal Communications Commission Office of Native Affairs and Policy 2012 Annual Report</w:t>
      </w:r>
      <w:r>
        <w:t xml:space="preserve">, at 7 (rel. Mar. 25, 2013), available at </w:t>
      </w:r>
      <w:r w:rsidR="0037197A" w:rsidRPr="00FD0653">
        <w:t>http://transition.fcc.gov/cgb/onap/ONAP-AnnualReport03-19-2013.pdf</w:t>
      </w:r>
      <w:r w:rsidR="0037197A">
        <w:t xml:space="preserve">. </w:t>
      </w:r>
    </w:p>
  </w:footnote>
  <w:footnote w:id="37">
    <w:p w:rsidR="00592744" w:rsidRDefault="00592744" w:rsidP="00C532B1">
      <w:pPr>
        <w:pStyle w:val="FootnoteText"/>
        <w:jc w:val="left"/>
      </w:pPr>
      <w:r>
        <w:rPr>
          <w:rStyle w:val="FootnoteReference"/>
        </w:rPr>
        <w:footnoteRef/>
      </w:r>
      <w:r>
        <w:t xml:space="preserve"> We </w:t>
      </w:r>
      <w:r w:rsidR="0037197A">
        <w:t xml:space="preserve">note </w:t>
      </w:r>
      <w:r>
        <w:t xml:space="preserve">that SRTI’s waiver request was filed with its timely long-form application and that </w:t>
      </w:r>
      <w:r w:rsidR="0037197A">
        <w:t xml:space="preserve">it </w:t>
      </w:r>
      <w:r w:rsidR="00EE0CCB">
        <w:t>submitted the required letter within the period it had requested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FC0" w:rsidRDefault="00E13F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58" w:rsidRDefault="00865C58">
    <w:pPr>
      <w:pStyle w:val="Footer"/>
      <w:pBdr>
        <w:bottom w:val="single" w:sz="12" w:space="1" w:color="auto"/>
      </w:pBdr>
      <w:tabs>
        <w:tab w:val="clear" w:pos="4320"/>
        <w:tab w:val="clear" w:pos="8640"/>
        <w:tab w:val="center" w:pos="4680"/>
        <w:tab w:val="right" w:pos="9360"/>
      </w:tabs>
      <w:rPr>
        <w:b/>
      </w:rPr>
    </w:pPr>
    <w:r>
      <w:rPr>
        <w:b/>
      </w:rPr>
      <w:tab/>
      <w:t xml:space="preserve">Federal Communications </w:t>
    </w:r>
    <w:r>
      <w:rPr>
        <w:b/>
        <w:szCs w:val="22"/>
      </w:rPr>
      <w:t>Commission</w:t>
    </w:r>
    <w:r>
      <w:rPr>
        <w:b/>
        <w:szCs w:val="22"/>
      </w:rPr>
      <w:tab/>
      <w:t xml:space="preserve">DA </w:t>
    </w:r>
    <w:r w:rsidR="00D038AB">
      <w:rPr>
        <w:b/>
        <w:szCs w:val="22"/>
      </w:rPr>
      <w:t>13</w:t>
    </w:r>
    <w:r>
      <w:rPr>
        <w:b/>
        <w:szCs w:val="22"/>
      </w:rPr>
      <w:t>-</w:t>
    </w:r>
    <w:r w:rsidR="00D038AB">
      <w:rPr>
        <w:b/>
        <w:szCs w:val="22"/>
      </w:rPr>
      <w:t>1848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58" w:rsidRDefault="00865C58">
    <w:pPr>
      <w:pStyle w:val="Footer"/>
      <w:pBdr>
        <w:bottom w:val="single" w:sz="12" w:space="1" w:color="auto"/>
      </w:pBdr>
      <w:tabs>
        <w:tab w:val="clear" w:pos="4320"/>
        <w:tab w:val="clear" w:pos="8640"/>
        <w:tab w:val="left" w:pos="334"/>
        <w:tab w:val="center" w:pos="4680"/>
        <w:tab w:val="right" w:pos="9360"/>
      </w:tabs>
      <w:rPr>
        <w:b/>
      </w:rPr>
    </w:pPr>
    <w:r>
      <w:rPr>
        <w:b/>
      </w:rPr>
      <w:tab/>
    </w:r>
    <w:r>
      <w:rPr>
        <w:b/>
      </w:rPr>
      <w:tab/>
      <w:t xml:space="preserve">Federal Communications </w:t>
    </w:r>
    <w:r>
      <w:rPr>
        <w:b/>
        <w:szCs w:val="22"/>
      </w:rPr>
      <w:t>Commission</w:t>
    </w:r>
    <w:r>
      <w:rPr>
        <w:b/>
        <w:szCs w:val="22"/>
      </w:rPr>
      <w:tab/>
      <w:t xml:space="preserve">DA </w:t>
    </w:r>
    <w:r w:rsidR="00D038AB">
      <w:rPr>
        <w:b/>
        <w:szCs w:val="22"/>
      </w:rPr>
      <w:t>13</w:t>
    </w:r>
    <w:r>
      <w:rPr>
        <w:b/>
        <w:szCs w:val="22"/>
      </w:rPr>
      <w:t>-</w:t>
    </w:r>
    <w:r w:rsidR="00D038AB">
      <w:rPr>
        <w:b/>
        <w:szCs w:val="22"/>
      </w:rPr>
      <w:t>1848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0A8F333A"/>
    <w:multiLevelType w:val="singleLevel"/>
    <w:tmpl w:val="CDC45D22"/>
    <w:lvl w:ilvl="0">
      <w:start w:val="4"/>
      <w:numFmt w:val="decimal"/>
      <w:lvlText w:val="%1."/>
      <w:legacy w:legacy="1" w:legacySpace="0" w:legacyIndent="346"/>
      <w:lvlJc w:val="left"/>
      <w:rPr>
        <w:rFonts w:ascii="Times New Roman" w:hAnsi="Times New Roman" w:cs="Times New Roman"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CDC4CF8"/>
    <w:multiLevelType w:val="singleLevel"/>
    <w:tmpl w:val="FFC8272A"/>
    <w:lvl w:ilvl="0">
      <w:start w:val="4"/>
      <w:numFmt w:val="decimal"/>
      <w:lvlText w:val="%1."/>
      <w:legacy w:legacy="1" w:legacySpace="0" w:legacyIndent="346"/>
      <w:lvlJc w:val="left"/>
      <w:rPr>
        <w:rFonts w:ascii="Times New Roman" w:hAnsi="Times New Roman" w:cs="Times New Roman"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41A3FDE"/>
    <w:multiLevelType w:val="singleLevel"/>
    <w:tmpl w:val="B852C0B4"/>
    <w:lvl w:ilvl="0">
      <w:start w:val="1"/>
      <w:numFmt w:val="decimal"/>
      <w:lvlText w:val="%1."/>
      <w:legacy w:legacy="1" w:legacySpace="0" w:legacyIndent="346"/>
      <w:lvlJc w:val="left"/>
      <w:rPr>
        <w:rFonts w:ascii="Times New Roman" w:hAnsi="Times New Roman" w:cs="Times New Roman" w:hint="default"/>
      </w:rPr>
    </w:lvl>
  </w:abstractNum>
  <w:abstractNum w:abstractNumId="7">
    <w:nsid w:val="27010BA7"/>
    <w:multiLevelType w:val="singleLevel"/>
    <w:tmpl w:val="59C43966"/>
    <w:lvl w:ilvl="0">
      <w:start w:val="4"/>
      <w:numFmt w:val="decimal"/>
      <w:lvlText w:val="%1."/>
      <w:legacy w:legacy="1" w:legacySpace="0" w:legacyIndent="346"/>
      <w:lvlJc w:val="left"/>
      <w:rPr>
        <w:rFonts w:ascii="Times New Roman" w:hAnsi="Times New Roman" w:cs="Times New Roman" w:hint="default"/>
      </w:rPr>
    </w:lvl>
  </w:abstractNum>
  <w:abstractNum w:abstractNumId="8">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2BB14D8A"/>
    <w:multiLevelType w:val="singleLevel"/>
    <w:tmpl w:val="B4D250BC"/>
    <w:lvl w:ilvl="0">
      <w:start w:val="1"/>
      <w:numFmt w:val="decimal"/>
      <w:lvlText w:val="(%1)"/>
      <w:legacy w:legacy="1" w:legacySpace="0" w:legacyIndent="332"/>
      <w:lvlJc w:val="left"/>
      <w:rPr>
        <w:rFonts w:ascii="Times New Roman" w:hAnsi="Times New Roman" w:cs="Times New Roman" w:hint="default"/>
      </w:rPr>
    </w:lvl>
  </w:abstractNum>
  <w:abstractNum w:abstractNumId="11">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43E730A"/>
    <w:multiLevelType w:val="singleLevel"/>
    <w:tmpl w:val="4C5A68F4"/>
    <w:lvl w:ilvl="0">
      <w:start w:val="4"/>
      <w:numFmt w:val="decimal"/>
      <w:lvlText w:val="%1."/>
      <w:legacy w:legacy="1" w:legacySpace="0" w:legacyIndent="346"/>
      <w:lvlJc w:val="left"/>
      <w:rPr>
        <w:rFonts w:ascii="Times New Roman" w:hAnsi="Times New Roman" w:cs="Times New Roman" w:hint="default"/>
      </w:rPr>
    </w:lvl>
  </w:abstractNum>
  <w:abstractNum w:abstractNumId="15">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3D0F1B3D"/>
    <w:multiLevelType w:val="singleLevel"/>
    <w:tmpl w:val="4A341C52"/>
    <w:lvl w:ilvl="0">
      <w:start w:val="1"/>
      <w:numFmt w:val="decimal"/>
      <w:pStyle w:val="ParaNum"/>
      <w:lvlText w:val="%1."/>
      <w:lvlJc w:val="left"/>
      <w:pPr>
        <w:tabs>
          <w:tab w:val="num" w:pos="144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3E865E87"/>
    <w:multiLevelType w:val="singleLevel"/>
    <w:tmpl w:val="35205B6C"/>
    <w:lvl w:ilvl="0">
      <w:start w:val="1"/>
      <w:numFmt w:val="decimal"/>
      <w:lvlText w:val="%1."/>
      <w:legacy w:legacy="1" w:legacySpace="0" w:legacyIndent="346"/>
      <w:lvlJc w:val="left"/>
      <w:rPr>
        <w:rFonts w:ascii="Times New Roman" w:hAnsi="Times New Roman" w:cs="Times New Roman" w:hint="default"/>
      </w:rPr>
    </w:lvl>
  </w:abstractNum>
  <w:abstractNum w:abstractNumId="19">
    <w:nsid w:val="402173F7"/>
    <w:multiLevelType w:val="singleLevel"/>
    <w:tmpl w:val="52D886F0"/>
    <w:lvl w:ilvl="0">
      <w:start w:val="1"/>
      <w:numFmt w:val="decimal"/>
      <w:lvlText w:val="%1."/>
      <w:legacy w:legacy="1" w:legacySpace="0" w:legacyIndent="346"/>
      <w:lvlJc w:val="left"/>
      <w:rPr>
        <w:rFonts w:ascii="Times New Roman" w:hAnsi="Times New Roman" w:cs="Times New Roman" w:hint="default"/>
      </w:rPr>
    </w:lvl>
  </w:abstractNum>
  <w:abstractNum w:abstractNumId="20">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4AEF0283"/>
    <w:multiLevelType w:val="singleLevel"/>
    <w:tmpl w:val="2E8E88A6"/>
    <w:lvl w:ilvl="0">
      <w:start w:val="3"/>
      <w:numFmt w:val="decimal"/>
      <w:lvlText w:val="(%1)"/>
      <w:legacy w:legacy="1" w:legacySpace="0" w:legacyIndent="336"/>
      <w:lvlJc w:val="left"/>
      <w:rPr>
        <w:rFonts w:ascii="Times New Roman" w:hAnsi="Times New Roman" w:cs="Times New Roman" w:hint="default"/>
      </w:rPr>
    </w:lvl>
  </w:abstractNum>
  <w:abstractNum w:abstractNumId="23">
    <w:nsid w:val="4DBE2E3F"/>
    <w:multiLevelType w:val="hybridMultilevel"/>
    <w:tmpl w:val="17C2B38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341241F"/>
    <w:multiLevelType w:val="singleLevel"/>
    <w:tmpl w:val="4C62BFF4"/>
    <w:lvl w:ilvl="0">
      <w:start w:val="1"/>
      <w:numFmt w:val="decimal"/>
      <w:lvlText w:val="%1."/>
      <w:lvlJc w:val="left"/>
      <w:pPr>
        <w:tabs>
          <w:tab w:val="num" w:pos="1080"/>
        </w:tabs>
        <w:ind w:left="0" w:firstLine="720"/>
      </w:pPr>
      <w:rPr>
        <w:rFonts w:ascii="Times New Roman" w:hAnsi="Times New Roman" w:hint="default"/>
        <w:b w:val="0"/>
        <w:i w:val="0"/>
        <w:sz w:val="22"/>
        <w:u w:val="none"/>
      </w:rPr>
    </w:lvl>
  </w:abstractNum>
  <w:abstractNum w:abstractNumId="25">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6">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7">
    <w:nsid w:val="56EA20C8"/>
    <w:multiLevelType w:val="singleLevel"/>
    <w:tmpl w:val="99F24924"/>
    <w:lvl w:ilvl="0">
      <w:start w:val="1"/>
      <w:numFmt w:val="decimal"/>
      <w:lvlText w:val="%1."/>
      <w:legacy w:legacy="1" w:legacySpace="0" w:legacyIndent="346"/>
      <w:lvlJc w:val="left"/>
      <w:rPr>
        <w:rFonts w:ascii="Times New Roman" w:hAnsi="Times New Roman" w:cs="Times New Roman" w:hint="default"/>
      </w:rPr>
    </w:lvl>
  </w:abstractNum>
  <w:abstractNum w:abstractNumId="28">
    <w:nsid w:val="582009AB"/>
    <w:multiLevelType w:val="singleLevel"/>
    <w:tmpl w:val="0D3641B4"/>
    <w:lvl w:ilvl="0">
      <w:start w:val="1"/>
      <w:numFmt w:val="decimal"/>
      <w:lvlText w:val="%1."/>
      <w:legacy w:legacy="1" w:legacySpace="0" w:legacyIndent="346"/>
      <w:lvlJc w:val="left"/>
      <w:rPr>
        <w:rFonts w:ascii="Times New Roman" w:hAnsi="Times New Roman" w:cs="Times New Roman" w:hint="default"/>
      </w:rPr>
    </w:lvl>
  </w:abstractNum>
  <w:abstractNum w:abstractNumId="29">
    <w:nsid w:val="589D5380"/>
    <w:multiLevelType w:val="singleLevel"/>
    <w:tmpl w:val="2404FAD2"/>
    <w:lvl w:ilvl="0">
      <w:start w:val="4"/>
      <w:numFmt w:val="decimal"/>
      <w:lvlText w:val="%1."/>
      <w:legacy w:legacy="1" w:legacySpace="0" w:legacyIndent="346"/>
      <w:lvlJc w:val="left"/>
      <w:rPr>
        <w:rFonts w:ascii="Times New Roman" w:hAnsi="Times New Roman" w:cs="Times New Roman" w:hint="default"/>
      </w:rPr>
    </w:lvl>
  </w:abstractNum>
  <w:abstractNum w:abstractNumId="30">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31">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32">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32"/>
  </w:num>
  <w:num w:numId="2">
    <w:abstractNumId w:val="33"/>
  </w:num>
  <w:num w:numId="3">
    <w:abstractNumId w:val="5"/>
  </w:num>
  <w:num w:numId="4">
    <w:abstractNumId w:val="25"/>
  </w:num>
  <w:num w:numId="5">
    <w:abstractNumId w:val="8"/>
  </w:num>
  <w:num w:numId="6">
    <w:abstractNumId w:val="31"/>
  </w:num>
  <w:num w:numId="7">
    <w:abstractNumId w:val="20"/>
  </w:num>
  <w:num w:numId="8">
    <w:abstractNumId w:val="9"/>
  </w:num>
  <w:num w:numId="9">
    <w:abstractNumId w:val="30"/>
  </w:num>
  <w:num w:numId="10">
    <w:abstractNumId w:val="16"/>
  </w:num>
  <w:num w:numId="11">
    <w:abstractNumId w:val="15"/>
  </w:num>
  <w:num w:numId="12">
    <w:abstractNumId w:val="11"/>
  </w:num>
  <w:num w:numId="13">
    <w:abstractNumId w:val="17"/>
  </w:num>
  <w:num w:numId="14">
    <w:abstractNumId w:val="26"/>
  </w:num>
  <w:num w:numId="15">
    <w:abstractNumId w:val="2"/>
  </w:num>
  <w:num w:numId="16">
    <w:abstractNumId w:val="3"/>
  </w:num>
  <w:num w:numId="17">
    <w:abstractNumId w:val="12"/>
  </w:num>
  <w:num w:numId="18">
    <w:abstractNumId w:val="0"/>
  </w:num>
  <w:num w:numId="19">
    <w:abstractNumId w:val="13"/>
  </w:num>
  <w:num w:numId="20">
    <w:abstractNumId w:val="21"/>
  </w:num>
  <w:num w:numId="21">
    <w:abstractNumId w:val="24"/>
  </w:num>
  <w:num w:numId="22">
    <w:abstractNumId w:val="23"/>
  </w:num>
  <w:num w:numId="23">
    <w:abstractNumId w:val="25"/>
    <w:lvlOverride w:ilvl="0">
      <w:startOverride w:val="4"/>
    </w:lvlOverride>
  </w:num>
  <w:num w:numId="24">
    <w:abstractNumId w:val="17"/>
  </w:num>
  <w:num w:numId="25">
    <w:abstractNumId w:val="6"/>
  </w:num>
  <w:num w:numId="26">
    <w:abstractNumId w:val="4"/>
  </w:num>
  <w:num w:numId="27">
    <w:abstractNumId w:val="27"/>
  </w:num>
  <w:num w:numId="28">
    <w:abstractNumId w:val="14"/>
  </w:num>
  <w:num w:numId="29">
    <w:abstractNumId w:val="19"/>
  </w:num>
  <w:num w:numId="30">
    <w:abstractNumId w:val="7"/>
  </w:num>
  <w:num w:numId="31">
    <w:abstractNumId w:val="10"/>
  </w:num>
  <w:num w:numId="32">
    <w:abstractNumId w:val="22"/>
  </w:num>
  <w:num w:numId="33">
    <w:abstractNumId w:val="28"/>
  </w:num>
  <w:num w:numId="34">
    <w:abstractNumId w:val="1"/>
  </w:num>
  <w:num w:numId="35">
    <w:abstractNumId w:val="18"/>
  </w:num>
  <w:num w:numId="36">
    <w:abstractNumId w:val="29"/>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08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57"/>
    <w:rsid w:val="0000164A"/>
    <w:rsid w:val="00002613"/>
    <w:rsid w:val="00023003"/>
    <w:rsid w:val="000450CC"/>
    <w:rsid w:val="000523A1"/>
    <w:rsid w:val="00052581"/>
    <w:rsid w:val="00057982"/>
    <w:rsid w:val="00057B12"/>
    <w:rsid w:val="00072154"/>
    <w:rsid w:val="00077A77"/>
    <w:rsid w:val="00080F82"/>
    <w:rsid w:val="0008193B"/>
    <w:rsid w:val="0009266B"/>
    <w:rsid w:val="0009599E"/>
    <w:rsid w:val="000A1046"/>
    <w:rsid w:val="000C6201"/>
    <w:rsid w:val="000E4A1D"/>
    <w:rsid w:val="000E75EA"/>
    <w:rsid w:val="000F468A"/>
    <w:rsid w:val="0010497D"/>
    <w:rsid w:val="00112051"/>
    <w:rsid w:val="001168A3"/>
    <w:rsid w:val="001229B4"/>
    <w:rsid w:val="00131EB5"/>
    <w:rsid w:val="00134846"/>
    <w:rsid w:val="00140043"/>
    <w:rsid w:val="001410DE"/>
    <w:rsid w:val="001938C3"/>
    <w:rsid w:val="001B0171"/>
    <w:rsid w:val="001B073D"/>
    <w:rsid w:val="001B739F"/>
    <w:rsid w:val="001C33A3"/>
    <w:rsid w:val="001E2826"/>
    <w:rsid w:val="001F6155"/>
    <w:rsid w:val="001F7584"/>
    <w:rsid w:val="00211AB5"/>
    <w:rsid w:val="002279E4"/>
    <w:rsid w:val="00233787"/>
    <w:rsid w:val="00235056"/>
    <w:rsid w:val="002405D4"/>
    <w:rsid w:val="002723FD"/>
    <w:rsid w:val="00277D71"/>
    <w:rsid w:val="00281528"/>
    <w:rsid w:val="00282BD3"/>
    <w:rsid w:val="00285AA7"/>
    <w:rsid w:val="00290EB7"/>
    <w:rsid w:val="00297857"/>
    <w:rsid w:val="002A2BDC"/>
    <w:rsid w:val="002E3677"/>
    <w:rsid w:val="002E48F3"/>
    <w:rsid w:val="00304798"/>
    <w:rsid w:val="003217E2"/>
    <w:rsid w:val="003220FF"/>
    <w:rsid w:val="00324212"/>
    <w:rsid w:val="00326AE6"/>
    <w:rsid w:val="003550D1"/>
    <w:rsid w:val="00356172"/>
    <w:rsid w:val="003573A8"/>
    <w:rsid w:val="00361189"/>
    <w:rsid w:val="00366F1C"/>
    <w:rsid w:val="0037197A"/>
    <w:rsid w:val="0037260D"/>
    <w:rsid w:val="00377CB8"/>
    <w:rsid w:val="00387772"/>
    <w:rsid w:val="003914B5"/>
    <w:rsid w:val="003A124A"/>
    <w:rsid w:val="003A5CB5"/>
    <w:rsid w:val="003B4208"/>
    <w:rsid w:val="003D6576"/>
    <w:rsid w:val="003E07CA"/>
    <w:rsid w:val="003E4B57"/>
    <w:rsid w:val="003E6DB9"/>
    <w:rsid w:val="003F32A3"/>
    <w:rsid w:val="00402262"/>
    <w:rsid w:val="00404B74"/>
    <w:rsid w:val="00412917"/>
    <w:rsid w:val="00432715"/>
    <w:rsid w:val="004372C1"/>
    <w:rsid w:val="0044498F"/>
    <w:rsid w:val="00460A2F"/>
    <w:rsid w:val="00466467"/>
    <w:rsid w:val="00485522"/>
    <w:rsid w:val="00487660"/>
    <w:rsid w:val="0049357D"/>
    <w:rsid w:val="004A359F"/>
    <w:rsid w:val="004C2E1B"/>
    <w:rsid w:val="004D4B52"/>
    <w:rsid w:val="004D567B"/>
    <w:rsid w:val="004E0D1F"/>
    <w:rsid w:val="004E73FF"/>
    <w:rsid w:val="004F189A"/>
    <w:rsid w:val="004F7932"/>
    <w:rsid w:val="00510462"/>
    <w:rsid w:val="005375FE"/>
    <w:rsid w:val="00550443"/>
    <w:rsid w:val="005877CA"/>
    <w:rsid w:val="00591132"/>
    <w:rsid w:val="00592744"/>
    <w:rsid w:val="005A3BB7"/>
    <w:rsid w:val="005A6DF5"/>
    <w:rsid w:val="005C1B88"/>
    <w:rsid w:val="005C78A1"/>
    <w:rsid w:val="005E1963"/>
    <w:rsid w:val="005F7B24"/>
    <w:rsid w:val="0062634E"/>
    <w:rsid w:val="00651883"/>
    <w:rsid w:val="00667DF4"/>
    <w:rsid w:val="00680F48"/>
    <w:rsid w:val="006831B0"/>
    <w:rsid w:val="00687038"/>
    <w:rsid w:val="00692628"/>
    <w:rsid w:val="006928A2"/>
    <w:rsid w:val="006A0544"/>
    <w:rsid w:val="006A6A89"/>
    <w:rsid w:val="006A77D2"/>
    <w:rsid w:val="006B7325"/>
    <w:rsid w:val="006C12FB"/>
    <w:rsid w:val="006C6143"/>
    <w:rsid w:val="006D0514"/>
    <w:rsid w:val="006F3D35"/>
    <w:rsid w:val="00701507"/>
    <w:rsid w:val="007026E9"/>
    <w:rsid w:val="00705D91"/>
    <w:rsid w:val="0071470F"/>
    <w:rsid w:val="0071601E"/>
    <w:rsid w:val="00720424"/>
    <w:rsid w:val="0072271C"/>
    <w:rsid w:val="00737628"/>
    <w:rsid w:val="007474E2"/>
    <w:rsid w:val="00770659"/>
    <w:rsid w:val="007768A2"/>
    <w:rsid w:val="00784DB2"/>
    <w:rsid w:val="00791AD7"/>
    <w:rsid w:val="007956EE"/>
    <w:rsid w:val="007A3F14"/>
    <w:rsid w:val="007B2939"/>
    <w:rsid w:val="007B373B"/>
    <w:rsid w:val="007C47A1"/>
    <w:rsid w:val="007D55A5"/>
    <w:rsid w:val="007E64B9"/>
    <w:rsid w:val="007F0CA7"/>
    <w:rsid w:val="007F2216"/>
    <w:rsid w:val="008164DE"/>
    <w:rsid w:val="00821804"/>
    <w:rsid w:val="00821B12"/>
    <w:rsid w:val="00841F38"/>
    <w:rsid w:val="00865C58"/>
    <w:rsid w:val="0087084A"/>
    <w:rsid w:val="008773E9"/>
    <w:rsid w:val="008A3791"/>
    <w:rsid w:val="008C65CF"/>
    <w:rsid w:val="008E4815"/>
    <w:rsid w:val="008F3F7A"/>
    <w:rsid w:val="008F592D"/>
    <w:rsid w:val="00911D2F"/>
    <w:rsid w:val="009135E8"/>
    <w:rsid w:val="00921736"/>
    <w:rsid w:val="009252A0"/>
    <w:rsid w:val="00925945"/>
    <w:rsid w:val="009273BB"/>
    <w:rsid w:val="00937DC3"/>
    <w:rsid w:val="00946297"/>
    <w:rsid w:val="009538B8"/>
    <w:rsid w:val="00954156"/>
    <w:rsid w:val="00957BE8"/>
    <w:rsid w:val="00970635"/>
    <w:rsid w:val="00970C96"/>
    <w:rsid w:val="009715AB"/>
    <w:rsid w:val="00981C29"/>
    <w:rsid w:val="0099300E"/>
    <w:rsid w:val="009B1AB9"/>
    <w:rsid w:val="009C04EF"/>
    <w:rsid w:val="009E3323"/>
    <w:rsid w:val="009F1FF5"/>
    <w:rsid w:val="009F7475"/>
    <w:rsid w:val="00A07AFE"/>
    <w:rsid w:val="00A13E65"/>
    <w:rsid w:val="00A21B09"/>
    <w:rsid w:val="00A23EBF"/>
    <w:rsid w:val="00A33888"/>
    <w:rsid w:val="00A345E8"/>
    <w:rsid w:val="00A36CA6"/>
    <w:rsid w:val="00A37417"/>
    <w:rsid w:val="00A72987"/>
    <w:rsid w:val="00A94B4F"/>
    <w:rsid w:val="00A960D9"/>
    <w:rsid w:val="00AA4F88"/>
    <w:rsid w:val="00AA5165"/>
    <w:rsid w:val="00AB22DD"/>
    <w:rsid w:val="00AB3602"/>
    <w:rsid w:val="00AD712C"/>
    <w:rsid w:val="00AF5F8D"/>
    <w:rsid w:val="00AF6848"/>
    <w:rsid w:val="00AF77AF"/>
    <w:rsid w:val="00B0119D"/>
    <w:rsid w:val="00B0293A"/>
    <w:rsid w:val="00B03B27"/>
    <w:rsid w:val="00B04CA3"/>
    <w:rsid w:val="00B0532D"/>
    <w:rsid w:val="00B14712"/>
    <w:rsid w:val="00B167B3"/>
    <w:rsid w:val="00B23927"/>
    <w:rsid w:val="00B253AC"/>
    <w:rsid w:val="00B607D9"/>
    <w:rsid w:val="00B6183B"/>
    <w:rsid w:val="00B67389"/>
    <w:rsid w:val="00B7691C"/>
    <w:rsid w:val="00B864BF"/>
    <w:rsid w:val="00BC4C24"/>
    <w:rsid w:val="00BD179C"/>
    <w:rsid w:val="00BE2373"/>
    <w:rsid w:val="00BF6608"/>
    <w:rsid w:val="00BF7055"/>
    <w:rsid w:val="00C0050B"/>
    <w:rsid w:val="00C00B68"/>
    <w:rsid w:val="00C02AB4"/>
    <w:rsid w:val="00C15115"/>
    <w:rsid w:val="00C321AC"/>
    <w:rsid w:val="00C3604C"/>
    <w:rsid w:val="00C532B1"/>
    <w:rsid w:val="00C73C4F"/>
    <w:rsid w:val="00C8150E"/>
    <w:rsid w:val="00C829A7"/>
    <w:rsid w:val="00C83B71"/>
    <w:rsid w:val="00C95965"/>
    <w:rsid w:val="00C9780C"/>
    <w:rsid w:val="00CA4E94"/>
    <w:rsid w:val="00CB719A"/>
    <w:rsid w:val="00CC4A4A"/>
    <w:rsid w:val="00CE0BD1"/>
    <w:rsid w:val="00CF6CFB"/>
    <w:rsid w:val="00D00CD4"/>
    <w:rsid w:val="00D038AB"/>
    <w:rsid w:val="00D06DCC"/>
    <w:rsid w:val="00D12902"/>
    <w:rsid w:val="00D16F8B"/>
    <w:rsid w:val="00D17056"/>
    <w:rsid w:val="00D30256"/>
    <w:rsid w:val="00D45EFB"/>
    <w:rsid w:val="00D47F43"/>
    <w:rsid w:val="00D51DF7"/>
    <w:rsid w:val="00D53DE1"/>
    <w:rsid w:val="00DA7E64"/>
    <w:rsid w:val="00DC01FD"/>
    <w:rsid w:val="00DC6144"/>
    <w:rsid w:val="00DD1C82"/>
    <w:rsid w:val="00DE1C11"/>
    <w:rsid w:val="00DE5A45"/>
    <w:rsid w:val="00DF68E3"/>
    <w:rsid w:val="00DF6A43"/>
    <w:rsid w:val="00E04139"/>
    <w:rsid w:val="00E13FC0"/>
    <w:rsid w:val="00E272B0"/>
    <w:rsid w:val="00E45C81"/>
    <w:rsid w:val="00E506C1"/>
    <w:rsid w:val="00E51923"/>
    <w:rsid w:val="00E541FB"/>
    <w:rsid w:val="00E82393"/>
    <w:rsid w:val="00EB1A57"/>
    <w:rsid w:val="00EB240C"/>
    <w:rsid w:val="00EC08AE"/>
    <w:rsid w:val="00EC602A"/>
    <w:rsid w:val="00ED7C3C"/>
    <w:rsid w:val="00EE0CCB"/>
    <w:rsid w:val="00EF427D"/>
    <w:rsid w:val="00EF48B6"/>
    <w:rsid w:val="00EF4C22"/>
    <w:rsid w:val="00F0575E"/>
    <w:rsid w:val="00F05A79"/>
    <w:rsid w:val="00F074C5"/>
    <w:rsid w:val="00F171EE"/>
    <w:rsid w:val="00F30139"/>
    <w:rsid w:val="00F63039"/>
    <w:rsid w:val="00F6541A"/>
    <w:rsid w:val="00F7102D"/>
    <w:rsid w:val="00F84D77"/>
    <w:rsid w:val="00F955DD"/>
    <w:rsid w:val="00FA576A"/>
    <w:rsid w:val="00FB76AB"/>
    <w:rsid w:val="00FC41B7"/>
    <w:rsid w:val="00FD0653"/>
    <w:rsid w:val="00FD1F47"/>
    <w:rsid w:val="00FE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numPr>
        <w:numId w:val="4"/>
      </w:numPr>
      <w:suppressAutoHyphens/>
      <w:spacing w:before="120" w:after="120"/>
      <w:outlineLvl w:val="0"/>
    </w:pPr>
    <w:rPr>
      <w:b/>
      <w:caps/>
    </w:rPr>
  </w:style>
  <w:style w:type="paragraph" w:styleId="Heading2">
    <w:name w:val="heading 2"/>
    <w:basedOn w:val="Normal"/>
    <w:next w:val="ParaNum"/>
    <w:qFormat/>
    <w:pPr>
      <w:keepNext/>
      <w:widowControl w:val="0"/>
      <w:numPr>
        <w:ilvl w:val="1"/>
        <w:numId w:val="4"/>
      </w:numPr>
      <w:spacing w:before="120" w:after="120"/>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pPr>
      <w:numPr>
        <w:numId w:val="13"/>
      </w:numPr>
      <w:spacing w:after="120"/>
    </w:pPr>
  </w:style>
  <w:style w:type="paragraph" w:styleId="Caption">
    <w:name w:val="caption"/>
    <w:basedOn w:val="Normal"/>
    <w:next w:val="Normal"/>
    <w:qFormat/>
    <w:pPr>
      <w:spacing w:before="120" w:after="120"/>
    </w:pPr>
    <w:rPr>
      <w:b/>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semiHidden/>
    <w:pPr>
      <w:spacing w:after="120"/>
      <w:jc w:val="both"/>
    </w:pPr>
    <w:rPr>
      <w:sz w:val="20"/>
    </w:rPr>
  </w:style>
  <w:style w:type="character" w:customStyle="1" w:styleId="FootnoteTextChar1">
    <w:name w:val="Footnote Text Char1"/>
    <w:aliases w:val="ALTS FOOTNOTE Char2,fn Char2,Footnote Text Char Char3,ALTS FOOTNOTE Char Char1,fn Char Char1,Footnote Text Char1 Char Char2,Footnote Text Char Char Char Char2,Footnote Text Char2 Char Char Char Char1,f Char"/>
    <w:link w:val="FootnoteText"/>
    <w:rPr>
      <w:lang w:val="en-US" w:eastAsia="en-US" w:bidi="ar-SA"/>
    </w:rPr>
  </w:style>
  <w:style w:type="paragraph" w:customStyle="1" w:styleId="Bullet">
    <w:name w:val="Bullet"/>
    <w:basedOn w:val="Normal"/>
    <w:pPr>
      <w:widowControl w:val="0"/>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Style 13,Appel note de bas de p,Style 124,fr,o,Style 3,FR,Style 17,Footnote Reference/,Style 6,Style 7"/>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spacing w:after="22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odyText2">
    <w:name w:val="Body Text 2"/>
    <w:aliases w:val="Body Text 2 Char"/>
    <w:basedOn w:val="Normal"/>
    <w:link w:val="BodyText2Char1"/>
  </w:style>
  <w:style w:type="character" w:customStyle="1" w:styleId="BodyText2Char1">
    <w:name w:val="Body Text 2 Char1"/>
    <w:aliases w:val="Body Text 2 Char Char"/>
    <w:link w:val="BodyText2"/>
    <w:rPr>
      <w:sz w:val="22"/>
      <w:lang w:val="en-US" w:eastAsia="en-US" w:bidi="ar-SA"/>
    </w:rPr>
  </w:style>
  <w:style w:type="character" w:styleId="Hyperlink">
    <w:name w:val="Hyperlink"/>
    <w:rPr>
      <w:color w:val="0000FF"/>
      <w:u w:val="single"/>
    </w:rPr>
  </w:style>
  <w:style w:type="paragraph" w:styleId="NormalWeb">
    <w:name w:val="Normal (Web)"/>
    <w:basedOn w:val="Normal"/>
    <w:rPr>
      <w:sz w:val="24"/>
      <w:szCs w:val="24"/>
    </w:rPr>
  </w:style>
  <w:style w:type="character" w:styleId="Strong">
    <w:name w:val="Strong"/>
    <w:qFormat/>
    <w:rPr>
      <w:b/>
      <w:bCs/>
    </w:rPr>
  </w:style>
  <w:style w:type="character" w:styleId="Emphasis">
    <w:name w:val="Emphasis"/>
    <w:qFormat/>
    <w:rPr>
      <w:i/>
      <w:iCs/>
    </w:rPr>
  </w:style>
  <w:style w:type="character" w:customStyle="1" w:styleId="FootnoteTextCharChar2">
    <w:name w:val="Footnote Text Char Char2"/>
    <w:rPr>
      <w:lang w:val="en-US" w:eastAsia="en-US" w:bidi="ar-SA"/>
    </w:rPr>
  </w:style>
  <w:style w:type="paragraph" w:customStyle="1" w:styleId="paranum0">
    <w:name w:val="paranum"/>
    <w:basedOn w:val="Normal"/>
    <w:pPr>
      <w:spacing w:before="100" w:beforeAutospacing="1" w:after="100" w:afterAutospacing="1"/>
    </w:pPr>
    <w:rPr>
      <w:sz w:val="24"/>
      <w:szCs w:val="24"/>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sz w:val="24"/>
    </w:rPr>
  </w:style>
  <w:style w:type="character" w:customStyle="1" w:styleId="FootnoteTextCharChar1">
    <w:name w:val="Footnote Text Char Char1"/>
    <w:aliases w:val="Footnote Text Char1 Char Char1,Footnote Text Char Char Char Char1,ALTS FOOTNOTE Char Char Char Char1,fn Char2 Char Char Char1,Footnote Text Char1 Char Char Char Char1,ALTS FOOTNOTE Char1 Char Char Char Char1"/>
    <w:rPr>
      <w:lang w:val="en-US" w:eastAsia="en-US" w:bidi="ar-SA"/>
    </w:rPr>
  </w:style>
  <w:style w:type="character" w:customStyle="1" w:styleId="FootnoteTextCharCharChar1">
    <w:name w:val="Footnote Text Char Char Char1"/>
    <w:aliases w:val="Footnote Text Char3 Char Char Char,Footnote Text Char Char Char Char Char2,Footnote Text Char1 Char Char Char Char Char1,Footnote Text Char Char Char Char Char1 Char Char,fn Char2 Char Char,Footnote Text Char5"/>
    <w:rPr>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apple-style-span">
    <w:name w:val="apple-style-span"/>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NumCharChar">
    <w:name w:val="ParaNum Char Char"/>
    <w:link w:val="ParaNum"/>
    <w:rPr>
      <w:sz w:val="22"/>
      <w:lang w:val="en-US" w:eastAsia="en-US" w:bidi="ar-SA"/>
    </w:rPr>
  </w:style>
  <w:style w:type="character" w:customStyle="1" w:styleId="ParaNumCharChar1">
    <w:name w:val="ParaNum Char Char1"/>
    <w:rPr>
      <w:sz w:val="22"/>
      <w:lang w:val="en-US" w:eastAsia="ko-KR" w:bidi="ar-SA"/>
    </w:rPr>
  </w:style>
  <w:style w:type="paragraph" w:styleId="DocumentMap">
    <w:name w:val="Document Map"/>
    <w:basedOn w:val="Normal"/>
    <w:semiHidden/>
    <w:pPr>
      <w:shd w:val="clear" w:color="auto" w:fill="000080"/>
    </w:pPr>
    <w:rPr>
      <w:rFonts w:ascii="Tahoma" w:hAnsi="Tahoma" w:cs="Tahoma"/>
      <w:sz w:val="20"/>
    </w:rPr>
  </w:style>
  <w:style w:type="character" w:customStyle="1" w:styleId="ALTSFOOTNOTEChar1">
    <w:name w:val="ALTS FOOTNOTE Char1"/>
    <w:aliases w:val="fn Char1,Footnote Text Char Char,ALTS FOOTNOTE Char Char,fn Char Char,Footnote Text Char1 Char Char,Footnote Text Char Char Char Char,Footnote Text Char2 Char Char Char Char,Footnote Text Char1 Char1 Char Char Char Char,f Char Char"/>
    <w:locked/>
    <w:rPr>
      <w:sz w:val="22"/>
      <w:lang w:val="en-US" w:eastAsia="en-US" w:bidi="ar-SA"/>
    </w:rPr>
  </w:style>
  <w:style w:type="character" w:customStyle="1" w:styleId="ALTSFOOTNOTEChar3">
    <w:name w:val="ALTS FOOTNOTE Char3"/>
    <w:aliases w:val="fn Char3,Footnote Text Char Char4,ALTS FOOTNOTE Char Char2,fn Char Char2,Footnote Text Char1 Char Char3,Footnote Text Char Char Char Char3,Footnote Text Char2 Char Char Char Char2,Footnote Text Char1 Char1 Char Char Char Char2"/>
    <w:rPr>
      <w:lang w:val="en-US" w:eastAsia="en-US" w:bidi="ar-SA"/>
    </w:rPr>
  </w:style>
  <w:style w:type="character" w:customStyle="1" w:styleId="apple-converted-space">
    <w:name w:val="apple-converted-space"/>
    <w:basedOn w:val="DefaultParagraphFont"/>
  </w:style>
  <w:style w:type="character" w:customStyle="1" w:styleId="searchterm">
    <w:name w:val="searchterm"/>
    <w:basedOn w:val="DefaultParagraphFont"/>
  </w:style>
  <w:style w:type="character" w:styleId="FollowedHyperlink">
    <w:name w:val="FollowedHyperlink"/>
    <w:rPr>
      <w:color w:val="800080"/>
      <w:u w:val="single"/>
    </w:rPr>
  </w:style>
  <w:style w:type="character" w:customStyle="1" w:styleId="FootnoteTextChar2">
    <w:name w:val="Footnote Text Char2"/>
    <w:aliases w:val="Footnote Text Char Char Char2,Footnote Text Char5 Char Char Char,Footnote Text Char Char Char Char Char,Footnote Text Char4 Char Char1 Char Char Char,Footnote Text Char2 Char Char2 Char2 Char Char Char"/>
    <w:semiHidden/>
    <w:rsid w:val="00C73C4F"/>
    <w:rPr>
      <w:lang w:val="en-US" w:eastAsia="en-US" w:bidi="ar-SA"/>
    </w:rPr>
  </w:style>
  <w:style w:type="character" w:customStyle="1" w:styleId="FooterChar">
    <w:name w:val="Footer Char"/>
    <w:link w:val="Footer"/>
    <w:uiPriority w:val="99"/>
    <w:rsid w:val="00841F38"/>
    <w:rPr>
      <w:sz w:val="22"/>
    </w:rPr>
  </w:style>
  <w:style w:type="character" w:customStyle="1" w:styleId="FootnoteTextChar3Char">
    <w:name w:val="Footnote Text Char3 Char"/>
    <w:aliases w:val="Footnote Text Char2 Char1 Char,Footnote Text Char3 Char1 Char Char1,Footnote Text Char2 Char1 Char1 Char Char1,Footnote Text Char3 Char1 Char Char Char Char1,Footnote Text Char2 Char1 Char1 Char Char Char Char"/>
    <w:basedOn w:val="DefaultParagraphFont"/>
    <w:rsid w:val="00A36CA6"/>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numPr>
        <w:numId w:val="4"/>
      </w:numPr>
      <w:suppressAutoHyphens/>
      <w:spacing w:before="120" w:after="120"/>
      <w:outlineLvl w:val="0"/>
    </w:pPr>
    <w:rPr>
      <w:b/>
      <w:caps/>
    </w:rPr>
  </w:style>
  <w:style w:type="paragraph" w:styleId="Heading2">
    <w:name w:val="heading 2"/>
    <w:basedOn w:val="Normal"/>
    <w:next w:val="ParaNum"/>
    <w:qFormat/>
    <w:pPr>
      <w:keepNext/>
      <w:widowControl w:val="0"/>
      <w:numPr>
        <w:ilvl w:val="1"/>
        <w:numId w:val="4"/>
      </w:numPr>
      <w:spacing w:before="120" w:after="120"/>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pPr>
      <w:numPr>
        <w:numId w:val="13"/>
      </w:numPr>
      <w:spacing w:after="120"/>
    </w:pPr>
  </w:style>
  <w:style w:type="paragraph" w:styleId="Caption">
    <w:name w:val="caption"/>
    <w:basedOn w:val="Normal"/>
    <w:next w:val="Normal"/>
    <w:qFormat/>
    <w:pPr>
      <w:spacing w:before="120" w:after="120"/>
    </w:pPr>
    <w:rPr>
      <w:b/>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semiHidden/>
    <w:pPr>
      <w:spacing w:after="120"/>
      <w:jc w:val="both"/>
    </w:pPr>
    <w:rPr>
      <w:sz w:val="20"/>
    </w:rPr>
  </w:style>
  <w:style w:type="character" w:customStyle="1" w:styleId="FootnoteTextChar1">
    <w:name w:val="Footnote Text Char1"/>
    <w:aliases w:val="ALTS FOOTNOTE Char2,fn Char2,Footnote Text Char Char3,ALTS FOOTNOTE Char Char1,fn Char Char1,Footnote Text Char1 Char Char2,Footnote Text Char Char Char Char2,Footnote Text Char2 Char Char Char Char1,f Char"/>
    <w:link w:val="FootnoteText"/>
    <w:rPr>
      <w:lang w:val="en-US" w:eastAsia="en-US" w:bidi="ar-SA"/>
    </w:rPr>
  </w:style>
  <w:style w:type="paragraph" w:customStyle="1" w:styleId="Bullet">
    <w:name w:val="Bullet"/>
    <w:basedOn w:val="Normal"/>
    <w:pPr>
      <w:widowControl w:val="0"/>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Style 13,Appel note de bas de p,Style 124,fr,o,Style 3,FR,Style 17,Footnote Reference/,Style 6,Style 7"/>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spacing w:after="22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odyText2">
    <w:name w:val="Body Text 2"/>
    <w:aliases w:val="Body Text 2 Char"/>
    <w:basedOn w:val="Normal"/>
    <w:link w:val="BodyText2Char1"/>
  </w:style>
  <w:style w:type="character" w:customStyle="1" w:styleId="BodyText2Char1">
    <w:name w:val="Body Text 2 Char1"/>
    <w:aliases w:val="Body Text 2 Char Char"/>
    <w:link w:val="BodyText2"/>
    <w:rPr>
      <w:sz w:val="22"/>
      <w:lang w:val="en-US" w:eastAsia="en-US" w:bidi="ar-SA"/>
    </w:rPr>
  </w:style>
  <w:style w:type="character" w:styleId="Hyperlink">
    <w:name w:val="Hyperlink"/>
    <w:rPr>
      <w:color w:val="0000FF"/>
      <w:u w:val="single"/>
    </w:rPr>
  </w:style>
  <w:style w:type="paragraph" w:styleId="NormalWeb">
    <w:name w:val="Normal (Web)"/>
    <w:basedOn w:val="Normal"/>
    <w:rPr>
      <w:sz w:val="24"/>
      <w:szCs w:val="24"/>
    </w:rPr>
  </w:style>
  <w:style w:type="character" w:styleId="Strong">
    <w:name w:val="Strong"/>
    <w:qFormat/>
    <w:rPr>
      <w:b/>
      <w:bCs/>
    </w:rPr>
  </w:style>
  <w:style w:type="character" w:styleId="Emphasis">
    <w:name w:val="Emphasis"/>
    <w:qFormat/>
    <w:rPr>
      <w:i/>
      <w:iCs/>
    </w:rPr>
  </w:style>
  <w:style w:type="character" w:customStyle="1" w:styleId="FootnoteTextCharChar2">
    <w:name w:val="Footnote Text Char Char2"/>
    <w:rPr>
      <w:lang w:val="en-US" w:eastAsia="en-US" w:bidi="ar-SA"/>
    </w:rPr>
  </w:style>
  <w:style w:type="paragraph" w:customStyle="1" w:styleId="paranum0">
    <w:name w:val="paranum"/>
    <w:basedOn w:val="Normal"/>
    <w:pPr>
      <w:spacing w:before="100" w:beforeAutospacing="1" w:after="100" w:afterAutospacing="1"/>
    </w:pPr>
    <w:rPr>
      <w:sz w:val="24"/>
      <w:szCs w:val="24"/>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sz w:val="24"/>
    </w:rPr>
  </w:style>
  <w:style w:type="character" w:customStyle="1" w:styleId="FootnoteTextCharChar1">
    <w:name w:val="Footnote Text Char Char1"/>
    <w:aliases w:val="Footnote Text Char1 Char Char1,Footnote Text Char Char Char Char1,ALTS FOOTNOTE Char Char Char Char1,fn Char2 Char Char Char1,Footnote Text Char1 Char Char Char Char1,ALTS FOOTNOTE Char1 Char Char Char Char1"/>
    <w:rPr>
      <w:lang w:val="en-US" w:eastAsia="en-US" w:bidi="ar-SA"/>
    </w:rPr>
  </w:style>
  <w:style w:type="character" w:customStyle="1" w:styleId="FootnoteTextCharCharChar1">
    <w:name w:val="Footnote Text Char Char Char1"/>
    <w:aliases w:val="Footnote Text Char3 Char Char Char,Footnote Text Char Char Char Char Char2,Footnote Text Char1 Char Char Char Char Char1,Footnote Text Char Char Char Char Char1 Char Char,fn Char2 Char Char,Footnote Text Char5"/>
    <w:rPr>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apple-style-span">
    <w:name w:val="apple-style-span"/>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NumCharChar">
    <w:name w:val="ParaNum Char Char"/>
    <w:link w:val="ParaNum"/>
    <w:rPr>
      <w:sz w:val="22"/>
      <w:lang w:val="en-US" w:eastAsia="en-US" w:bidi="ar-SA"/>
    </w:rPr>
  </w:style>
  <w:style w:type="character" w:customStyle="1" w:styleId="ParaNumCharChar1">
    <w:name w:val="ParaNum Char Char1"/>
    <w:rPr>
      <w:sz w:val="22"/>
      <w:lang w:val="en-US" w:eastAsia="ko-KR" w:bidi="ar-SA"/>
    </w:rPr>
  </w:style>
  <w:style w:type="paragraph" w:styleId="DocumentMap">
    <w:name w:val="Document Map"/>
    <w:basedOn w:val="Normal"/>
    <w:semiHidden/>
    <w:pPr>
      <w:shd w:val="clear" w:color="auto" w:fill="000080"/>
    </w:pPr>
    <w:rPr>
      <w:rFonts w:ascii="Tahoma" w:hAnsi="Tahoma" w:cs="Tahoma"/>
      <w:sz w:val="20"/>
    </w:rPr>
  </w:style>
  <w:style w:type="character" w:customStyle="1" w:styleId="ALTSFOOTNOTEChar1">
    <w:name w:val="ALTS FOOTNOTE Char1"/>
    <w:aliases w:val="fn Char1,Footnote Text Char Char,ALTS FOOTNOTE Char Char,fn Char Char,Footnote Text Char1 Char Char,Footnote Text Char Char Char Char,Footnote Text Char2 Char Char Char Char,Footnote Text Char1 Char1 Char Char Char Char,f Char Char"/>
    <w:locked/>
    <w:rPr>
      <w:sz w:val="22"/>
      <w:lang w:val="en-US" w:eastAsia="en-US" w:bidi="ar-SA"/>
    </w:rPr>
  </w:style>
  <w:style w:type="character" w:customStyle="1" w:styleId="ALTSFOOTNOTEChar3">
    <w:name w:val="ALTS FOOTNOTE Char3"/>
    <w:aliases w:val="fn Char3,Footnote Text Char Char4,ALTS FOOTNOTE Char Char2,fn Char Char2,Footnote Text Char1 Char Char3,Footnote Text Char Char Char Char3,Footnote Text Char2 Char Char Char Char2,Footnote Text Char1 Char1 Char Char Char Char2"/>
    <w:rPr>
      <w:lang w:val="en-US" w:eastAsia="en-US" w:bidi="ar-SA"/>
    </w:rPr>
  </w:style>
  <w:style w:type="character" w:customStyle="1" w:styleId="apple-converted-space">
    <w:name w:val="apple-converted-space"/>
    <w:basedOn w:val="DefaultParagraphFont"/>
  </w:style>
  <w:style w:type="character" w:customStyle="1" w:styleId="searchterm">
    <w:name w:val="searchterm"/>
    <w:basedOn w:val="DefaultParagraphFont"/>
  </w:style>
  <w:style w:type="character" w:styleId="FollowedHyperlink">
    <w:name w:val="FollowedHyperlink"/>
    <w:rPr>
      <w:color w:val="800080"/>
      <w:u w:val="single"/>
    </w:rPr>
  </w:style>
  <w:style w:type="character" w:customStyle="1" w:styleId="FootnoteTextChar2">
    <w:name w:val="Footnote Text Char2"/>
    <w:aliases w:val="Footnote Text Char Char Char2,Footnote Text Char5 Char Char Char,Footnote Text Char Char Char Char Char,Footnote Text Char4 Char Char1 Char Char Char,Footnote Text Char2 Char Char2 Char2 Char Char Char"/>
    <w:semiHidden/>
    <w:rsid w:val="00C73C4F"/>
    <w:rPr>
      <w:lang w:val="en-US" w:eastAsia="en-US" w:bidi="ar-SA"/>
    </w:rPr>
  </w:style>
  <w:style w:type="character" w:customStyle="1" w:styleId="FooterChar">
    <w:name w:val="Footer Char"/>
    <w:link w:val="Footer"/>
    <w:uiPriority w:val="99"/>
    <w:rsid w:val="00841F38"/>
    <w:rPr>
      <w:sz w:val="22"/>
    </w:rPr>
  </w:style>
  <w:style w:type="character" w:customStyle="1" w:styleId="FootnoteTextChar3Char">
    <w:name w:val="Footnote Text Char3 Char"/>
    <w:aliases w:val="Footnote Text Char2 Char1 Char,Footnote Text Char3 Char1 Char Char1,Footnote Text Char2 Char1 Char1 Char Char1,Footnote Text Char3 Char1 Char Char Char Char1,Footnote Text Char2 Char1 Char1 Char Char Char Char"/>
    <w:basedOn w:val="DefaultParagraphFont"/>
    <w:rsid w:val="00A36CA6"/>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6446">
      <w:bodyDiv w:val="1"/>
      <w:marLeft w:val="0"/>
      <w:marRight w:val="0"/>
      <w:marTop w:val="0"/>
      <w:marBottom w:val="0"/>
      <w:divBdr>
        <w:top w:val="none" w:sz="0" w:space="0" w:color="auto"/>
        <w:left w:val="none" w:sz="0" w:space="0" w:color="auto"/>
        <w:bottom w:val="none" w:sz="0" w:space="0" w:color="auto"/>
        <w:right w:val="none" w:sz="0" w:space="0" w:color="auto"/>
      </w:divBdr>
    </w:div>
    <w:div w:id="108595360">
      <w:bodyDiv w:val="1"/>
      <w:marLeft w:val="0"/>
      <w:marRight w:val="0"/>
      <w:marTop w:val="0"/>
      <w:marBottom w:val="0"/>
      <w:divBdr>
        <w:top w:val="none" w:sz="0" w:space="0" w:color="auto"/>
        <w:left w:val="none" w:sz="0" w:space="0" w:color="auto"/>
        <w:bottom w:val="none" w:sz="0" w:space="0" w:color="auto"/>
        <w:right w:val="none" w:sz="0" w:space="0" w:color="auto"/>
      </w:divBdr>
    </w:div>
    <w:div w:id="176191857">
      <w:bodyDiv w:val="1"/>
      <w:marLeft w:val="0"/>
      <w:marRight w:val="0"/>
      <w:marTop w:val="0"/>
      <w:marBottom w:val="0"/>
      <w:divBdr>
        <w:top w:val="none" w:sz="0" w:space="0" w:color="auto"/>
        <w:left w:val="none" w:sz="0" w:space="0" w:color="auto"/>
        <w:bottom w:val="none" w:sz="0" w:space="0" w:color="auto"/>
        <w:right w:val="none" w:sz="0" w:space="0" w:color="auto"/>
      </w:divBdr>
    </w:div>
    <w:div w:id="228535388">
      <w:bodyDiv w:val="1"/>
      <w:marLeft w:val="0"/>
      <w:marRight w:val="0"/>
      <w:marTop w:val="0"/>
      <w:marBottom w:val="0"/>
      <w:divBdr>
        <w:top w:val="none" w:sz="0" w:space="0" w:color="auto"/>
        <w:left w:val="none" w:sz="0" w:space="0" w:color="auto"/>
        <w:bottom w:val="none" w:sz="0" w:space="0" w:color="auto"/>
        <w:right w:val="none" w:sz="0" w:space="0" w:color="auto"/>
      </w:divBdr>
    </w:div>
    <w:div w:id="256909716">
      <w:bodyDiv w:val="1"/>
      <w:marLeft w:val="0"/>
      <w:marRight w:val="0"/>
      <w:marTop w:val="0"/>
      <w:marBottom w:val="0"/>
      <w:divBdr>
        <w:top w:val="none" w:sz="0" w:space="0" w:color="auto"/>
        <w:left w:val="none" w:sz="0" w:space="0" w:color="auto"/>
        <w:bottom w:val="none" w:sz="0" w:space="0" w:color="auto"/>
        <w:right w:val="none" w:sz="0" w:space="0" w:color="auto"/>
      </w:divBdr>
      <w:divsChild>
        <w:div w:id="1425035824">
          <w:marLeft w:val="0"/>
          <w:marRight w:val="0"/>
          <w:marTop w:val="0"/>
          <w:marBottom w:val="0"/>
          <w:divBdr>
            <w:top w:val="none" w:sz="0" w:space="0" w:color="auto"/>
            <w:left w:val="none" w:sz="0" w:space="0" w:color="auto"/>
            <w:bottom w:val="none" w:sz="0" w:space="0" w:color="auto"/>
            <w:right w:val="none" w:sz="0" w:space="0" w:color="auto"/>
          </w:divBdr>
        </w:div>
      </w:divsChild>
    </w:div>
    <w:div w:id="297418056">
      <w:bodyDiv w:val="1"/>
      <w:marLeft w:val="0"/>
      <w:marRight w:val="0"/>
      <w:marTop w:val="0"/>
      <w:marBottom w:val="0"/>
      <w:divBdr>
        <w:top w:val="none" w:sz="0" w:space="0" w:color="auto"/>
        <w:left w:val="none" w:sz="0" w:space="0" w:color="auto"/>
        <w:bottom w:val="none" w:sz="0" w:space="0" w:color="auto"/>
        <w:right w:val="none" w:sz="0" w:space="0" w:color="auto"/>
      </w:divBdr>
    </w:div>
    <w:div w:id="312758220">
      <w:bodyDiv w:val="1"/>
      <w:marLeft w:val="0"/>
      <w:marRight w:val="0"/>
      <w:marTop w:val="0"/>
      <w:marBottom w:val="0"/>
      <w:divBdr>
        <w:top w:val="none" w:sz="0" w:space="0" w:color="auto"/>
        <w:left w:val="none" w:sz="0" w:space="0" w:color="auto"/>
        <w:bottom w:val="none" w:sz="0" w:space="0" w:color="auto"/>
        <w:right w:val="none" w:sz="0" w:space="0" w:color="auto"/>
      </w:divBdr>
    </w:div>
    <w:div w:id="321466592">
      <w:bodyDiv w:val="1"/>
      <w:marLeft w:val="0"/>
      <w:marRight w:val="0"/>
      <w:marTop w:val="0"/>
      <w:marBottom w:val="0"/>
      <w:divBdr>
        <w:top w:val="none" w:sz="0" w:space="0" w:color="auto"/>
        <w:left w:val="none" w:sz="0" w:space="0" w:color="auto"/>
        <w:bottom w:val="none" w:sz="0" w:space="0" w:color="auto"/>
        <w:right w:val="none" w:sz="0" w:space="0" w:color="auto"/>
      </w:divBdr>
      <w:divsChild>
        <w:div w:id="213385908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0977960">
              <w:marLeft w:val="0"/>
              <w:marRight w:val="0"/>
              <w:marTop w:val="0"/>
              <w:marBottom w:val="0"/>
              <w:divBdr>
                <w:top w:val="none" w:sz="0" w:space="0" w:color="auto"/>
                <w:left w:val="none" w:sz="0" w:space="0" w:color="auto"/>
                <w:bottom w:val="none" w:sz="0" w:space="0" w:color="auto"/>
                <w:right w:val="none" w:sz="0" w:space="0" w:color="auto"/>
              </w:divBdr>
              <w:divsChild>
                <w:div w:id="19629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45566">
      <w:bodyDiv w:val="1"/>
      <w:marLeft w:val="0"/>
      <w:marRight w:val="0"/>
      <w:marTop w:val="0"/>
      <w:marBottom w:val="0"/>
      <w:divBdr>
        <w:top w:val="none" w:sz="0" w:space="0" w:color="auto"/>
        <w:left w:val="none" w:sz="0" w:space="0" w:color="auto"/>
        <w:bottom w:val="none" w:sz="0" w:space="0" w:color="auto"/>
        <w:right w:val="none" w:sz="0" w:space="0" w:color="auto"/>
      </w:divBdr>
    </w:div>
    <w:div w:id="367607078">
      <w:bodyDiv w:val="1"/>
      <w:marLeft w:val="0"/>
      <w:marRight w:val="0"/>
      <w:marTop w:val="0"/>
      <w:marBottom w:val="0"/>
      <w:divBdr>
        <w:top w:val="none" w:sz="0" w:space="0" w:color="auto"/>
        <w:left w:val="none" w:sz="0" w:space="0" w:color="auto"/>
        <w:bottom w:val="none" w:sz="0" w:space="0" w:color="auto"/>
        <w:right w:val="none" w:sz="0" w:space="0" w:color="auto"/>
      </w:divBdr>
    </w:div>
    <w:div w:id="377703193">
      <w:bodyDiv w:val="1"/>
      <w:marLeft w:val="0"/>
      <w:marRight w:val="0"/>
      <w:marTop w:val="0"/>
      <w:marBottom w:val="0"/>
      <w:divBdr>
        <w:top w:val="none" w:sz="0" w:space="0" w:color="auto"/>
        <w:left w:val="none" w:sz="0" w:space="0" w:color="auto"/>
        <w:bottom w:val="none" w:sz="0" w:space="0" w:color="auto"/>
        <w:right w:val="none" w:sz="0" w:space="0" w:color="auto"/>
      </w:divBdr>
    </w:div>
    <w:div w:id="403798723">
      <w:bodyDiv w:val="1"/>
      <w:marLeft w:val="0"/>
      <w:marRight w:val="0"/>
      <w:marTop w:val="0"/>
      <w:marBottom w:val="0"/>
      <w:divBdr>
        <w:top w:val="none" w:sz="0" w:space="0" w:color="auto"/>
        <w:left w:val="none" w:sz="0" w:space="0" w:color="auto"/>
        <w:bottom w:val="none" w:sz="0" w:space="0" w:color="auto"/>
        <w:right w:val="none" w:sz="0" w:space="0" w:color="auto"/>
      </w:divBdr>
    </w:div>
    <w:div w:id="423382957">
      <w:bodyDiv w:val="1"/>
      <w:marLeft w:val="0"/>
      <w:marRight w:val="0"/>
      <w:marTop w:val="0"/>
      <w:marBottom w:val="0"/>
      <w:divBdr>
        <w:top w:val="none" w:sz="0" w:space="0" w:color="auto"/>
        <w:left w:val="none" w:sz="0" w:space="0" w:color="auto"/>
        <w:bottom w:val="none" w:sz="0" w:space="0" w:color="auto"/>
        <w:right w:val="none" w:sz="0" w:space="0" w:color="auto"/>
      </w:divBdr>
    </w:div>
    <w:div w:id="432476778">
      <w:bodyDiv w:val="1"/>
      <w:marLeft w:val="0"/>
      <w:marRight w:val="0"/>
      <w:marTop w:val="0"/>
      <w:marBottom w:val="0"/>
      <w:divBdr>
        <w:top w:val="none" w:sz="0" w:space="0" w:color="auto"/>
        <w:left w:val="none" w:sz="0" w:space="0" w:color="auto"/>
        <w:bottom w:val="none" w:sz="0" w:space="0" w:color="auto"/>
        <w:right w:val="none" w:sz="0" w:space="0" w:color="auto"/>
      </w:divBdr>
    </w:div>
    <w:div w:id="433595228">
      <w:bodyDiv w:val="1"/>
      <w:marLeft w:val="0"/>
      <w:marRight w:val="0"/>
      <w:marTop w:val="0"/>
      <w:marBottom w:val="0"/>
      <w:divBdr>
        <w:top w:val="none" w:sz="0" w:space="0" w:color="auto"/>
        <w:left w:val="none" w:sz="0" w:space="0" w:color="auto"/>
        <w:bottom w:val="none" w:sz="0" w:space="0" w:color="auto"/>
        <w:right w:val="none" w:sz="0" w:space="0" w:color="auto"/>
      </w:divBdr>
    </w:div>
    <w:div w:id="665937979">
      <w:bodyDiv w:val="1"/>
      <w:marLeft w:val="0"/>
      <w:marRight w:val="0"/>
      <w:marTop w:val="0"/>
      <w:marBottom w:val="0"/>
      <w:divBdr>
        <w:top w:val="none" w:sz="0" w:space="0" w:color="auto"/>
        <w:left w:val="none" w:sz="0" w:space="0" w:color="auto"/>
        <w:bottom w:val="none" w:sz="0" w:space="0" w:color="auto"/>
        <w:right w:val="none" w:sz="0" w:space="0" w:color="auto"/>
      </w:divBdr>
    </w:div>
    <w:div w:id="806893153">
      <w:bodyDiv w:val="1"/>
      <w:marLeft w:val="0"/>
      <w:marRight w:val="0"/>
      <w:marTop w:val="0"/>
      <w:marBottom w:val="0"/>
      <w:divBdr>
        <w:top w:val="none" w:sz="0" w:space="0" w:color="auto"/>
        <w:left w:val="none" w:sz="0" w:space="0" w:color="auto"/>
        <w:bottom w:val="none" w:sz="0" w:space="0" w:color="auto"/>
        <w:right w:val="none" w:sz="0" w:space="0" w:color="auto"/>
      </w:divBdr>
    </w:div>
    <w:div w:id="812022346">
      <w:bodyDiv w:val="1"/>
      <w:marLeft w:val="0"/>
      <w:marRight w:val="0"/>
      <w:marTop w:val="0"/>
      <w:marBottom w:val="0"/>
      <w:divBdr>
        <w:top w:val="none" w:sz="0" w:space="0" w:color="auto"/>
        <w:left w:val="none" w:sz="0" w:space="0" w:color="auto"/>
        <w:bottom w:val="none" w:sz="0" w:space="0" w:color="auto"/>
        <w:right w:val="none" w:sz="0" w:space="0" w:color="auto"/>
      </w:divBdr>
    </w:div>
    <w:div w:id="839076100">
      <w:bodyDiv w:val="1"/>
      <w:marLeft w:val="0"/>
      <w:marRight w:val="0"/>
      <w:marTop w:val="0"/>
      <w:marBottom w:val="0"/>
      <w:divBdr>
        <w:top w:val="none" w:sz="0" w:space="0" w:color="auto"/>
        <w:left w:val="none" w:sz="0" w:space="0" w:color="auto"/>
        <w:bottom w:val="none" w:sz="0" w:space="0" w:color="auto"/>
        <w:right w:val="none" w:sz="0" w:space="0" w:color="auto"/>
      </w:divBdr>
    </w:div>
    <w:div w:id="946234036">
      <w:bodyDiv w:val="1"/>
      <w:marLeft w:val="0"/>
      <w:marRight w:val="0"/>
      <w:marTop w:val="0"/>
      <w:marBottom w:val="0"/>
      <w:divBdr>
        <w:top w:val="none" w:sz="0" w:space="0" w:color="auto"/>
        <w:left w:val="none" w:sz="0" w:space="0" w:color="auto"/>
        <w:bottom w:val="none" w:sz="0" w:space="0" w:color="auto"/>
        <w:right w:val="none" w:sz="0" w:space="0" w:color="auto"/>
      </w:divBdr>
    </w:div>
    <w:div w:id="950938241">
      <w:bodyDiv w:val="1"/>
      <w:marLeft w:val="0"/>
      <w:marRight w:val="0"/>
      <w:marTop w:val="0"/>
      <w:marBottom w:val="0"/>
      <w:divBdr>
        <w:top w:val="none" w:sz="0" w:space="0" w:color="auto"/>
        <w:left w:val="none" w:sz="0" w:space="0" w:color="auto"/>
        <w:bottom w:val="none" w:sz="0" w:space="0" w:color="auto"/>
        <w:right w:val="none" w:sz="0" w:space="0" w:color="auto"/>
      </w:divBdr>
    </w:div>
    <w:div w:id="1110127834">
      <w:bodyDiv w:val="1"/>
      <w:marLeft w:val="0"/>
      <w:marRight w:val="0"/>
      <w:marTop w:val="0"/>
      <w:marBottom w:val="0"/>
      <w:divBdr>
        <w:top w:val="none" w:sz="0" w:space="0" w:color="auto"/>
        <w:left w:val="none" w:sz="0" w:space="0" w:color="auto"/>
        <w:bottom w:val="none" w:sz="0" w:space="0" w:color="auto"/>
        <w:right w:val="none" w:sz="0" w:space="0" w:color="auto"/>
      </w:divBdr>
    </w:div>
    <w:div w:id="1232080009">
      <w:bodyDiv w:val="1"/>
      <w:marLeft w:val="0"/>
      <w:marRight w:val="0"/>
      <w:marTop w:val="0"/>
      <w:marBottom w:val="0"/>
      <w:divBdr>
        <w:top w:val="none" w:sz="0" w:space="0" w:color="auto"/>
        <w:left w:val="none" w:sz="0" w:space="0" w:color="auto"/>
        <w:bottom w:val="none" w:sz="0" w:space="0" w:color="auto"/>
        <w:right w:val="none" w:sz="0" w:space="0" w:color="auto"/>
      </w:divBdr>
    </w:div>
    <w:div w:id="1237784203">
      <w:bodyDiv w:val="1"/>
      <w:marLeft w:val="0"/>
      <w:marRight w:val="0"/>
      <w:marTop w:val="0"/>
      <w:marBottom w:val="0"/>
      <w:divBdr>
        <w:top w:val="none" w:sz="0" w:space="0" w:color="auto"/>
        <w:left w:val="none" w:sz="0" w:space="0" w:color="auto"/>
        <w:bottom w:val="none" w:sz="0" w:space="0" w:color="auto"/>
        <w:right w:val="none" w:sz="0" w:space="0" w:color="auto"/>
      </w:divBdr>
    </w:div>
    <w:div w:id="1302881827">
      <w:bodyDiv w:val="1"/>
      <w:marLeft w:val="0"/>
      <w:marRight w:val="0"/>
      <w:marTop w:val="0"/>
      <w:marBottom w:val="0"/>
      <w:divBdr>
        <w:top w:val="none" w:sz="0" w:space="0" w:color="auto"/>
        <w:left w:val="none" w:sz="0" w:space="0" w:color="auto"/>
        <w:bottom w:val="none" w:sz="0" w:space="0" w:color="auto"/>
        <w:right w:val="none" w:sz="0" w:space="0" w:color="auto"/>
      </w:divBdr>
    </w:div>
    <w:div w:id="1445886726">
      <w:bodyDiv w:val="1"/>
      <w:marLeft w:val="0"/>
      <w:marRight w:val="0"/>
      <w:marTop w:val="0"/>
      <w:marBottom w:val="0"/>
      <w:divBdr>
        <w:top w:val="none" w:sz="0" w:space="0" w:color="auto"/>
        <w:left w:val="none" w:sz="0" w:space="0" w:color="auto"/>
        <w:bottom w:val="none" w:sz="0" w:space="0" w:color="auto"/>
        <w:right w:val="none" w:sz="0" w:space="0" w:color="auto"/>
      </w:divBdr>
    </w:div>
    <w:div w:id="1471173068">
      <w:bodyDiv w:val="1"/>
      <w:marLeft w:val="0"/>
      <w:marRight w:val="0"/>
      <w:marTop w:val="0"/>
      <w:marBottom w:val="0"/>
      <w:divBdr>
        <w:top w:val="none" w:sz="0" w:space="0" w:color="auto"/>
        <w:left w:val="none" w:sz="0" w:space="0" w:color="auto"/>
        <w:bottom w:val="none" w:sz="0" w:space="0" w:color="auto"/>
        <w:right w:val="none" w:sz="0" w:space="0" w:color="auto"/>
      </w:divBdr>
    </w:div>
    <w:div w:id="1476871348">
      <w:bodyDiv w:val="1"/>
      <w:marLeft w:val="0"/>
      <w:marRight w:val="0"/>
      <w:marTop w:val="0"/>
      <w:marBottom w:val="0"/>
      <w:divBdr>
        <w:top w:val="none" w:sz="0" w:space="0" w:color="auto"/>
        <w:left w:val="none" w:sz="0" w:space="0" w:color="auto"/>
        <w:bottom w:val="none" w:sz="0" w:space="0" w:color="auto"/>
        <w:right w:val="none" w:sz="0" w:space="0" w:color="auto"/>
      </w:divBdr>
    </w:div>
    <w:div w:id="1606226495">
      <w:bodyDiv w:val="1"/>
      <w:marLeft w:val="0"/>
      <w:marRight w:val="0"/>
      <w:marTop w:val="0"/>
      <w:marBottom w:val="0"/>
      <w:divBdr>
        <w:top w:val="none" w:sz="0" w:space="0" w:color="auto"/>
        <w:left w:val="none" w:sz="0" w:space="0" w:color="auto"/>
        <w:bottom w:val="none" w:sz="0" w:space="0" w:color="auto"/>
        <w:right w:val="none" w:sz="0" w:space="0" w:color="auto"/>
      </w:divBdr>
    </w:div>
    <w:div w:id="1614824324">
      <w:bodyDiv w:val="1"/>
      <w:marLeft w:val="0"/>
      <w:marRight w:val="0"/>
      <w:marTop w:val="0"/>
      <w:marBottom w:val="0"/>
      <w:divBdr>
        <w:top w:val="none" w:sz="0" w:space="0" w:color="auto"/>
        <w:left w:val="none" w:sz="0" w:space="0" w:color="auto"/>
        <w:bottom w:val="none" w:sz="0" w:space="0" w:color="auto"/>
        <w:right w:val="none" w:sz="0" w:space="0" w:color="auto"/>
      </w:divBdr>
    </w:div>
    <w:div w:id="1635017629">
      <w:bodyDiv w:val="1"/>
      <w:marLeft w:val="0"/>
      <w:marRight w:val="0"/>
      <w:marTop w:val="0"/>
      <w:marBottom w:val="0"/>
      <w:divBdr>
        <w:top w:val="none" w:sz="0" w:space="0" w:color="auto"/>
        <w:left w:val="none" w:sz="0" w:space="0" w:color="auto"/>
        <w:bottom w:val="none" w:sz="0" w:space="0" w:color="auto"/>
        <w:right w:val="none" w:sz="0" w:space="0" w:color="auto"/>
      </w:divBdr>
    </w:div>
    <w:div w:id="1797869253">
      <w:bodyDiv w:val="1"/>
      <w:marLeft w:val="0"/>
      <w:marRight w:val="0"/>
      <w:marTop w:val="0"/>
      <w:marBottom w:val="0"/>
      <w:divBdr>
        <w:top w:val="none" w:sz="0" w:space="0" w:color="auto"/>
        <w:left w:val="none" w:sz="0" w:space="0" w:color="auto"/>
        <w:bottom w:val="none" w:sz="0" w:space="0" w:color="auto"/>
        <w:right w:val="none" w:sz="0" w:space="0" w:color="auto"/>
      </w:divBdr>
    </w:div>
    <w:div w:id="1797944418">
      <w:bodyDiv w:val="1"/>
      <w:marLeft w:val="0"/>
      <w:marRight w:val="0"/>
      <w:marTop w:val="0"/>
      <w:marBottom w:val="0"/>
      <w:divBdr>
        <w:top w:val="none" w:sz="0" w:space="0" w:color="auto"/>
        <w:left w:val="none" w:sz="0" w:space="0" w:color="auto"/>
        <w:bottom w:val="none" w:sz="0" w:space="0" w:color="auto"/>
        <w:right w:val="none" w:sz="0" w:space="0" w:color="auto"/>
      </w:divBdr>
      <w:divsChild>
        <w:div w:id="1275745846">
          <w:marLeft w:val="0"/>
          <w:marRight w:val="0"/>
          <w:marTop w:val="0"/>
          <w:marBottom w:val="0"/>
          <w:divBdr>
            <w:top w:val="none" w:sz="0" w:space="0" w:color="auto"/>
            <w:left w:val="none" w:sz="0" w:space="0" w:color="auto"/>
            <w:bottom w:val="none" w:sz="0" w:space="0" w:color="auto"/>
            <w:right w:val="none" w:sz="0" w:space="0" w:color="auto"/>
          </w:divBdr>
          <w:divsChild>
            <w:div w:id="124210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55303">
      <w:bodyDiv w:val="1"/>
      <w:marLeft w:val="0"/>
      <w:marRight w:val="0"/>
      <w:marTop w:val="0"/>
      <w:marBottom w:val="0"/>
      <w:divBdr>
        <w:top w:val="none" w:sz="0" w:space="0" w:color="auto"/>
        <w:left w:val="none" w:sz="0" w:space="0" w:color="auto"/>
        <w:bottom w:val="none" w:sz="0" w:space="0" w:color="auto"/>
        <w:right w:val="none" w:sz="0" w:space="0" w:color="auto"/>
      </w:divBdr>
    </w:div>
    <w:div w:id="1888908997">
      <w:bodyDiv w:val="1"/>
      <w:marLeft w:val="0"/>
      <w:marRight w:val="0"/>
      <w:marTop w:val="0"/>
      <w:marBottom w:val="0"/>
      <w:divBdr>
        <w:top w:val="none" w:sz="0" w:space="0" w:color="auto"/>
        <w:left w:val="none" w:sz="0" w:space="0" w:color="auto"/>
        <w:bottom w:val="none" w:sz="0" w:space="0" w:color="auto"/>
        <w:right w:val="none" w:sz="0" w:space="0" w:color="auto"/>
      </w:divBdr>
    </w:div>
    <w:div w:id="1907181864">
      <w:bodyDiv w:val="1"/>
      <w:marLeft w:val="0"/>
      <w:marRight w:val="0"/>
      <w:marTop w:val="0"/>
      <w:marBottom w:val="0"/>
      <w:divBdr>
        <w:top w:val="none" w:sz="0" w:space="0" w:color="auto"/>
        <w:left w:val="none" w:sz="0" w:space="0" w:color="auto"/>
        <w:bottom w:val="none" w:sz="0" w:space="0" w:color="auto"/>
        <w:right w:val="none" w:sz="0" w:space="0" w:color="auto"/>
      </w:divBdr>
    </w:div>
    <w:div w:id="2018536580">
      <w:bodyDiv w:val="1"/>
      <w:marLeft w:val="0"/>
      <w:marRight w:val="0"/>
      <w:marTop w:val="0"/>
      <w:marBottom w:val="0"/>
      <w:divBdr>
        <w:top w:val="none" w:sz="0" w:space="0" w:color="auto"/>
        <w:left w:val="none" w:sz="0" w:space="0" w:color="auto"/>
        <w:bottom w:val="none" w:sz="0" w:space="0" w:color="auto"/>
        <w:right w:val="none" w:sz="0" w:space="0" w:color="auto"/>
      </w:divBdr>
    </w:div>
    <w:div w:id="207303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1837</Words>
  <Characters>10101</Characters>
  <Application>Microsoft Office Word</Application>
  <DocSecurity>0</DocSecurity>
  <Lines>162</Lines>
  <Paragraphs>40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11971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2013-06-01T00:29:00Z</cp:lastPrinted>
  <dcterms:created xsi:type="dcterms:W3CDTF">2013-09-11T18:08:00Z</dcterms:created>
  <dcterms:modified xsi:type="dcterms:W3CDTF">2013-09-11T18:08:00Z</dcterms:modified>
  <cp:category> </cp:category>
  <cp:contentStatus> </cp:contentStatus>
</cp:coreProperties>
</file>