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AF" w:rsidRDefault="00DE08AF">
      <w:pPr>
        <w:jc w:val="center"/>
        <w:rPr>
          <w:b/>
        </w:rPr>
      </w:pPr>
      <w:bookmarkStart w:id="0" w:name="_GoBack"/>
      <w:bookmarkEnd w:id="0"/>
      <w:r>
        <w:rPr>
          <w:rFonts w:ascii="Times New Roman Bold" w:hAnsi="Times New Roman Bold"/>
          <w:b/>
          <w:kern w:val="0"/>
          <w:szCs w:val="22"/>
        </w:rPr>
        <w:t>Before</w:t>
      </w:r>
      <w:r>
        <w:rPr>
          <w:b/>
        </w:rPr>
        <w:t xml:space="preserve"> the</w:t>
      </w:r>
    </w:p>
    <w:p w:rsidR="00DE08AF" w:rsidRDefault="00DE08AF">
      <w:pPr>
        <w:pStyle w:val="StyleBoldCentered"/>
      </w:pPr>
      <w:r>
        <w:t>F</w:t>
      </w:r>
      <w:r>
        <w:rPr>
          <w:caps w:val="0"/>
        </w:rPr>
        <w:t>ederal Communications Commission</w:t>
      </w:r>
    </w:p>
    <w:p w:rsidR="00DE08AF" w:rsidRDefault="00DE08AF">
      <w:pPr>
        <w:pStyle w:val="StyleBoldCentered"/>
      </w:pPr>
      <w:r>
        <w:rPr>
          <w:caps w:val="0"/>
        </w:rPr>
        <w:t>Washington</w:t>
      </w:r>
      <w:r>
        <w:t>, D.C. 20554</w:t>
      </w:r>
    </w:p>
    <w:p w:rsidR="00DE08AF" w:rsidRDefault="00DE08AF"/>
    <w:p w:rsidR="00DE08AF" w:rsidRDefault="00DE08AF">
      <w:pPr>
        <w:tabs>
          <w:tab w:val="left" w:pos="2340"/>
        </w:tabs>
      </w:pPr>
    </w:p>
    <w:tbl>
      <w:tblPr>
        <w:tblW w:w="0" w:type="auto"/>
        <w:tblLayout w:type="fixed"/>
        <w:tblLook w:val="0000" w:firstRow="0" w:lastRow="0" w:firstColumn="0" w:lastColumn="0" w:noHBand="0" w:noVBand="0"/>
      </w:tblPr>
      <w:tblGrid>
        <w:gridCol w:w="4698"/>
        <w:gridCol w:w="630"/>
        <w:gridCol w:w="4248"/>
      </w:tblGrid>
      <w:tr w:rsidR="00DE08AF">
        <w:tc>
          <w:tcPr>
            <w:tcW w:w="4698" w:type="dxa"/>
          </w:tcPr>
          <w:p w:rsidR="00DE08AF" w:rsidRDefault="00DE08AF">
            <w:pPr>
              <w:tabs>
                <w:tab w:val="center" w:pos="4680"/>
              </w:tabs>
              <w:suppressAutoHyphens/>
              <w:rPr>
                <w:spacing w:val="-2"/>
              </w:rPr>
            </w:pPr>
            <w:r>
              <w:rPr>
                <w:spacing w:val="-2"/>
              </w:rPr>
              <w:t>In the Matter of</w:t>
            </w:r>
          </w:p>
          <w:p w:rsidR="00DE08AF" w:rsidRDefault="00DE08AF">
            <w:pPr>
              <w:tabs>
                <w:tab w:val="center" w:pos="4680"/>
              </w:tabs>
              <w:suppressAutoHyphens/>
              <w:rPr>
                <w:spacing w:val="-2"/>
              </w:rPr>
            </w:pPr>
          </w:p>
          <w:p w:rsidR="00CE1C7B" w:rsidRPr="00CE1C7B" w:rsidRDefault="00CE1C7B" w:rsidP="00CE1C7B">
            <w:r w:rsidRPr="00CE1C7B">
              <w:t xml:space="preserve">Applications of </w:t>
            </w:r>
            <w:r w:rsidR="00E37746">
              <w:t xml:space="preserve">AT&amp;T Inc., </w:t>
            </w:r>
            <w:r w:rsidR="008656EC">
              <w:t xml:space="preserve">Cellco Partnership d/b/a Verizon Wireless, Grain </w:t>
            </w:r>
            <w:r w:rsidR="00EF762C">
              <w:t>Spectrum, LLC, and Grain Spectrum II, LLC</w:t>
            </w:r>
          </w:p>
          <w:p w:rsidR="00CE1C7B" w:rsidRPr="00CE1C7B" w:rsidRDefault="00CE1C7B" w:rsidP="00CE1C7B"/>
          <w:p w:rsidR="00DF2328" w:rsidRDefault="00CE1C7B" w:rsidP="00EF762C">
            <w:pPr>
              <w:rPr>
                <w:spacing w:val="-2"/>
              </w:rPr>
            </w:pPr>
            <w:r w:rsidRPr="00CE1C7B">
              <w:t xml:space="preserve">For Consent To </w:t>
            </w:r>
            <w:r w:rsidR="00EF762C">
              <w:t>Assign</w:t>
            </w:r>
            <w:r w:rsidR="00E37746">
              <w:t xml:space="preserve"> </w:t>
            </w:r>
            <w:r w:rsidR="00EF762C">
              <w:t xml:space="preserve">and Lease AWS-1 and Lower 700 MHz Licenses </w:t>
            </w:r>
          </w:p>
        </w:tc>
        <w:tc>
          <w:tcPr>
            <w:tcW w:w="630" w:type="dxa"/>
          </w:tcPr>
          <w:p w:rsidR="00DE08AF" w:rsidRDefault="00DE08AF">
            <w:pPr>
              <w:tabs>
                <w:tab w:val="center" w:pos="4680"/>
              </w:tabs>
              <w:suppressAutoHyphens/>
              <w:rPr>
                <w:b/>
                <w:spacing w:val="-2"/>
              </w:rPr>
            </w:pPr>
            <w:r>
              <w:rPr>
                <w:b/>
                <w:spacing w:val="-2"/>
              </w:rPr>
              <w:t>)</w:t>
            </w:r>
          </w:p>
          <w:p w:rsidR="00DE08AF" w:rsidRDefault="00DE08AF">
            <w:pPr>
              <w:tabs>
                <w:tab w:val="center" w:pos="4680"/>
              </w:tabs>
              <w:suppressAutoHyphens/>
              <w:rPr>
                <w:b/>
                <w:spacing w:val="-2"/>
              </w:rPr>
            </w:pPr>
            <w:r>
              <w:rPr>
                <w:b/>
                <w:spacing w:val="-2"/>
              </w:rPr>
              <w:t>)</w:t>
            </w:r>
          </w:p>
          <w:p w:rsidR="00DE08AF" w:rsidRDefault="00DE08AF">
            <w:pPr>
              <w:tabs>
                <w:tab w:val="center" w:pos="4680"/>
              </w:tabs>
              <w:suppressAutoHyphens/>
              <w:rPr>
                <w:b/>
                <w:spacing w:val="-2"/>
              </w:rPr>
            </w:pPr>
            <w:r>
              <w:rPr>
                <w:b/>
                <w:spacing w:val="-2"/>
              </w:rPr>
              <w:t>)</w:t>
            </w:r>
          </w:p>
          <w:p w:rsidR="00DE08AF" w:rsidRDefault="00DE08AF">
            <w:pPr>
              <w:tabs>
                <w:tab w:val="center" w:pos="4680"/>
              </w:tabs>
              <w:suppressAutoHyphens/>
              <w:rPr>
                <w:b/>
                <w:spacing w:val="-2"/>
              </w:rPr>
            </w:pPr>
            <w:r>
              <w:rPr>
                <w:b/>
                <w:spacing w:val="-2"/>
              </w:rPr>
              <w:t>)</w:t>
            </w:r>
          </w:p>
          <w:p w:rsidR="00DE08AF" w:rsidRDefault="00DE08AF">
            <w:pPr>
              <w:tabs>
                <w:tab w:val="center" w:pos="4680"/>
              </w:tabs>
              <w:suppressAutoHyphens/>
              <w:rPr>
                <w:b/>
                <w:spacing w:val="-2"/>
              </w:rPr>
            </w:pPr>
            <w:r>
              <w:rPr>
                <w:b/>
                <w:spacing w:val="-2"/>
              </w:rPr>
              <w:t>)</w:t>
            </w:r>
          </w:p>
          <w:p w:rsidR="00DE08AF" w:rsidRDefault="00DE08AF">
            <w:pPr>
              <w:tabs>
                <w:tab w:val="center" w:pos="4680"/>
              </w:tabs>
              <w:suppressAutoHyphens/>
              <w:rPr>
                <w:b/>
                <w:spacing w:val="-2"/>
              </w:rPr>
            </w:pPr>
            <w:r>
              <w:rPr>
                <w:b/>
                <w:spacing w:val="-2"/>
              </w:rPr>
              <w:t>)</w:t>
            </w:r>
          </w:p>
          <w:p w:rsidR="00DF2328" w:rsidRDefault="00DF2328">
            <w:pPr>
              <w:tabs>
                <w:tab w:val="center" w:pos="4680"/>
              </w:tabs>
              <w:suppressAutoHyphens/>
              <w:rPr>
                <w:b/>
                <w:spacing w:val="-2"/>
              </w:rPr>
            </w:pPr>
            <w:r>
              <w:rPr>
                <w:b/>
                <w:spacing w:val="-2"/>
              </w:rPr>
              <w:t>)</w:t>
            </w:r>
          </w:p>
          <w:p w:rsidR="00EF762C" w:rsidRDefault="00EF762C" w:rsidP="00EF762C">
            <w:pPr>
              <w:tabs>
                <w:tab w:val="center" w:pos="4680"/>
              </w:tabs>
              <w:suppressAutoHyphens/>
              <w:rPr>
                <w:b/>
                <w:spacing w:val="-2"/>
              </w:rPr>
            </w:pPr>
            <w:r>
              <w:rPr>
                <w:b/>
                <w:spacing w:val="-2"/>
              </w:rPr>
              <w:t>)</w:t>
            </w:r>
          </w:p>
          <w:p w:rsidR="00706838" w:rsidRDefault="00706838" w:rsidP="00EF762C">
            <w:pPr>
              <w:tabs>
                <w:tab w:val="center" w:pos="4680"/>
              </w:tabs>
              <w:suppressAutoHyphens/>
              <w:rPr>
                <w:b/>
                <w:spacing w:val="-2"/>
              </w:rPr>
            </w:pPr>
          </w:p>
        </w:tc>
        <w:tc>
          <w:tcPr>
            <w:tcW w:w="4248" w:type="dxa"/>
          </w:tcPr>
          <w:p w:rsidR="006F1919" w:rsidRDefault="006F1919" w:rsidP="006F1919">
            <w:pPr>
              <w:ind w:left="342" w:hanging="342"/>
            </w:pPr>
          </w:p>
          <w:p w:rsidR="006F1919" w:rsidRDefault="006F1919" w:rsidP="006F1919">
            <w:pPr>
              <w:ind w:left="342" w:hanging="342"/>
            </w:pPr>
          </w:p>
          <w:p w:rsidR="006F1919" w:rsidRDefault="00D71732" w:rsidP="006F1919">
            <w:r>
              <w:t xml:space="preserve">WT Docket No. </w:t>
            </w:r>
            <w:r w:rsidR="006E2E99">
              <w:t>13-56</w:t>
            </w:r>
          </w:p>
          <w:p w:rsidR="006F1919" w:rsidRPr="00FB2F85" w:rsidRDefault="006F1919" w:rsidP="006F1919">
            <w:pPr>
              <w:ind w:left="342" w:hanging="342"/>
            </w:pPr>
          </w:p>
          <w:p w:rsidR="00DE08AF" w:rsidRDefault="00DE08AF" w:rsidP="006F1919">
            <w:pPr>
              <w:tabs>
                <w:tab w:val="center" w:pos="4680"/>
              </w:tabs>
              <w:suppressAutoHyphens/>
              <w:rPr>
                <w:spacing w:val="-2"/>
              </w:rPr>
            </w:pPr>
          </w:p>
          <w:p w:rsidR="00EF762C" w:rsidRDefault="00EF762C" w:rsidP="006F1919">
            <w:pPr>
              <w:tabs>
                <w:tab w:val="center" w:pos="4680"/>
              </w:tabs>
              <w:suppressAutoHyphens/>
              <w:rPr>
                <w:spacing w:val="-2"/>
              </w:rPr>
            </w:pPr>
          </w:p>
          <w:p w:rsidR="00EF762C" w:rsidRDefault="00EF762C" w:rsidP="006F1919">
            <w:pPr>
              <w:tabs>
                <w:tab w:val="center" w:pos="4680"/>
              </w:tabs>
              <w:suppressAutoHyphens/>
              <w:rPr>
                <w:spacing w:val="-2"/>
              </w:rPr>
            </w:pPr>
          </w:p>
        </w:tc>
      </w:tr>
    </w:tbl>
    <w:p w:rsidR="00DE08AF" w:rsidRDefault="00DE08AF"/>
    <w:p w:rsidR="00DE08AF" w:rsidRDefault="005A7BEE">
      <w:pPr>
        <w:pStyle w:val="StyleBoldCentered"/>
      </w:pPr>
      <w:r>
        <w:t xml:space="preserve">MEMORANDUM OPINION AND </w:t>
      </w:r>
      <w:r w:rsidR="00DE08AF">
        <w:t>ORDER</w:t>
      </w:r>
    </w:p>
    <w:p w:rsidR="004D6537" w:rsidRDefault="004D6537">
      <w:pPr>
        <w:pStyle w:val="StyleBoldCentered"/>
      </w:pPr>
    </w:p>
    <w:p w:rsidR="004D6537" w:rsidRDefault="004D6537" w:rsidP="00DF7526">
      <w:pPr>
        <w:tabs>
          <w:tab w:val="right" w:pos="9360"/>
        </w:tabs>
        <w:suppressAutoHyphens/>
        <w:spacing w:line="227" w:lineRule="auto"/>
        <w:rPr>
          <w:spacing w:val="-2"/>
        </w:rPr>
      </w:pPr>
      <w:r>
        <w:rPr>
          <w:b/>
          <w:spacing w:val="-2"/>
        </w:rPr>
        <w:t xml:space="preserve">Adopted:  </w:t>
      </w:r>
      <w:r w:rsidR="00DF7526" w:rsidRPr="00126C52">
        <w:rPr>
          <w:b/>
          <w:spacing w:val="-2"/>
        </w:rPr>
        <w:t>September 3</w:t>
      </w:r>
      <w:r w:rsidRPr="00126C52">
        <w:rPr>
          <w:b/>
          <w:spacing w:val="-2"/>
        </w:rPr>
        <w:t>, 2013</w:t>
      </w:r>
      <w:r>
        <w:rPr>
          <w:b/>
          <w:spacing w:val="-2"/>
        </w:rPr>
        <w:tab/>
        <w:t>Released:</w:t>
      </w:r>
      <w:r w:rsidR="00EF39DE">
        <w:rPr>
          <w:b/>
          <w:spacing w:val="-2"/>
        </w:rPr>
        <w:t xml:space="preserve"> </w:t>
      </w:r>
      <w:r>
        <w:rPr>
          <w:b/>
          <w:spacing w:val="-2"/>
        </w:rPr>
        <w:t xml:space="preserve"> </w:t>
      </w:r>
      <w:r w:rsidR="00DF7526" w:rsidRPr="00126C52">
        <w:rPr>
          <w:b/>
          <w:spacing w:val="-2"/>
        </w:rPr>
        <w:t>September 3</w:t>
      </w:r>
      <w:r w:rsidRPr="00126C52">
        <w:rPr>
          <w:b/>
          <w:spacing w:val="-2"/>
        </w:rPr>
        <w:t>, 2013</w:t>
      </w:r>
    </w:p>
    <w:p w:rsidR="004D6537" w:rsidRDefault="004D6537" w:rsidP="004D6537"/>
    <w:p w:rsidR="004D6537" w:rsidRDefault="004D6537" w:rsidP="004D6537">
      <w:r>
        <w:t xml:space="preserve">By the </w:t>
      </w:r>
      <w:r>
        <w:rPr>
          <w:spacing w:val="-2"/>
        </w:rPr>
        <w:t>Chief, Wireless Telecommunications Bureau</w:t>
      </w:r>
    </w:p>
    <w:p w:rsidR="0070390C" w:rsidRDefault="00126C52" w:rsidP="00126C52">
      <w:pPr>
        <w:pStyle w:val="TOCTitle"/>
        <w:rPr>
          <w:rFonts w:eastAsiaTheme="minorEastAsia"/>
          <w:noProof/>
          <w:snapToGrid/>
        </w:rPr>
      </w:pPr>
      <w:bookmarkStart w:id="1" w:name="TOChere"/>
      <w:r>
        <w:rPr>
          <w:rFonts w:eastAsiaTheme="minorEastAsia"/>
          <w:noProof/>
          <w:snapToGrid/>
        </w:rPr>
        <w:t>Table of Contents</w:t>
      </w:r>
    </w:p>
    <w:p w:rsidR="00126C52" w:rsidRDefault="00126C52" w:rsidP="00126C52">
      <w:pPr>
        <w:pStyle w:val="Paratitle"/>
        <w:rPr>
          <w:rFonts w:eastAsiaTheme="minorEastAsia"/>
          <w:noProof/>
          <w:snapToGrid/>
        </w:rPr>
      </w:pPr>
      <w:r>
        <w:rPr>
          <w:rFonts w:eastAsiaTheme="minorEastAsia"/>
          <w:noProof/>
          <w:snapToGrid/>
        </w:rPr>
        <w:t>Heading</w:t>
      </w:r>
      <w:r>
        <w:rPr>
          <w:rFonts w:eastAsiaTheme="minorEastAsia"/>
          <w:noProof/>
          <w:snapToGrid/>
        </w:rPr>
        <w:tab/>
        <w:t>Paragraph #</w:t>
      </w:r>
      <w:bookmarkStart w:id="2" w:name="start_here"/>
      <w:bookmarkEnd w:id="2"/>
    </w:p>
    <w:p w:rsidR="00126C52" w:rsidRDefault="00126C52" w:rsidP="00126C52">
      <w:pPr>
        <w:pStyle w:val="TOC1"/>
        <w:rPr>
          <w:rFonts w:asciiTheme="minorHAnsi" w:eastAsiaTheme="minorEastAsia" w:hAnsiTheme="minorHAnsi" w:cstheme="minorBidi"/>
          <w:caps w:val="0"/>
          <w:snapToGrid/>
          <w:kern w:val="0"/>
          <w:szCs w:val="22"/>
        </w:rPr>
      </w:pPr>
      <w:r w:rsidRPr="00157BE9">
        <w:t>I.</w:t>
      </w:r>
      <w:r>
        <w:rPr>
          <w:rFonts w:asciiTheme="minorHAnsi" w:eastAsiaTheme="minorEastAsia" w:hAnsiTheme="minorHAnsi" w:cstheme="minorBidi"/>
          <w:caps w:val="0"/>
          <w:snapToGrid/>
          <w:kern w:val="0"/>
          <w:szCs w:val="22"/>
        </w:rPr>
        <w:tab/>
      </w:r>
      <w:r w:rsidRPr="00157BE9">
        <w:t>introduction</w:t>
      </w:r>
      <w:r>
        <w:tab/>
        <w:t>1</w:t>
      </w:r>
    </w:p>
    <w:p w:rsidR="00126C52" w:rsidRDefault="00126C52" w:rsidP="00126C52">
      <w:pPr>
        <w:pStyle w:val="TOC1"/>
        <w:rPr>
          <w:rFonts w:asciiTheme="minorHAnsi" w:eastAsiaTheme="minorEastAsia" w:hAnsiTheme="minorHAnsi" w:cstheme="minorBidi"/>
          <w:caps w:val="0"/>
          <w:snapToGrid/>
          <w:kern w:val="0"/>
          <w:szCs w:val="22"/>
        </w:rPr>
      </w:pPr>
      <w:r w:rsidRPr="00157BE9">
        <w:t>II.</w:t>
      </w:r>
      <w:r>
        <w:rPr>
          <w:rFonts w:asciiTheme="minorHAnsi" w:eastAsiaTheme="minorEastAsia" w:hAnsiTheme="minorHAnsi" w:cstheme="minorBidi"/>
          <w:caps w:val="0"/>
          <w:snapToGrid/>
          <w:kern w:val="0"/>
          <w:szCs w:val="22"/>
        </w:rPr>
        <w:tab/>
      </w:r>
      <w:r w:rsidRPr="00157BE9">
        <w:t>BACKGROUND</w:t>
      </w:r>
      <w:r>
        <w:tab/>
        <w:t>2</w:t>
      </w:r>
    </w:p>
    <w:p w:rsidR="00126C52" w:rsidRDefault="00126C52" w:rsidP="00126C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the Applicants</w:t>
      </w:r>
      <w:r>
        <w:tab/>
        <w:t>2</w:t>
      </w:r>
    </w:p>
    <w:p w:rsidR="00126C52" w:rsidRDefault="00126C52" w:rsidP="00126C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AT&amp;T</w:t>
      </w:r>
      <w:r>
        <w:tab/>
        <w:t>2</w:t>
      </w:r>
    </w:p>
    <w:p w:rsidR="00126C52" w:rsidRDefault="00126C52" w:rsidP="00126C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Verizon Wireless</w:t>
      </w:r>
      <w:r>
        <w:tab/>
        <w:t>3</w:t>
      </w:r>
    </w:p>
    <w:p w:rsidR="00126C52" w:rsidRDefault="00126C52" w:rsidP="00126C5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Grain I and Grain II</w:t>
      </w:r>
      <w:r>
        <w:tab/>
        <w:t>5</w:t>
      </w:r>
    </w:p>
    <w:p w:rsidR="00126C52" w:rsidRDefault="00126C52" w:rsidP="00126C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Transactions</w:t>
      </w:r>
      <w:r>
        <w:tab/>
        <w:t>6</w:t>
      </w:r>
    </w:p>
    <w:p w:rsidR="00126C52" w:rsidRDefault="00126C52" w:rsidP="00126C5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Transaction Review Process</w:t>
      </w:r>
      <w:r>
        <w:tab/>
        <w:t>9</w:t>
      </w:r>
    </w:p>
    <w:p w:rsidR="00126C52" w:rsidRDefault="00126C52" w:rsidP="00126C52">
      <w:pPr>
        <w:pStyle w:val="TOC1"/>
        <w:rPr>
          <w:rFonts w:asciiTheme="minorHAnsi" w:eastAsiaTheme="minorEastAsia" w:hAnsiTheme="minorHAnsi" w:cstheme="minorBidi"/>
          <w:caps w:val="0"/>
          <w:snapToGrid/>
          <w:kern w:val="0"/>
          <w:szCs w:val="22"/>
        </w:rPr>
      </w:pPr>
      <w:r w:rsidRPr="00157BE9">
        <w:t>III.</w:t>
      </w:r>
      <w:r>
        <w:rPr>
          <w:rFonts w:asciiTheme="minorHAnsi" w:eastAsiaTheme="minorEastAsia" w:hAnsiTheme="minorHAnsi" w:cstheme="minorBidi"/>
          <w:caps w:val="0"/>
          <w:snapToGrid/>
          <w:kern w:val="0"/>
          <w:szCs w:val="22"/>
        </w:rPr>
        <w:tab/>
      </w:r>
      <w:r w:rsidRPr="00157BE9">
        <w:t>standard of review and public interest framework</w:t>
      </w:r>
      <w:r>
        <w:tab/>
        <w:t>13</w:t>
      </w:r>
    </w:p>
    <w:p w:rsidR="00126C52" w:rsidRDefault="00126C52" w:rsidP="00126C52">
      <w:pPr>
        <w:pStyle w:val="TOC1"/>
        <w:rPr>
          <w:rFonts w:asciiTheme="minorHAnsi" w:eastAsiaTheme="minorEastAsia" w:hAnsiTheme="minorHAnsi" w:cstheme="minorBidi"/>
          <w:caps w:val="0"/>
          <w:snapToGrid/>
          <w:kern w:val="0"/>
          <w:szCs w:val="22"/>
        </w:rPr>
      </w:pPr>
      <w:r w:rsidRPr="00157BE9">
        <w:t>IV.</w:t>
      </w:r>
      <w:r>
        <w:rPr>
          <w:rFonts w:asciiTheme="minorHAnsi" w:eastAsiaTheme="minorEastAsia" w:hAnsiTheme="minorHAnsi" w:cstheme="minorBidi"/>
          <w:caps w:val="0"/>
          <w:snapToGrid/>
          <w:kern w:val="0"/>
          <w:szCs w:val="22"/>
        </w:rPr>
        <w:tab/>
      </w:r>
      <w:r w:rsidRPr="00157BE9">
        <w:t>qualifications of applicants</w:t>
      </w:r>
      <w:r>
        <w:tab/>
        <w:t>16</w:t>
      </w:r>
    </w:p>
    <w:p w:rsidR="00126C52" w:rsidRDefault="00126C52" w:rsidP="00126C52">
      <w:pPr>
        <w:pStyle w:val="TOC1"/>
        <w:rPr>
          <w:rFonts w:asciiTheme="minorHAnsi" w:eastAsiaTheme="minorEastAsia" w:hAnsiTheme="minorHAnsi" w:cstheme="minorBidi"/>
          <w:caps w:val="0"/>
          <w:snapToGrid/>
          <w:kern w:val="0"/>
          <w:szCs w:val="22"/>
        </w:rPr>
      </w:pPr>
      <w:r w:rsidRPr="00157BE9">
        <w:t>V.</w:t>
      </w:r>
      <w:r>
        <w:rPr>
          <w:rFonts w:asciiTheme="minorHAnsi" w:eastAsiaTheme="minorEastAsia" w:hAnsiTheme="minorHAnsi" w:cstheme="minorBidi"/>
          <w:caps w:val="0"/>
          <w:snapToGrid/>
          <w:kern w:val="0"/>
          <w:szCs w:val="22"/>
        </w:rPr>
        <w:tab/>
      </w:r>
      <w:r w:rsidRPr="00157BE9">
        <w:t>Potential Public interest harms</w:t>
      </w:r>
      <w:r>
        <w:tab/>
        <w:t>18</w:t>
      </w:r>
    </w:p>
    <w:p w:rsidR="00126C52" w:rsidRDefault="00126C52" w:rsidP="00126C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Competitive Overview</w:t>
      </w:r>
      <w:r>
        <w:tab/>
        <w:t>19</w:t>
      </w:r>
    </w:p>
    <w:p w:rsidR="00126C52" w:rsidRDefault="00126C52" w:rsidP="00126C5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Market Definitions</w:t>
      </w:r>
      <w:r>
        <w:tab/>
        <w:t>23</w:t>
      </w:r>
    </w:p>
    <w:p w:rsidR="00126C52" w:rsidRDefault="00126C52" w:rsidP="00126C5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Screen</w:t>
      </w:r>
      <w:r>
        <w:tab/>
        <w:t>32</w:t>
      </w:r>
    </w:p>
    <w:p w:rsidR="00126C52" w:rsidRDefault="00126C52" w:rsidP="00126C5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Competitive Analysis</w:t>
      </w:r>
      <w:r>
        <w:tab/>
        <w:t>36</w:t>
      </w:r>
    </w:p>
    <w:p w:rsidR="00126C52" w:rsidRDefault="00126C52" w:rsidP="00126C5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37</w:t>
      </w:r>
    </w:p>
    <w:p w:rsidR="00126C52" w:rsidRDefault="00126C52" w:rsidP="00126C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Discussion</w:t>
      </w:r>
      <w:r>
        <w:tab/>
        <w:t>39</w:t>
      </w:r>
    </w:p>
    <w:p w:rsidR="00126C52" w:rsidRDefault="00126C52" w:rsidP="00126C52">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AT&amp;T’s Acquisition of Lower 700 MHz Band B Block Spectrum</w:t>
      </w:r>
      <w:r>
        <w:tab/>
        <w:t>39</w:t>
      </w:r>
    </w:p>
    <w:p w:rsidR="00126C52" w:rsidRDefault="00126C52" w:rsidP="00126C52">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Verizon Wireless’s Acquisition of AWS-1 Spectrum</w:t>
      </w:r>
      <w:r>
        <w:tab/>
        <w:t>46</w:t>
      </w:r>
    </w:p>
    <w:p w:rsidR="00126C52" w:rsidRDefault="00126C52" w:rsidP="00126C52">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Grain I and Grain II</w:t>
      </w:r>
      <w:r>
        <w:tab/>
        <w:t>48</w:t>
      </w:r>
    </w:p>
    <w:p w:rsidR="00126C52" w:rsidRDefault="00126C52" w:rsidP="00126C5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49</w:t>
      </w:r>
    </w:p>
    <w:p w:rsidR="00126C52" w:rsidRDefault="00126C52" w:rsidP="00126C52">
      <w:pPr>
        <w:pStyle w:val="TOC1"/>
        <w:rPr>
          <w:rFonts w:asciiTheme="minorHAnsi" w:eastAsiaTheme="minorEastAsia" w:hAnsiTheme="minorHAnsi" w:cstheme="minorBidi"/>
          <w:caps w:val="0"/>
          <w:snapToGrid/>
          <w:kern w:val="0"/>
          <w:szCs w:val="22"/>
        </w:rPr>
      </w:pPr>
      <w:r w:rsidRPr="00157BE9">
        <w:t>VI.</w:t>
      </w:r>
      <w:r>
        <w:rPr>
          <w:rFonts w:asciiTheme="minorHAnsi" w:eastAsiaTheme="minorEastAsia" w:hAnsiTheme="minorHAnsi" w:cstheme="minorBidi"/>
          <w:caps w:val="0"/>
          <w:snapToGrid/>
          <w:kern w:val="0"/>
          <w:szCs w:val="22"/>
        </w:rPr>
        <w:tab/>
      </w:r>
      <w:r w:rsidRPr="00157BE9">
        <w:t>POTENTIAL PUBLIC INTEREST BENEFITS</w:t>
      </w:r>
      <w:r>
        <w:tab/>
        <w:t>53</w:t>
      </w:r>
    </w:p>
    <w:p w:rsidR="00126C52" w:rsidRDefault="00126C52" w:rsidP="00126C5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Analytical Framework</w:t>
      </w:r>
      <w:r>
        <w:tab/>
        <w:t>54</w:t>
      </w:r>
    </w:p>
    <w:p w:rsidR="00F02162" w:rsidRDefault="00126C52" w:rsidP="00126C52">
      <w:pPr>
        <w:pStyle w:val="TOC2"/>
        <w:tabs>
          <w:tab w:val="left" w:pos="360"/>
        </w:tabs>
      </w:pPr>
      <w:r>
        <w:t>B.</w:t>
      </w:r>
      <w:r>
        <w:rPr>
          <w:rFonts w:asciiTheme="minorHAnsi" w:eastAsiaTheme="minorEastAsia" w:hAnsiTheme="minorHAnsi" w:cstheme="minorBidi"/>
          <w:snapToGrid/>
          <w:kern w:val="0"/>
          <w:szCs w:val="22"/>
        </w:rPr>
        <w:tab/>
      </w:r>
      <w:r>
        <w:t>Potential Benefits</w:t>
      </w:r>
      <w:r>
        <w:tab/>
        <w:t>56</w:t>
      </w:r>
    </w:p>
    <w:p w:rsidR="00F02162" w:rsidRDefault="00F02162">
      <w:pPr>
        <w:widowControl/>
        <w:rPr>
          <w:noProof/>
        </w:rPr>
      </w:pPr>
      <w:r>
        <w:br w:type="page"/>
      </w:r>
    </w:p>
    <w:p w:rsidR="00126C52" w:rsidRDefault="00126C52" w:rsidP="00126C52">
      <w:pPr>
        <w:pStyle w:val="TOC3"/>
        <w:tabs>
          <w:tab w:val="left" w:pos="360"/>
        </w:tabs>
        <w:rPr>
          <w:rFonts w:asciiTheme="minorHAnsi" w:eastAsiaTheme="minorEastAsia" w:hAnsiTheme="minorHAnsi" w:cstheme="minorBidi"/>
          <w:snapToGrid/>
          <w:kern w:val="0"/>
          <w:szCs w:val="22"/>
        </w:rPr>
      </w:pPr>
      <w:r>
        <w:lastRenderedPageBreak/>
        <w:t>1.</w:t>
      </w:r>
      <w:r>
        <w:rPr>
          <w:rFonts w:asciiTheme="minorHAnsi" w:eastAsiaTheme="minorEastAsia" w:hAnsiTheme="minorHAnsi" w:cstheme="minorBidi"/>
          <w:snapToGrid/>
          <w:kern w:val="0"/>
          <w:szCs w:val="22"/>
        </w:rPr>
        <w:tab/>
      </w:r>
      <w:r>
        <w:t>AT&amp;T’s Acquisition of Lower 700 MHz Band B Block Spectrum</w:t>
      </w:r>
      <w:r>
        <w:tab/>
        <w:t>57</w:t>
      </w:r>
    </w:p>
    <w:p w:rsidR="00126C52" w:rsidRDefault="00126C52" w:rsidP="00126C5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Verizon Wireless’s Acquisition of AWS-1 Spectrum</w:t>
      </w:r>
      <w:r>
        <w:tab/>
        <w:t>61</w:t>
      </w:r>
    </w:p>
    <w:p w:rsidR="00126C52" w:rsidRDefault="00126C52" w:rsidP="00126C5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005D66EA">
        <w:t>Grain I and Grain II T</w:t>
      </w:r>
      <w:r>
        <w:t>ransactions</w:t>
      </w:r>
      <w:r>
        <w:tab/>
        <w:t>65</w:t>
      </w:r>
    </w:p>
    <w:p w:rsidR="00126C52" w:rsidRDefault="00126C52" w:rsidP="00126C52">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Balancing the Public Interest Benefits and the Harms</w:t>
      </w:r>
      <w:r>
        <w:tab/>
        <w:t>67</w:t>
      </w:r>
    </w:p>
    <w:p w:rsidR="00126C52" w:rsidRDefault="00126C52" w:rsidP="00126C52">
      <w:pPr>
        <w:pStyle w:val="TOC1"/>
        <w:tabs>
          <w:tab w:val="left" w:pos="720"/>
        </w:tabs>
        <w:rPr>
          <w:rFonts w:asciiTheme="minorHAnsi" w:eastAsiaTheme="minorEastAsia" w:hAnsiTheme="minorHAnsi" w:cstheme="minorBidi"/>
          <w:caps w:val="0"/>
          <w:snapToGrid/>
          <w:kern w:val="0"/>
          <w:szCs w:val="22"/>
        </w:rPr>
      </w:pPr>
      <w:r w:rsidRPr="00157BE9">
        <w:t>VIII.</w:t>
      </w:r>
      <w:r>
        <w:rPr>
          <w:rFonts w:asciiTheme="minorHAnsi" w:eastAsiaTheme="minorEastAsia" w:hAnsiTheme="minorHAnsi" w:cstheme="minorBidi"/>
          <w:caps w:val="0"/>
          <w:snapToGrid/>
          <w:kern w:val="0"/>
          <w:szCs w:val="22"/>
        </w:rPr>
        <w:t xml:space="preserve"> </w:t>
      </w:r>
      <w:r w:rsidRPr="00157BE9">
        <w:t>conclusion</w:t>
      </w:r>
      <w:r>
        <w:tab/>
        <w:t>68</w:t>
      </w:r>
    </w:p>
    <w:p w:rsidR="00126C52" w:rsidRDefault="00126C52" w:rsidP="00126C52">
      <w:pPr>
        <w:pStyle w:val="TOC1"/>
      </w:pPr>
      <w:r w:rsidRPr="00157BE9">
        <w:t>IX.</w:t>
      </w:r>
      <w:r>
        <w:rPr>
          <w:rFonts w:asciiTheme="minorHAnsi" w:eastAsiaTheme="minorEastAsia" w:hAnsiTheme="minorHAnsi" w:cstheme="minorBidi"/>
          <w:caps w:val="0"/>
          <w:snapToGrid/>
          <w:kern w:val="0"/>
          <w:szCs w:val="22"/>
        </w:rPr>
        <w:tab/>
      </w:r>
      <w:r w:rsidRPr="00157BE9">
        <w:t>ordering clauses</w:t>
      </w:r>
      <w:r>
        <w:tab/>
        <w:t>69</w:t>
      </w:r>
    </w:p>
    <w:p w:rsidR="00126C52" w:rsidRPr="00723C80" w:rsidRDefault="00126C52" w:rsidP="00126C52">
      <w:pPr>
        <w:rPr>
          <w:rFonts w:eastAsiaTheme="minorEastAsia"/>
          <w:caps/>
        </w:rPr>
      </w:pPr>
      <w:r>
        <w:rPr>
          <w:rFonts w:eastAsiaTheme="minorEastAsia"/>
        </w:rPr>
        <w:t xml:space="preserve">APPENDIX A – Pleadings </w:t>
      </w:r>
      <w:r w:rsidRPr="00894C0E">
        <w:rPr>
          <w:rFonts w:eastAsiaTheme="minorEastAsia"/>
        </w:rPr>
        <w:t>in WT Docket No. 13-56</w:t>
      </w:r>
    </w:p>
    <w:p w:rsidR="00126C52" w:rsidRPr="00126C52" w:rsidRDefault="00126C52" w:rsidP="00126C52">
      <w:pPr>
        <w:rPr>
          <w:rFonts w:eastAsiaTheme="minorEastAsia"/>
        </w:rPr>
      </w:pPr>
    </w:p>
    <w:bookmarkEnd w:id="1"/>
    <w:p w:rsidR="00126C52" w:rsidRPr="008F67AD" w:rsidRDefault="00126C52" w:rsidP="008F67AD">
      <w:pPr>
        <w:tabs>
          <w:tab w:val="left" w:pos="360"/>
          <w:tab w:val="right" w:leader="dot" w:pos="9360"/>
        </w:tabs>
        <w:suppressAutoHyphens/>
        <w:ind w:right="720"/>
        <w:rPr>
          <w:rFonts w:eastAsiaTheme="minorEastAsia"/>
          <w:noProof/>
          <w:snapToGrid/>
          <w:kern w:val="0"/>
          <w:szCs w:val="22"/>
        </w:rPr>
      </w:pPr>
    </w:p>
    <w:p w:rsidR="00243365" w:rsidRPr="00FB1540" w:rsidRDefault="00243365" w:rsidP="00243365">
      <w:pPr>
        <w:pStyle w:val="Heading1"/>
        <w:widowControl/>
        <w:rPr>
          <w:rFonts w:ascii="Times New Roman" w:hAnsi="Times New Roman"/>
          <w:szCs w:val="22"/>
        </w:rPr>
      </w:pPr>
      <w:bookmarkStart w:id="3" w:name="_Toc365625573"/>
      <w:bookmarkStart w:id="4" w:name="_Toc365626574"/>
      <w:bookmarkStart w:id="5" w:name="_Toc365626775"/>
      <w:bookmarkStart w:id="6" w:name="_Toc365631625"/>
      <w:bookmarkStart w:id="7" w:name="_Toc365981435"/>
      <w:r w:rsidRPr="00FB1540">
        <w:rPr>
          <w:rFonts w:ascii="Times New Roman" w:hAnsi="Times New Roman"/>
          <w:szCs w:val="22"/>
        </w:rPr>
        <w:t>introduction</w:t>
      </w:r>
      <w:bookmarkEnd w:id="3"/>
      <w:bookmarkEnd w:id="4"/>
      <w:bookmarkEnd w:id="5"/>
      <w:bookmarkEnd w:id="6"/>
      <w:bookmarkEnd w:id="7"/>
    </w:p>
    <w:p w:rsidR="00C86F4D" w:rsidRPr="00C86F4D" w:rsidRDefault="008A7C66" w:rsidP="00C86F4D">
      <w:pPr>
        <w:pStyle w:val="ParaNum"/>
        <w:tabs>
          <w:tab w:val="num" w:pos="4050"/>
        </w:tabs>
        <w:rPr>
          <w:snapToGrid/>
          <w:szCs w:val="22"/>
        </w:rPr>
      </w:pPr>
      <w:r w:rsidRPr="00D36FA0">
        <w:rPr>
          <w:snapToGrid/>
        </w:rPr>
        <w:t xml:space="preserve">In this Memorandum Opinion and Order, we </w:t>
      </w:r>
      <w:r w:rsidR="00A13A9F">
        <w:rPr>
          <w:snapToGrid/>
        </w:rPr>
        <w:t>approve several</w:t>
      </w:r>
      <w:r w:rsidRPr="00D36FA0">
        <w:rPr>
          <w:snapToGrid/>
        </w:rPr>
        <w:t xml:space="preserve"> applications of AT&amp;T, Verizon Wireless, and Grain (together, the “Applicants”) </w:t>
      </w:r>
      <w:r w:rsidR="00A13A9F">
        <w:rPr>
          <w:snapToGrid/>
        </w:rPr>
        <w:t>regarding</w:t>
      </w:r>
      <w:r w:rsidRPr="00D36FA0">
        <w:rPr>
          <w:snapToGrid/>
        </w:rPr>
        <w:t xml:space="preserve"> the assignment and lease of various Lower 700 MHz Band B Block licenses and AWS-1 licenses.</w:t>
      </w:r>
      <w:r>
        <w:rPr>
          <w:rStyle w:val="FootnoteReference"/>
          <w:snapToGrid/>
        </w:rPr>
        <w:footnoteReference w:id="2"/>
      </w:r>
      <w:r w:rsidRPr="00D36FA0">
        <w:rPr>
          <w:snapToGrid/>
        </w:rPr>
        <w:t xml:space="preserve">  </w:t>
      </w:r>
      <w:r w:rsidR="00C86F4D" w:rsidRPr="00C86F4D">
        <w:rPr>
          <w:szCs w:val="22"/>
        </w:rPr>
        <w:t>Verizon Wireless would assign to AT&amp;T 39 full Lower 700 MHz Band B Block licenses</w:t>
      </w:r>
      <w:r w:rsidR="0072230C">
        <w:rPr>
          <w:szCs w:val="22"/>
        </w:rPr>
        <w:t xml:space="preserve"> and would</w:t>
      </w:r>
      <w:r w:rsidR="00C86F4D" w:rsidRPr="00C86F4D">
        <w:rPr>
          <w:szCs w:val="22"/>
        </w:rPr>
        <w:t xml:space="preserve"> assign to Grain I three Lower 700 MHz Band B Block licenses</w:t>
      </w:r>
      <w:r w:rsidR="0072230C">
        <w:rPr>
          <w:szCs w:val="22"/>
        </w:rPr>
        <w:t>, whose spectrum</w:t>
      </w:r>
      <w:r w:rsidR="00C86F4D" w:rsidRPr="00C86F4D">
        <w:rPr>
          <w:szCs w:val="22"/>
        </w:rPr>
        <w:t xml:space="preserve"> Grain I would</w:t>
      </w:r>
      <w:r w:rsidR="0072230C">
        <w:rPr>
          <w:szCs w:val="22"/>
        </w:rPr>
        <w:t xml:space="preserve"> then</w:t>
      </w:r>
      <w:r w:rsidR="00C86F4D" w:rsidRPr="00C86F4D">
        <w:rPr>
          <w:szCs w:val="22"/>
        </w:rPr>
        <w:t xml:space="preserve"> lease to AT&amp;T.  For its part, AT&amp;T would assign to Verizon Wireless one full and five </w:t>
      </w:r>
      <w:r w:rsidR="00B32416">
        <w:rPr>
          <w:szCs w:val="22"/>
        </w:rPr>
        <w:t xml:space="preserve">partitioned </w:t>
      </w:r>
      <w:r w:rsidR="00C86F4D" w:rsidRPr="00C86F4D">
        <w:rPr>
          <w:szCs w:val="22"/>
        </w:rPr>
        <w:t>AWS-1 licenses</w:t>
      </w:r>
      <w:r w:rsidR="0072230C">
        <w:rPr>
          <w:szCs w:val="22"/>
        </w:rPr>
        <w:t xml:space="preserve"> and</w:t>
      </w:r>
      <w:r w:rsidR="00C86F4D" w:rsidRPr="00C86F4D">
        <w:rPr>
          <w:szCs w:val="22"/>
        </w:rPr>
        <w:t xml:space="preserve"> would assign to Grain II one AWS-1 license, </w:t>
      </w:r>
      <w:r w:rsidR="0072230C">
        <w:rPr>
          <w:szCs w:val="22"/>
        </w:rPr>
        <w:t>whose spectrum</w:t>
      </w:r>
      <w:r w:rsidR="00C86F4D" w:rsidRPr="00C86F4D">
        <w:rPr>
          <w:szCs w:val="22"/>
        </w:rPr>
        <w:t xml:space="preserve"> Grain II would lease to Verizon Wireless.  </w:t>
      </w:r>
      <w:r w:rsidR="00C86F4D" w:rsidRPr="00C86F4D">
        <w:rPr>
          <w:snapToGrid/>
          <w:szCs w:val="22"/>
        </w:rPr>
        <w:t xml:space="preserve">In total, the proposed transactions affect spectrum in 72 markets across the country.  For the reasons detailed below, we approve the applications, subject to a condition involving the buildout of the AWS-1 licenses </w:t>
      </w:r>
      <w:r w:rsidR="00C27179">
        <w:rPr>
          <w:snapToGrid/>
          <w:szCs w:val="22"/>
        </w:rPr>
        <w:t xml:space="preserve">and spectrum </w:t>
      </w:r>
      <w:r w:rsidR="00C86F4D" w:rsidRPr="00C86F4D">
        <w:rPr>
          <w:snapToGrid/>
          <w:szCs w:val="22"/>
        </w:rPr>
        <w:t xml:space="preserve">being acquired by Verizon Wireless that is consistent with </w:t>
      </w:r>
      <w:r>
        <w:rPr>
          <w:snapToGrid/>
          <w:szCs w:val="22"/>
        </w:rPr>
        <w:t>a similar condition</w:t>
      </w:r>
      <w:r w:rsidRPr="00C86F4D">
        <w:rPr>
          <w:snapToGrid/>
          <w:szCs w:val="22"/>
        </w:rPr>
        <w:t xml:space="preserve"> </w:t>
      </w:r>
      <w:r w:rsidR="00C86F4D" w:rsidRPr="00C86F4D">
        <w:rPr>
          <w:snapToGrid/>
          <w:szCs w:val="22"/>
        </w:rPr>
        <w:t xml:space="preserve">imposed by the Commission last year. </w:t>
      </w:r>
      <w:r w:rsidR="00C86F4D" w:rsidRPr="00C86F4D">
        <w:rPr>
          <w:snapToGrid/>
          <w:szCs w:val="22"/>
          <w:highlight w:val="yellow"/>
        </w:rPr>
        <w:t xml:space="preserve">  </w:t>
      </w:r>
    </w:p>
    <w:p w:rsidR="00243365" w:rsidRPr="00FB1540" w:rsidRDefault="00243365" w:rsidP="00243365">
      <w:pPr>
        <w:pStyle w:val="Heading1"/>
        <w:widowControl/>
        <w:rPr>
          <w:rFonts w:ascii="Times New Roman" w:hAnsi="Times New Roman"/>
          <w:szCs w:val="22"/>
        </w:rPr>
      </w:pPr>
      <w:bookmarkStart w:id="8" w:name="_Toc365625574"/>
      <w:bookmarkStart w:id="9" w:name="_Toc365626575"/>
      <w:bookmarkStart w:id="10" w:name="_Toc365626776"/>
      <w:bookmarkStart w:id="11" w:name="_Toc365631626"/>
      <w:bookmarkStart w:id="12" w:name="_Toc365981436"/>
      <w:r w:rsidRPr="00FB1540">
        <w:rPr>
          <w:rFonts w:ascii="Times New Roman" w:hAnsi="Times New Roman"/>
          <w:szCs w:val="22"/>
        </w:rPr>
        <w:t>BACKGROUND</w:t>
      </w:r>
      <w:bookmarkEnd w:id="8"/>
      <w:bookmarkEnd w:id="9"/>
      <w:bookmarkEnd w:id="10"/>
      <w:bookmarkEnd w:id="11"/>
      <w:bookmarkEnd w:id="12"/>
    </w:p>
    <w:p w:rsidR="00243365" w:rsidRPr="009B6419" w:rsidRDefault="00243365" w:rsidP="00243365">
      <w:pPr>
        <w:pStyle w:val="Heading2"/>
      </w:pPr>
      <w:bookmarkStart w:id="13" w:name="_Toc365625575"/>
      <w:bookmarkStart w:id="14" w:name="_Toc365626576"/>
      <w:bookmarkStart w:id="15" w:name="_Toc365626777"/>
      <w:bookmarkStart w:id="16" w:name="_Toc365631627"/>
      <w:bookmarkStart w:id="17" w:name="_Toc365981437"/>
      <w:r w:rsidRPr="009B6419">
        <w:t>Description of the Applicants</w:t>
      </w:r>
      <w:bookmarkEnd w:id="13"/>
      <w:bookmarkEnd w:id="14"/>
      <w:bookmarkEnd w:id="15"/>
      <w:bookmarkEnd w:id="16"/>
      <w:bookmarkEnd w:id="17"/>
    </w:p>
    <w:p w:rsidR="00243365" w:rsidRPr="009B6419" w:rsidRDefault="00243365" w:rsidP="00243365">
      <w:pPr>
        <w:pStyle w:val="Heading3"/>
        <w:rPr>
          <w:szCs w:val="22"/>
        </w:rPr>
      </w:pPr>
      <w:bookmarkStart w:id="18" w:name="_Toc365625576"/>
      <w:bookmarkStart w:id="19" w:name="_Toc365626577"/>
      <w:bookmarkStart w:id="20" w:name="_Toc365626778"/>
      <w:bookmarkStart w:id="21" w:name="_Toc365631628"/>
      <w:bookmarkStart w:id="22" w:name="_Toc365981438"/>
      <w:r w:rsidRPr="009B6419">
        <w:rPr>
          <w:szCs w:val="22"/>
        </w:rPr>
        <w:t>AT&amp;T</w:t>
      </w:r>
      <w:bookmarkEnd w:id="18"/>
      <w:bookmarkEnd w:id="19"/>
      <w:bookmarkEnd w:id="20"/>
      <w:bookmarkEnd w:id="21"/>
      <w:bookmarkEnd w:id="22"/>
      <w:r w:rsidRPr="009B6419">
        <w:rPr>
          <w:szCs w:val="22"/>
        </w:rPr>
        <w:t xml:space="preserve"> </w:t>
      </w:r>
    </w:p>
    <w:p w:rsidR="00243365" w:rsidRPr="009B6419" w:rsidRDefault="00243365" w:rsidP="009C2038">
      <w:pPr>
        <w:pStyle w:val="ParaNum"/>
        <w:widowControl/>
        <w:autoSpaceDE w:val="0"/>
        <w:autoSpaceDN w:val="0"/>
        <w:adjustRightInd w:val="0"/>
        <w:rPr>
          <w:szCs w:val="22"/>
        </w:rPr>
      </w:pPr>
      <w:r w:rsidRPr="009B6419">
        <w:rPr>
          <w:szCs w:val="22"/>
        </w:rPr>
        <w:t>AT&amp;T Inc.</w:t>
      </w:r>
      <w:r w:rsidR="0072230C">
        <w:rPr>
          <w:szCs w:val="22"/>
        </w:rPr>
        <w:t xml:space="preserve"> (“AT&amp;T”)</w:t>
      </w:r>
      <w:r w:rsidRPr="009B6419">
        <w:rPr>
          <w:szCs w:val="22"/>
        </w:rPr>
        <w:t>,</w:t>
      </w:r>
      <w:r w:rsidR="004B49E1" w:rsidRPr="009B6419">
        <w:rPr>
          <w:rStyle w:val="FootnoteReference"/>
          <w:szCs w:val="22"/>
        </w:rPr>
        <w:footnoteReference w:id="3"/>
      </w:r>
      <w:r w:rsidRPr="009B6419">
        <w:rPr>
          <w:szCs w:val="22"/>
        </w:rPr>
        <w:t xml:space="preserve"> headquartered in Dallas, Texas, is a communications holding company that ranks among the leading providers of telecommunications services in the United States.</w:t>
      </w:r>
      <w:r w:rsidRPr="009B6419">
        <w:rPr>
          <w:rStyle w:val="FootnoteReference"/>
          <w:szCs w:val="22"/>
        </w:rPr>
        <w:footnoteReference w:id="4"/>
      </w:r>
      <w:r w:rsidRPr="009B6419">
        <w:rPr>
          <w:szCs w:val="22"/>
        </w:rPr>
        <w:t xml:space="preserve">  As of December 31, 2012, AT&amp;T reported more than $127 billion in revenues, of which its wireless services accounted for approximately 52 percent, and had approximately 107 million wireless subscribers.</w:t>
      </w:r>
      <w:r w:rsidRPr="009B6419">
        <w:rPr>
          <w:rStyle w:val="FootnoteReference"/>
          <w:szCs w:val="22"/>
        </w:rPr>
        <w:footnoteReference w:id="5"/>
      </w:r>
      <w:r w:rsidRPr="009B6419">
        <w:rPr>
          <w:szCs w:val="22"/>
        </w:rPr>
        <w:t xml:space="preserve">  </w:t>
      </w:r>
      <w:r>
        <w:t xml:space="preserve">AT&amp;T’s nationwide </w:t>
      </w:r>
      <w:r w:rsidR="00E7067B">
        <w:t xml:space="preserve">wireless </w:t>
      </w:r>
      <w:r>
        <w:t>network currently covers approximately 308 million people, or approximately 99.8 percent of the population of the mainland United States.</w:t>
      </w:r>
      <w:r>
        <w:rPr>
          <w:rStyle w:val="FootnoteReference"/>
        </w:rPr>
        <w:footnoteReference w:id="6"/>
      </w:r>
      <w:r>
        <w:t xml:space="preserve">  </w:t>
      </w:r>
      <w:r w:rsidRPr="009B6419">
        <w:rPr>
          <w:szCs w:val="22"/>
        </w:rPr>
        <w:t>The company is transitioning to a</w:t>
      </w:r>
      <w:r w:rsidR="009C2038">
        <w:rPr>
          <w:szCs w:val="22"/>
        </w:rPr>
        <w:t xml:space="preserve"> wireless network that uses </w:t>
      </w:r>
      <w:r w:rsidR="00252157">
        <w:rPr>
          <w:szCs w:val="22"/>
        </w:rPr>
        <w:t xml:space="preserve">the </w:t>
      </w:r>
      <w:r w:rsidR="009C2038">
        <w:rPr>
          <w:szCs w:val="22"/>
        </w:rPr>
        <w:t xml:space="preserve">fourth generation </w:t>
      </w:r>
      <w:r w:rsidRPr="009B6419">
        <w:rPr>
          <w:szCs w:val="22"/>
        </w:rPr>
        <w:t>Long Term Evolution (“LTE”)</w:t>
      </w:r>
      <w:r w:rsidR="00252157" w:rsidRPr="00252157">
        <w:rPr>
          <w:szCs w:val="22"/>
        </w:rPr>
        <w:t xml:space="preserve"> </w:t>
      </w:r>
      <w:r w:rsidR="00252157">
        <w:rPr>
          <w:szCs w:val="22"/>
        </w:rPr>
        <w:t>mobile technology</w:t>
      </w:r>
      <w:r w:rsidR="009C2038">
        <w:rPr>
          <w:szCs w:val="22"/>
        </w:rPr>
        <w:t>, and the company</w:t>
      </w:r>
      <w:r w:rsidRPr="009B6419">
        <w:rPr>
          <w:szCs w:val="22"/>
        </w:rPr>
        <w:t xml:space="preserve"> expects to largely complete </w:t>
      </w:r>
      <w:r w:rsidR="00D41102">
        <w:rPr>
          <w:szCs w:val="22"/>
        </w:rPr>
        <w:t xml:space="preserve">this </w:t>
      </w:r>
      <w:r w:rsidR="009C2038">
        <w:rPr>
          <w:szCs w:val="22"/>
        </w:rPr>
        <w:t xml:space="preserve">transition </w:t>
      </w:r>
      <w:r w:rsidRPr="009B6419">
        <w:rPr>
          <w:szCs w:val="22"/>
        </w:rPr>
        <w:t>by the end of 2014.</w:t>
      </w:r>
      <w:r w:rsidRPr="009B6419">
        <w:rPr>
          <w:rStyle w:val="FootnoteReference"/>
          <w:szCs w:val="22"/>
        </w:rPr>
        <w:footnoteReference w:id="7"/>
      </w:r>
      <w:r w:rsidRPr="009B6419">
        <w:rPr>
          <w:szCs w:val="22"/>
        </w:rPr>
        <w:t xml:space="preserve">  </w:t>
      </w:r>
    </w:p>
    <w:p w:rsidR="00243365" w:rsidRPr="009B6419" w:rsidRDefault="00243365" w:rsidP="00243365">
      <w:pPr>
        <w:pStyle w:val="Heading3"/>
        <w:tabs>
          <w:tab w:val="num" w:pos="1440"/>
        </w:tabs>
        <w:rPr>
          <w:szCs w:val="22"/>
        </w:rPr>
      </w:pPr>
      <w:bookmarkStart w:id="23" w:name="_Toc365625577"/>
      <w:bookmarkStart w:id="24" w:name="_Toc365626578"/>
      <w:bookmarkStart w:id="25" w:name="_Toc365626779"/>
      <w:bookmarkStart w:id="26" w:name="_Toc365631629"/>
      <w:bookmarkStart w:id="27" w:name="_Toc365981439"/>
      <w:r w:rsidRPr="009B6419">
        <w:rPr>
          <w:szCs w:val="22"/>
        </w:rPr>
        <w:t>Verizon Wireless</w:t>
      </w:r>
      <w:bookmarkEnd w:id="23"/>
      <w:bookmarkEnd w:id="24"/>
      <w:bookmarkEnd w:id="25"/>
      <w:bookmarkEnd w:id="26"/>
      <w:bookmarkEnd w:id="27"/>
    </w:p>
    <w:p w:rsidR="00243365" w:rsidRPr="009B6419" w:rsidRDefault="00243365" w:rsidP="00243365">
      <w:pPr>
        <w:pStyle w:val="ParaNum"/>
        <w:rPr>
          <w:szCs w:val="22"/>
        </w:rPr>
      </w:pPr>
      <w:r w:rsidRPr="009B6419">
        <w:rPr>
          <w:szCs w:val="22"/>
        </w:rPr>
        <w:t>Cellco Partnership d/b/a Verizon Wireless (“Verizon Wireless”) is a general partnership</w:t>
      </w:r>
      <w:r w:rsidR="00246C17">
        <w:rPr>
          <w:szCs w:val="22"/>
        </w:rPr>
        <w:t xml:space="preserve"> that</w:t>
      </w:r>
      <w:r w:rsidRPr="009B6419">
        <w:rPr>
          <w:szCs w:val="22"/>
        </w:rPr>
        <w:t xml:space="preserve"> is ultimately owned by Verizon Communications Inc. (“Verizon”) and Vodafone Group Plc. (“Vodafone”).  Applicants state that Vodafone’s interest in the partnership, and its qualifications as a foreign corporation to hold indirect ownership interests in common carrier licenses, have been previously authorized by the Commission under the Communications Act of 1934, as amended (“Communications Act”).</w:t>
      </w:r>
      <w:r w:rsidRPr="009B6419">
        <w:rPr>
          <w:rStyle w:val="FootnoteReference"/>
          <w:szCs w:val="22"/>
        </w:rPr>
        <w:footnoteReference w:id="8"/>
      </w:r>
    </w:p>
    <w:p w:rsidR="00243365" w:rsidRPr="009B6419" w:rsidRDefault="00243365" w:rsidP="004370B5">
      <w:pPr>
        <w:pStyle w:val="ParaNum"/>
      </w:pPr>
      <w:r w:rsidRPr="009B6419">
        <w:t>Verizon Wireless is one of the largest wireless service providers in the United States as measured by total number of customers and revenue.</w:t>
      </w:r>
      <w:r w:rsidRPr="009B6419">
        <w:rPr>
          <w:rStyle w:val="FootnoteReference"/>
          <w:szCs w:val="22"/>
        </w:rPr>
        <w:footnoteReference w:id="9"/>
      </w:r>
      <w:r w:rsidRPr="009B6419">
        <w:t xml:space="preserve">  In addition, it has deployed an LTE network that, as of </w:t>
      </w:r>
      <w:r w:rsidR="004370B5">
        <w:t>August 2013</w:t>
      </w:r>
      <w:r w:rsidRPr="009B6419">
        <w:t xml:space="preserve">, </w:t>
      </w:r>
      <w:r w:rsidR="004370B5">
        <w:rPr>
          <w:szCs w:val="22"/>
        </w:rPr>
        <w:t>is</w:t>
      </w:r>
      <w:r w:rsidR="004370B5" w:rsidRPr="004370B5">
        <w:rPr>
          <w:szCs w:val="22"/>
        </w:rPr>
        <w:t xml:space="preserve"> available in 500 markets to more than 95 percent of the U.S. population and covers nearly 301 </w:t>
      </w:r>
      <w:r w:rsidRPr="009B6419">
        <w:t>million people.</w:t>
      </w:r>
      <w:r w:rsidRPr="009B6419">
        <w:rPr>
          <w:rStyle w:val="FootnoteReference"/>
          <w:szCs w:val="22"/>
        </w:rPr>
        <w:footnoteReference w:id="10"/>
      </w:r>
      <w:r w:rsidRPr="009B6419">
        <w:t xml:space="preserve">  In 2012, </w:t>
      </w:r>
      <w:r w:rsidR="004B49E1">
        <w:t xml:space="preserve">Verizon Wireless’s </w:t>
      </w:r>
      <w:r w:rsidRPr="009B6419">
        <w:t>domestic revenues were $</w:t>
      </w:r>
      <w:r w:rsidR="00EE182A">
        <w:t>75.8</w:t>
      </w:r>
      <w:r w:rsidRPr="009B6419">
        <w:t xml:space="preserve"> billion, representing approximately </w:t>
      </w:r>
      <w:r w:rsidRPr="0008082C">
        <w:t>6</w:t>
      </w:r>
      <w:r w:rsidR="00EE182A">
        <w:t>5</w:t>
      </w:r>
      <w:r w:rsidRPr="009B6419">
        <w:t>% of Verizon’s aggregate revenues.</w:t>
      </w:r>
      <w:r w:rsidRPr="009B6419">
        <w:rPr>
          <w:rStyle w:val="FootnoteReference"/>
          <w:szCs w:val="22"/>
        </w:rPr>
        <w:footnoteReference w:id="11"/>
      </w:r>
    </w:p>
    <w:p w:rsidR="00243365" w:rsidRPr="009B6419" w:rsidRDefault="00243365" w:rsidP="00243365">
      <w:pPr>
        <w:pStyle w:val="Heading3"/>
      </w:pPr>
      <w:bookmarkStart w:id="28" w:name="_Toc365625578"/>
      <w:bookmarkStart w:id="29" w:name="_Toc365626579"/>
      <w:bookmarkStart w:id="30" w:name="_Toc365626780"/>
      <w:bookmarkStart w:id="31" w:name="_Toc365631630"/>
      <w:bookmarkStart w:id="32" w:name="_Toc365981440"/>
      <w:r w:rsidRPr="009B6419">
        <w:t>Grain I and Grain II</w:t>
      </w:r>
      <w:bookmarkEnd w:id="28"/>
      <w:bookmarkEnd w:id="29"/>
      <w:bookmarkEnd w:id="30"/>
      <w:bookmarkEnd w:id="31"/>
      <w:bookmarkEnd w:id="32"/>
    </w:p>
    <w:p w:rsidR="00243365" w:rsidRPr="009B6419" w:rsidRDefault="00243365" w:rsidP="00243365">
      <w:pPr>
        <w:pStyle w:val="ParaNum"/>
        <w:rPr>
          <w:szCs w:val="22"/>
        </w:rPr>
      </w:pPr>
      <w:r w:rsidRPr="009B6419">
        <w:rPr>
          <w:szCs w:val="22"/>
        </w:rPr>
        <w:t>Grain Spectrum, LLC (“Grain I”) and Grain Spectrum II, LLC (“Grain II,” and together with Grain I, “Grain”), each a Delaware limited liability company,</w:t>
      </w:r>
      <w:r w:rsidRPr="009B6419">
        <w:rPr>
          <w:rStyle w:val="FootnoteReference"/>
          <w:szCs w:val="22"/>
        </w:rPr>
        <w:footnoteReference w:id="12"/>
      </w:r>
      <w:r w:rsidRPr="009B6419">
        <w:rPr>
          <w:szCs w:val="22"/>
        </w:rPr>
        <w:t xml:space="preserve"> are wholly owned by Grain Capital II, LLC, which is managed by Grain Management, LLC (“Grain Management”).  Grain and Grain Management are indirectly 100 percent owned and controlled by David Grain, an African American businessman with experience in investing in, owning, and managing telecommunications assets.  Grain Management manages investments in wireless telecommunications projects in North America.  </w:t>
      </w:r>
      <w:r w:rsidR="00835201">
        <w:rPr>
          <w:szCs w:val="22"/>
        </w:rPr>
        <w:t xml:space="preserve">Its </w:t>
      </w:r>
      <w:r w:rsidRPr="009B6419">
        <w:rPr>
          <w:szCs w:val="22"/>
        </w:rPr>
        <w:t>private equity funds focus on building, acquiring, and operating communications infrastructure including voice, video and data networks, and wireless communications towers.</w:t>
      </w:r>
      <w:r w:rsidRPr="009B6419">
        <w:rPr>
          <w:rStyle w:val="FootnoteReference"/>
          <w:szCs w:val="22"/>
        </w:rPr>
        <w:footnoteReference w:id="13"/>
      </w:r>
    </w:p>
    <w:p w:rsidR="00243365" w:rsidRPr="009B6419" w:rsidRDefault="00243365" w:rsidP="00243365">
      <w:pPr>
        <w:pStyle w:val="Heading2"/>
      </w:pPr>
      <w:bookmarkStart w:id="33" w:name="_Toc365625579"/>
      <w:bookmarkStart w:id="34" w:name="_Toc365626580"/>
      <w:bookmarkStart w:id="35" w:name="_Toc365626781"/>
      <w:bookmarkStart w:id="36" w:name="_Toc365631631"/>
      <w:bookmarkStart w:id="37" w:name="_Toc365981441"/>
      <w:r w:rsidRPr="009B6419">
        <w:t>Description of Transaction</w:t>
      </w:r>
      <w:r>
        <w:t>s</w:t>
      </w:r>
      <w:bookmarkEnd w:id="33"/>
      <w:bookmarkEnd w:id="34"/>
      <w:bookmarkEnd w:id="35"/>
      <w:bookmarkEnd w:id="36"/>
      <w:bookmarkEnd w:id="37"/>
    </w:p>
    <w:p w:rsidR="00243365" w:rsidRPr="009B6419" w:rsidRDefault="00243365" w:rsidP="00D36F17">
      <w:pPr>
        <w:pStyle w:val="ParaNum"/>
        <w:rPr>
          <w:szCs w:val="22"/>
        </w:rPr>
      </w:pPr>
      <w:r>
        <w:rPr>
          <w:szCs w:val="22"/>
        </w:rPr>
        <w:t xml:space="preserve">On February 6, 2013, AT&amp;T, Verizon Wireless, and Grain filed the </w:t>
      </w:r>
      <w:r w:rsidR="004B49E1">
        <w:rPr>
          <w:szCs w:val="22"/>
        </w:rPr>
        <w:t>A</w:t>
      </w:r>
      <w:r>
        <w:rPr>
          <w:szCs w:val="22"/>
        </w:rPr>
        <w:t>pplications pursuant to section 310(d) of the Communications Act of 1934, as amended,</w:t>
      </w:r>
      <w:r>
        <w:rPr>
          <w:rStyle w:val="FootnoteReference"/>
          <w:szCs w:val="22"/>
        </w:rPr>
        <w:footnoteReference w:id="14"/>
      </w:r>
      <w:r>
        <w:rPr>
          <w:szCs w:val="22"/>
        </w:rPr>
        <w:t xml:space="preserve"> </w:t>
      </w:r>
      <w:r>
        <w:t xml:space="preserve">seeking Commission consent to the assignment and lease of a number of Lower 700 MHz Band B Block and full and </w:t>
      </w:r>
      <w:r w:rsidR="00D36F17">
        <w:t>partitioned</w:t>
      </w:r>
      <w:r>
        <w:t xml:space="preserve"> Advanced Wireless Services (“AWS-1”) </w:t>
      </w:r>
      <w:r w:rsidR="00D36F17">
        <w:t>licenses</w:t>
      </w:r>
      <w:r>
        <w:t xml:space="preserve">. </w:t>
      </w:r>
      <w:r>
        <w:rPr>
          <w:szCs w:val="22"/>
        </w:rPr>
        <w:t xml:space="preserve"> </w:t>
      </w:r>
      <w:r w:rsidRPr="009B6419">
        <w:rPr>
          <w:szCs w:val="22"/>
        </w:rPr>
        <w:t>The proposed transaction</w:t>
      </w:r>
      <w:r>
        <w:rPr>
          <w:szCs w:val="22"/>
        </w:rPr>
        <w:t>s</w:t>
      </w:r>
      <w:r w:rsidRPr="009B6419">
        <w:rPr>
          <w:szCs w:val="22"/>
        </w:rPr>
        <w:t xml:space="preserve"> would consist of (a) a direct exchange of spectrum licenses between AT&amp;T and Verizon Wireless and (b) assignments of spectrum licenses from AT&amp;T and Verizon Wireless to Grain, which would lease the assigned spectrum to Verizon Wireless </w:t>
      </w:r>
      <w:r>
        <w:rPr>
          <w:szCs w:val="22"/>
        </w:rPr>
        <w:t xml:space="preserve">and AT&amp;T </w:t>
      </w:r>
      <w:r w:rsidRPr="009B6419">
        <w:rPr>
          <w:szCs w:val="22"/>
        </w:rPr>
        <w:t xml:space="preserve">under long-term </w:t>
      </w:r>
      <w:r w:rsidRPr="009B6419">
        <w:rPr>
          <w:i/>
          <w:szCs w:val="22"/>
        </w:rPr>
        <w:t>de facto</w:t>
      </w:r>
      <w:r w:rsidRPr="009B6419">
        <w:rPr>
          <w:szCs w:val="22"/>
        </w:rPr>
        <w:t xml:space="preserve"> transfer spectrum leases.</w:t>
      </w:r>
      <w:r w:rsidRPr="009B6419">
        <w:rPr>
          <w:rStyle w:val="FootnoteReference"/>
          <w:szCs w:val="22"/>
        </w:rPr>
        <w:footnoteReference w:id="15"/>
      </w:r>
      <w:r w:rsidRPr="009B6419">
        <w:rPr>
          <w:szCs w:val="22"/>
        </w:rPr>
        <w:t xml:space="preserve">  Specifically, Verizon Wireless would assign to AT&amp;T 39 full Lower 700 MHz Band B Block licenses</w:t>
      </w:r>
      <w:r w:rsidR="00B04889">
        <w:rPr>
          <w:szCs w:val="22"/>
        </w:rPr>
        <w:t xml:space="preserve"> and</w:t>
      </w:r>
      <w:r w:rsidRPr="009B6419">
        <w:rPr>
          <w:szCs w:val="22"/>
        </w:rPr>
        <w:t xml:space="preserve"> would assign to Grain I three full Lower 700 MHz Band B Block licenses, </w:t>
      </w:r>
      <w:r w:rsidR="00B04889">
        <w:rPr>
          <w:szCs w:val="22"/>
        </w:rPr>
        <w:t>whose spectrum</w:t>
      </w:r>
      <w:r w:rsidRPr="009B6419">
        <w:rPr>
          <w:szCs w:val="22"/>
        </w:rPr>
        <w:t xml:space="preserve"> Grain I would </w:t>
      </w:r>
      <w:r w:rsidR="00B04889">
        <w:rPr>
          <w:szCs w:val="22"/>
        </w:rPr>
        <w:t xml:space="preserve">then </w:t>
      </w:r>
      <w:r w:rsidRPr="009B6419">
        <w:rPr>
          <w:szCs w:val="22"/>
        </w:rPr>
        <w:t xml:space="preserve">lease to AT&amp;T.  AT&amp;T would assign to Verizon Wireless one full and five </w:t>
      </w:r>
      <w:r w:rsidR="00B32416">
        <w:rPr>
          <w:szCs w:val="22"/>
        </w:rPr>
        <w:t>partitioned</w:t>
      </w:r>
      <w:r w:rsidR="00B32416" w:rsidRPr="009B6419">
        <w:rPr>
          <w:szCs w:val="22"/>
        </w:rPr>
        <w:t xml:space="preserve"> </w:t>
      </w:r>
      <w:r w:rsidRPr="009B6419">
        <w:rPr>
          <w:szCs w:val="22"/>
        </w:rPr>
        <w:t>AWS-1 licenses</w:t>
      </w:r>
      <w:r w:rsidR="00B04889">
        <w:rPr>
          <w:szCs w:val="22"/>
        </w:rPr>
        <w:t xml:space="preserve"> and</w:t>
      </w:r>
      <w:r w:rsidRPr="009B6419">
        <w:rPr>
          <w:szCs w:val="22"/>
        </w:rPr>
        <w:t xml:space="preserve"> would assign to Grain II one full AWS-1 license, </w:t>
      </w:r>
      <w:r w:rsidR="00B04889">
        <w:rPr>
          <w:szCs w:val="22"/>
        </w:rPr>
        <w:t>whose spectrum</w:t>
      </w:r>
      <w:r w:rsidRPr="009B6419">
        <w:rPr>
          <w:szCs w:val="22"/>
        </w:rPr>
        <w:t xml:space="preserve"> Grain II would </w:t>
      </w:r>
      <w:r w:rsidR="00B04889">
        <w:rPr>
          <w:szCs w:val="22"/>
        </w:rPr>
        <w:t xml:space="preserve">then </w:t>
      </w:r>
      <w:r w:rsidRPr="009B6419">
        <w:rPr>
          <w:szCs w:val="22"/>
        </w:rPr>
        <w:t>lease to Verizon</w:t>
      </w:r>
      <w:r>
        <w:rPr>
          <w:szCs w:val="22"/>
        </w:rPr>
        <w:t xml:space="preserve"> Wireless</w:t>
      </w:r>
      <w:r w:rsidRPr="009B6419">
        <w:rPr>
          <w:szCs w:val="22"/>
        </w:rPr>
        <w:t>.</w:t>
      </w:r>
      <w:r w:rsidRPr="009B6419">
        <w:rPr>
          <w:rStyle w:val="FootnoteReference"/>
          <w:szCs w:val="22"/>
        </w:rPr>
        <w:footnoteReference w:id="16"/>
      </w:r>
      <w:r w:rsidRPr="009B6419">
        <w:rPr>
          <w:szCs w:val="22"/>
        </w:rPr>
        <w:t xml:space="preserve">  The Applicants state that the</w:t>
      </w:r>
      <w:r>
        <w:rPr>
          <w:szCs w:val="22"/>
        </w:rPr>
        <w:t xml:space="preserve"> proposed</w:t>
      </w:r>
      <w:r w:rsidRPr="009B6419">
        <w:rPr>
          <w:szCs w:val="22"/>
        </w:rPr>
        <w:t xml:space="preserve"> transaction</w:t>
      </w:r>
      <w:r>
        <w:rPr>
          <w:szCs w:val="22"/>
        </w:rPr>
        <w:t>s</w:t>
      </w:r>
      <w:r w:rsidRPr="009B6419">
        <w:rPr>
          <w:szCs w:val="22"/>
        </w:rPr>
        <w:t xml:space="preserve"> would not include the transfer of any other assets, facilities, or customers.</w:t>
      </w:r>
      <w:r w:rsidRPr="009B6419">
        <w:rPr>
          <w:rStyle w:val="FootnoteReference"/>
          <w:szCs w:val="22"/>
        </w:rPr>
        <w:footnoteReference w:id="17"/>
      </w:r>
      <w:r w:rsidRPr="009B6419">
        <w:rPr>
          <w:szCs w:val="22"/>
        </w:rPr>
        <w:t xml:space="preserve"> </w:t>
      </w:r>
    </w:p>
    <w:p w:rsidR="00243365" w:rsidRPr="009B6419" w:rsidRDefault="00243365" w:rsidP="00243365">
      <w:pPr>
        <w:pStyle w:val="ParaNum"/>
        <w:widowControl/>
        <w:rPr>
          <w:szCs w:val="22"/>
        </w:rPr>
      </w:pPr>
      <w:r w:rsidRPr="009B6419">
        <w:rPr>
          <w:szCs w:val="22"/>
        </w:rPr>
        <w:t xml:space="preserve">The Applicants assert </w:t>
      </w:r>
      <w:r>
        <w:rPr>
          <w:szCs w:val="22"/>
        </w:rPr>
        <w:t xml:space="preserve">that the proposed transactions </w:t>
      </w:r>
      <w:r w:rsidRPr="009B6419">
        <w:rPr>
          <w:szCs w:val="22"/>
        </w:rPr>
        <w:t>would allow AT&amp;T and Verizon Wireless each to further rationalize their spectrum holdings and obtain contiguous spectrum in many markets, enabling more spectrally efficient deployments and assisting AT&amp;T and Verizon Wireless to provide high-quality, high-speed wireless broadband.</w:t>
      </w:r>
      <w:r w:rsidRPr="009B6419">
        <w:rPr>
          <w:rStyle w:val="FootnoteReference"/>
          <w:szCs w:val="22"/>
        </w:rPr>
        <w:footnoteReference w:id="18"/>
      </w:r>
      <w:r w:rsidRPr="009B6419">
        <w:rPr>
          <w:szCs w:val="22"/>
        </w:rPr>
        <w:t xml:space="preserve">  The Applicants also allege that the proposed transaction</w:t>
      </w:r>
      <w:r>
        <w:rPr>
          <w:szCs w:val="22"/>
        </w:rPr>
        <w:t>s</w:t>
      </w:r>
      <w:r w:rsidRPr="009B6419">
        <w:rPr>
          <w:szCs w:val="22"/>
        </w:rPr>
        <w:t xml:space="preserve"> would further the Commission’s goal of extending opportunities in the wireless market to small and minority-owned businesses by enabling Grain, a minority-owned business, to purchase AWS-1 and Lower 700 MHz Band B Block licenses, becoming a new licensee.</w:t>
      </w:r>
      <w:r w:rsidRPr="009B6419">
        <w:rPr>
          <w:rStyle w:val="FootnoteReference"/>
          <w:szCs w:val="22"/>
        </w:rPr>
        <w:footnoteReference w:id="19"/>
      </w:r>
      <w:r w:rsidRPr="009B6419">
        <w:rPr>
          <w:szCs w:val="22"/>
        </w:rPr>
        <w:t xml:space="preserve">  Finally, the Applicants state that the proposed transaction</w:t>
      </w:r>
      <w:r>
        <w:rPr>
          <w:szCs w:val="22"/>
        </w:rPr>
        <w:t>s</w:t>
      </w:r>
      <w:r w:rsidRPr="009B6419">
        <w:rPr>
          <w:szCs w:val="22"/>
        </w:rPr>
        <w:t xml:space="preserve"> would complete Verizon Wireless’s </w:t>
      </w:r>
      <w:r w:rsidR="00424BE9">
        <w:rPr>
          <w:szCs w:val="22"/>
        </w:rPr>
        <w:t>sale</w:t>
      </w:r>
      <w:r w:rsidR="00424BE9" w:rsidRPr="009B6419">
        <w:rPr>
          <w:szCs w:val="22"/>
        </w:rPr>
        <w:t xml:space="preserve"> </w:t>
      </w:r>
      <w:r w:rsidRPr="009B6419">
        <w:rPr>
          <w:szCs w:val="22"/>
        </w:rPr>
        <w:t>of its Lower 700 MHz Band B Block licenses</w:t>
      </w:r>
      <w:r w:rsidR="00424BE9">
        <w:rPr>
          <w:szCs w:val="22"/>
        </w:rPr>
        <w:t xml:space="preserve"> as part of its efforts to rationalize its spectrum holdings</w:t>
      </w:r>
      <w:r w:rsidRPr="009B6419">
        <w:rPr>
          <w:szCs w:val="22"/>
        </w:rPr>
        <w:t>.</w:t>
      </w:r>
      <w:r w:rsidRPr="009B6419">
        <w:rPr>
          <w:rStyle w:val="FootnoteReference"/>
          <w:szCs w:val="22"/>
        </w:rPr>
        <w:footnoteReference w:id="20"/>
      </w:r>
      <w:r w:rsidRPr="009B6419">
        <w:rPr>
          <w:szCs w:val="22"/>
        </w:rPr>
        <w:t xml:space="preserve"> </w:t>
      </w:r>
    </w:p>
    <w:p w:rsidR="00243365" w:rsidRPr="009B6419" w:rsidRDefault="00243365" w:rsidP="00243365">
      <w:pPr>
        <w:pStyle w:val="ParaNum"/>
        <w:widowControl/>
        <w:rPr>
          <w:szCs w:val="22"/>
        </w:rPr>
      </w:pPr>
      <w:r w:rsidRPr="009B6419">
        <w:rPr>
          <w:szCs w:val="22"/>
        </w:rPr>
        <w:t>Pursuant to the proposed transaction</w:t>
      </w:r>
      <w:r>
        <w:rPr>
          <w:szCs w:val="22"/>
        </w:rPr>
        <w:t>s</w:t>
      </w:r>
      <w:r w:rsidRPr="009B6419">
        <w:rPr>
          <w:szCs w:val="22"/>
        </w:rPr>
        <w:t xml:space="preserve">, AT&amp;T would be assigned or would lease 12 megahertz of Lower 700 MHz Band B Block spectrum in 157 counties in 42 Cellular Market Areas (“CMAs”).  As a result, AT&amp;T would hold a maximum of 150 megahertz of spectrum in those CMAs.  </w:t>
      </w:r>
      <w:r>
        <w:rPr>
          <w:szCs w:val="22"/>
        </w:rPr>
        <w:t>Verizon Wireless</w:t>
      </w:r>
      <w:r w:rsidRPr="009B6419">
        <w:rPr>
          <w:szCs w:val="22"/>
        </w:rPr>
        <w:t xml:space="preserve"> would be assigned or would lease 10 megahertz of AWS-1 spectrum in 115 counties in 36 CMAs.  After the completion of the transaction</w:t>
      </w:r>
      <w:r w:rsidR="00835201">
        <w:rPr>
          <w:szCs w:val="22"/>
        </w:rPr>
        <w:t>s</w:t>
      </w:r>
      <w:r w:rsidRPr="009B6419">
        <w:rPr>
          <w:szCs w:val="22"/>
        </w:rPr>
        <w:t xml:space="preserve">, Verizon Wireless would hold a maximum of 164 megahertz of spectrum in one CMA (CMA 658 – Texas 7 – Fannin). </w:t>
      </w:r>
    </w:p>
    <w:p w:rsidR="00243365" w:rsidRPr="009B6419" w:rsidRDefault="00243365" w:rsidP="00243365">
      <w:pPr>
        <w:pStyle w:val="Heading2"/>
      </w:pPr>
      <w:bookmarkStart w:id="38" w:name="_Toc365625580"/>
      <w:bookmarkStart w:id="39" w:name="_Toc365626581"/>
      <w:bookmarkStart w:id="40" w:name="_Toc365626782"/>
      <w:bookmarkStart w:id="41" w:name="_Toc365631632"/>
      <w:bookmarkStart w:id="42" w:name="_Toc365981442"/>
      <w:r w:rsidRPr="009B6419">
        <w:t>Transaction Review Process</w:t>
      </w:r>
      <w:bookmarkEnd w:id="38"/>
      <w:bookmarkEnd w:id="39"/>
      <w:bookmarkEnd w:id="40"/>
      <w:bookmarkEnd w:id="41"/>
      <w:bookmarkEnd w:id="42"/>
    </w:p>
    <w:p w:rsidR="00243365" w:rsidRDefault="00243365" w:rsidP="00857D4D">
      <w:pPr>
        <w:pStyle w:val="ParaNum"/>
        <w:widowControl/>
      </w:pPr>
      <w:r w:rsidRPr="009B6419">
        <w:rPr>
          <w:szCs w:val="22"/>
        </w:rPr>
        <w:t xml:space="preserve">On February 6, 2013, </w:t>
      </w:r>
      <w:r>
        <w:rPr>
          <w:szCs w:val="22"/>
        </w:rPr>
        <w:t>the Applicants filed the Applications</w:t>
      </w:r>
      <w:r w:rsidRPr="0045542D">
        <w:rPr>
          <w:szCs w:val="22"/>
        </w:rPr>
        <w:t>.</w:t>
      </w:r>
      <w:r w:rsidRPr="00F93BF1">
        <w:t xml:space="preserve">  </w:t>
      </w:r>
      <w:r>
        <w:t>O</w:t>
      </w:r>
      <w:r w:rsidRPr="00F93BF1">
        <w:t xml:space="preserve">n </w:t>
      </w:r>
      <w:r>
        <w:t>March 5</w:t>
      </w:r>
      <w:r w:rsidRPr="00F93BF1">
        <w:t>, 201</w:t>
      </w:r>
      <w:r>
        <w:t>3</w:t>
      </w:r>
      <w:r w:rsidRPr="00F93BF1">
        <w:t>, the Commission released a public notice announcing acceptance of the</w:t>
      </w:r>
      <w:r w:rsidRPr="00FB2E96">
        <w:t xml:space="preserve"> </w:t>
      </w:r>
      <w:r w:rsidRPr="00F93BF1">
        <w:t xml:space="preserve">Applications </w:t>
      </w:r>
      <w:r>
        <w:t>for filing and establishing a pleading cycle, with petitions to deny due April 4, 2013, oppositions due April 15, 2013, and replies due April 22, 2013.</w:t>
      </w:r>
      <w:r w:rsidRPr="00F93BF1">
        <w:rPr>
          <w:vertAlign w:val="superscript"/>
        </w:rPr>
        <w:footnoteReference w:id="21"/>
      </w:r>
      <w:r w:rsidRPr="00F93BF1">
        <w:t xml:space="preserve">  </w:t>
      </w:r>
      <w:r>
        <w:t xml:space="preserve">In response to the </w:t>
      </w:r>
      <w:r>
        <w:rPr>
          <w:i/>
        </w:rPr>
        <w:t>Comment Public Notice</w:t>
      </w:r>
      <w:r>
        <w:t>, the Commission received three petitions and one comment, a Joint Opposition from the Applicants, and four replies.</w:t>
      </w:r>
      <w:r>
        <w:rPr>
          <w:rStyle w:val="FootnoteReference"/>
        </w:rPr>
        <w:footnoteReference w:id="22"/>
      </w:r>
    </w:p>
    <w:p w:rsidR="00243365" w:rsidRDefault="00243365" w:rsidP="00243365">
      <w:pPr>
        <w:pStyle w:val="ParaNum"/>
      </w:pPr>
      <w:r w:rsidRPr="001873DA">
        <w:t xml:space="preserve">On </w:t>
      </w:r>
      <w:r>
        <w:t xml:space="preserve">June </w:t>
      </w:r>
      <w:r w:rsidRPr="001873DA">
        <w:t>1</w:t>
      </w:r>
      <w:r>
        <w:t>3,</w:t>
      </w:r>
      <w:r w:rsidRPr="001873DA">
        <w:t xml:space="preserve"> 201</w:t>
      </w:r>
      <w:r>
        <w:t>3</w:t>
      </w:r>
      <w:r w:rsidRPr="001873DA">
        <w:t xml:space="preserve">, </w:t>
      </w:r>
      <w:r>
        <w:t xml:space="preserve">pursuant to </w:t>
      </w:r>
      <w:r w:rsidR="0038102C">
        <w:t>s</w:t>
      </w:r>
      <w:r>
        <w:t>ection 308(b) of the Communications Act,</w:t>
      </w:r>
      <w:r>
        <w:rPr>
          <w:rStyle w:val="FootnoteReference"/>
        </w:rPr>
        <w:footnoteReference w:id="23"/>
      </w:r>
      <w:r>
        <w:t xml:space="preserve"> </w:t>
      </w:r>
      <w:r w:rsidRPr="001873DA">
        <w:t xml:space="preserve">the Bureau requested additional information and documents from </w:t>
      </w:r>
      <w:r>
        <w:t xml:space="preserve">AT&amp;T and Verizon Wireless </w:t>
      </w:r>
      <w:r w:rsidRPr="001873DA">
        <w:t>relating to aspects of the proposed transaction.</w:t>
      </w:r>
      <w:r>
        <w:rPr>
          <w:rStyle w:val="FootnoteReference"/>
        </w:rPr>
        <w:footnoteReference w:id="24"/>
      </w:r>
      <w:r w:rsidRPr="00724950">
        <w:t xml:space="preserve"> </w:t>
      </w:r>
      <w:r>
        <w:t xml:space="preserve"> The Bureau also released protective orders to ensure that any confidential or proprietary documents submitted to the Commission would be adequately protected from public disclosure, and to announce the process by which interested parties could gain access to confidential information filed in the record.</w:t>
      </w:r>
      <w:r>
        <w:rPr>
          <w:rStyle w:val="FootnoteReference"/>
        </w:rPr>
        <w:footnoteReference w:id="25"/>
      </w:r>
      <w:r>
        <w:t xml:space="preserve">  Also o</w:t>
      </w:r>
      <w:r w:rsidRPr="00724950">
        <w:t xml:space="preserve">n </w:t>
      </w:r>
      <w:r>
        <w:t>June 1</w:t>
      </w:r>
      <w:r w:rsidRPr="00724950">
        <w:t>3, 201</w:t>
      </w:r>
      <w:r>
        <w:t>3</w:t>
      </w:r>
      <w:r w:rsidRPr="00724950">
        <w:t>, the Bureau released a public notice announcing that Numbering Resource Utilization and Forecast (“NRUF”) reports and local number portability (“LNP”) data would be placed into the record and adopted a protective order pursuant to which the Applicants and third parties would be allowed to review the specific NRUF reports and LNP data placed into the record.</w:t>
      </w:r>
      <w:r>
        <w:rPr>
          <w:rStyle w:val="FootnoteReference"/>
        </w:rPr>
        <w:footnoteReference w:id="26"/>
      </w:r>
      <w:r w:rsidRPr="00724950">
        <w:t xml:space="preserve"> </w:t>
      </w:r>
    </w:p>
    <w:p w:rsidR="00243365" w:rsidRPr="00033EA9" w:rsidRDefault="00243365" w:rsidP="00243365">
      <w:pPr>
        <w:pStyle w:val="ParaNum"/>
        <w:widowControl/>
        <w:tabs>
          <w:tab w:val="left" w:pos="1440"/>
          <w:tab w:val="num" w:pos="2160"/>
        </w:tabs>
        <w:rPr>
          <w:szCs w:val="22"/>
        </w:rPr>
      </w:pPr>
      <w:r w:rsidRPr="00B01B98">
        <w:rPr>
          <w:szCs w:val="22"/>
        </w:rPr>
        <w:t>Maneesh Pangasa, in a document submitted in this proceeding and in the proceeding addressing AT&amp;T’s proposed acquisition of certai</w:t>
      </w:r>
      <w:r w:rsidRPr="00995B8F">
        <w:rPr>
          <w:szCs w:val="22"/>
        </w:rPr>
        <w:t>n operations from Atlantic Tele-Network, Inc.,</w:t>
      </w:r>
      <w:r w:rsidRPr="00995B8F">
        <w:rPr>
          <w:rStyle w:val="FootnoteReference"/>
          <w:szCs w:val="22"/>
        </w:rPr>
        <w:footnoteReference w:id="27"/>
      </w:r>
      <w:r w:rsidRPr="00995B8F">
        <w:rPr>
          <w:szCs w:val="22"/>
        </w:rPr>
        <w:t xml:space="preserve"> after the conclusion of the pleading cycles in both proceedings, urges the Commission to combine its review of both sets of proposed transactions.</w:t>
      </w:r>
      <w:r w:rsidRPr="00995B8F">
        <w:rPr>
          <w:rStyle w:val="FootnoteReference"/>
          <w:szCs w:val="22"/>
        </w:rPr>
        <w:footnoteReference w:id="28"/>
      </w:r>
      <w:r w:rsidRPr="00995B8F">
        <w:rPr>
          <w:szCs w:val="22"/>
        </w:rPr>
        <w:t xml:space="preserve">  In addition to being late-filed, the statement appears to </w:t>
      </w:r>
      <w:r>
        <w:rPr>
          <w:szCs w:val="22"/>
        </w:rPr>
        <w:t>reflect</w:t>
      </w:r>
      <w:r w:rsidRPr="00995B8F">
        <w:rPr>
          <w:szCs w:val="22"/>
        </w:rPr>
        <w:t xml:space="preserve"> several procedural defects, including </w:t>
      </w:r>
      <w:r w:rsidRPr="006B6C82">
        <w:rPr>
          <w:szCs w:val="22"/>
        </w:rPr>
        <w:t>a failure to serve the Applicants.</w:t>
      </w:r>
      <w:r w:rsidRPr="00255752">
        <w:rPr>
          <w:rStyle w:val="FootnoteReference"/>
          <w:szCs w:val="22"/>
        </w:rPr>
        <w:footnoteReference w:id="29"/>
      </w:r>
      <w:r w:rsidRPr="00255752">
        <w:rPr>
          <w:szCs w:val="22"/>
        </w:rPr>
        <w:t xml:space="preserve">  </w:t>
      </w:r>
      <w:r w:rsidRPr="0024632C">
        <w:rPr>
          <w:szCs w:val="22"/>
        </w:rPr>
        <w:t>Mr. Pangasa supplemented this statement with five other submissions</w:t>
      </w:r>
      <w:r w:rsidRPr="00D12F33">
        <w:rPr>
          <w:szCs w:val="22"/>
        </w:rPr>
        <w:t xml:space="preserve"> that</w:t>
      </w:r>
      <w:r w:rsidRPr="00C44EDD">
        <w:rPr>
          <w:szCs w:val="22"/>
        </w:rPr>
        <w:t xml:space="preserve"> </w:t>
      </w:r>
      <w:r w:rsidRPr="00AB0A91">
        <w:rPr>
          <w:szCs w:val="22"/>
        </w:rPr>
        <w:t xml:space="preserve">raise general concerns about spectrum aggregation and various wireless industry practices.  </w:t>
      </w:r>
    </w:p>
    <w:p w:rsidR="00243365" w:rsidRPr="00255752" w:rsidRDefault="00243365" w:rsidP="00243365">
      <w:pPr>
        <w:pStyle w:val="ParaNum"/>
        <w:rPr>
          <w:szCs w:val="22"/>
        </w:rPr>
      </w:pPr>
      <w:r w:rsidRPr="006F7EA4">
        <w:rPr>
          <w:szCs w:val="22"/>
        </w:rPr>
        <w:t>We decline to consolidate the proceedings as Mr. Pangasa requests in his late-filed statement</w:t>
      </w:r>
      <w:r w:rsidRPr="00CB0384">
        <w:rPr>
          <w:szCs w:val="22"/>
        </w:rPr>
        <w:t xml:space="preserve">.  </w:t>
      </w:r>
      <w:r w:rsidR="00200600" w:rsidRPr="00200600">
        <w:rPr>
          <w:szCs w:val="22"/>
        </w:rPr>
        <w:t>The Commission has broad authority to “conduct its proceedings in such manner as will best conduce to the proper dispatch of business and to the ends of justice.”</w:t>
      </w:r>
      <w:r w:rsidR="00200600" w:rsidRPr="00200600">
        <w:rPr>
          <w:sz w:val="20"/>
          <w:szCs w:val="22"/>
          <w:vertAlign w:val="superscript"/>
        </w:rPr>
        <w:t xml:space="preserve"> </w:t>
      </w:r>
      <w:r w:rsidR="00200600" w:rsidRPr="00200600">
        <w:rPr>
          <w:szCs w:val="22"/>
          <w:vertAlign w:val="superscript"/>
        </w:rPr>
        <w:footnoteReference w:id="30"/>
      </w:r>
      <w:r w:rsidR="00E97799">
        <w:rPr>
          <w:szCs w:val="22"/>
        </w:rPr>
        <w:t xml:space="preserve"> </w:t>
      </w:r>
      <w:r w:rsidR="00200600" w:rsidRPr="00200600">
        <w:rPr>
          <w:szCs w:val="22"/>
        </w:rPr>
        <w:t xml:space="preserve"> </w:t>
      </w:r>
      <w:r w:rsidRPr="00CB0384">
        <w:rPr>
          <w:szCs w:val="22"/>
        </w:rPr>
        <w:t xml:space="preserve">The Pangasa Statement does not explain </w:t>
      </w:r>
      <w:r w:rsidRPr="005136FA">
        <w:rPr>
          <w:szCs w:val="22"/>
        </w:rPr>
        <w:t>why the Commission should consolidate these proceedings</w:t>
      </w:r>
      <w:r w:rsidRPr="00CE4B55">
        <w:rPr>
          <w:szCs w:val="22"/>
        </w:rPr>
        <w:t xml:space="preserve">.  </w:t>
      </w:r>
      <w:r w:rsidRPr="005506B8">
        <w:rPr>
          <w:szCs w:val="22"/>
        </w:rPr>
        <w:t xml:space="preserve">Mr. Pangasa does not identify any substantive issues or competitive harms that would result from approval of </w:t>
      </w:r>
      <w:r w:rsidRPr="00F45E34">
        <w:rPr>
          <w:szCs w:val="22"/>
        </w:rPr>
        <w:t>the transactions, and he fails as well to provide any evidence specific to these transaction</w:t>
      </w:r>
      <w:r w:rsidRPr="00967A60">
        <w:rPr>
          <w:szCs w:val="22"/>
        </w:rPr>
        <w:t>s.  As such, we see no basis to formally consolidate these proceedings.</w:t>
      </w:r>
    </w:p>
    <w:p w:rsidR="00243365" w:rsidRPr="00FB1540" w:rsidRDefault="00243365" w:rsidP="00243365">
      <w:pPr>
        <w:pStyle w:val="Heading1"/>
        <w:tabs>
          <w:tab w:val="num" w:pos="1440"/>
        </w:tabs>
        <w:rPr>
          <w:rFonts w:ascii="Times New Roman" w:hAnsi="Times New Roman"/>
          <w:szCs w:val="22"/>
        </w:rPr>
      </w:pPr>
      <w:bookmarkStart w:id="43" w:name="_Toc365625581"/>
      <w:bookmarkStart w:id="44" w:name="_Toc365626582"/>
      <w:bookmarkStart w:id="45" w:name="_Toc365626783"/>
      <w:bookmarkStart w:id="46" w:name="_Toc365631633"/>
      <w:bookmarkStart w:id="47" w:name="_Toc365981443"/>
      <w:r>
        <w:rPr>
          <w:rFonts w:ascii="Times New Roman" w:hAnsi="Times New Roman"/>
          <w:szCs w:val="22"/>
        </w:rPr>
        <w:t xml:space="preserve">standard of review and </w:t>
      </w:r>
      <w:r w:rsidRPr="00FB1540">
        <w:rPr>
          <w:rFonts w:ascii="Times New Roman" w:hAnsi="Times New Roman"/>
          <w:szCs w:val="22"/>
        </w:rPr>
        <w:t>public interest framework</w:t>
      </w:r>
      <w:bookmarkEnd w:id="43"/>
      <w:bookmarkEnd w:id="44"/>
      <w:bookmarkEnd w:id="45"/>
      <w:bookmarkEnd w:id="46"/>
      <w:bookmarkEnd w:id="47"/>
    </w:p>
    <w:p w:rsidR="00243365" w:rsidRPr="00917664" w:rsidRDefault="00243365" w:rsidP="00243365">
      <w:pPr>
        <w:pStyle w:val="ParaNum"/>
        <w:widowControl/>
        <w:rPr>
          <w:szCs w:val="22"/>
        </w:rPr>
      </w:pPr>
      <w:r w:rsidRPr="00FB1801">
        <w:rPr>
          <w:rFonts w:eastAsia="MS Mincho"/>
          <w:lang w:eastAsia="ja-JP"/>
        </w:rPr>
        <w:t xml:space="preserve">Pursuant to </w:t>
      </w:r>
      <w:r w:rsidR="00154490">
        <w:rPr>
          <w:rFonts w:eastAsia="MS Mincho"/>
          <w:lang w:eastAsia="ja-JP"/>
        </w:rPr>
        <w:t>s</w:t>
      </w:r>
      <w:r w:rsidRPr="00FB1801">
        <w:rPr>
          <w:rFonts w:eastAsia="MS Mincho"/>
          <w:lang w:eastAsia="ja-JP"/>
        </w:rPr>
        <w:t xml:space="preserve">ection 310(d) of the Communications Act, we must determine whether the Applicants have demonstrated that the proposed </w:t>
      </w:r>
      <w:r>
        <w:rPr>
          <w:rFonts w:eastAsia="MS Mincho"/>
          <w:lang w:eastAsia="ja-JP"/>
        </w:rPr>
        <w:t xml:space="preserve">assignment of licenses and approval of new </w:t>
      </w:r>
      <w:r w:rsidRPr="00FB1801">
        <w:rPr>
          <w:rFonts w:eastAsia="MS Mincho"/>
          <w:lang w:eastAsia="ja-JP"/>
        </w:rPr>
        <w:t>spectrum leasing arrangements will serve the public interest, convenience, and necessity.</w:t>
      </w:r>
      <w:r w:rsidRPr="00FB1801">
        <w:rPr>
          <w:rFonts w:eastAsia="MS Mincho"/>
          <w:vertAlign w:val="superscript"/>
          <w:lang w:eastAsia="ja-JP"/>
        </w:rPr>
        <w:footnoteReference w:id="31"/>
      </w:r>
      <w:r w:rsidRPr="00FB1801">
        <w:rPr>
          <w:rFonts w:eastAsia="MS Mincho"/>
          <w:lang w:eastAsia="ja-JP"/>
        </w:rPr>
        <w:t xml:space="preserve">  In making this assessment, we first </w:t>
      </w:r>
      <w:r w:rsidR="0095201F">
        <w:rPr>
          <w:rFonts w:eastAsia="MS Mincho"/>
          <w:lang w:eastAsia="ja-JP"/>
        </w:rPr>
        <w:t>examine</w:t>
      </w:r>
      <w:r w:rsidR="0095201F" w:rsidRPr="00FB1801">
        <w:rPr>
          <w:rFonts w:eastAsia="MS Mincho"/>
          <w:lang w:eastAsia="ja-JP"/>
        </w:rPr>
        <w:t xml:space="preserve"> </w:t>
      </w:r>
      <w:r w:rsidRPr="00FB1801">
        <w:rPr>
          <w:rFonts w:eastAsia="MS Mincho"/>
          <w:lang w:eastAsia="ja-JP"/>
        </w:rPr>
        <w:t>whether the proposed transaction complies with the specific provisions of the Communications Act,</w:t>
      </w:r>
      <w:r w:rsidRPr="00FB1801">
        <w:rPr>
          <w:rFonts w:eastAsia="MS Mincho"/>
          <w:vertAlign w:val="superscript"/>
          <w:lang w:eastAsia="ja-JP"/>
        </w:rPr>
        <w:footnoteReference w:id="32"/>
      </w:r>
      <w:r w:rsidRPr="00FB1801">
        <w:rPr>
          <w:rFonts w:eastAsia="MS Mincho"/>
          <w:lang w:eastAsia="ja-JP"/>
        </w:rPr>
        <w:t xml:space="preserve"> other applicable statutes, and the Commission’s rules.</w:t>
      </w:r>
      <w:r w:rsidRPr="00FB1801">
        <w:rPr>
          <w:rFonts w:eastAsia="MS Mincho"/>
          <w:vertAlign w:val="superscript"/>
          <w:lang w:eastAsia="ja-JP"/>
        </w:rPr>
        <w:footnoteReference w:id="33"/>
      </w:r>
      <w:r w:rsidRPr="00FB1801">
        <w:rPr>
          <w:rFonts w:eastAsia="MS Mincho"/>
          <w:vertAlign w:val="superscript"/>
          <w:lang w:eastAsia="ja-JP"/>
        </w:rPr>
        <w:t xml:space="preserve"> </w:t>
      </w:r>
      <w:r w:rsidRPr="00FB1801">
        <w:rPr>
          <w:rFonts w:eastAsia="MS Mincho"/>
          <w:lang w:eastAsia="ja-JP"/>
        </w:rPr>
        <w:t xml:space="preserve"> If the transaction does not violate a statute or rule, we next consider whether the transaction could result in public interest harms by substantially frustrating or impairing the objectives or implementation of the Communications Act or related statutes.</w:t>
      </w:r>
      <w:r w:rsidRPr="00FB1801">
        <w:rPr>
          <w:rFonts w:eastAsia="MS Mincho"/>
          <w:vertAlign w:val="superscript"/>
          <w:lang w:eastAsia="ja-JP"/>
        </w:rPr>
        <w:footnoteReference w:id="34"/>
      </w:r>
      <w:r w:rsidR="0038102C">
        <w:rPr>
          <w:rFonts w:eastAsia="MS Mincho"/>
          <w:vertAlign w:val="superscript"/>
          <w:lang w:eastAsia="ja-JP"/>
        </w:rPr>
        <w:t xml:space="preserve"> </w:t>
      </w:r>
      <w:r w:rsidRPr="00FB1801">
        <w:rPr>
          <w:rFonts w:eastAsia="MS Mincho"/>
          <w:lang w:eastAsia="ja-JP"/>
        </w:rPr>
        <w:t xml:space="preserve"> We then employ a balancing test weighing any potential public interest harms of the proposed transaction against any potential public interest benefits.</w:t>
      </w:r>
      <w:r w:rsidRPr="00FB1801">
        <w:rPr>
          <w:rFonts w:eastAsia="MS Mincho"/>
          <w:vertAlign w:val="superscript"/>
          <w:lang w:eastAsia="ja-JP"/>
        </w:rPr>
        <w:footnoteReference w:id="35"/>
      </w:r>
      <w:r w:rsidRPr="00FB1801">
        <w:rPr>
          <w:rFonts w:eastAsia="MS Mincho"/>
          <w:lang w:eastAsia="ja-JP"/>
        </w:rPr>
        <w:t xml:space="preserve">  The Applicants bear the burden of proving, by a preponderance of the evidence, that the proposed transaction, on balance, will serve the public interest.</w:t>
      </w:r>
      <w:r w:rsidRPr="00FB1801">
        <w:rPr>
          <w:rFonts w:eastAsia="MS Mincho"/>
          <w:vertAlign w:val="superscript"/>
          <w:lang w:eastAsia="ja-JP"/>
        </w:rPr>
        <w:footnoteReference w:id="36"/>
      </w:r>
      <w:r w:rsidRPr="00FB1801">
        <w:rPr>
          <w:rFonts w:eastAsia="MS Mincho"/>
          <w:vertAlign w:val="superscript"/>
          <w:lang w:eastAsia="ja-JP"/>
        </w:rPr>
        <w:t xml:space="preserve"> </w:t>
      </w:r>
      <w:r w:rsidRPr="00917664">
        <w:rPr>
          <w:szCs w:val="22"/>
        </w:rPr>
        <w:t xml:space="preserve"> </w:t>
      </w:r>
    </w:p>
    <w:p w:rsidR="00243365" w:rsidRPr="008403B7" w:rsidRDefault="00243365" w:rsidP="00243365">
      <w:pPr>
        <w:pStyle w:val="ParaNum"/>
        <w:rPr>
          <w:szCs w:val="22"/>
        </w:rPr>
      </w:pPr>
      <w:r w:rsidRPr="00FB1540">
        <w:rPr>
          <w:szCs w:val="22"/>
        </w:rPr>
        <w:t xml:space="preserve">Our public interest evaluation necessarily encompasses the “broad aims of the Communications Act,” which </w:t>
      </w:r>
      <w:r w:rsidRPr="00FB1540">
        <w:rPr>
          <w:color w:val="000000"/>
          <w:szCs w:val="22"/>
        </w:rPr>
        <w:t>include</w:t>
      </w:r>
      <w:r w:rsidRPr="00FB1540">
        <w:rPr>
          <w:szCs w:val="22"/>
        </w:rPr>
        <w:t>, among other things, a deeply rooted preference for preserving and enhancing competition in relevant</w:t>
      </w:r>
      <w:r w:rsidRPr="00FB1540">
        <w:rPr>
          <w:b/>
          <w:szCs w:val="22"/>
        </w:rPr>
        <w:t xml:space="preserve"> </w:t>
      </w:r>
      <w:r w:rsidRPr="00FB1540">
        <w:rPr>
          <w:szCs w:val="22"/>
        </w:rPr>
        <w:t>markets, accelerating private sector deployment of advanced services, promoting a diversity of license holdings, and generally managing the spectrum in the public interest.</w:t>
      </w:r>
      <w:r w:rsidRPr="00FB1540">
        <w:rPr>
          <w:rStyle w:val="FootnoteReference"/>
          <w:szCs w:val="22"/>
        </w:rPr>
        <w:footnoteReference w:id="37"/>
      </w:r>
      <w:r w:rsidRPr="00FB1540">
        <w:rPr>
          <w:szCs w:val="22"/>
        </w:rPr>
        <w:t xml:space="preserve">  </w:t>
      </w:r>
      <w:r w:rsidRPr="003F7FB3">
        <w:t>Our public interest analysis also can entail assessing whether the proposed transaction will affect the quality of communications services or result in the provision of new or additional services to consumers.</w:t>
      </w:r>
      <w:r w:rsidRPr="003F7FB3">
        <w:rPr>
          <w:szCs w:val="22"/>
          <w:vertAlign w:val="superscript"/>
        </w:rPr>
        <w:footnoteReference w:id="38"/>
      </w:r>
      <w:r>
        <w:t xml:space="preserve">  In conducting this analysis, we may consider technological and market changes, and the nature, complexity, and speed of change of, as well as trends within, the communications industry.</w:t>
      </w:r>
      <w:r>
        <w:rPr>
          <w:rStyle w:val="FootnoteReference"/>
        </w:rPr>
        <w:footnoteReference w:id="39"/>
      </w:r>
    </w:p>
    <w:p w:rsidR="009B6419" w:rsidRPr="00FB1540" w:rsidRDefault="00243365" w:rsidP="00BD692F">
      <w:pPr>
        <w:pStyle w:val="ParaNum"/>
        <w:rPr>
          <w:szCs w:val="22"/>
        </w:rPr>
      </w:pPr>
      <w:r w:rsidRPr="00FB1540">
        <w:t>Our competitive analysis, which forms an important part of the public interest evaluation, is informed by, but not limited to, traditional antitrust principles.</w:t>
      </w:r>
      <w:r w:rsidRPr="00FB1540">
        <w:rPr>
          <w:rStyle w:val="FootnoteReference"/>
        </w:rPr>
        <w:footnoteReference w:id="40"/>
      </w:r>
      <w:r w:rsidRPr="00FB1540">
        <w:t xml:space="preserve"> </w:t>
      </w:r>
      <w:r>
        <w:t xml:space="preserve"> </w:t>
      </w:r>
      <w:r w:rsidRPr="00F627BC">
        <w:t>The Commission and the Department of Justice (“DOJ”) each have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F627BC">
        <w:rPr>
          <w:vertAlign w:val="superscript"/>
        </w:rPr>
        <w:footnoteReference w:id="41"/>
      </w:r>
      <w:r w:rsidRPr="00F627BC">
        <w:t xml:space="preserve">  Like the DOJ, the Commission considers how a transaction will affect competition by defining a relevant market, looking at the market power of incumbent competitors, and analyzing barriers to entry, potential competition</w:t>
      </w:r>
      <w:r>
        <w:t>,</w:t>
      </w:r>
      <w:r w:rsidRPr="00F627BC">
        <w:t xml:space="preserve"> and the efficiencies, if any, that may result from the transaction.</w:t>
      </w:r>
      <w:r>
        <w:rPr>
          <w:rStyle w:val="FootnoteReference"/>
        </w:rPr>
        <w:footnoteReference w:id="42"/>
      </w:r>
      <w:r w:rsidRPr="00F627BC">
        <w:t xml:space="preserve">  The DOJ, however, reviews telecommunications mergers pursuant to </w:t>
      </w:r>
      <w:r w:rsidR="00154490">
        <w:t>s</w:t>
      </w:r>
      <w:r w:rsidRPr="00F627BC">
        <w:t xml:space="preserve">ection 7 of the Clayton Act, and if it </w:t>
      </w:r>
      <w:r w:rsidR="00C670C5">
        <w:t>sues</w:t>
      </w:r>
      <w:r w:rsidR="00C670C5" w:rsidRPr="00F627BC">
        <w:t xml:space="preserve"> </w:t>
      </w:r>
      <w:r w:rsidRPr="00F627BC">
        <w:t>to block a merger, it must demonstrate to a court that the merger may substantially lessen competition or tend to create a monopoly.</w:t>
      </w:r>
      <w:r w:rsidRPr="00F627BC">
        <w:rPr>
          <w:rStyle w:val="FootnoteReference"/>
        </w:rPr>
        <w:footnoteReference w:id="43"/>
      </w:r>
      <w:r w:rsidRPr="00F627BC">
        <w:t xml:space="preserve">  The DOJ’s review is also limited solely to an examination of the competitive effects of the acquisition, without reference to other public interest considerations.</w:t>
      </w:r>
      <w:r w:rsidRPr="00F627BC">
        <w:rPr>
          <w:rStyle w:val="FootnoteReference"/>
        </w:rPr>
        <w:footnoteReference w:id="44"/>
      </w:r>
      <w:r w:rsidRPr="00F627BC">
        <w:t xml:space="preserve">  </w:t>
      </w:r>
      <w:r>
        <w:t>T</w:t>
      </w:r>
      <w:r w:rsidRPr="00F627BC">
        <w:t>he Commission’s competitive analysis under the public interest standard is somewhat broader, considering</w:t>
      </w:r>
      <w:r>
        <w:t xml:space="preserve">, </w:t>
      </w:r>
      <w:r w:rsidRPr="00F627BC">
        <w:t>for example, whether a transaction will enhance, rather than merely preserve, existing competition, and takes a more extensive view of potential and future competition and its impact on the relevant market.</w:t>
      </w:r>
      <w:r w:rsidRPr="00F627BC">
        <w:rPr>
          <w:vertAlign w:val="superscript"/>
        </w:rPr>
        <w:footnoteReference w:id="45"/>
      </w:r>
      <w:r>
        <w:t xml:space="preserve">  Under the Commission’s review, the Applicants must show that the transaction will serve the public interest; otherwise </w:t>
      </w:r>
      <w:r w:rsidRPr="008403B7">
        <w:rPr>
          <w:color w:val="000000"/>
        </w:rPr>
        <w:t>the</w:t>
      </w:r>
      <w:r>
        <w:t xml:space="preserve"> application is set for hearing</w:t>
      </w:r>
      <w:r w:rsidRPr="00F627BC">
        <w:t>.</w:t>
      </w:r>
      <w:r>
        <w:rPr>
          <w:rStyle w:val="FootnoteReference"/>
        </w:rPr>
        <w:footnoteReference w:id="46"/>
      </w:r>
      <w:r w:rsidRPr="00F627BC">
        <w:t xml:space="preserve">  </w:t>
      </w:r>
      <w:r w:rsidRPr="00F607B3">
        <w:t>Finally,</w:t>
      </w:r>
      <w:r w:rsidRPr="00034443">
        <w:t xml:space="preserve"> the Commission’s public interest authority enables us, where appropriate, to impose and enforce narrowly tailored, transaction-specific conditi</w:t>
      </w:r>
      <w:r w:rsidRPr="00864BE0">
        <w:t>ons that ensure that the public interest is served by the transaction.</w:t>
      </w:r>
      <w:r>
        <w:rPr>
          <w:rStyle w:val="FootnoteReference"/>
        </w:rPr>
        <w:footnoteReference w:id="47"/>
      </w:r>
      <w:bookmarkStart w:id="48" w:name="_Toc348340314"/>
      <w:bookmarkStart w:id="49" w:name="_Toc348371106"/>
      <w:bookmarkStart w:id="50" w:name="_Toc348543610"/>
      <w:bookmarkStart w:id="51" w:name="_Toc348547963"/>
      <w:bookmarkStart w:id="52" w:name="_Toc348565382"/>
      <w:bookmarkStart w:id="53" w:name="_Toc348714680"/>
      <w:bookmarkStart w:id="54" w:name="_Toc349156990"/>
      <w:bookmarkStart w:id="55" w:name="_Toc349170667"/>
      <w:bookmarkStart w:id="56" w:name="_Toc349170724"/>
      <w:bookmarkStart w:id="57" w:name="_Toc349202844"/>
      <w:bookmarkStart w:id="58" w:name="_Toc349259330"/>
      <w:bookmarkStart w:id="59" w:name="_Toc349316328"/>
      <w:bookmarkStart w:id="60" w:name="_Toc349573241"/>
      <w:bookmarkStart w:id="61" w:name="_Toc349741771"/>
      <w:bookmarkStart w:id="62" w:name="_Toc349812398"/>
      <w:bookmarkStart w:id="63" w:name="_Toc349932717"/>
      <w:bookmarkStart w:id="64" w:name="_Toc350432477"/>
      <w:bookmarkStart w:id="65" w:name="_Toc350787832"/>
      <w:bookmarkStart w:id="66" w:name="_Toc362852290"/>
      <w:bookmarkStart w:id="67" w:name="_Toc362854186"/>
    </w:p>
    <w:p w:rsidR="009B6419" w:rsidRPr="00FB1540" w:rsidRDefault="009B6419" w:rsidP="00BD692F">
      <w:pPr>
        <w:pStyle w:val="Heading1"/>
        <w:tabs>
          <w:tab w:val="num" w:pos="1440"/>
        </w:tabs>
        <w:rPr>
          <w:rFonts w:ascii="Times New Roman" w:hAnsi="Times New Roman"/>
          <w:szCs w:val="22"/>
        </w:rPr>
      </w:pPr>
      <w:bookmarkStart w:id="68" w:name="_Toc365625582"/>
      <w:bookmarkStart w:id="69" w:name="_Toc365626583"/>
      <w:bookmarkStart w:id="70" w:name="_Toc365626784"/>
      <w:bookmarkStart w:id="71" w:name="_Toc365631634"/>
      <w:bookmarkStart w:id="72" w:name="_Toc365981444"/>
      <w:r w:rsidRPr="00FB1540">
        <w:rPr>
          <w:rFonts w:ascii="Times New Roman" w:hAnsi="Times New Roman"/>
          <w:szCs w:val="22"/>
        </w:rPr>
        <w:t>qualifications of applicants</w:t>
      </w:r>
      <w:bookmarkEnd w:id="68"/>
      <w:bookmarkEnd w:id="69"/>
      <w:bookmarkEnd w:id="70"/>
      <w:bookmarkEnd w:id="71"/>
      <w:bookmarkEnd w:id="72"/>
    </w:p>
    <w:p w:rsidR="009B6419" w:rsidRPr="000B71F1" w:rsidRDefault="009B6419" w:rsidP="00BD692F">
      <w:pPr>
        <w:pStyle w:val="ParaNum"/>
        <w:rPr>
          <w:szCs w:val="22"/>
        </w:rPr>
      </w:pPr>
      <w:r w:rsidRPr="00036315">
        <w:rPr>
          <w:szCs w:val="22"/>
        </w:rPr>
        <w:t xml:space="preserve">As noted previously, when evaluating applications for consent to assign or transfer control of licenses and authorizations, </w:t>
      </w:r>
      <w:r w:rsidR="00154490">
        <w:rPr>
          <w:szCs w:val="22"/>
        </w:rPr>
        <w:t>s</w:t>
      </w:r>
      <w:r w:rsidRPr="00036315">
        <w:rPr>
          <w:szCs w:val="22"/>
        </w:rPr>
        <w:t>ection 310(d) of the Communications Act requires the Commission to determine whether the proposed transaction will serve “the public interest, convenience and necessity.”</w:t>
      </w:r>
      <w:r w:rsidRPr="00FB1540">
        <w:rPr>
          <w:vertAlign w:val="superscript"/>
        </w:rPr>
        <w:footnoteReference w:id="48"/>
      </w:r>
      <w:r w:rsidRPr="00036315">
        <w:rPr>
          <w:szCs w:val="22"/>
        </w:rPr>
        <w:t xml:space="preserve">  Among the factors the Commission considers in its public interest review is whether the applicant for a license has the requisite “citizenship, character, financial, technical, and other qualifications.”</w:t>
      </w:r>
      <w:r w:rsidRPr="00FB1540">
        <w:rPr>
          <w:rStyle w:val="StyleFootnoteReferenceofrAppelnotedebasdepStyle12NECG"/>
          <w:szCs w:val="22"/>
        </w:rPr>
        <w:footnoteReference w:id="49"/>
      </w:r>
      <w:r w:rsidRPr="00036315">
        <w:rPr>
          <w:szCs w:val="22"/>
        </w:rPr>
        <w:t xml:space="preserve">  Therefore, as a threshold matter, the Commission must determine whether the applicants to the proposed transaction meet the requisite qualifications requirements to hold and transfer licenses under </w:t>
      </w:r>
      <w:r w:rsidR="00154490">
        <w:rPr>
          <w:szCs w:val="22"/>
        </w:rPr>
        <w:t>s</w:t>
      </w:r>
      <w:r w:rsidRPr="00036315">
        <w:rPr>
          <w:szCs w:val="22"/>
        </w:rPr>
        <w:t>ection 310(d) and the Commission’s rules.</w:t>
      </w:r>
      <w:r w:rsidRPr="00FB1540">
        <w:rPr>
          <w:rStyle w:val="StyleFootnoteReferenceofrAppelnotedebasdepStyle12NECG"/>
          <w:szCs w:val="22"/>
        </w:rPr>
        <w:footnoteReference w:id="50"/>
      </w:r>
      <w:r w:rsidRPr="00036315">
        <w:rPr>
          <w:szCs w:val="22"/>
        </w:rPr>
        <w:t xml:space="preserve">  </w:t>
      </w:r>
    </w:p>
    <w:p w:rsidR="00036315" w:rsidRPr="009B6419" w:rsidRDefault="009B6419" w:rsidP="00AF564F">
      <w:pPr>
        <w:pStyle w:val="ParaNum"/>
      </w:pPr>
      <w:r w:rsidRPr="009B6419">
        <w:rPr>
          <w:i/>
        </w:rPr>
        <w:t>Discussion</w:t>
      </w:r>
      <w:r w:rsidRPr="009B6419">
        <w:t>.  As an initial matter, we note that no parties have raised issues with respect to the basic qualifications of AT&amp;T, Verizon Wireless, or Grain.  The Commission generally does not reevaluate the qualifications of assignors unless issues related to basic qualifications have been sufficiently raised in petitions to warrant designation for hearing.</w:t>
      </w:r>
      <w:r>
        <w:rPr>
          <w:rStyle w:val="FootnoteReference"/>
          <w:szCs w:val="22"/>
        </w:rPr>
        <w:footnoteReference w:id="51"/>
      </w:r>
      <w:r w:rsidRPr="009B6419">
        <w:t xml:space="preserve">  Moreover, we previously and repeatedly have found AT&amp;T, through its subsidiaries, and Verizon Wireless qualified to hold Commission licenses.</w:t>
      </w:r>
      <w:r>
        <w:rPr>
          <w:rStyle w:val="FootnoteReference"/>
          <w:szCs w:val="22"/>
        </w:rPr>
        <w:footnoteReference w:id="52"/>
      </w:r>
      <w:r w:rsidRPr="009B6419">
        <w:t xml:space="preserve">  We find that there is no reason to reevaluate the requisite citizenship, character, financial, technical, or other basic qualifications under the Communications Act and our rules, regulations, and policies, of AT&amp;T or Verizon Wireless.  We further find Grain I and Grain II qualified to hold Commission licenses.  The individual controlling owner of Grain and affiliated entities also under his control have experience in the telecommunications field</w:t>
      </w:r>
      <w:r w:rsidR="00E97799">
        <w:t>;</w:t>
      </w:r>
      <w:r>
        <w:rPr>
          <w:rStyle w:val="FootnoteReference"/>
          <w:szCs w:val="22"/>
        </w:rPr>
        <w:footnoteReference w:id="53"/>
      </w:r>
      <w:r w:rsidRPr="009B6419">
        <w:t xml:space="preserve"> Grain I and Grain II have certified in their applications that they comply with applicable Commission rules, including satisfaction of the basic qualifications to hold licenses</w:t>
      </w:r>
      <w:r w:rsidR="00E97799">
        <w:t>;</w:t>
      </w:r>
      <w:r>
        <w:rPr>
          <w:rStyle w:val="FootnoteReference"/>
          <w:szCs w:val="22"/>
        </w:rPr>
        <w:footnoteReference w:id="54"/>
      </w:r>
      <w:r w:rsidRPr="009B6419">
        <w:t xml:space="preserve"> and, as noted above, no parties have challenged Grain’s qualifications.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842BD" w:rsidRPr="0008082C" w:rsidRDefault="008842BD" w:rsidP="00BD692F">
      <w:pPr>
        <w:pStyle w:val="Heading1"/>
        <w:tabs>
          <w:tab w:val="num" w:pos="1440"/>
        </w:tabs>
        <w:rPr>
          <w:rFonts w:ascii="Times New Roman" w:hAnsi="Times New Roman"/>
          <w:szCs w:val="22"/>
        </w:rPr>
      </w:pPr>
      <w:bookmarkStart w:id="73" w:name="_Toc365625583"/>
      <w:bookmarkStart w:id="74" w:name="_Toc365626584"/>
      <w:bookmarkStart w:id="75" w:name="_Toc365626785"/>
      <w:bookmarkStart w:id="76" w:name="_Toc365631635"/>
      <w:bookmarkStart w:id="77" w:name="_Toc365981445"/>
      <w:bookmarkStart w:id="78" w:name="_Toc303960082"/>
      <w:bookmarkStart w:id="79" w:name="_Toc306292678"/>
      <w:bookmarkStart w:id="80" w:name="_Toc306378761"/>
      <w:bookmarkStart w:id="81" w:name="_Toc308200421"/>
      <w:bookmarkStart w:id="82" w:name="_Toc308200577"/>
      <w:bookmarkStart w:id="83" w:name="_Toc308203055"/>
      <w:bookmarkStart w:id="84" w:name="_Toc309146321"/>
      <w:bookmarkStart w:id="85" w:name="_Toc309735593"/>
      <w:bookmarkStart w:id="86" w:name="_Toc327385220"/>
      <w:bookmarkStart w:id="87" w:name="_Toc327385339"/>
      <w:bookmarkStart w:id="88" w:name="_Toc327385456"/>
      <w:bookmarkStart w:id="89" w:name="_Toc327385539"/>
      <w:bookmarkStart w:id="90" w:name="_Toc327385653"/>
      <w:bookmarkStart w:id="91" w:name="_Toc327385737"/>
      <w:bookmarkStart w:id="92" w:name="_Toc327385833"/>
      <w:bookmarkStart w:id="93" w:name="_Toc327385880"/>
      <w:bookmarkStart w:id="94" w:name="_Toc327385951"/>
      <w:bookmarkStart w:id="95" w:name="_Toc327386000"/>
      <w:bookmarkStart w:id="96" w:name="_Toc327386337"/>
      <w:bookmarkStart w:id="97" w:name="_Toc327386615"/>
      <w:bookmarkStart w:id="98" w:name="_Toc327386717"/>
      <w:bookmarkStart w:id="99" w:name="_Toc327387060"/>
      <w:bookmarkStart w:id="100" w:name="_Toc327389591"/>
      <w:bookmarkStart w:id="101" w:name="_Toc328413251"/>
      <w:bookmarkStart w:id="102" w:name="_Toc328413319"/>
      <w:bookmarkStart w:id="103" w:name="_Toc328414144"/>
      <w:bookmarkStart w:id="104" w:name="_Toc328414257"/>
      <w:bookmarkStart w:id="105" w:name="_Toc328414305"/>
      <w:bookmarkStart w:id="106" w:name="_Toc328414354"/>
      <w:bookmarkStart w:id="107" w:name="_Toc328414400"/>
      <w:bookmarkStart w:id="108" w:name="_Toc328414459"/>
      <w:bookmarkStart w:id="109" w:name="_Toc328414524"/>
      <w:bookmarkStart w:id="110" w:name="_Toc328414603"/>
      <w:bookmarkStart w:id="111" w:name="_Toc328414667"/>
      <w:bookmarkStart w:id="112" w:name="_Toc328670847"/>
      <w:bookmarkStart w:id="113" w:name="_Toc328997038"/>
      <w:bookmarkStart w:id="114" w:name="_Toc328997735"/>
      <w:bookmarkStart w:id="115" w:name="_Toc329798708"/>
      <w:bookmarkStart w:id="116" w:name="_Toc329799118"/>
      <w:bookmarkStart w:id="117" w:name="_Toc329799328"/>
      <w:bookmarkStart w:id="118" w:name="_Toc330488327"/>
      <w:bookmarkStart w:id="119" w:name="_Toc330489044"/>
      <w:bookmarkStart w:id="120" w:name="_Toc330565835"/>
      <w:bookmarkStart w:id="121" w:name="_Toc331009460"/>
      <w:bookmarkStart w:id="122" w:name="_Toc331009532"/>
      <w:bookmarkStart w:id="123" w:name="_Toc331440401"/>
      <w:bookmarkStart w:id="124" w:name="_Toc331792618"/>
      <w:bookmarkStart w:id="125" w:name="_Toc332215063"/>
      <w:bookmarkStart w:id="126" w:name="_Toc332220048"/>
      <w:bookmarkStart w:id="127" w:name="_Toc332220193"/>
      <w:bookmarkStart w:id="128" w:name="_Toc332220236"/>
      <w:bookmarkStart w:id="129" w:name="_Toc332220283"/>
      <w:bookmarkStart w:id="130" w:name="_Toc332220382"/>
      <w:bookmarkStart w:id="131" w:name="_Toc332220425"/>
      <w:bookmarkStart w:id="132" w:name="_Toc332220479"/>
      <w:bookmarkStart w:id="133" w:name="_Toc332220560"/>
      <w:bookmarkStart w:id="134" w:name="_Toc332220623"/>
      <w:bookmarkStart w:id="135" w:name="_Toc332220670"/>
      <w:bookmarkStart w:id="136" w:name="_Toc332220715"/>
      <w:bookmarkStart w:id="137" w:name="_Toc332220771"/>
      <w:bookmarkStart w:id="138" w:name="_Toc332220826"/>
      <w:bookmarkStart w:id="139" w:name="_Toc332220978"/>
      <w:bookmarkStart w:id="140" w:name="_Toc332221273"/>
      <w:bookmarkStart w:id="141" w:name="_Toc345091247"/>
      <w:bookmarkStart w:id="142" w:name="_Toc345092690"/>
      <w:bookmarkStart w:id="143" w:name="_Toc345093533"/>
      <w:bookmarkStart w:id="144" w:name="_Toc345093908"/>
      <w:bookmarkStart w:id="145" w:name="_Toc345094293"/>
      <w:bookmarkStart w:id="146" w:name="_Toc345436691"/>
      <w:bookmarkStart w:id="147" w:name="_Toc347166619"/>
      <w:bookmarkStart w:id="148" w:name="_Toc348340322"/>
      <w:bookmarkStart w:id="149" w:name="_Toc348371114"/>
      <w:bookmarkStart w:id="150" w:name="_Toc348543618"/>
      <w:bookmarkStart w:id="151" w:name="_Toc348547971"/>
      <w:bookmarkStart w:id="152" w:name="_Toc348565390"/>
      <w:bookmarkStart w:id="153" w:name="_Toc348714688"/>
      <w:r w:rsidRPr="0008082C">
        <w:rPr>
          <w:rFonts w:ascii="Times New Roman" w:hAnsi="Times New Roman"/>
          <w:szCs w:val="22"/>
        </w:rPr>
        <w:t>Potential Public interest harms</w:t>
      </w:r>
      <w:bookmarkEnd w:id="73"/>
      <w:bookmarkEnd w:id="74"/>
      <w:bookmarkEnd w:id="75"/>
      <w:bookmarkEnd w:id="76"/>
      <w:bookmarkEnd w:id="77"/>
    </w:p>
    <w:p w:rsidR="00C21C77" w:rsidRPr="00033EA9" w:rsidRDefault="00C21C77" w:rsidP="00AD3116">
      <w:pPr>
        <w:pStyle w:val="ParaNum"/>
        <w:rPr>
          <w:szCs w:val="22"/>
        </w:rPr>
      </w:pPr>
      <w:r w:rsidRPr="00B01B98">
        <w:rPr>
          <w:szCs w:val="22"/>
        </w:rPr>
        <w:t>In review</w:t>
      </w:r>
      <w:r w:rsidR="00C35079">
        <w:rPr>
          <w:szCs w:val="22"/>
        </w:rPr>
        <w:t>ing</w:t>
      </w:r>
      <w:r w:rsidRPr="00B01B98">
        <w:rPr>
          <w:szCs w:val="22"/>
        </w:rPr>
        <w:t xml:space="preserve"> applications involving a proposed transaction, the Commission evaluates the potential public interest harms, inclu</w:t>
      </w:r>
      <w:r w:rsidRPr="00D12F33">
        <w:rPr>
          <w:szCs w:val="22"/>
        </w:rPr>
        <w:t>ding potential competitive harms</w:t>
      </w:r>
      <w:r w:rsidRPr="00AB0A91">
        <w:rPr>
          <w:szCs w:val="22"/>
        </w:rPr>
        <w:t xml:space="preserve"> that may result from the transaction.</w:t>
      </w:r>
      <w:r w:rsidRPr="00033EA9">
        <w:rPr>
          <w:rStyle w:val="FootnoteReference"/>
          <w:kern w:val="0"/>
          <w:szCs w:val="22"/>
        </w:rPr>
        <w:footnoteReference w:id="55"/>
      </w:r>
      <w:r w:rsidRPr="00033EA9">
        <w:rPr>
          <w:szCs w:val="22"/>
        </w:rPr>
        <w:t xml:space="preserve">  </w:t>
      </w:r>
      <w:r w:rsidRPr="006F7EA4">
        <w:rPr>
          <w:szCs w:val="22"/>
        </w:rPr>
        <w:t>The Commission undertakes a case-by-case review of the competitive effects of an</w:t>
      </w:r>
      <w:r w:rsidR="002C6FF4">
        <w:rPr>
          <w:szCs w:val="22"/>
        </w:rPr>
        <w:t>y</w:t>
      </w:r>
      <w:r w:rsidRPr="006F7EA4">
        <w:rPr>
          <w:szCs w:val="22"/>
        </w:rPr>
        <w:t xml:space="preserve"> increase in</w:t>
      </w:r>
      <w:r w:rsidRPr="00CB0384">
        <w:rPr>
          <w:szCs w:val="22"/>
        </w:rPr>
        <w:t xml:space="preserve"> </w:t>
      </w:r>
      <w:r w:rsidR="0096695E">
        <w:rPr>
          <w:szCs w:val="22"/>
        </w:rPr>
        <w:t>market concentration o</w:t>
      </w:r>
      <w:r w:rsidR="001A4E15">
        <w:rPr>
          <w:szCs w:val="22"/>
        </w:rPr>
        <w:t>r</w:t>
      </w:r>
      <w:r w:rsidR="0096695E">
        <w:rPr>
          <w:szCs w:val="22"/>
        </w:rPr>
        <w:t xml:space="preserve"> in </w:t>
      </w:r>
      <w:r w:rsidRPr="00CB0384">
        <w:rPr>
          <w:szCs w:val="22"/>
        </w:rPr>
        <w:t xml:space="preserve">spectrum holdings </w:t>
      </w:r>
      <w:r w:rsidR="007D5339">
        <w:rPr>
          <w:szCs w:val="22"/>
        </w:rPr>
        <w:t>in the relevant</w:t>
      </w:r>
      <w:r w:rsidRPr="00CB0384">
        <w:rPr>
          <w:szCs w:val="22"/>
        </w:rPr>
        <w:t xml:space="preserve"> market</w:t>
      </w:r>
      <w:r w:rsidR="007D5339">
        <w:rPr>
          <w:szCs w:val="22"/>
        </w:rPr>
        <w:t>s</w:t>
      </w:r>
      <w:r w:rsidRPr="00CB0384">
        <w:rPr>
          <w:szCs w:val="22"/>
        </w:rPr>
        <w:t>.</w:t>
      </w:r>
      <w:r w:rsidRPr="00033EA9">
        <w:rPr>
          <w:rStyle w:val="FootnoteReference"/>
          <w:kern w:val="0"/>
          <w:szCs w:val="22"/>
        </w:rPr>
        <w:footnoteReference w:id="56"/>
      </w:r>
      <w:r w:rsidRPr="00033EA9">
        <w:rPr>
          <w:szCs w:val="22"/>
        </w:rPr>
        <w:t xml:space="preserve">  </w:t>
      </w:r>
      <w:r w:rsidRPr="006F7EA4">
        <w:rPr>
          <w:szCs w:val="22"/>
        </w:rPr>
        <w:t xml:space="preserve">The Commission’s competitive analysis of wireless transactions focuses initially on markets where the acquisition of customers and/or spectrum would result in additional concentration of either or both, and thereby </w:t>
      </w:r>
      <w:r w:rsidR="007D5339">
        <w:rPr>
          <w:szCs w:val="22"/>
        </w:rPr>
        <w:t xml:space="preserve">could </w:t>
      </w:r>
      <w:r w:rsidRPr="00CB0384">
        <w:rPr>
          <w:szCs w:val="22"/>
        </w:rPr>
        <w:t>lead to competitive harm.</w:t>
      </w:r>
      <w:r w:rsidRPr="00033EA9">
        <w:rPr>
          <w:rStyle w:val="FootnoteReference"/>
          <w:kern w:val="0"/>
          <w:szCs w:val="22"/>
        </w:rPr>
        <w:footnoteReference w:id="57"/>
      </w:r>
      <w:r w:rsidRPr="00033EA9">
        <w:rPr>
          <w:szCs w:val="22"/>
        </w:rPr>
        <w:t xml:space="preserve">  </w:t>
      </w:r>
      <w:r w:rsidRPr="006F7EA4">
        <w:rPr>
          <w:szCs w:val="22"/>
        </w:rPr>
        <w:t xml:space="preserve">In </w:t>
      </w:r>
      <w:r w:rsidR="00FC35C0">
        <w:rPr>
          <w:szCs w:val="22"/>
        </w:rPr>
        <w:t>its analysis</w:t>
      </w:r>
      <w:r w:rsidRPr="006F7EA4">
        <w:rPr>
          <w:szCs w:val="22"/>
        </w:rPr>
        <w:t>, the Commission has used an initial screen</w:t>
      </w:r>
      <w:r w:rsidRPr="00033EA9">
        <w:rPr>
          <w:rStyle w:val="FootnoteReference"/>
          <w:szCs w:val="22"/>
        </w:rPr>
        <w:footnoteReference w:id="58"/>
      </w:r>
      <w:r w:rsidRPr="00033EA9">
        <w:rPr>
          <w:szCs w:val="22"/>
        </w:rPr>
        <w:t xml:space="preserve"> to help identify those markets that provide particular reason for further competitive analysis.</w:t>
      </w:r>
      <w:r w:rsidRPr="00033EA9">
        <w:rPr>
          <w:rStyle w:val="FootnoteReference"/>
          <w:szCs w:val="22"/>
        </w:rPr>
        <w:footnoteReference w:id="59"/>
      </w:r>
      <w:r w:rsidRPr="00033EA9">
        <w:rPr>
          <w:szCs w:val="22"/>
        </w:rPr>
        <w:t xml:space="preserve">  </w:t>
      </w:r>
      <w:r w:rsidR="00AD3116">
        <w:rPr>
          <w:szCs w:val="22"/>
        </w:rPr>
        <w:t>A</w:t>
      </w:r>
      <w:r w:rsidRPr="00033EA9">
        <w:rPr>
          <w:szCs w:val="22"/>
        </w:rPr>
        <w:t xml:space="preserve">s set out in </w:t>
      </w:r>
      <w:r w:rsidR="00AD3116">
        <w:rPr>
          <w:szCs w:val="22"/>
        </w:rPr>
        <w:t>various</w:t>
      </w:r>
      <w:r w:rsidRPr="00033EA9">
        <w:rPr>
          <w:szCs w:val="22"/>
        </w:rPr>
        <w:t xml:space="preserve"> transactions orders, </w:t>
      </w:r>
      <w:r w:rsidR="00AD3116">
        <w:rPr>
          <w:szCs w:val="22"/>
        </w:rPr>
        <w:t xml:space="preserve">however, </w:t>
      </w:r>
      <w:r w:rsidRPr="00033EA9">
        <w:rPr>
          <w:szCs w:val="22"/>
        </w:rPr>
        <w:t>t</w:t>
      </w:r>
      <w:r w:rsidRPr="006F7EA4">
        <w:rPr>
          <w:szCs w:val="22"/>
        </w:rPr>
        <w:t xml:space="preserve">he Commission </w:t>
      </w:r>
      <w:r w:rsidR="00AD3116">
        <w:rPr>
          <w:szCs w:val="22"/>
        </w:rPr>
        <w:t>has</w:t>
      </w:r>
      <w:r w:rsidRPr="006F7EA4">
        <w:rPr>
          <w:szCs w:val="22"/>
        </w:rPr>
        <w:t xml:space="preserve"> not limited its consideration of potential competitive harms solely to markets identified by its initial screen, </w:t>
      </w:r>
      <w:r w:rsidR="00652A81">
        <w:rPr>
          <w:szCs w:val="22"/>
        </w:rPr>
        <w:t>if it</w:t>
      </w:r>
      <w:r w:rsidR="00652A81" w:rsidRPr="006F7EA4">
        <w:rPr>
          <w:szCs w:val="22"/>
        </w:rPr>
        <w:t xml:space="preserve"> </w:t>
      </w:r>
      <w:r w:rsidRPr="006F7EA4">
        <w:rPr>
          <w:szCs w:val="22"/>
        </w:rPr>
        <w:t>encounter</w:t>
      </w:r>
      <w:r w:rsidR="00652A81">
        <w:rPr>
          <w:szCs w:val="22"/>
        </w:rPr>
        <w:t>s</w:t>
      </w:r>
      <w:r w:rsidRPr="006F7EA4">
        <w:rPr>
          <w:szCs w:val="22"/>
        </w:rPr>
        <w:t xml:space="preserve"> other factors that may bear on the public interest inquiry.</w:t>
      </w:r>
      <w:r w:rsidRPr="00033EA9">
        <w:rPr>
          <w:rStyle w:val="FootnoteReference"/>
          <w:szCs w:val="22"/>
        </w:rPr>
        <w:footnoteReference w:id="60"/>
      </w:r>
    </w:p>
    <w:p w:rsidR="00C21C77" w:rsidRPr="00B01B98" w:rsidRDefault="00C67122" w:rsidP="00C21C77">
      <w:pPr>
        <w:pStyle w:val="Heading2"/>
      </w:pPr>
      <w:bookmarkStart w:id="154" w:name="_Toc365625584"/>
      <w:bookmarkStart w:id="155" w:name="_Toc365626585"/>
      <w:bookmarkStart w:id="156" w:name="_Toc365626786"/>
      <w:bookmarkStart w:id="157" w:name="_Toc365631636"/>
      <w:bookmarkStart w:id="158" w:name="_Toc365981446"/>
      <w:r>
        <w:t>Competitive Overview</w:t>
      </w:r>
      <w:bookmarkEnd w:id="154"/>
      <w:bookmarkEnd w:id="155"/>
      <w:bookmarkEnd w:id="156"/>
      <w:bookmarkEnd w:id="157"/>
      <w:bookmarkEnd w:id="158"/>
      <w:r>
        <w:t xml:space="preserve"> </w:t>
      </w:r>
    </w:p>
    <w:p w:rsidR="00C21C77" w:rsidRPr="006F7EA4" w:rsidRDefault="00C21C77" w:rsidP="00C21C77">
      <w:pPr>
        <w:pStyle w:val="ParaNum"/>
        <w:rPr>
          <w:color w:val="010101"/>
          <w:kern w:val="0"/>
          <w:szCs w:val="22"/>
        </w:rPr>
      </w:pPr>
      <w:r w:rsidRPr="00B01B98">
        <w:rPr>
          <w:color w:val="010101"/>
          <w:kern w:val="0"/>
          <w:szCs w:val="22"/>
        </w:rPr>
        <w:t xml:space="preserve">Spectrum is an essential input in the provision of mobile wireless services, and ensuring that sufficient spectrum is available for incumbent licensees as well as potential </w:t>
      </w:r>
      <w:r w:rsidRPr="00D12F33">
        <w:rPr>
          <w:color w:val="010101"/>
          <w:kern w:val="0"/>
          <w:szCs w:val="22"/>
        </w:rPr>
        <w:t xml:space="preserve">new </w:t>
      </w:r>
      <w:r w:rsidRPr="00AB0A91">
        <w:rPr>
          <w:color w:val="010101"/>
          <w:kern w:val="0"/>
          <w:szCs w:val="22"/>
        </w:rPr>
        <w:t>entrants is critical to promoting effective competition and innovati</w:t>
      </w:r>
      <w:r w:rsidRPr="00033EA9">
        <w:rPr>
          <w:color w:val="010101"/>
          <w:kern w:val="0"/>
          <w:szCs w:val="22"/>
        </w:rPr>
        <w:t>on in the marketplac</w:t>
      </w:r>
      <w:r w:rsidRPr="006F7EA4">
        <w:rPr>
          <w:color w:val="010101"/>
          <w:kern w:val="0"/>
          <w:szCs w:val="22"/>
        </w:rPr>
        <w:t>e.</w:t>
      </w:r>
      <w:r w:rsidRPr="00033EA9">
        <w:rPr>
          <w:color w:val="010101"/>
          <w:kern w:val="0"/>
          <w:szCs w:val="22"/>
          <w:vertAlign w:val="superscript"/>
        </w:rPr>
        <w:footnoteReference w:id="61"/>
      </w:r>
      <w:r w:rsidRPr="00033EA9">
        <w:rPr>
          <w:color w:val="010101"/>
          <w:kern w:val="0"/>
          <w:szCs w:val="22"/>
        </w:rPr>
        <w:t xml:space="preserve">  </w:t>
      </w:r>
      <w:r w:rsidRPr="006F7EA4">
        <w:rPr>
          <w:color w:val="010101"/>
          <w:kern w:val="0"/>
          <w:szCs w:val="22"/>
        </w:rPr>
        <w:t>The Communications Act requires the Commission to examine closely the impact of spectrum aggregation on competition, innovation, and the efficient use of spectrum in order to ensure that any transfer of control serves the publi</w:t>
      </w:r>
      <w:r w:rsidRPr="00CB0384">
        <w:rPr>
          <w:color w:val="010101"/>
          <w:kern w:val="0"/>
          <w:szCs w:val="22"/>
        </w:rPr>
        <w:t>c interest, convenience, and necessity.</w:t>
      </w:r>
      <w:r w:rsidRPr="00033EA9">
        <w:rPr>
          <w:rStyle w:val="FootnoteReference"/>
          <w:kern w:val="0"/>
          <w:szCs w:val="22"/>
        </w:rPr>
        <w:footnoteReference w:id="62"/>
      </w:r>
      <w:r w:rsidRPr="00033EA9">
        <w:rPr>
          <w:color w:val="010101"/>
          <w:kern w:val="0"/>
          <w:szCs w:val="22"/>
        </w:rPr>
        <w:t xml:space="preserve">  </w:t>
      </w:r>
      <w:r w:rsidRPr="006F7EA4">
        <w:rPr>
          <w:color w:val="010101"/>
          <w:kern w:val="0"/>
          <w:szCs w:val="22"/>
        </w:rPr>
        <w:t xml:space="preserve">Our public interest analysis must consider not only </w:t>
      </w:r>
      <w:r w:rsidRPr="00CB0384">
        <w:rPr>
          <w:color w:val="010101"/>
          <w:kern w:val="0"/>
          <w:szCs w:val="22"/>
        </w:rPr>
        <w:t>the near-term but al</w:t>
      </w:r>
      <w:r w:rsidRPr="005136FA">
        <w:rPr>
          <w:color w:val="010101"/>
          <w:kern w:val="0"/>
          <w:szCs w:val="22"/>
        </w:rPr>
        <w:t>s</w:t>
      </w:r>
      <w:r w:rsidRPr="00CE4B55">
        <w:rPr>
          <w:color w:val="010101"/>
          <w:kern w:val="0"/>
          <w:szCs w:val="22"/>
        </w:rPr>
        <w:t>o</w:t>
      </w:r>
      <w:r w:rsidRPr="00F45E34">
        <w:rPr>
          <w:color w:val="010101"/>
          <w:kern w:val="0"/>
          <w:szCs w:val="22"/>
        </w:rPr>
        <w:t xml:space="preserve"> the long-term impacts of the proposed transactions on the implementation of Congress’s pro-competitive deregulatory policies aimed at developing and encouraging competitive markets.</w:t>
      </w:r>
      <w:r w:rsidRPr="00033EA9">
        <w:rPr>
          <w:rStyle w:val="FootnoteReference"/>
          <w:kern w:val="0"/>
          <w:szCs w:val="22"/>
        </w:rPr>
        <w:footnoteReference w:id="63"/>
      </w:r>
      <w:r w:rsidRPr="00033EA9">
        <w:rPr>
          <w:color w:val="010101"/>
          <w:kern w:val="0"/>
          <w:szCs w:val="22"/>
        </w:rPr>
        <w:t xml:space="preserve">  </w:t>
      </w:r>
      <w:r w:rsidR="00914D47">
        <w:rPr>
          <w:color w:val="010101"/>
          <w:kern w:val="0"/>
          <w:szCs w:val="22"/>
        </w:rPr>
        <w:t xml:space="preserve">  </w:t>
      </w:r>
    </w:p>
    <w:p w:rsidR="00C21C77" w:rsidRPr="00F27360" w:rsidRDefault="007D5339" w:rsidP="00C21C77">
      <w:pPr>
        <w:pStyle w:val="ParaNum"/>
        <w:rPr>
          <w:color w:val="010101"/>
          <w:kern w:val="0"/>
          <w:szCs w:val="22"/>
        </w:rPr>
      </w:pPr>
      <w:r>
        <w:rPr>
          <w:szCs w:val="22"/>
        </w:rPr>
        <w:t xml:space="preserve">When </w:t>
      </w:r>
      <w:r w:rsidR="00C21C77">
        <w:rPr>
          <w:szCs w:val="22"/>
        </w:rPr>
        <w:t>considering potential competitive effects of spectrum aggregation resulting from a transaction,</w:t>
      </w:r>
      <w:r w:rsidR="00C21C77" w:rsidRPr="006F7EA4">
        <w:rPr>
          <w:szCs w:val="22"/>
        </w:rPr>
        <w:t xml:space="preserve"> the Commission has co</w:t>
      </w:r>
      <w:r w:rsidR="00C21C77">
        <w:rPr>
          <w:szCs w:val="22"/>
        </w:rPr>
        <w:t xml:space="preserve">nsidered whether there would be </w:t>
      </w:r>
      <w:r w:rsidR="00C21C77" w:rsidRPr="006F7EA4">
        <w:rPr>
          <w:szCs w:val="22"/>
        </w:rPr>
        <w:t>likelihood that rival service providers or potential entrants would be foreclosed from expanding capacity, deploying mobile broadband technologies, or entering the market</w:t>
      </w:r>
      <w:r w:rsidR="00E97799">
        <w:rPr>
          <w:szCs w:val="22"/>
        </w:rPr>
        <w:t>,</w:t>
      </w:r>
      <w:r w:rsidR="00C21C77" w:rsidRPr="006F7EA4">
        <w:rPr>
          <w:szCs w:val="22"/>
        </w:rPr>
        <w:t xml:space="preserve"> and also whether rivals’ costs would be increased to the extent that they would be less likely to b</w:t>
      </w:r>
      <w:r w:rsidR="00C21C77" w:rsidRPr="00CB0384">
        <w:rPr>
          <w:szCs w:val="22"/>
        </w:rPr>
        <w:t>e an effective competitive constraint.</w:t>
      </w:r>
      <w:r w:rsidR="00C21C77" w:rsidRPr="00033EA9">
        <w:rPr>
          <w:szCs w:val="22"/>
          <w:vertAlign w:val="superscript"/>
        </w:rPr>
        <w:footnoteReference w:id="64"/>
      </w:r>
      <w:r w:rsidR="00C21C77" w:rsidRPr="00033EA9">
        <w:rPr>
          <w:szCs w:val="22"/>
        </w:rPr>
        <w:t xml:space="preserve">  If rival service providers </w:t>
      </w:r>
      <w:r w:rsidR="00AF2390">
        <w:rPr>
          <w:szCs w:val="22"/>
        </w:rPr>
        <w:t>were</w:t>
      </w:r>
      <w:r w:rsidR="00AF2390" w:rsidRPr="00033EA9">
        <w:rPr>
          <w:szCs w:val="22"/>
        </w:rPr>
        <w:t xml:space="preserve"> </w:t>
      </w:r>
      <w:r w:rsidR="00C21C77" w:rsidRPr="00033EA9">
        <w:rPr>
          <w:szCs w:val="22"/>
        </w:rPr>
        <w:t xml:space="preserve">unable to expand capacity or deploy mobile broadband technologies, this </w:t>
      </w:r>
      <w:r w:rsidR="00AF2390">
        <w:rPr>
          <w:szCs w:val="22"/>
        </w:rPr>
        <w:t>might</w:t>
      </w:r>
      <w:r w:rsidR="00AF2390" w:rsidRPr="00033EA9">
        <w:rPr>
          <w:szCs w:val="22"/>
        </w:rPr>
        <w:t xml:space="preserve"> </w:t>
      </w:r>
      <w:r w:rsidR="00B7167D">
        <w:rPr>
          <w:szCs w:val="22"/>
        </w:rPr>
        <w:t xml:space="preserve">well </w:t>
      </w:r>
      <w:r w:rsidR="00C21C77" w:rsidRPr="00033EA9">
        <w:rPr>
          <w:szCs w:val="22"/>
        </w:rPr>
        <w:t>reduce quality and consumer choice.</w:t>
      </w:r>
      <w:r w:rsidR="00C21C77" w:rsidRPr="00033EA9">
        <w:rPr>
          <w:rStyle w:val="FootnoteReference"/>
          <w:szCs w:val="22"/>
        </w:rPr>
        <w:footnoteReference w:id="65"/>
      </w:r>
      <w:r w:rsidR="00C21C77" w:rsidRPr="00033EA9">
        <w:rPr>
          <w:szCs w:val="22"/>
          <w:vertAlign w:val="superscript"/>
        </w:rPr>
        <w:t xml:space="preserve"> </w:t>
      </w:r>
    </w:p>
    <w:p w:rsidR="003D3CB7" w:rsidRPr="00723C80" w:rsidRDefault="007D5339" w:rsidP="00C30856">
      <w:pPr>
        <w:pStyle w:val="ParaNum"/>
        <w:rPr>
          <w:color w:val="010101"/>
          <w:kern w:val="0"/>
          <w:szCs w:val="22"/>
        </w:rPr>
      </w:pPr>
      <w:r>
        <w:rPr>
          <w:color w:val="010101"/>
          <w:kern w:val="0"/>
          <w:szCs w:val="22"/>
        </w:rPr>
        <w:t xml:space="preserve">As part of our </w:t>
      </w:r>
      <w:r w:rsidR="004D3026" w:rsidRPr="004D3026">
        <w:rPr>
          <w:color w:val="010101"/>
          <w:kern w:val="0"/>
          <w:szCs w:val="22"/>
        </w:rPr>
        <w:t>evaluati</w:t>
      </w:r>
      <w:r>
        <w:rPr>
          <w:color w:val="010101"/>
          <w:kern w:val="0"/>
          <w:szCs w:val="22"/>
        </w:rPr>
        <w:t>o</w:t>
      </w:r>
      <w:r w:rsidR="004D3026" w:rsidRPr="004D3026">
        <w:rPr>
          <w:color w:val="010101"/>
          <w:kern w:val="0"/>
          <w:szCs w:val="22"/>
        </w:rPr>
        <w:t>n</w:t>
      </w:r>
      <w:r>
        <w:rPr>
          <w:color w:val="010101"/>
          <w:kern w:val="0"/>
          <w:szCs w:val="22"/>
        </w:rPr>
        <w:t xml:space="preserve"> of</w:t>
      </w:r>
      <w:r w:rsidR="004D3026" w:rsidRPr="004D3026">
        <w:rPr>
          <w:color w:val="010101"/>
          <w:kern w:val="0"/>
          <w:szCs w:val="22"/>
        </w:rPr>
        <w:t xml:space="preserve"> the likelihood that spectrum aggregation in a market would result in any competitive harm, we carefully analyze a variety of factors to determine whether competing service providers </w:t>
      </w:r>
      <w:r>
        <w:rPr>
          <w:color w:val="010101"/>
          <w:kern w:val="0"/>
          <w:szCs w:val="22"/>
        </w:rPr>
        <w:t>would</w:t>
      </w:r>
      <w:r w:rsidRPr="004D3026">
        <w:rPr>
          <w:color w:val="010101"/>
          <w:kern w:val="0"/>
          <w:szCs w:val="22"/>
        </w:rPr>
        <w:t xml:space="preserve"> </w:t>
      </w:r>
      <w:r w:rsidR="004D3026" w:rsidRPr="004D3026">
        <w:rPr>
          <w:color w:val="010101"/>
          <w:kern w:val="0"/>
          <w:szCs w:val="22"/>
        </w:rPr>
        <w:t xml:space="preserve">continue to serve as a competitive check post-transaction.  </w:t>
      </w:r>
      <w:r w:rsidR="00C21C77" w:rsidRPr="00F45E34">
        <w:rPr>
          <w:szCs w:val="22"/>
        </w:rPr>
        <w:t>The Commission has recognized that the total amount of spectrum held by a service provider is not the only factor necessary to remain a viable competitor in the provision of mobile broadband/telephony services.</w:t>
      </w:r>
      <w:r w:rsidR="00C21C77" w:rsidRPr="00033EA9">
        <w:rPr>
          <w:rStyle w:val="FootnoteReference"/>
          <w:szCs w:val="22"/>
        </w:rPr>
        <w:footnoteReference w:id="66"/>
      </w:r>
      <w:r w:rsidR="00C21C77" w:rsidRPr="00033EA9">
        <w:rPr>
          <w:szCs w:val="22"/>
        </w:rPr>
        <w:t xml:space="preserve">  </w:t>
      </w:r>
      <w:r w:rsidR="004D3026">
        <w:rPr>
          <w:szCs w:val="22"/>
        </w:rPr>
        <w:t>As a result, its</w:t>
      </w:r>
      <w:r w:rsidR="00C21C77" w:rsidRPr="00033EA9">
        <w:rPr>
          <w:szCs w:val="22"/>
        </w:rPr>
        <w:t xml:space="preserve"> competitive analysis </w:t>
      </w:r>
      <w:r w:rsidR="004D3026">
        <w:rPr>
          <w:szCs w:val="22"/>
        </w:rPr>
        <w:t xml:space="preserve">has encompassed </w:t>
      </w:r>
      <w:r w:rsidR="00C21C77" w:rsidRPr="00033EA9">
        <w:rPr>
          <w:szCs w:val="22"/>
        </w:rPr>
        <w:t xml:space="preserve">consideration of </w:t>
      </w:r>
      <w:r>
        <w:rPr>
          <w:szCs w:val="22"/>
        </w:rPr>
        <w:t>more than</w:t>
      </w:r>
      <w:r w:rsidR="00C21C77" w:rsidRPr="00033EA9">
        <w:rPr>
          <w:szCs w:val="22"/>
        </w:rPr>
        <w:t xml:space="preserve"> the suitability and availability of spectrum that would allow rival ser</w:t>
      </w:r>
      <w:r w:rsidR="00C21C77" w:rsidRPr="006F7EA4">
        <w:rPr>
          <w:szCs w:val="22"/>
        </w:rPr>
        <w:t>vice providers to provide an effective competitive constraint in the marketplace.</w:t>
      </w:r>
      <w:r w:rsidR="00C21C77" w:rsidRPr="00033EA9">
        <w:rPr>
          <w:rStyle w:val="FootnoteReference"/>
          <w:szCs w:val="22"/>
        </w:rPr>
        <w:footnoteReference w:id="67"/>
      </w:r>
      <w:r w:rsidR="00C21C77" w:rsidRPr="00033EA9">
        <w:rPr>
          <w:szCs w:val="22"/>
        </w:rPr>
        <w:t xml:space="preserve">  </w:t>
      </w:r>
      <w:r w:rsidR="00617BB6">
        <w:rPr>
          <w:szCs w:val="22"/>
        </w:rPr>
        <w:t>Other relevant c</w:t>
      </w:r>
      <w:r w:rsidR="00C21C77" w:rsidRPr="008E3D5B">
        <w:rPr>
          <w:szCs w:val="22"/>
        </w:rPr>
        <w:t>ompetitive factors</w:t>
      </w:r>
      <w:r w:rsidR="00C21C77" w:rsidRPr="00033EA9">
        <w:rPr>
          <w:szCs w:val="22"/>
        </w:rPr>
        <w:t xml:space="preserve"> </w:t>
      </w:r>
      <w:r w:rsidR="00617BB6">
        <w:rPr>
          <w:szCs w:val="22"/>
        </w:rPr>
        <w:t xml:space="preserve">have </w:t>
      </w:r>
      <w:r w:rsidR="00C21C77" w:rsidRPr="00033EA9">
        <w:rPr>
          <w:szCs w:val="22"/>
        </w:rPr>
        <w:t>include</w:t>
      </w:r>
      <w:r w:rsidR="00617BB6">
        <w:rPr>
          <w:szCs w:val="22"/>
        </w:rPr>
        <w:t>d</w:t>
      </w:r>
      <w:r w:rsidR="00C21C77" w:rsidRPr="00033EA9">
        <w:rPr>
          <w:szCs w:val="22"/>
        </w:rPr>
        <w:t xml:space="preserve">, but </w:t>
      </w:r>
      <w:r w:rsidR="00617BB6">
        <w:rPr>
          <w:szCs w:val="22"/>
        </w:rPr>
        <w:t xml:space="preserve">have </w:t>
      </w:r>
      <w:r w:rsidR="00C21C77" w:rsidRPr="00033EA9">
        <w:rPr>
          <w:szCs w:val="22"/>
        </w:rPr>
        <w:t xml:space="preserve">not </w:t>
      </w:r>
      <w:r w:rsidR="00617BB6">
        <w:rPr>
          <w:szCs w:val="22"/>
        </w:rPr>
        <w:t xml:space="preserve">been </w:t>
      </w:r>
      <w:r w:rsidR="00C21C77" w:rsidRPr="00033EA9">
        <w:rPr>
          <w:szCs w:val="22"/>
        </w:rPr>
        <w:t>limited to, population density, the total number of rival service providers, rival firms’ market shares, population and area covera</w:t>
      </w:r>
      <w:r w:rsidR="00C21C77" w:rsidRPr="006F7EA4">
        <w:rPr>
          <w:szCs w:val="22"/>
        </w:rPr>
        <w:t>ge, and availability of spectrum within the market for incumbent services providers as well as potential entrants to provide mobile telephony/broadband services.</w:t>
      </w:r>
      <w:r w:rsidR="00C21C77" w:rsidRPr="00033EA9">
        <w:rPr>
          <w:rStyle w:val="FootnoteReference"/>
          <w:szCs w:val="22"/>
        </w:rPr>
        <w:footnoteReference w:id="68"/>
      </w:r>
      <w:r w:rsidR="00C21C77" w:rsidRPr="00033EA9">
        <w:rPr>
          <w:szCs w:val="22"/>
        </w:rPr>
        <w:t xml:space="preserve"> </w:t>
      </w:r>
    </w:p>
    <w:p w:rsidR="00C21C77" w:rsidRPr="00F21A72" w:rsidRDefault="003D3CB7" w:rsidP="00B355F8">
      <w:pPr>
        <w:pStyle w:val="ParaNum"/>
        <w:rPr>
          <w:color w:val="010101"/>
          <w:kern w:val="0"/>
          <w:szCs w:val="22"/>
        </w:rPr>
      </w:pPr>
      <w:r w:rsidRPr="00374C09">
        <w:t>To evaluate these transactions, we define the product and geographic markets</w:t>
      </w:r>
      <w:r>
        <w:t xml:space="preserve">, </w:t>
      </w:r>
      <w:r w:rsidRPr="00374C09">
        <w:t>review the input market for spectrum</w:t>
      </w:r>
      <w:r>
        <w:t>,</w:t>
      </w:r>
      <w:r w:rsidRPr="00374C09">
        <w:t xml:space="preserve"> and </w:t>
      </w:r>
      <w:r>
        <w:t xml:space="preserve">identify </w:t>
      </w:r>
      <w:r w:rsidRPr="00293540">
        <w:t xml:space="preserve">market participants.  We then consider the </w:t>
      </w:r>
      <w:r w:rsidR="007D5339">
        <w:t xml:space="preserve">arguments in the </w:t>
      </w:r>
      <w:r w:rsidRPr="00293540">
        <w:t xml:space="preserve">record </w:t>
      </w:r>
      <w:r>
        <w:t xml:space="preserve">regarding possible </w:t>
      </w:r>
      <w:r w:rsidRPr="00695B38">
        <w:t xml:space="preserve">changes to </w:t>
      </w:r>
      <w:r>
        <w:t>the manner in which</w:t>
      </w:r>
      <w:r w:rsidRPr="009E1E67">
        <w:t xml:space="preserve"> the initial </w:t>
      </w:r>
      <w:r>
        <w:t xml:space="preserve">spectrum </w:t>
      </w:r>
      <w:r w:rsidRPr="009E1E67">
        <w:t xml:space="preserve">screen is applied.  </w:t>
      </w:r>
      <w:r w:rsidR="00C30856">
        <w:t>Next</w:t>
      </w:r>
      <w:r w:rsidRPr="006161AF">
        <w:t xml:space="preserve">, we </w:t>
      </w:r>
      <w:r w:rsidRPr="00374C09">
        <w:t xml:space="preserve">analyze the competitive effects of AT&amp;T’s acquisition of 700 MHz spectrum from Verizon Wireless and the spectrum lease with Grain I.  As in recent Commission </w:t>
      </w:r>
      <w:r w:rsidR="006A04AE">
        <w:t>precedent</w:t>
      </w:r>
      <w:r w:rsidR="006A04AE" w:rsidRPr="00374C09">
        <w:t xml:space="preserve"> </w:t>
      </w:r>
      <w:r w:rsidRPr="00374C09">
        <w:t>involving below 1 GHz spectrum,</w:t>
      </w:r>
      <w:r w:rsidRPr="00033EA9">
        <w:rPr>
          <w:rStyle w:val="FootnoteReference"/>
          <w:kern w:val="0"/>
          <w:szCs w:val="22"/>
        </w:rPr>
        <w:footnoteReference w:id="69"/>
      </w:r>
      <w:r w:rsidRPr="00374C09">
        <w:t xml:space="preserve"> we </w:t>
      </w:r>
      <w:r>
        <w:t>examine</w:t>
      </w:r>
      <w:r w:rsidRPr="00374C09">
        <w:t xml:space="preserve"> more closely the below 1 GHz spectrum holdings post-transaction, in particular </w:t>
      </w:r>
      <w:r w:rsidRPr="00293540">
        <w:t xml:space="preserve">the effects of </w:t>
      </w:r>
      <w:r w:rsidRPr="00695B38">
        <w:t xml:space="preserve">AT&amp;T’s acquisition of additional Lower 700 MHz </w:t>
      </w:r>
      <w:r w:rsidR="00AB4D95">
        <w:t xml:space="preserve">Band </w:t>
      </w:r>
      <w:r w:rsidRPr="00695B38">
        <w:t xml:space="preserve">B </w:t>
      </w:r>
      <w:r w:rsidR="00AB4D95">
        <w:t>B</w:t>
      </w:r>
      <w:r w:rsidRPr="00695B38">
        <w:t>lock spectrum</w:t>
      </w:r>
      <w:r w:rsidRPr="006161AF">
        <w:t xml:space="preserve"> from Verizon Wireless </w:t>
      </w:r>
      <w:r w:rsidR="007D5339">
        <w:t>as well as</w:t>
      </w:r>
      <w:r w:rsidRPr="006161AF">
        <w:t xml:space="preserve"> through the Grain I lease.</w:t>
      </w:r>
      <w:r>
        <w:t xml:space="preserve">  W</w:t>
      </w:r>
      <w:r w:rsidRPr="00374C09">
        <w:t xml:space="preserve">e </w:t>
      </w:r>
      <w:r>
        <w:t xml:space="preserve">then </w:t>
      </w:r>
      <w:r w:rsidRPr="00374C09">
        <w:t>evaluate the competitive effects of Verizon</w:t>
      </w:r>
      <w:r w:rsidRPr="00293540">
        <w:t xml:space="preserve"> </w:t>
      </w:r>
      <w:r w:rsidRPr="00695B38">
        <w:t xml:space="preserve">Wireless’s acquisition of </w:t>
      </w:r>
      <w:r w:rsidR="007D5339">
        <w:t xml:space="preserve">additional </w:t>
      </w:r>
      <w:r w:rsidRPr="00695B38">
        <w:t>AWS-1 spectrum from AT&amp;T</w:t>
      </w:r>
      <w:r w:rsidR="007D5339">
        <w:t xml:space="preserve"> as well as through</w:t>
      </w:r>
      <w:r w:rsidRPr="006161AF">
        <w:t xml:space="preserve"> the </w:t>
      </w:r>
      <w:r w:rsidR="00424BE9">
        <w:t>Grain II</w:t>
      </w:r>
      <w:r w:rsidRPr="006161AF">
        <w:t xml:space="preserve"> lease.</w:t>
      </w:r>
      <w:r w:rsidR="00696940" w:rsidRPr="00033EA9">
        <w:rPr>
          <w:rStyle w:val="FootnoteReference"/>
          <w:kern w:val="0"/>
          <w:szCs w:val="22"/>
        </w:rPr>
        <w:footnoteReference w:id="70"/>
      </w:r>
      <w:r>
        <w:t xml:space="preserve">  Finally, we </w:t>
      </w:r>
      <w:r w:rsidRPr="006161AF">
        <w:t xml:space="preserve">evaluate Grain I’s and Grain II’s proposed spectrum acquisitions from </w:t>
      </w:r>
      <w:r w:rsidR="00AB4D95" w:rsidRPr="006161AF">
        <w:t xml:space="preserve">Verizon Wireless </w:t>
      </w:r>
      <w:r w:rsidR="00AB4D95">
        <w:t xml:space="preserve">and </w:t>
      </w:r>
      <w:r w:rsidRPr="006161AF">
        <w:t xml:space="preserve">AT&amp;T, </w:t>
      </w:r>
      <w:r w:rsidRPr="00374C09">
        <w:t xml:space="preserve">respectively.  </w:t>
      </w:r>
    </w:p>
    <w:p w:rsidR="00C21C77" w:rsidRPr="00B01B98" w:rsidRDefault="00C21C77" w:rsidP="00C21C77">
      <w:pPr>
        <w:pStyle w:val="Heading2"/>
      </w:pPr>
      <w:bookmarkStart w:id="159" w:name="_Toc365625585"/>
      <w:bookmarkStart w:id="160" w:name="_Toc365626586"/>
      <w:bookmarkStart w:id="161" w:name="_Toc365626787"/>
      <w:bookmarkStart w:id="162" w:name="_Toc365631637"/>
      <w:bookmarkStart w:id="163" w:name="_Toc365981447"/>
      <w:r w:rsidRPr="00B01B98">
        <w:t>Market Definitions</w:t>
      </w:r>
      <w:bookmarkEnd w:id="159"/>
      <w:bookmarkEnd w:id="160"/>
      <w:bookmarkEnd w:id="161"/>
      <w:bookmarkEnd w:id="162"/>
      <w:bookmarkEnd w:id="163"/>
    </w:p>
    <w:p w:rsidR="00C21C77" w:rsidRPr="006F7EA4" w:rsidRDefault="00C21C77" w:rsidP="00C21C77">
      <w:pPr>
        <w:pStyle w:val="ParaNum"/>
        <w:rPr>
          <w:color w:val="010101"/>
          <w:kern w:val="0"/>
          <w:szCs w:val="22"/>
        </w:rPr>
      </w:pPr>
      <w:r w:rsidRPr="00B01B98">
        <w:rPr>
          <w:color w:val="010101"/>
          <w:kern w:val="0"/>
          <w:szCs w:val="22"/>
        </w:rPr>
        <w:t xml:space="preserve">We begin our competitive analysis by determining the appropriate market definitions for </w:t>
      </w:r>
      <w:r w:rsidRPr="00D12F33">
        <w:rPr>
          <w:color w:val="010101"/>
          <w:kern w:val="0"/>
          <w:szCs w:val="22"/>
        </w:rPr>
        <w:t xml:space="preserve">the proposed </w:t>
      </w:r>
      <w:r w:rsidRPr="00C44EDD">
        <w:rPr>
          <w:color w:val="010101"/>
          <w:kern w:val="0"/>
          <w:szCs w:val="22"/>
        </w:rPr>
        <w:t>transactions</w:t>
      </w:r>
      <w:r w:rsidRPr="00AB0A91">
        <w:rPr>
          <w:color w:val="010101"/>
          <w:kern w:val="0"/>
          <w:szCs w:val="22"/>
        </w:rPr>
        <w:t>,</w:t>
      </w:r>
      <w:r w:rsidRPr="00033EA9">
        <w:rPr>
          <w:rStyle w:val="FootnoteReference"/>
          <w:kern w:val="0"/>
          <w:szCs w:val="22"/>
        </w:rPr>
        <w:footnoteReference w:id="71"/>
      </w:r>
      <w:r w:rsidRPr="00033EA9">
        <w:rPr>
          <w:color w:val="010101"/>
          <w:kern w:val="0"/>
          <w:szCs w:val="22"/>
        </w:rPr>
        <w:t xml:space="preserve"> including a determination of the product market, geographic market, the input market for spectrum suitable and available for the provision of mobile wireless servic</w:t>
      </w:r>
      <w:r w:rsidRPr="006F7EA4">
        <w:rPr>
          <w:color w:val="010101"/>
          <w:kern w:val="0"/>
          <w:szCs w:val="22"/>
        </w:rPr>
        <w:t xml:space="preserve">es, and the market participants.  </w:t>
      </w:r>
    </w:p>
    <w:p w:rsidR="00C21C77" w:rsidRPr="00CB0384" w:rsidRDefault="00C21C77" w:rsidP="00C21C77">
      <w:pPr>
        <w:pStyle w:val="ParaNum"/>
        <w:rPr>
          <w:szCs w:val="22"/>
        </w:rPr>
      </w:pPr>
      <w:r w:rsidRPr="00CB0384">
        <w:rPr>
          <w:i/>
          <w:color w:val="010101"/>
          <w:kern w:val="0"/>
          <w:szCs w:val="22"/>
        </w:rPr>
        <w:t>Product Market</w:t>
      </w:r>
      <w:r w:rsidRPr="005136FA">
        <w:rPr>
          <w:color w:val="010101"/>
          <w:kern w:val="0"/>
          <w:szCs w:val="22"/>
        </w:rPr>
        <w:t>.</w:t>
      </w:r>
      <w:r w:rsidRPr="00CE4B55">
        <w:rPr>
          <w:color w:val="010101"/>
          <w:kern w:val="0"/>
          <w:szCs w:val="22"/>
        </w:rPr>
        <w:t xml:space="preserve"> </w:t>
      </w:r>
      <w:r w:rsidRPr="00F45E34">
        <w:rPr>
          <w:color w:val="010101"/>
          <w:kern w:val="0"/>
          <w:szCs w:val="22"/>
        </w:rPr>
        <w:t xml:space="preserve"> </w:t>
      </w:r>
      <w:r w:rsidRPr="00F45E34">
        <w:rPr>
          <w:szCs w:val="22"/>
        </w:rPr>
        <w:t xml:space="preserve">We continue to use </w:t>
      </w:r>
      <w:r w:rsidRPr="00F45E34">
        <w:rPr>
          <w:color w:val="010101"/>
          <w:kern w:val="0"/>
          <w:szCs w:val="22"/>
        </w:rPr>
        <w:t>the product market definition that the Commission has applied in recent transactions:  a combined “mobile telephony/broadband services” product market that is comprised of mobile voice and data services, including mobile voice and data services provided over advanced broadband wireless networks (mobile broadband services)</w:t>
      </w:r>
      <w:r w:rsidRPr="00967A60">
        <w:rPr>
          <w:color w:val="010101"/>
          <w:kern w:val="0"/>
          <w:szCs w:val="22"/>
        </w:rPr>
        <w:t>.</w:t>
      </w:r>
      <w:r w:rsidRPr="00033EA9">
        <w:rPr>
          <w:color w:val="010101"/>
          <w:kern w:val="0"/>
          <w:szCs w:val="22"/>
          <w:vertAlign w:val="superscript"/>
        </w:rPr>
        <w:footnoteReference w:id="72"/>
      </w:r>
      <w:r w:rsidRPr="00033EA9">
        <w:rPr>
          <w:color w:val="010101"/>
          <w:kern w:val="0"/>
          <w:szCs w:val="22"/>
        </w:rPr>
        <w:t xml:space="preserve">  We note that no party in the proceeding challenged this mobile telephony/broadband services product market definit</w:t>
      </w:r>
      <w:r w:rsidRPr="006F7EA4">
        <w:rPr>
          <w:color w:val="010101"/>
          <w:kern w:val="0"/>
          <w:szCs w:val="22"/>
        </w:rPr>
        <w:t>ion.</w:t>
      </w:r>
    </w:p>
    <w:p w:rsidR="00C21C77" w:rsidRPr="005136FA" w:rsidRDefault="00C21C77" w:rsidP="003040BE">
      <w:pPr>
        <w:pStyle w:val="ParaNum"/>
        <w:rPr>
          <w:szCs w:val="22"/>
        </w:rPr>
      </w:pPr>
      <w:r w:rsidRPr="005136FA">
        <w:rPr>
          <w:i/>
          <w:szCs w:val="22"/>
        </w:rPr>
        <w:t>Geographic Market</w:t>
      </w:r>
      <w:r w:rsidRPr="00CE4B55">
        <w:rPr>
          <w:szCs w:val="22"/>
        </w:rPr>
        <w:t>.</w:t>
      </w:r>
      <w:r w:rsidRPr="00F45E34">
        <w:rPr>
          <w:szCs w:val="22"/>
        </w:rPr>
        <w:t xml:space="preserve">  The Commission has found that the relevant geographic markets for certain wireless transactions generally are “local” and also has evaluated a transaction’s competitive effects at the national level where a transaction exhibits certain national characteristics that provide cause for concern.</w:t>
      </w:r>
      <w:r w:rsidRPr="00033EA9">
        <w:rPr>
          <w:rStyle w:val="FootnoteReference"/>
          <w:szCs w:val="22"/>
        </w:rPr>
        <w:footnoteReference w:id="73"/>
      </w:r>
      <w:r w:rsidRPr="00033EA9">
        <w:rPr>
          <w:szCs w:val="22"/>
        </w:rPr>
        <w:t xml:space="preserve">  </w:t>
      </w:r>
      <w:r w:rsidR="00890A93">
        <w:rPr>
          <w:szCs w:val="22"/>
        </w:rPr>
        <w:t>As discussed below, f</w:t>
      </w:r>
      <w:r w:rsidRPr="00033EA9">
        <w:rPr>
          <w:szCs w:val="22"/>
        </w:rPr>
        <w:t xml:space="preserve">or these transactions, we continue to use </w:t>
      </w:r>
      <w:r w:rsidRPr="009547C6">
        <w:rPr>
          <w:color w:val="010101"/>
          <w:kern w:val="0"/>
          <w:szCs w:val="22"/>
        </w:rPr>
        <w:t>CMA</w:t>
      </w:r>
      <w:r w:rsidRPr="006F7EA4">
        <w:rPr>
          <w:color w:val="010101"/>
          <w:kern w:val="0"/>
          <w:szCs w:val="22"/>
        </w:rPr>
        <w:t>s as the local geographic markets</w:t>
      </w:r>
      <w:r w:rsidRPr="00CB0384">
        <w:rPr>
          <w:szCs w:val="22"/>
        </w:rPr>
        <w:t xml:space="preserve">, and </w:t>
      </w:r>
      <w:r w:rsidR="00890A93" w:rsidRPr="00890A93">
        <w:rPr>
          <w:szCs w:val="22"/>
        </w:rPr>
        <w:t>find no reason to analyze competitive effects at a national level</w:t>
      </w:r>
      <w:r w:rsidRPr="00CB0384">
        <w:rPr>
          <w:szCs w:val="22"/>
        </w:rPr>
        <w:t>.</w:t>
      </w:r>
    </w:p>
    <w:p w:rsidR="00C21C77" w:rsidRPr="006F7EA4" w:rsidRDefault="00C21C77" w:rsidP="00C21C77">
      <w:pPr>
        <w:pStyle w:val="ParaNum"/>
        <w:rPr>
          <w:szCs w:val="22"/>
        </w:rPr>
      </w:pPr>
      <w:r w:rsidRPr="00CE4B55">
        <w:rPr>
          <w:szCs w:val="22"/>
        </w:rPr>
        <w:t>The Applicants’ analysis of t</w:t>
      </w:r>
      <w:r w:rsidRPr="00F45E34">
        <w:rPr>
          <w:szCs w:val="22"/>
        </w:rPr>
        <w:t xml:space="preserve">he competitive effects of these transactions uses a local market definition.  In the Public Interest Statement, the Applicants contend that the Commission has </w:t>
      </w:r>
      <w:r w:rsidRPr="00D72729">
        <w:rPr>
          <w:szCs w:val="22"/>
        </w:rPr>
        <w:t>undertaken an analysis of the impact of transactions on national competition only where the transaction involved the acquisition of spectrum in a much larger number of license areas than the number involved in these transactions, and has not undertaken such an analysis in recent transactions involving the assignment of a slightly larger number of licenses than the number of licenses</w:t>
      </w:r>
      <w:r w:rsidRPr="00F45E34">
        <w:rPr>
          <w:szCs w:val="22"/>
        </w:rPr>
        <w:t xml:space="preserve"> involved in this proceeding.</w:t>
      </w:r>
      <w:r w:rsidRPr="00033EA9">
        <w:rPr>
          <w:rStyle w:val="FootnoteReference"/>
          <w:szCs w:val="22"/>
        </w:rPr>
        <w:footnoteReference w:id="74"/>
      </w:r>
      <w:r w:rsidRPr="00033EA9">
        <w:rPr>
          <w:szCs w:val="22"/>
        </w:rPr>
        <w:t xml:space="preserve">  The Applicants further assert that because </w:t>
      </w:r>
      <w:r w:rsidR="009547C6">
        <w:rPr>
          <w:szCs w:val="22"/>
        </w:rPr>
        <w:t xml:space="preserve">AT&amp;T and </w:t>
      </w:r>
      <w:r w:rsidRPr="00033EA9">
        <w:rPr>
          <w:szCs w:val="22"/>
        </w:rPr>
        <w:t xml:space="preserve">Verizon Wireless are not only gaining but are also transferring spectrum, the transactions </w:t>
      </w:r>
      <w:r>
        <w:rPr>
          <w:szCs w:val="22"/>
        </w:rPr>
        <w:t>would</w:t>
      </w:r>
      <w:r w:rsidRPr="00033EA9">
        <w:rPr>
          <w:szCs w:val="22"/>
        </w:rPr>
        <w:t xml:space="preserve"> not have a significant impact on either </w:t>
      </w:r>
      <w:r w:rsidR="009547C6">
        <w:rPr>
          <w:szCs w:val="22"/>
        </w:rPr>
        <w:t>provider</w:t>
      </w:r>
      <w:r w:rsidR="009547C6" w:rsidRPr="006F7EA4">
        <w:rPr>
          <w:szCs w:val="22"/>
        </w:rPr>
        <w:t xml:space="preserve">’s </w:t>
      </w:r>
      <w:r w:rsidRPr="006F7EA4">
        <w:rPr>
          <w:szCs w:val="22"/>
        </w:rPr>
        <w:t>nationwide average total spectrum holdings on a megahertz basis.</w:t>
      </w:r>
      <w:r w:rsidRPr="00033EA9">
        <w:rPr>
          <w:rStyle w:val="FootnoteReference"/>
          <w:szCs w:val="22"/>
        </w:rPr>
        <w:footnoteReference w:id="75"/>
      </w:r>
      <w:r w:rsidRPr="00033EA9">
        <w:rPr>
          <w:szCs w:val="22"/>
        </w:rPr>
        <w:t xml:space="preserve">  No </w:t>
      </w:r>
      <w:r w:rsidR="00D5305D">
        <w:rPr>
          <w:szCs w:val="22"/>
        </w:rPr>
        <w:t xml:space="preserve">other </w:t>
      </w:r>
      <w:r w:rsidRPr="00033EA9">
        <w:rPr>
          <w:szCs w:val="22"/>
        </w:rPr>
        <w:t xml:space="preserve">party to the proceeding </w:t>
      </w:r>
      <w:r w:rsidR="00B7167D">
        <w:rPr>
          <w:szCs w:val="22"/>
        </w:rPr>
        <w:t>addresses whether we should</w:t>
      </w:r>
      <w:r w:rsidR="00D5305D">
        <w:rPr>
          <w:szCs w:val="22"/>
        </w:rPr>
        <w:t xml:space="preserve"> use </w:t>
      </w:r>
      <w:r w:rsidRPr="00033EA9">
        <w:rPr>
          <w:szCs w:val="22"/>
        </w:rPr>
        <w:t>a local or national geographic market definition</w:t>
      </w:r>
      <w:r w:rsidR="00D5305D">
        <w:rPr>
          <w:szCs w:val="22"/>
        </w:rPr>
        <w:t xml:space="preserve"> or both</w:t>
      </w:r>
      <w:r w:rsidRPr="00033EA9">
        <w:rPr>
          <w:szCs w:val="22"/>
        </w:rPr>
        <w:t>.</w:t>
      </w:r>
    </w:p>
    <w:p w:rsidR="00C21C77" w:rsidRPr="00C21C77" w:rsidRDefault="00C21C77" w:rsidP="00C21C77">
      <w:pPr>
        <w:pStyle w:val="ParaNum"/>
        <w:rPr>
          <w:szCs w:val="22"/>
        </w:rPr>
      </w:pPr>
      <w:r w:rsidRPr="00CB0384">
        <w:rPr>
          <w:szCs w:val="22"/>
        </w:rPr>
        <w:t xml:space="preserve">The Commission has found that the relevant geographic markets for </w:t>
      </w:r>
      <w:r w:rsidRPr="005136FA">
        <w:rPr>
          <w:color w:val="010101"/>
          <w:kern w:val="0"/>
          <w:szCs w:val="22"/>
        </w:rPr>
        <w:t>wireless</w:t>
      </w:r>
      <w:r w:rsidRPr="00CE4B55">
        <w:rPr>
          <w:szCs w:val="22"/>
        </w:rPr>
        <w:t xml:space="preserve"> transactions </w:t>
      </w:r>
      <w:r w:rsidRPr="00F45E34">
        <w:rPr>
          <w:szCs w:val="22"/>
        </w:rPr>
        <w:t>generally</w:t>
      </w:r>
      <w:r w:rsidRPr="00033EA9">
        <w:rPr>
          <w:szCs w:val="22"/>
        </w:rPr>
        <w:t xml:space="preserve"> are “local”</w:t>
      </w:r>
      <w:r w:rsidRPr="00033EA9">
        <w:rPr>
          <w:szCs w:val="22"/>
          <w:vertAlign w:val="superscript"/>
        </w:rPr>
        <w:footnoteReference w:id="76"/>
      </w:r>
      <w:r w:rsidRPr="00033EA9">
        <w:rPr>
          <w:szCs w:val="22"/>
        </w:rPr>
        <w:t xml:space="preserve"> </w:t>
      </w:r>
      <w:r w:rsidRPr="006F7EA4">
        <w:rPr>
          <w:color w:val="010101"/>
          <w:kern w:val="0"/>
          <w:szCs w:val="22"/>
        </w:rPr>
        <w:t>because most consumers use their mobile telephony/broadband services where they live, work, and shop and so purchase their services from providers that offer and market services locally.</w:t>
      </w:r>
      <w:r w:rsidRPr="00033EA9">
        <w:rPr>
          <w:rStyle w:val="FootnoteReference"/>
          <w:kern w:val="0"/>
          <w:szCs w:val="22"/>
        </w:rPr>
        <w:footnoteReference w:id="77"/>
      </w:r>
      <w:r w:rsidRPr="00033EA9">
        <w:rPr>
          <w:color w:val="010101"/>
          <w:kern w:val="0"/>
          <w:szCs w:val="22"/>
        </w:rPr>
        <w:t xml:space="preserve">  Service sold in distant locations is genera</w:t>
      </w:r>
      <w:r w:rsidRPr="006F7EA4">
        <w:rPr>
          <w:color w:val="010101"/>
          <w:kern w:val="0"/>
          <w:szCs w:val="22"/>
        </w:rPr>
        <w:t>lly not a good substitute for service near a consumer’s home or work.</w:t>
      </w:r>
      <w:r w:rsidRPr="00033EA9">
        <w:rPr>
          <w:rStyle w:val="FootnoteReference"/>
          <w:kern w:val="0"/>
          <w:szCs w:val="22"/>
        </w:rPr>
        <w:footnoteReference w:id="78"/>
      </w:r>
      <w:r w:rsidRPr="00033EA9">
        <w:rPr>
          <w:color w:val="010101"/>
          <w:kern w:val="0"/>
          <w:szCs w:val="22"/>
        </w:rPr>
        <w:t xml:space="preserve">  In addition, service providers compete at the local level in terms of coverage, service quality, and localized promotions.</w:t>
      </w:r>
      <w:r w:rsidRPr="00033EA9">
        <w:rPr>
          <w:rStyle w:val="FootnoteReference"/>
          <w:kern w:val="0"/>
          <w:szCs w:val="22"/>
        </w:rPr>
        <w:footnoteReference w:id="79"/>
      </w:r>
      <w:r w:rsidRPr="00033EA9">
        <w:rPr>
          <w:color w:val="010101"/>
          <w:kern w:val="0"/>
          <w:szCs w:val="22"/>
        </w:rPr>
        <w:t xml:space="preserve">  </w:t>
      </w:r>
      <w:r>
        <w:rPr>
          <w:color w:val="010101"/>
          <w:kern w:val="0"/>
          <w:szCs w:val="22"/>
        </w:rPr>
        <w:t>A</w:t>
      </w:r>
      <w:r w:rsidRPr="00033EA9">
        <w:rPr>
          <w:color w:val="010101"/>
          <w:kern w:val="0"/>
          <w:szCs w:val="22"/>
        </w:rPr>
        <w:t xml:space="preserve">s the Commission has previously recognized, </w:t>
      </w:r>
      <w:r>
        <w:rPr>
          <w:color w:val="010101"/>
          <w:kern w:val="0"/>
          <w:szCs w:val="22"/>
        </w:rPr>
        <w:t xml:space="preserve">however, </w:t>
      </w:r>
      <w:r w:rsidRPr="00033EA9">
        <w:rPr>
          <w:color w:val="010101"/>
          <w:kern w:val="0"/>
          <w:szCs w:val="22"/>
        </w:rPr>
        <w:t>two k</w:t>
      </w:r>
      <w:r w:rsidRPr="006F7EA4">
        <w:rPr>
          <w:color w:val="010101"/>
          <w:kern w:val="0"/>
          <w:szCs w:val="22"/>
        </w:rPr>
        <w:t>ey competitive variables – prices and service plan offerings – do not vary for most providers across most geographic markets.</w:t>
      </w:r>
      <w:r w:rsidRPr="00033EA9">
        <w:rPr>
          <w:rStyle w:val="FootnoteReference"/>
          <w:kern w:val="0"/>
          <w:szCs w:val="22"/>
        </w:rPr>
        <w:footnoteReference w:id="80"/>
      </w:r>
      <w:r>
        <w:rPr>
          <w:color w:val="010101"/>
          <w:kern w:val="0"/>
          <w:szCs w:val="22"/>
        </w:rPr>
        <w:t xml:space="preserve">  </w:t>
      </w:r>
    </w:p>
    <w:p w:rsidR="00C21C77" w:rsidRPr="002316CA" w:rsidRDefault="00C21C77" w:rsidP="00857D4D">
      <w:pPr>
        <w:pStyle w:val="ParaNum"/>
        <w:widowControl/>
        <w:rPr>
          <w:szCs w:val="22"/>
        </w:rPr>
      </w:pPr>
      <w:r w:rsidRPr="006F7EA4">
        <w:rPr>
          <w:color w:val="010101"/>
          <w:kern w:val="0"/>
          <w:szCs w:val="22"/>
        </w:rPr>
        <w:t xml:space="preserve">While the Commission has in the past, where appropriate, analyzed a transaction’s competitive effects at the national level, </w:t>
      </w:r>
      <w:r w:rsidRPr="00CB0384">
        <w:rPr>
          <w:color w:val="010101"/>
          <w:kern w:val="0"/>
          <w:szCs w:val="22"/>
        </w:rPr>
        <w:t xml:space="preserve">we </w:t>
      </w:r>
      <w:r w:rsidR="00000930">
        <w:rPr>
          <w:color w:val="010101"/>
          <w:kern w:val="0"/>
          <w:szCs w:val="22"/>
        </w:rPr>
        <w:t>see no reason</w:t>
      </w:r>
      <w:r w:rsidR="00000930" w:rsidRPr="00CB0384">
        <w:rPr>
          <w:color w:val="010101"/>
          <w:kern w:val="0"/>
          <w:szCs w:val="22"/>
        </w:rPr>
        <w:t xml:space="preserve"> </w:t>
      </w:r>
      <w:r w:rsidRPr="00CB0384">
        <w:rPr>
          <w:color w:val="010101"/>
          <w:kern w:val="0"/>
          <w:szCs w:val="22"/>
        </w:rPr>
        <w:t>to do so for the proposed transactions</w:t>
      </w:r>
      <w:r w:rsidR="009547C6">
        <w:rPr>
          <w:color w:val="010101"/>
          <w:kern w:val="0"/>
          <w:szCs w:val="22"/>
        </w:rPr>
        <w:t xml:space="preserve">.  </w:t>
      </w:r>
      <w:r w:rsidR="009547C6">
        <w:t xml:space="preserve">AT&amp;T’s acquisition of the </w:t>
      </w:r>
      <w:r w:rsidR="00696940">
        <w:t xml:space="preserve">Lower </w:t>
      </w:r>
      <w:r w:rsidR="009547C6">
        <w:t xml:space="preserve">700 MHz Band B Block spectrum from Verizon Wireless and the leasing of </w:t>
      </w:r>
      <w:r w:rsidR="00696940">
        <w:t xml:space="preserve">Lower 700 MHz Band B Block </w:t>
      </w:r>
      <w:r w:rsidR="009547C6">
        <w:t xml:space="preserve">spectrum from Grain I covers 157 counties in 42 CMAs, reflecting </w:t>
      </w:r>
      <w:r w:rsidR="00C27425">
        <w:t>14.5</w:t>
      </w:r>
      <w:r w:rsidR="00696940">
        <w:t>%</w:t>
      </w:r>
      <w:r w:rsidR="009547C6">
        <w:t xml:space="preserve"> of the population</w:t>
      </w:r>
      <w:r w:rsidR="005949DF">
        <w:t xml:space="preserve"> of the U.S</w:t>
      </w:r>
      <w:r w:rsidR="009547C6">
        <w:t xml:space="preserve">.  Verizon Wireless’s acquisition of AWS-1 spectrum from AT&amp;T and the leasing of AWS-1 spectrum from Grain II </w:t>
      </w:r>
      <w:r w:rsidR="00AE0B58">
        <w:t>cover</w:t>
      </w:r>
      <w:r w:rsidR="007E23B2">
        <w:t>s</w:t>
      </w:r>
      <w:r w:rsidR="009547C6">
        <w:t xml:space="preserve"> 115 counties in 36 CMAs, reflecting </w:t>
      </w:r>
      <w:r w:rsidR="00C27425">
        <w:t>11.3</w:t>
      </w:r>
      <w:r w:rsidR="007E23B2">
        <w:t>%</w:t>
      </w:r>
      <w:r w:rsidR="009547C6">
        <w:t xml:space="preserve"> of the population.</w:t>
      </w:r>
      <w:r w:rsidR="00696940">
        <w:rPr>
          <w:color w:val="010101"/>
          <w:kern w:val="0"/>
          <w:szCs w:val="22"/>
        </w:rPr>
        <w:t xml:space="preserve">  The spectrum Grain I and Grain II are acquiring from AT&amp;T and Verizon Wireless covers 142 counties in 22 CMAs, reflecting approximately 4.5% of the population of the U.S.</w:t>
      </w:r>
      <w:r w:rsidR="00696940">
        <w:rPr>
          <w:rStyle w:val="FootnoteReference"/>
          <w:kern w:val="0"/>
          <w:szCs w:val="22"/>
        </w:rPr>
        <w:footnoteReference w:id="81"/>
      </w:r>
      <w:r w:rsidR="009547C6">
        <w:t xml:space="preserve">  </w:t>
      </w:r>
      <w:r w:rsidR="008E5486">
        <w:t>Therefore, w</w:t>
      </w:r>
      <w:r w:rsidR="009547C6" w:rsidRPr="00F45E34">
        <w:rPr>
          <w:color w:val="010101"/>
          <w:kern w:val="0"/>
          <w:szCs w:val="22"/>
        </w:rPr>
        <w:t xml:space="preserve">e </w:t>
      </w:r>
      <w:r w:rsidRPr="00F45E34">
        <w:rPr>
          <w:color w:val="010101"/>
          <w:kern w:val="0"/>
          <w:szCs w:val="22"/>
        </w:rPr>
        <w:t>find that any potential competitive harms arising from these proposed transactions would be limited to local markets</w:t>
      </w:r>
      <w:r w:rsidRPr="00967A60">
        <w:rPr>
          <w:color w:val="010101"/>
          <w:kern w:val="0"/>
          <w:szCs w:val="22"/>
        </w:rPr>
        <w:t>.</w:t>
      </w:r>
      <w:r w:rsidRPr="002316CA">
        <w:rPr>
          <w:color w:val="010101"/>
          <w:kern w:val="0"/>
          <w:szCs w:val="22"/>
        </w:rPr>
        <w:t xml:space="preserve"> </w:t>
      </w:r>
    </w:p>
    <w:p w:rsidR="0011781B" w:rsidRPr="00CE4B55" w:rsidRDefault="0011781B" w:rsidP="0011781B">
      <w:pPr>
        <w:pStyle w:val="ParaNum"/>
        <w:rPr>
          <w:szCs w:val="22"/>
        </w:rPr>
      </w:pPr>
      <w:r w:rsidRPr="009B6419">
        <w:rPr>
          <w:i/>
          <w:szCs w:val="22"/>
        </w:rPr>
        <w:t>Input Market for Spectrum</w:t>
      </w:r>
      <w:r w:rsidRPr="009B6419">
        <w:rPr>
          <w:szCs w:val="22"/>
        </w:rPr>
        <w:t>.  When a proposed transaction would increase the concentration of spectrum holdings in any local market, the Commission evaluates the post-transaction spectrum holdings of the acquiring firm that are “suitable” and “available” in the near term for the provision of mobile telephony/broadband services.</w:t>
      </w:r>
      <w:r w:rsidRPr="00033EA9">
        <w:rPr>
          <w:rStyle w:val="FootnoteReference"/>
          <w:szCs w:val="22"/>
        </w:rPr>
        <w:footnoteReference w:id="82"/>
      </w:r>
      <w:r w:rsidRPr="00033EA9">
        <w:rPr>
          <w:szCs w:val="22"/>
        </w:rPr>
        <w:t xml:space="preserve">  The Commission has previously determined that cellular, broadband P</w:t>
      </w:r>
      <w:r w:rsidR="003E7FA2">
        <w:rPr>
          <w:szCs w:val="22"/>
        </w:rPr>
        <w:t xml:space="preserve">ersonal </w:t>
      </w:r>
      <w:r w:rsidRPr="00033EA9">
        <w:rPr>
          <w:szCs w:val="22"/>
        </w:rPr>
        <w:t>C</w:t>
      </w:r>
      <w:r w:rsidR="003E7FA2">
        <w:rPr>
          <w:szCs w:val="22"/>
        </w:rPr>
        <w:t xml:space="preserve">ommunications </w:t>
      </w:r>
      <w:r w:rsidRPr="00033EA9">
        <w:rPr>
          <w:szCs w:val="22"/>
        </w:rPr>
        <w:t>S</w:t>
      </w:r>
      <w:r w:rsidR="003E7FA2">
        <w:rPr>
          <w:szCs w:val="22"/>
        </w:rPr>
        <w:t>ervice</w:t>
      </w:r>
      <w:r w:rsidRPr="00033EA9">
        <w:rPr>
          <w:szCs w:val="22"/>
        </w:rPr>
        <w:t xml:space="preserve">, </w:t>
      </w:r>
      <w:r w:rsidRPr="00CE4B55">
        <w:rPr>
          <w:rStyle w:val="Normal2"/>
          <w:sz w:val="22"/>
          <w:szCs w:val="22"/>
        </w:rPr>
        <w:t>Specialized Mobile Radio (“</w:t>
      </w:r>
      <w:r w:rsidRPr="00033EA9">
        <w:rPr>
          <w:szCs w:val="22"/>
        </w:rPr>
        <w:t xml:space="preserve">SMR”), and 700 MHz band spectrum, as well as AWS-1 and </w:t>
      </w:r>
      <w:r>
        <w:rPr>
          <w:szCs w:val="22"/>
        </w:rPr>
        <w:t>Broadband Radio Service (“</w:t>
      </w:r>
      <w:r w:rsidRPr="00033EA9">
        <w:rPr>
          <w:szCs w:val="22"/>
        </w:rPr>
        <w:t>BRS</w:t>
      </w:r>
      <w:r>
        <w:rPr>
          <w:szCs w:val="22"/>
        </w:rPr>
        <w:t>”)</w:t>
      </w:r>
      <w:r w:rsidRPr="00033EA9">
        <w:rPr>
          <w:szCs w:val="22"/>
        </w:rPr>
        <w:t xml:space="preserve"> spectrum where available,</w:t>
      </w:r>
      <w:r w:rsidRPr="00033EA9">
        <w:rPr>
          <w:szCs w:val="22"/>
          <w:vertAlign w:val="superscript"/>
        </w:rPr>
        <w:footnoteReference w:id="83"/>
      </w:r>
      <w:r w:rsidRPr="00033EA9">
        <w:rPr>
          <w:szCs w:val="22"/>
        </w:rPr>
        <w:t xml:space="preserve"> and most recently, Wireless Communications Services (“WCS”) spectrum, all meet this definition, and they have therefore been included in the initial spectrum screen.</w:t>
      </w:r>
      <w:r w:rsidRPr="00033EA9">
        <w:rPr>
          <w:rStyle w:val="FootnoteReference"/>
          <w:szCs w:val="22"/>
        </w:rPr>
        <w:footnoteReference w:id="84"/>
      </w:r>
      <w:r w:rsidRPr="00033EA9">
        <w:rPr>
          <w:szCs w:val="22"/>
        </w:rPr>
        <w:t xml:space="preserve">  </w:t>
      </w:r>
    </w:p>
    <w:p w:rsidR="00C21C77" w:rsidRPr="0011781B" w:rsidRDefault="0011781B" w:rsidP="00217045">
      <w:pPr>
        <w:pStyle w:val="ParaNum"/>
        <w:rPr>
          <w:szCs w:val="22"/>
        </w:rPr>
      </w:pPr>
      <w:r w:rsidRPr="00F45E34">
        <w:rPr>
          <w:szCs w:val="22"/>
        </w:rPr>
        <w:t>For purposes of the</w:t>
      </w:r>
      <w:r>
        <w:rPr>
          <w:szCs w:val="22"/>
        </w:rPr>
        <w:t xml:space="preserve"> instant</w:t>
      </w:r>
      <w:r w:rsidRPr="00F45E34">
        <w:rPr>
          <w:szCs w:val="22"/>
        </w:rPr>
        <w:t xml:space="preserve"> transactions, we decline to modify </w:t>
      </w:r>
      <w:r w:rsidR="00217045">
        <w:rPr>
          <w:szCs w:val="22"/>
        </w:rPr>
        <w:t>the</w:t>
      </w:r>
      <w:r w:rsidRPr="00F45E34">
        <w:rPr>
          <w:szCs w:val="22"/>
        </w:rPr>
        <w:t xml:space="preserve"> current input market for spectrum.  </w:t>
      </w:r>
      <w:r w:rsidRPr="00D26FA7">
        <w:rPr>
          <w:szCs w:val="22"/>
        </w:rPr>
        <w:t xml:space="preserve">We note that no party </w:t>
      </w:r>
      <w:r>
        <w:rPr>
          <w:szCs w:val="22"/>
        </w:rPr>
        <w:t xml:space="preserve">has argued that the Commission should modify </w:t>
      </w:r>
      <w:r w:rsidRPr="00D26FA7">
        <w:rPr>
          <w:szCs w:val="22"/>
        </w:rPr>
        <w:t xml:space="preserve">in this proceeding </w:t>
      </w:r>
      <w:r>
        <w:rPr>
          <w:szCs w:val="22"/>
        </w:rPr>
        <w:t>which spectrum bands are included in this input market,</w:t>
      </w:r>
      <w:r w:rsidR="00FF7382">
        <w:rPr>
          <w:rStyle w:val="FootnoteReference"/>
          <w:szCs w:val="22"/>
        </w:rPr>
        <w:footnoteReference w:id="85"/>
      </w:r>
      <w:r>
        <w:rPr>
          <w:szCs w:val="22"/>
        </w:rPr>
        <w:t xml:space="preserve"> and we note that this issue, along with a range of other related issues, </w:t>
      </w:r>
      <w:r w:rsidR="009406EF">
        <w:rPr>
          <w:szCs w:val="22"/>
        </w:rPr>
        <w:t>are</w:t>
      </w:r>
      <w:r>
        <w:rPr>
          <w:szCs w:val="22"/>
        </w:rPr>
        <w:t xml:space="preserve"> being considered by the Commission in </w:t>
      </w:r>
      <w:r w:rsidR="007E23B2">
        <w:rPr>
          <w:szCs w:val="22"/>
        </w:rPr>
        <w:t xml:space="preserve">its </w:t>
      </w:r>
      <w:r>
        <w:rPr>
          <w:szCs w:val="22"/>
        </w:rPr>
        <w:t xml:space="preserve">ongoing </w:t>
      </w:r>
      <w:r w:rsidRPr="00F45E34">
        <w:rPr>
          <w:szCs w:val="22"/>
        </w:rPr>
        <w:t xml:space="preserve">review of its policies </w:t>
      </w:r>
      <w:r>
        <w:rPr>
          <w:szCs w:val="22"/>
        </w:rPr>
        <w:t>regarding</w:t>
      </w:r>
      <w:r w:rsidRPr="00F45E34">
        <w:rPr>
          <w:szCs w:val="22"/>
        </w:rPr>
        <w:t xml:space="preserve"> mobile spectrum holdings.</w:t>
      </w:r>
      <w:r w:rsidRPr="00033EA9">
        <w:rPr>
          <w:rStyle w:val="FootnoteReference"/>
          <w:szCs w:val="22"/>
        </w:rPr>
        <w:footnoteReference w:id="86"/>
      </w:r>
      <w:r w:rsidRPr="00033EA9">
        <w:rPr>
          <w:szCs w:val="22"/>
        </w:rPr>
        <w:t xml:space="preserve">    </w:t>
      </w:r>
    </w:p>
    <w:p w:rsidR="00C21C77" w:rsidRPr="00033EA9" w:rsidRDefault="00C21C77" w:rsidP="00C21C77">
      <w:pPr>
        <w:pStyle w:val="ParaNum"/>
        <w:rPr>
          <w:szCs w:val="22"/>
        </w:rPr>
      </w:pPr>
      <w:r w:rsidRPr="006F7EA4">
        <w:rPr>
          <w:i/>
          <w:szCs w:val="22"/>
        </w:rPr>
        <w:t>Market Participants</w:t>
      </w:r>
      <w:r w:rsidRPr="00CB0384">
        <w:rPr>
          <w:szCs w:val="22"/>
        </w:rPr>
        <w:t>.</w:t>
      </w:r>
      <w:r w:rsidRPr="005136FA">
        <w:rPr>
          <w:szCs w:val="22"/>
        </w:rPr>
        <w:t xml:space="preserve">  </w:t>
      </w:r>
      <w:r w:rsidRPr="00CE4B55">
        <w:rPr>
          <w:szCs w:val="22"/>
        </w:rPr>
        <w:t>As in previous transactions, we will consider only facilities-based entities providing mobile telephony/broadband services using cellular, PCS, SMR, 700 MHz, AWS-1, BRS</w:t>
      </w:r>
      <w:r w:rsidRPr="00F45E34">
        <w:rPr>
          <w:szCs w:val="22"/>
        </w:rPr>
        <w:t>, and WCS spectrum to be market participants, but will continue to assess the effect of mobile virtual network operators and resellers in our competitive evaluation.</w:t>
      </w:r>
      <w:r w:rsidRPr="00033EA9">
        <w:rPr>
          <w:rStyle w:val="FootnoteReference"/>
          <w:szCs w:val="22"/>
        </w:rPr>
        <w:footnoteReference w:id="87"/>
      </w:r>
    </w:p>
    <w:p w:rsidR="00C21C77" w:rsidRPr="00B01B98" w:rsidRDefault="00C21C77" w:rsidP="00C21C77">
      <w:pPr>
        <w:pStyle w:val="Heading2"/>
      </w:pPr>
      <w:bookmarkStart w:id="164" w:name="_Toc365625586"/>
      <w:bookmarkStart w:id="165" w:name="_Toc365626587"/>
      <w:bookmarkStart w:id="166" w:name="_Toc365626788"/>
      <w:bookmarkStart w:id="167" w:name="_Toc365631638"/>
      <w:bookmarkStart w:id="168" w:name="_Toc365981448"/>
      <w:r w:rsidRPr="00B01B98">
        <w:t>Initial Screen</w:t>
      </w:r>
      <w:bookmarkEnd w:id="164"/>
      <w:bookmarkEnd w:id="165"/>
      <w:bookmarkEnd w:id="166"/>
      <w:bookmarkEnd w:id="167"/>
      <w:bookmarkEnd w:id="168"/>
    </w:p>
    <w:p w:rsidR="00C21C77" w:rsidRPr="002316CA" w:rsidRDefault="00C21C77" w:rsidP="00857D4D">
      <w:pPr>
        <w:pStyle w:val="ParaNum"/>
        <w:widowControl/>
        <w:rPr>
          <w:szCs w:val="22"/>
        </w:rPr>
      </w:pPr>
      <w:r w:rsidRPr="00B01B98">
        <w:rPr>
          <w:szCs w:val="22"/>
        </w:rPr>
        <w:t xml:space="preserve">To evaluate the potential competitive effects of these transactions, we first apply the </w:t>
      </w:r>
      <w:r w:rsidR="00D5305D">
        <w:rPr>
          <w:szCs w:val="22"/>
        </w:rPr>
        <w:t xml:space="preserve">initial </w:t>
      </w:r>
      <w:r w:rsidRPr="00B01B98">
        <w:rPr>
          <w:szCs w:val="22"/>
        </w:rPr>
        <w:t>spectrum screen,</w:t>
      </w:r>
      <w:r w:rsidRPr="00C44EDD">
        <w:rPr>
          <w:szCs w:val="22"/>
        </w:rPr>
        <w:t xml:space="preserve"> and then </w:t>
      </w:r>
      <w:r w:rsidR="00D5305D">
        <w:rPr>
          <w:szCs w:val="22"/>
        </w:rPr>
        <w:t>analyze</w:t>
      </w:r>
      <w:r w:rsidR="00D5305D" w:rsidRPr="00C44EDD">
        <w:rPr>
          <w:szCs w:val="22"/>
        </w:rPr>
        <w:t xml:space="preserve"> </w:t>
      </w:r>
      <w:r w:rsidRPr="00C44EDD">
        <w:rPr>
          <w:szCs w:val="22"/>
        </w:rPr>
        <w:t xml:space="preserve">the impact of </w:t>
      </w:r>
      <w:r w:rsidR="00116CC8" w:rsidRPr="00116CC8">
        <w:rPr>
          <w:szCs w:val="22"/>
        </w:rPr>
        <w:t>the transaction on the local markets identified by the screen</w:t>
      </w:r>
      <w:r w:rsidRPr="00C44EDD">
        <w:rPr>
          <w:szCs w:val="22"/>
        </w:rPr>
        <w:t>.</w:t>
      </w:r>
      <w:r w:rsidRPr="00AB0A91">
        <w:rPr>
          <w:szCs w:val="22"/>
        </w:rPr>
        <w:t xml:space="preserve">  </w:t>
      </w:r>
      <w:r w:rsidR="00D5305D">
        <w:rPr>
          <w:szCs w:val="22"/>
        </w:rPr>
        <w:t>The</w:t>
      </w:r>
      <w:r w:rsidR="00D5305D" w:rsidRPr="00AB0A91">
        <w:rPr>
          <w:szCs w:val="22"/>
        </w:rPr>
        <w:t xml:space="preserve"> </w:t>
      </w:r>
      <w:r w:rsidRPr="00033EA9">
        <w:rPr>
          <w:szCs w:val="22"/>
        </w:rPr>
        <w:t xml:space="preserve">spectrum </w:t>
      </w:r>
      <w:r w:rsidRPr="006F7EA4">
        <w:rPr>
          <w:szCs w:val="22"/>
        </w:rPr>
        <w:t xml:space="preserve">screen helps the Commission identify local markets where </w:t>
      </w:r>
      <w:r w:rsidRPr="00CB0384">
        <w:rPr>
          <w:szCs w:val="22"/>
        </w:rPr>
        <w:t>a proposed transaction might raise particular concerns of spectrum concentration.</w:t>
      </w:r>
      <w:r w:rsidRPr="00CB0384">
        <w:rPr>
          <w:rStyle w:val="FootnoteReference"/>
          <w:szCs w:val="22"/>
        </w:rPr>
        <w:footnoteReference w:id="88"/>
      </w:r>
      <w:r w:rsidRPr="005136FA">
        <w:rPr>
          <w:szCs w:val="22"/>
        </w:rPr>
        <w:t xml:space="preserve">  </w:t>
      </w:r>
      <w:r w:rsidR="003040BE">
        <w:rPr>
          <w:szCs w:val="22"/>
        </w:rPr>
        <w:t>Specifically, t</w:t>
      </w:r>
      <w:r w:rsidRPr="005136FA">
        <w:rPr>
          <w:szCs w:val="22"/>
        </w:rPr>
        <w:t xml:space="preserve">he </w:t>
      </w:r>
      <w:r w:rsidRPr="00CE4B55">
        <w:rPr>
          <w:szCs w:val="22"/>
        </w:rPr>
        <w:t xml:space="preserve">initial </w:t>
      </w:r>
      <w:r w:rsidRPr="00F45E34">
        <w:rPr>
          <w:szCs w:val="22"/>
        </w:rPr>
        <w:t>screen identifies local markets where an entity would acquire more than approximately one-third of the total spectrum suitable and available for the provision of mobile telephony/broadband services.</w:t>
      </w:r>
      <w:r w:rsidRPr="00F45E34">
        <w:rPr>
          <w:rStyle w:val="FootnoteReference"/>
          <w:szCs w:val="22"/>
        </w:rPr>
        <w:footnoteReference w:id="89"/>
      </w:r>
      <w:r w:rsidRPr="00F45E34">
        <w:rPr>
          <w:szCs w:val="22"/>
        </w:rPr>
        <w:t xml:space="preserve">  We apply our spectrum screen on a county-by-county basis to help identify particular markets for further analysis of any possible competitive effects resulting from an increase in mobile spectrum holdings.</w:t>
      </w:r>
      <w:r w:rsidRPr="00967A60">
        <w:rPr>
          <w:rStyle w:val="FootnoteReference"/>
          <w:szCs w:val="22"/>
        </w:rPr>
        <w:footnoteReference w:id="90"/>
      </w:r>
      <w:r w:rsidRPr="00B7720F">
        <w:rPr>
          <w:szCs w:val="22"/>
        </w:rPr>
        <w:t xml:space="preserve">  </w:t>
      </w:r>
    </w:p>
    <w:p w:rsidR="00C21C77" w:rsidRPr="0008082C" w:rsidRDefault="00C21C77" w:rsidP="000031B9">
      <w:pPr>
        <w:pStyle w:val="ParaNum"/>
        <w:rPr>
          <w:szCs w:val="22"/>
        </w:rPr>
      </w:pPr>
      <w:r w:rsidRPr="009B6419">
        <w:rPr>
          <w:i/>
          <w:szCs w:val="22"/>
        </w:rPr>
        <w:t>Record</w:t>
      </w:r>
      <w:r w:rsidRPr="009B6419">
        <w:rPr>
          <w:szCs w:val="22"/>
        </w:rPr>
        <w:t xml:space="preserve">.  </w:t>
      </w:r>
      <w:r w:rsidR="007F748E" w:rsidRPr="007F748E">
        <w:rPr>
          <w:szCs w:val="22"/>
        </w:rPr>
        <w:t>Petitioners and commenters assert that, if the Commission reviews the instant applications during the pendency of the Mobile Spectrum Holdings proceeding, the Commission should consider the instant transactions under a modified spectrum screen or limit.</w:t>
      </w:r>
      <w:r w:rsidR="007F748E" w:rsidRPr="007F748E">
        <w:rPr>
          <w:szCs w:val="22"/>
          <w:vertAlign w:val="superscript"/>
        </w:rPr>
        <w:footnoteReference w:id="91"/>
      </w:r>
      <w:r w:rsidR="007F748E" w:rsidRPr="007F748E">
        <w:rPr>
          <w:szCs w:val="22"/>
        </w:rPr>
        <w:t xml:space="preserve">  For example, RTG contends that the Commission should </w:t>
      </w:r>
      <w:r w:rsidR="00596C85">
        <w:rPr>
          <w:szCs w:val="22"/>
        </w:rPr>
        <w:t xml:space="preserve">adopt a </w:t>
      </w:r>
      <w:r w:rsidR="007F748E" w:rsidRPr="007F748E">
        <w:rPr>
          <w:szCs w:val="22"/>
        </w:rPr>
        <w:t xml:space="preserve">limit </w:t>
      </w:r>
      <w:r w:rsidR="00596C85">
        <w:rPr>
          <w:szCs w:val="22"/>
        </w:rPr>
        <w:t xml:space="preserve">of 25 percent of </w:t>
      </w:r>
      <w:r w:rsidR="007F748E" w:rsidRPr="007F748E">
        <w:rPr>
          <w:szCs w:val="22"/>
        </w:rPr>
        <w:t>th</w:t>
      </w:r>
      <w:r w:rsidR="00596C85">
        <w:rPr>
          <w:szCs w:val="22"/>
        </w:rPr>
        <w:t>e total</w:t>
      </w:r>
      <w:r w:rsidR="007F748E" w:rsidRPr="007F748E">
        <w:rPr>
          <w:szCs w:val="22"/>
        </w:rPr>
        <w:t xml:space="preserve"> amount of suitable and available spectrum</w:t>
      </w:r>
      <w:r w:rsidR="00596C85">
        <w:rPr>
          <w:szCs w:val="22"/>
        </w:rPr>
        <w:t xml:space="preserve"> </w:t>
      </w:r>
      <w:r w:rsidR="007F748E" w:rsidRPr="007F748E">
        <w:rPr>
          <w:szCs w:val="22"/>
        </w:rPr>
        <w:t xml:space="preserve">and 40 percent of </w:t>
      </w:r>
      <w:r w:rsidR="00596C85">
        <w:rPr>
          <w:szCs w:val="22"/>
        </w:rPr>
        <w:t xml:space="preserve">the amount of suitable and available spectrum </w:t>
      </w:r>
      <w:r w:rsidR="007F748E" w:rsidRPr="007F748E">
        <w:rPr>
          <w:szCs w:val="22"/>
        </w:rPr>
        <w:t>below 1 GHz.</w:t>
      </w:r>
      <w:r w:rsidR="007F748E" w:rsidRPr="007F748E">
        <w:rPr>
          <w:szCs w:val="22"/>
          <w:vertAlign w:val="superscript"/>
        </w:rPr>
        <w:footnoteReference w:id="92"/>
      </w:r>
      <w:r w:rsidR="007F748E" w:rsidRPr="007F748E">
        <w:rPr>
          <w:szCs w:val="22"/>
        </w:rPr>
        <w:t xml:space="preserve">  In addition, DISH argues that, if the Commission does not deny </w:t>
      </w:r>
      <w:r w:rsidR="00596C85">
        <w:rPr>
          <w:szCs w:val="22"/>
        </w:rPr>
        <w:t xml:space="preserve">the </w:t>
      </w:r>
      <w:r w:rsidR="007F748E" w:rsidRPr="007F748E">
        <w:rPr>
          <w:szCs w:val="22"/>
        </w:rPr>
        <w:t xml:space="preserve">instant applications, it should require </w:t>
      </w:r>
      <w:r w:rsidR="00C42488" w:rsidRPr="007F748E">
        <w:rPr>
          <w:szCs w:val="22"/>
        </w:rPr>
        <w:t>divestiture</w:t>
      </w:r>
      <w:r w:rsidR="00C42488">
        <w:rPr>
          <w:szCs w:val="22"/>
        </w:rPr>
        <w:t xml:space="preserve">s </w:t>
      </w:r>
      <w:r w:rsidR="007F748E" w:rsidRPr="007F748E">
        <w:rPr>
          <w:szCs w:val="22"/>
        </w:rPr>
        <w:t>in markets in which the Applicants exceed a spectrum screen modified to give double weight to spectrum below 1</w:t>
      </w:r>
      <w:r w:rsidR="0063426B">
        <w:rPr>
          <w:szCs w:val="22"/>
        </w:rPr>
        <w:t xml:space="preserve"> </w:t>
      </w:r>
      <w:r w:rsidR="007F748E" w:rsidRPr="007F748E">
        <w:rPr>
          <w:szCs w:val="22"/>
        </w:rPr>
        <w:t>GHz.</w:t>
      </w:r>
      <w:r w:rsidR="007F748E" w:rsidRPr="007F748E">
        <w:rPr>
          <w:szCs w:val="22"/>
          <w:vertAlign w:val="superscript"/>
        </w:rPr>
        <w:footnoteReference w:id="93"/>
      </w:r>
    </w:p>
    <w:p w:rsidR="00C21C77" w:rsidRPr="0008082C" w:rsidRDefault="00C21C77" w:rsidP="00C21C77">
      <w:pPr>
        <w:pStyle w:val="ParaNum"/>
        <w:rPr>
          <w:szCs w:val="22"/>
        </w:rPr>
      </w:pPr>
      <w:r w:rsidRPr="0008082C">
        <w:rPr>
          <w:szCs w:val="22"/>
        </w:rPr>
        <w:t>The Applicants contend that the Commission should apply its current spectrum screen, and that the Commission should consider its policies regarding mobile spectrum holdings in the Commission’s separate industry-wide rulemaking proceeding.</w:t>
      </w:r>
      <w:r w:rsidRPr="0008082C">
        <w:rPr>
          <w:rStyle w:val="FootnoteReference"/>
          <w:szCs w:val="22"/>
        </w:rPr>
        <w:footnoteReference w:id="94"/>
      </w:r>
      <w:r w:rsidRPr="0008082C">
        <w:rPr>
          <w:szCs w:val="22"/>
        </w:rPr>
        <w:t xml:space="preserve">  The Applicants assert that the Commission has in the past routinely decided that it will not consider the issues raised in a license assignment or transfer proceeding if those issues are being addressed in a separate industry-wide rulemaking proceeding.</w:t>
      </w:r>
      <w:r w:rsidRPr="0008082C">
        <w:rPr>
          <w:rStyle w:val="FootnoteReference"/>
          <w:szCs w:val="22"/>
        </w:rPr>
        <w:footnoteReference w:id="95"/>
      </w:r>
      <w:r w:rsidRPr="0008082C">
        <w:rPr>
          <w:szCs w:val="22"/>
        </w:rPr>
        <w:t xml:space="preserve">  The Applicants argue that the Commission stated that while the Mobile Spectrum Holdings proceeding is pending, it will continue to apply its current case-by-case approach to evaluate mobile spectrum holdings.</w:t>
      </w:r>
      <w:r w:rsidRPr="0008082C">
        <w:rPr>
          <w:rStyle w:val="FootnoteReference"/>
          <w:szCs w:val="22"/>
        </w:rPr>
        <w:footnoteReference w:id="96"/>
      </w:r>
    </w:p>
    <w:p w:rsidR="00C21C77" w:rsidRPr="002C00EC" w:rsidRDefault="00C21C77" w:rsidP="002C00EC">
      <w:pPr>
        <w:pStyle w:val="ParaNum"/>
        <w:rPr>
          <w:szCs w:val="22"/>
        </w:rPr>
      </w:pPr>
      <w:r w:rsidRPr="002C00EC">
        <w:rPr>
          <w:i/>
          <w:szCs w:val="22"/>
        </w:rPr>
        <w:t>Discussion</w:t>
      </w:r>
      <w:r w:rsidRPr="002C00EC">
        <w:rPr>
          <w:szCs w:val="22"/>
        </w:rPr>
        <w:t xml:space="preserve">.  </w:t>
      </w:r>
      <w:r w:rsidR="0011781B" w:rsidRPr="002C00EC">
        <w:rPr>
          <w:szCs w:val="22"/>
        </w:rPr>
        <w:t>For purposes of the instant transactions, we decline to modify the current spectrum screen with respect to trigger level and weighting, as requested by certain parties.  As noted above, the Commission is reviewing these issues, along with a number of related issues, in an ongoing rulemaking proceeding.</w:t>
      </w:r>
      <w:r w:rsidR="0011781B" w:rsidRPr="000460D4">
        <w:rPr>
          <w:szCs w:val="22"/>
          <w:vertAlign w:val="superscript"/>
        </w:rPr>
        <w:footnoteReference w:id="97"/>
      </w:r>
      <w:r w:rsidR="0011781B" w:rsidRPr="002C00EC">
        <w:rPr>
          <w:szCs w:val="22"/>
        </w:rPr>
        <w:t xml:space="preserve">  </w:t>
      </w:r>
    </w:p>
    <w:p w:rsidR="00226C48" w:rsidRDefault="00226C48" w:rsidP="00723C80">
      <w:pPr>
        <w:pStyle w:val="Heading2"/>
      </w:pPr>
      <w:bookmarkStart w:id="169" w:name="_Toc365625587"/>
      <w:bookmarkStart w:id="170" w:name="_Toc365626588"/>
      <w:bookmarkStart w:id="171" w:name="_Toc365626789"/>
      <w:bookmarkStart w:id="172" w:name="_Toc365631639"/>
      <w:bookmarkStart w:id="173" w:name="_Toc365981449"/>
      <w:r w:rsidRPr="002235D2">
        <w:t>Competitive Analysis</w:t>
      </w:r>
      <w:bookmarkEnd w:id="169"/>
      <w:bookmarkEnd w:id="170"/>
      <w:bookmarkEnd w:id="171"/>
      <w:bookmarkEnd w:id="172"/>
      <w:bookmarkEnd w:id="173"/>
    </w:p>
    <w:p w:rsidR="002C00EC" w:rsidRDefault="002C00EC" w:rsidP="00685235">
      <w:pPr>
        <w:pStyle w:val="ParaNum"/>
        <w:rPr>
          <w:bCs/>
          <w:szCs w:val="22"/>
        </w:rPr>
      </w:pPr>
      <w:r>
        <w:rPr>
          <w:bCs/>
          <w:szCs w:val="22"/>
        </w:rPr>
        <w:t>F</w:t>
      </w:r>
      <w:r w:rsidRPr="002C00EC">
        <w:rPr>
          <w:bCs/>
          <w:szCs w:val="22"/>
        </w:rPr>
        <w:t>or the instant transactions, we apply the Commission’s current screen to help identify local markets where spectrum concentration may raise particular concerns, further evaluating the potential competitive impacts from the increase in spectrum holdings in any markets triggered by the screen.</w:t>
      </w:r>
      <w:r w:rsidRPr="002C00EC">
        <w:rPr>
          <w:bCs/>
          <w:szCs w:val="22"/>
          <w:vertAlign w:val="superscript"/>
        </w:rPr>
        <w:footnoteReference w:id="98"/>
      </w:r>
      <w:r w:rsidRPr="002C00EC">
        <w:rPr>
          <w:bCs/>
          <w:szCs w:val="22"/>
        </w:rPr>
        <w:t xml:space="preserve">  Moreover, consistent with the Commission’s review of recent transactions, we examine more closely the potential competitive effects of spectrum holdings below 1 GHz as well as spectrum holdings in specific bands, such as AWS-1, that might be used for the provision of mobile broadband services.</w:t>
      </w:r>
      <w:r w:rsidRPr="002C00EC">
        <w:rPr>
          <w:bCs/>
          <w:szCs w:val="22"/>
          <w:vertAlign w:val="superscript"/>
        </w:rPr>
        <w:footnoteReference w:id="99"/>
      </w:r>
      <w:r w:rsidRPr="002C00EC">
        <w:rPr>
          <w:bCs/>
          <w:szCs w:val="22"/>
        </w:rPr>
        <w:t xml:space="preserve">  Specifically, we examine below:  (</w:t>
      </w:r>
      <w:r w:rsidR="008079CC">
        <w:rPr>
          <w:bCs/>
          <w:szCs w:val="22"/>
        </w:rPr>
        <w:t>1</w:t>
      </w:r>
      <w:r w:rsidRPr="002C00EC">
        <w:rPr>
          <w:bCs/>
          <w:szCs w:val="22"/>
        </w:rPr>
        <w:t>) AT&amp;T’s acquisition and leasing of the Lower 700 MHz Band B Block licenses and the increase in below 1 GHz spectrum holdings that would result post-transaction; (</w:t>
      </w:r>
      <w:r w:rsidR="008079CC">
        <w:rPr>
          <w:bCs/>
          <w:szCs w:val="22"/>
        </w:rPr>
        <w:t>2</w:t>
      </w:r>
      <w:r w:rsidRPr="002C00EC">
        <w:rPr>
          <w:bCs/>
          <w:szCs w:val="22"/>
        </w:rPr>
        <w:t>)</w:t>
      </w:r>
      <w:r w:rsidR="00894C0E">
        <w:rPr>
          <w:bCs/>
          <w:szCs w:val="22"/>
        </w:rPr>
        <w:t> </w:t>
      </w:r>
      <w:r w:rsidRPr="002C00EC">
        <w:rPr>
          <w:bCs/>
          <w:szCs w:val="22"/>
        </w:rPr>
        <w:t>Verizon Wireless’s acquisition and leasing of AWS-1 spectrum and the</w:t>
      </w:r>
      <w:r w:rsidR="00685235">
        <w:rPr>
          <w:bCs/>
          <w:szCs w:val="22"/>
        </w:rPr>
        <w:t xml:space="preserve"> increase in </w:t>
      </w:r>
      <w:r w:rsidRPr="002C00EC">
        <w:rPr>
          <w:bCs/>
          <w:szCs w:val="22"/>
        </w:rPr>
        <w:t xml:space="preserve">AWS-1 spectrum holdings </w:t>
      </w:r>
      <w:r w:rsidR="00685235">
        <w:rPr>
          <w:bCs/>
          <w:szCs w:val="22"/>
        </w:rPr>
        <w:t>that would result post-</w:t>
      </w:r>
      <w:r w:rsidRPr="002C00EC">
        <w:rPr>
          <w:bCs/>
          <w:szCs w:val="22"/>
        </w:rPr>
        <w:t>transaction</w:t>
      </w:r>
      <w:r w:rsidR="008079CC">
        <w:rPr>
          <w:bCs/>
          <w:szCs w:val="22"/>
        </w:rPr>
        <w:t>; and (3) spectrum transactions involving Grain I and Grain II</w:t>
      </w:r>
      <w:r w:rsidRPr="002C00EC">
        <w:rPr>
          <w:bCs/>
          <w:szCs w:val="22"/>
        </w:rPr>
        <w:t>.</w:t>
      </w:r>
    </w:p>
    <w:p w:rsidR="002C00EC" w:rsidRDefault="002C00EC" w:rsidP="0017094E">
      <w:pPr>
        <w:pStyle w:val="Heading3"/>
      </w:pPr>
      <w:bookmarkStart w:id="174" w:name="_Toc365625588"/>
      <w:bookmarkStart w:id="175" w:name="_Toc365626589"/>
      <w:bookmarkStart w:id="176" w:name="_Toc365626790"/>
      <w:bookmarkStart w:id="177" w:name="_Toc365631640"/>
      <w:bookmarkStart w:id="178" w:name="_Toc365981450"/>
      <w:r w:rsidRPr="00D372F5">
        <w:t>Background</w:t>
      </w:r>
      <w:bookmarkEnd w:id="174"/>
      <w:bookmarkEnd w:id="175"/>
      <w:bookmarkEnd w:id="176"/>
      <w:bookmarkEnd w:id="177"/>
      <w:bookmarkEnd w:id="178"/>
    </w:p>
    <w:p w:rsidR="00AA66C5" w:rsidRPr="00443CE7" w:rsidRDefault="007F748E" w:rsidP="00F076C4">
      <w:pPr>
        <w:pStyle w:val="ParaNum"/>
        <w:rPr>
          <w:color w:val="010101"/>
          <w:kern w:val="0"/>
        </w:rPr>
      </w:pPr>
      <w:r w:rsidRPr="007F748E">
        <w:t xml:space="preserve">Some parties contend that AT&amp;T and Verizon Wireless currently dominate the wireless industry, and </w:t>
      </w:r>
      <w:r w:rsidR="00F076C4">
        <w:t xml:space="preserve">that </w:t>
      </w:r>
      <w:r w:rsidRPr="007F748E">
        <w:t>post-transaction</w:t>
      </w:r>
      <w:r w:rsidR="00AB7FB7">
        <w:t xml:space="preserve"> </w:t>
      </w:r>
      <w:r w:rsidRPr="007F748E">
        <w:t>they would hold excessive amounts of spectrum in a number of markets across the country.</w:t>
      </w:r>
      <w:r w:rsidRPr="007F748E">
        <w:rPr>
          <w:vertAlign w:val="superscript"/>
        </w:rPr>
        <w:footnoteReference w:id="100"/>
      </w:r>
      <w:r w:rsidRPr="007F748E">
        <w:t xml:space="preserve">  Petitioners and commenters claim that AT&amp;T and Verizon Wireless have increasingly strengthened their position vis-à-vis </w:t>
      </w:r>
      <w:r w:rsidR="00F076C4">
        <w:t>other providers</w:t>
      </w:r>
      <w:r w:rsidRPr="007F748E">
        <w:t xml:space="preserve"> by accumulating substantial amounts of suitable and available spectrum </w:t>
      </w:r>
      <w:r w:rsidR="00AB7FB7">
        <w:t xml:space="preserve">both </w:t>
      </w:r>
      <w:r w:rsidRPr="007F748E">
        <w:t xml:space="preserve">in total and with respect to spectrum holdings below 1 GHz, including the </w:t>
      </w:r>
      <w:r w:rsidR="006977BC">
        <w:t xml:space="preserve">Lower </w:t>
      </w:r>
      <w:r w:rsidRPr="007F748E">
        <w:t>700 MHz Band.</w:t>
      </w:r>
      <w:r w:rsidRPr="007F748E">
        <w:rPr>
          <w:vertAlign w:val="superscript"/>
        </w:rPr>
        <w:footnoteReference w:id="101"/>
      </w:r>
      <w:r w:rsidRPr="007F748E">
        <w:t xml:space="preserve">  Further, DISH argues that these transactions would result in AT&amp;T and Verizon Wireless increasing </w:t>
      </w:r>
      <w:r w:rsidR="00AB7FB7">
        <w:t xml:space="preserve">their </w:t>
      </w:r>
      <w:r w:rsidRPr="007F748E">
        <w:t>holdings of 700 MHz spectrum and AWS</w:t>
      </w:r>
      <w:r w:rsidR="00F11527">
        <w:t>-1</w:t>
      </w:r>
      <w:r w:rsidRPr="007F748E">
        <w:t xml:space="preserve"> spectrum, respectively – two bands that are important for the deployment of LTE mobile systems.</w:t>
      </w:r>
      <w:r w:rsidRPr="007F748E">
        <w:rPr>
          <w:vertAlign w:val="superscript"/>
        </w:rPr>
        <w:footnoteReference w:id="102"/>
      </w:r>
      <w:r w:rsidRPr="007F748E">
        <w:t xml:space="preserve">  Parties argue that the proposed transactions would result in diminished competition.</w:t>
      </w:r>
      <w:r w:rsidRPr="007F748E">
        <w:rPr>
          <w:vertAlign w:val="superscript"/>
        </w:rPr>
        <w:footnoteReference w:id="103"/>
      </w:r>
      <w:r w:rsidRPr="007F748E">
        <w:t xml:space="preserve">  Petitioners and comment</w:t>
      </w:r>
      <w:r w:rsidR="006977BC">
        <w:t>er</w:t>
      </w:r>
      <w:r w:rsidRPr="007F748E">
        <w:t>s request that the Commission deny the applications, require spectrum divestiture or leasing, or impose certain conditions.</w:t>
      </w:r>
      <w:r w:rsidRPr="007F748E">
        <w:rPr>
          <w:vertAlign w:val="superscript"/>
        </w:rPr>
        <w:footnoteReference w:id="104"/>
      </w:r>
      <w:r w:rsidR="006A37D6" w:rsidRPr="006A37D6">
        <w:t xml:space="preserve">  </w:t>
      </w:r>
    </w:p>
    <w:p w:rsidR="002C00EC" w:rsidRPr="00AE4DC7" w:rsidRDefault="00FF0641" w:rsidP="00AE4DC7">
      <w:pPr>
        <w:pStyle w:val="ParaNum"/>
      </w:pPr>
      <w:r w:rsidRPr="003B7347">
        <w:rPr>
          <w:szCs w:val="22"/>
        </w:rPr>
        <w:t>The Applicants assert that there would be no potential public interest harms to competition as a result of the assignments and leasing involved in this proceeding.</w:t>
      </w:r>
      <w:r w:rsidRPr="00033EA9">
        <w:rPr>
          <w:rStyle w:val="FootnoteReference"/>
          <w:szCs w:val="22"/>
        </w:rPr>
        <w:footnoteReference w:id="105"/>
      </w:r>
      <w:r w:rsidRPr="003B7347">
        <w:rPr>
          <w:szCs w:val="22"/>
        </w:rPr>
        <w:t xml:space="preserve">  The spectrum-only assignments and leases, the Applicants state, do not involve the transfer of any business facilities or other assets or customers, nor would there be a reduction in the number of wireless providers to choose from or an increase in market share.</w:t>
      </w:r>
      <w:r w:rsidRPr="00033EA9">
        <w:rPr>
          <w:rStyle w:val="FootnoteReference"/>
          <w:szCs w:val="22"/>
        </w:rPr>
        <w:footnoteReference w:id="106"/>
      </w:r>
      <w:r w:rsidRPr="003B7347">
        <w:rPr>
          <w:szCs w:val="22"/>
        </w:rPr>
        <w:t xml:space="preserve">  </w:t>
      </w:r>
      <w:r w:rsidR="0032719D" w:rsidRPr="003B7347">
        <w:rPr>
          <w:szCs w:val="22"/>
        </w:rPr>
        <w:t>The Applicants further contend that there is only a portion of one CMA where the spectrum screen is triggered, and that in this market there are multiple competitors that preclude the risk of potential competitive harm from spectrum aggregation.</w:t>
      </w:r>
      <w:r w:rsidR="0032719D" w:rsidRPr="0032719D">
        <w:rPr>
          <w:szCs w:val="22"/>
          <w:vertAlign w:val="superscript"/>
        </w:rPr>
        <w:footnoteReference w:id="107"/>
      </w:r>
      <w:r w:rsidR="0032719D" w:rsidRPr="003B7347">
        <w:rPr>
          <w:szCs w:val="22"/>
        </w:rPr>
        <w:t xml:space="preserve">  </w:t>
      </w:r>
      <w:r w:rsidRPr="003B7347">
        <w:rPr>
          <w:szCs w:val="22"/>
        </w:rPr>
        <w:t>Moreover, the Applicants argue that for each of the markets involved, there are numerous wireless providers and other spectrum licensees that can enter the market and provide additional competitive choices.</w:t>
      </w:r>
      <w:r w:rsidRPr="00033EA9">
        <w:rPr>
          <w:rStyle w:val="FootnoteReference"/>
          <w:szCs w:val="22"/>
        </w:rPr>
        <w:footnoteReference w:id="108"/>
      </w:r>
      <w:r w:rsidRPr="003B7347">
        <w:rPr>
          <w:szCs w:val="22"/>
        </w:rPr>
        <w:t xml:space="preserve">  The Applicants also argue that requests by parties to require spectrum divestitures or leasing are based on issues that are non-transaction-specific, and therefore should not be addressed in this proceeding.</w:t>
      </w:r>
      <w:r w:rsidRPr="00033EA9">
        <w:rPr>
          <w:rStyle w:val="FootnoteReference"/>
          <w:szCs w:val="22"/>
        </w:rPr>
        <w:footnoteReference w:id="109"/>
      </w:r>
    </w:p>
    <w:p w:rsidR="002C00EC" w:rsidRDefault="002C00EC" w:rsidP="00C21C77">
      <w:pPr>
        <w:pStyle w:val="Heading3"/>
      </w:pPr>
      <w:bookmarkStart w:id="179" w:name="_Toc365625589"/>
      <w:bookmarkStart w:id="180" w:name="_Toc365626590"/>
      <w:bookmarkStart w:id="181" w:name="_Toc365626791"/>
      <w:bookmarkStart w:id="182" w:name="_Toc365631641"/>
      <w:bookmarkStart w:id="183" w:name="_Toc365981451"/>
      <w:r>
        <w:t>Discussion</w:t>
      </w:r>
      <w:bookmarkEnd w:id="179"/>
      <w:bookmarkEnd w:id="180"/>
      <w:bookmarkEnd w:id="181"/>
      <w:bookmarkEnd w:id="182"/>
      <w:bookmarkEnd w:id="183"/>
    </w:p>
    <w:p w:rsidR="00C21C77" w:rsidRPr="00995B8F" w:rsidRDefault="00C21C77" w:rsidP="00AE4DC7">
      <w:pPr>
        <w:pStyle w:val="Heading4"/>
      </w:pPr>
      <w:bookmarkStart w:id="184" w:name="_Toc365625590"/>
      <w:bookmarkStart w:id="185" w:name="_Toc365626591"/>
      <w:bookmarkStart w:id="186" w:name="_Toc365626792"/>
      <w:bookmarkStart w:id="187" w:name="_Toc365631642"/>
      <w:bookmarkStart w:id="188" w:name="_Toc365981452"/>
      <w:r w:rsidRPr="00C0515C">
        <w:t>AT&amp;T</w:t>
      </w:r>
      <w:r w:rsidR="006A39C4">
        <w:t>’s</w:t>
      </w:r>
      <w:r w:rsidRPr="00C0515C">
        <w:t xml:space="preserve"> </w:t>
      </w:r>
      <w:r>
        <w:t xml:space="preserve">Acquisition of </w:t>
      </w:r>
      <w:r w:rsidR="00A00F5D">
        <w:t xml:space="preserve">Lower </w:t>
      </w:r>
      <w:r>
        <w:t>700 MHz Band B Block Spectrum</w:t>
      </w:r>
      <w:bookmarkEnd w:id="184"/>
      <w:bookmarkEnd w:id="185"/>
      <w:bookmarkEnd w:id="186"/>
      <w:bookmarkEnd w:id="187"/>
      <w:bookmarkEnd w:id="188"/>
    </w:p>
    <w:p w:rsidR="006A37D6" w:rsidRDefault="00C21C77" w:rsidP="00DF7A34">
      <w:pPr>
        <w:pStyle w:val="ParaNum"/>
        <w:rPr>
          <w:szCs w:val="22"/>
        </w:rPr>
      </w:pPr>
      <w:r w:rsidRPr="006A37D6">
        <w:rPr>
          <w:szCs w:val="22"/>
        </w:rPr>
        <w:t xml:space="preserve">We </w:t>
      </w:r>
      <w:r w:rsidR="006A39C4">
        <w:rPr>
          <w:szCs w:val="22"/>
        </w:rPr>
        <w:t xml:space="preserve">first </w:t>
      </w:r>
      <w:r w:rsidRPr="006A37D6">
        <w:rPr>
          <w:szCs w:val="22"/>
        </w:rPr>
        <w:t xml:space="preserve">apply the initial spectrum screen to AT&amp;T’s acquisition of 39 Lower 700 MHz </w:t>
      </w:r>
      <w:r w:rsidR="00A00F5D" w:rsidRPr="006A37D6">
        <w:rPr>
          <w:szCs w:val="22"/>
        </w:rPr>
        <w:t xml:space="preserve">Band </w:t>
      </w:r>
      <w:r w:rsidRPr="006A37D6">
        <w:rPr>
          <w:szCs w:val="22"/>
        </w:rPr>
        <w:t xml:space="preserve">B Block licenses from Verizon Wireless and the long-term </w:t>
      </w:r>
      <w:r w:rsidRPr="006A37D6">
        <w:rPr>
          <w:i/>
          <w:szCs w:val="22"/>
        </w:rPr>
        <w:t>de facto</w:t>
      </w:r>
      <w:r w:rsidRPr="006A37D6">
        <w:rPr>
          <w:szCs w:val="22"/>
        </w:rPr>
        <w:t xml:space="preserve"> lease of three Lower 700 MHz </w:t>
      </w:r>
      <w:r w:rsidR="00A00F5D" w:rsidRPr="006A37D6">
        <w:rPr>
          <w:szCs w:val="22"/>
        </w:rPr>
        <w:t xml:space="preserve">Band </w:t>
      </w:r>
      <w:r w:rsidRPr="006A37D6">
        <w:rPr>
          <w:szCs w:val="22"/>
        </w:rPr>
        <w:t>B Block licenses from Grain I.  The total spectrum screen is not triggered in any of these 4</w:t>
      </w:r>
      <w:r w:rsidR="000E74E7" w:rsidRPr="006A37D6">
        <w:rPr>
          <w:szCs w:val="22"/>
        </w:rPr>
        <w:t>2</w:t>
      </w:r>
      <w:r w:rsidRPr="006A37D6">
        <w:rPr>
          <w:szCs w:val="22"/>
        </w:rPr>
        <w:t xml:space="preserve"> markets</w:t>
      </w:r>
      <w:r w:rsidR="006A39C4">
        <w:rPr>
          <w:szCs w:val="22"/>
        </w:rPr>
        <w:t>,</w:t>
      </w:r>
      <w:r w:rsidRPr="006A37D6">
        <w:rPr>
          <w:szCs w:val="22"/>
        </w:rPr>
        <w:t xml:space="preserve"> </w:t>
      </w:r>
      <w:r w:rsidR="006A39C4" w:rsidRPr="006A39C4">
        <w:rPr>
          <w:szCs w:val="22"/>
        </w:rPr>
        <w:t>and we find no reason to be concerned about the total amount of spectrum AT&amp;T would hold as a result of the proposed transactions</w:t>
      </w:r>
      <w:r w:rsidR="006A39C4">
        <w:rPr>
          <w:szCs w:val="22"/>
        </w:rPr>
        <w:t xml:space="preserve">. </w:t>
      </w:r>
      <w:r w:rsidR="006A39C4" w:rsidRPr="006A39C4">
        <w:rPr>
          <w:bCs/>
          <w:szCs w:val="22"/>
        </w:rPr>
        <w:t xml:space="preserve"> </w:t>
      </w:r>
      <w:r w:rsidR="009100D2" w:rsidRPr="006A37D6">
        <w:rPr>
          <w:bCs/>
          <w:szCs w:val="22"/>
        </w:rPr>
        <w:t>Consistent with Commission</w:t>
      </w:r>
      <w:r w:rsidR="00DF7A34">
        <w:rPr>
          <w:bCs/>
          <w:szCs w:val="22"/>
        </w:rPr>
        <w:t xml:space="preserve"> precedent</w:t>
      </w:r>
      <w:r w:rsidR="006A39C4">
        <w:rPr>
          <w:bCs/>
          <w:szCs w:val="22"/>
        </w:rPr>
        <w:t>,</w:t>
      </w:r>
      <w:r w:rsidR="009100D2" w:rsidRPr="009100D2">
        <w:rPr>
          <w:bCs/>
          <w:szCs w:val="22"/>
          <w:vertAlign w:val="superscript"/>
        </w:rPr>
        <w:footnoteReference w:id="110"/>
      </w:r>
      <w:r w:rsidR="006A39C4">
        <w:rPr>
          <w:bCs/>
          <w:szCs w:val="22"/>
        </w:rPr>
        <w:t xml:space="preserve"> however,</w:t>
      </w:r>
      <w:r w:rsidR="009100D2" w:rsidRPr="006A37D6">
        <w:rPr>
          <w:bCs/>
          <w:szCs w:val="22"/>
        </w:rPr>
        <w:t xml:space="preserve"> </w:t>
      </w:r>
      <w:r w:rsidR="00F52B25" w:rsidRPr="006A37D6">
        <w:rPr>
          <w:bCs/>
          <w:szCs w:val="22"/>
        </w:rPr>
        <w:t xml:space="preserve">and </w:t>
      </w:r>
      <w:r w:rsidR="006A39C4">
        <w:rPr>
          <w:bCs/>
          <w:szCs w:val="22"/>
        </w:rPr>
        <w:t xml:space="preserve">in response to issues raised </w:t>
      </w:r>
      <w:r w:rsidR="006A39C4">
        <w:rPr>
          <w:szCs w:val="22"/>
        </w:rPr>
        <w:t>by petitioners and commenters</w:t>
      </w:r>
      <w:r w:rsidR="009100D2" w:rsidRPr="006A37D6">
        <w:rPr>
          <w:szCs w:val="22"/>
        </w:rPr>
        <w:t xml:space="preserve"> in this proceeding</w:t>
      </w:r>
      <w:r w:rsidR="006A39C4">
        <w:rPr>
          <w:szCs w:val="22"/>
        </w:rPr>
        <w:t>,</w:t>
      </w:r>
      <w:r w:rsidR="009100D2" w:rsidRPr="006A37D6">
        <w:rPr>
          <w:szCs w:val="22"/>
        </w:rPr>
        <w:t xml:space="preserve"> we </w:t>
      </w:r>
      <w:r w:rsidR="00F52B25" w:rsidRPr="006A37D6">
        <w:rPr>
          <w:bCs/>
          <w:szCs w:val="22"/>
        </w:rPr>
        <w:t xml:space="preserve">examine more closely the potential competitive effects of </w:t>
      </w:r>
      <w:r w:rsidR="009100D2" w:rsidRPr="006A37D6">
        <w:rPr>
          <w:szCs w:val="22"/>
        </w:rPr>
        <w:t xml:space="preserve">AT&amp;T’s below 1 GHz </w:t>
      </w:r>
      <w:r w:rsidR="00DF64C4">
        <w:rPr>
          <w:szCs w:val="22"/>
        </w:rPr>
        <w:t>spectrum holdings</w:t>
      </w:r>
      <w:r w:rsidR="00B33E31">
        <w:rPr>
          <w:szCs w:val="22"/>
        </w:rPr>
        <w:t xml:space="preserve"> in markets in which it is acquiring spectrum from Verizon Wireless and Grain</w:t>
      </w:r>
      <w:r w:rsidR="00AC72EC">
        <w:rPr>
          <w:szCs w:val="22"/>
        </w:rPr>
        <w:t xml:space="preserve"> I</w:t>
      </w:r>
      <w:r w:rsidR="00B33E31">
        <w:rPr>
          <w:szCs w:val="22"/>
        </w:rPr>
        <w:t>.</w:t>
      </w:r>
    </w:p>
    <w:p w:rsidR="00C21C77" w:rsidRDefault="00C21C77" w:rsidP="007B4A2C">
      <w:pPr>
        <w:pStyle w:val="ParaNum"/>
      </w:pPr>
      <w:r>
        <w:t xml:space="preserve">The </w:t>
      </w:r>
      <w:r w:rsidRPr="0040056E">
        <w:t xml:space="preserve">Commission has </w:t>
      </w:r>
      <w:r>
        <w:t xml:space="preserve">previously </w:t>
      </w:r>
      <w:r w:rsidRPr="0040056E">
        <w:t xml:space="preserve">noted that </w:t>
      </w:r>
      <w:r>
        <w:t xml:space="preserve">lower frequency spectrum, </w:t>
      </w:r>
      <w:r w:rsidRPr="0040056E">
        <w:rPr>
          <w:i/>
        </w:rPr>
        <w:t>i.e</w:t>
      </w:r>
      <w:r w:rsidRPr="0040056E">
        <w:t>., spectrum below 1 GHz</w:t>
      </w:r>
      <w:r>
        <w:t xml:space="preserve">, possesses </w:t>
      </w:r>
      <w:r w:rsidRPr="0040056E">
        <w:t>more favorable propagation characteristics,</w:t>
      </w:r>
      <w:r>
        <w:t xml:space="preserve"> such as </w:t>
      </w:r>
      <w:r w:rsidRPr="0040056E">
        <w:t xml:space="preserve">better coverage across larger geographic areas and </w:t>
      </w:r>
      <w:r>
        <w:t>superior in-building penetration.</w:t>
      </w:r>
      <w:r w:rsidRPr="0040056E">
        <w:rPr>
          <w:rStyle w:val="FootnoteReference"/>
        </w:rPr>
        <w:footnoteReference w:id="111"/>
      </w:r>
      <w:r w:rsidRPr="0040056E">
        <w:t xml:space="preserve"> </w:t>
      </w:r>
      <w:r>
        <w:t xml:space="preserve"> H</w:t>
      </w:r>
      <w:r w:rsidRPr="0040056E">
        <w:t>igher frequency spectrum</w:t>
      </w:r>
      <w:r>
        <w:t>, on the other hand,</w:t>
      </w:r>
      <w:r w:rsidRPr="0040056E">
        <w:t xml:space="preserve"> may be we</w:t>
      </w:r>
      <w:r>
        <w:t xml:space="preserve">ll-suited for providing </w:t>
      </w:r>
      <w:r w:rsidRPr="00B53FFB">
        <w:rPr>
          <w:color w:val="000000"/>
        </w:rPr>
        <w:t>increase</w:t>
      </w:r>
      <w:r>
        <w:rPr>
          <w:color w:val="000000"/>
        </w:rPr>
        <w:t>d</w:t>
      </w:r>
      <w:r w:rsidRPr="00B53FFB">
        <w:rPr>
          <w:color w:val="000000"/>
        </w:rPr>
        <w:t xml:space="preserve"> capacity where needed</w:t>
      </w:r>
      <w:r w:rsidRPr="0040056E">
        <w:t>, such as in high-traffic urban areas</w:t>
      </w:r>
      <w:r w:rsidRPr="00B53FFB">
        <w:rPr>
          <w:color w:val="000000"/>
        </w:rPr>
        <w:t>, especially to provide higher data rates, and to fill in gaps in coverage</w:t>
      </w:r>
      <w:r w:rsidRPr="0040056E">
        <w:t>.</w:t>
      </w:r>
      <w:r w:rsidR="00E92AE2">
        <w:rPr>
          <w:rStyle w:val="FootnoteReference"/>
        </w:rPr>
        <w:footnoteReference w:id="112"/>
      </w:r>
      <w:r w:rsidRPr="0040056E">
        <w:t xml:space="preserve">  Because the properties of lower </w:t>
      </w:r>
      <w:r>
        <w:t xml:space="preserve">frequency </w:t>
      </w:r>
      <w:r w:rsidRPr="0040056E">
        <w:t xml:space="preserve">and higher frequency spectrum are complementary, the Commission has recognized that both types of spectrum may be helpful for the </w:t>
      </w:r>
      <w:r w:rsidRPr="00D61A94">
        <w:t xml:space="preserve">development of an effective nationwide competitor that can address both coverage and capacity </w:t>
      </w:r>
      <w:r>
        <w:t>needs</w:t>
      </w:r>
      <w:r w:rsidRPr="007E399D">
        <w:t xml:space="preserve">, </w:t>
      </w:r>
      <w:r>
        <w:t xml:space="preserve">and </w:t>
      </w:r>
      <w:r w:rsidRPr="007E399D">
        <w:t>a provider is best positioned if it holds complementary spectrum bands</w:t>
      </w:r>
      <w:r w:rsidRPr="0040056E">
        <w:t>.</w:t>
      </w:r>
      <w:r w:rsidRPr="0040056E">
        <w:rPr>
          <w:rStyle w:val="FootnoteReference"/>
        </w:rPr>
        <w:footnoteReference w:id="113"/>
      </w:r>
      <w:r w:rsidRPr="0040056E" w:rsidDel="001C34C5">
        <w:t xml:space="preserve"> </w:t>
      </w:r>
      <w:r w:rsidRPr="0040056E">
        <w:t xml:space="preserve"> </w:t>
      </w:r>
      <w:r>
        <w:t>In addition, lower frequency spectrum has advantages for coverage in rural areas compared to higher-frequency bands.</w:t>
      </w:r>
      <w:r>
        <w:rPr>
          <w:rStyle w:val="FootnoteReference"/>
        </w:rPr>
        <w:footnoteReference w:id="114"/>
      </w:r>
      <w:r>
        <w:t xml:space="preserve">  </w:t>
      </w:r>
      <w:r w:rsidRPr="0040056E">
        <w:t xml:space="preserve">The Commission also has noted that </w:t>
      </w:r>
      <w:r>
        <w:t xml:space="preserve">currently </w:t>
      </w:r>
      <w:r w:rsidRPr="0040056E">
        <w:t xml:space="preserve">there is significantly more </w:t>
      </w:r>
      <w:r>
        <w:t xml:space="preserve">spectrum </w:t>
      </w:r>
      <w:r w:rsidRPr="0040056E">
        <w:t>above 1 GHz potentially available for mobile broadband services than</w:t>
      </w:r>
      <w:r>
        <w:t xml:space="preserve"> spectrum</w:t>
      </w:r>
      <w:r w:rsidRPr="0040056E">
        <w:t xml:space="preserve"> below 1 GHz</w:t>
      </w:r>
      <w:r>
        <w:t>.</w:t>
      </w:r>
      <w:r w:rsidRPr="0040056E">
        <w:rPr>
          <w:rStyle w:val="FootnoteReference"/>
        </w:rPr>
        <w:footnoteReference w:id="115"/>
      </w:r>
    </w:p>
    <w:p w:rsidR="000E2B71" w:rsidRPr="00255752" w:rsidRDefault="000E2B71" w:rsidP="00AF5205">
      <w:pPr>
        <w:pStyle w:val="ParaNum"/>
      </w:pPr>
      <w:r>
        <w:t>W</w:t>
      </w:r>
      <w:r w:rsidRPr="008868BD">
        <w:t xml:space="preserve">e </w:t>
      </w:r>
      <w:r>
        <w:t xml:space="preserve">therefore </w:t>
      </w:r>
      <w:r w:rsidRPr="008868BD">
        <w:t xml:space="preserve">consider whether </w:t>
      </w:r>
      <w:r>
        <w:t xml:space="preserve">it is likely that there would be any </w:t>
      </w:r>
      <w:r w:rsidRPr="008868BD">
        <w:t xml:space="preserve">competitive </w:t>
      </w:r>
      <w:r>
        <w:t xml:space="preserve">or other public interest </w:t>
      </w:r>
      <w:r w:rsidR="00B33E31">
        <w:rPr>
          <w:bCs/>
        </w:rPr>
        <w:t xml:space="preserve">harms resulting from </w:t>
      </w:r>
      <w:r w:rsidR="00B33E31" w:rsidRPr="00B33E31">
        <w:rPr>
          <w:bCs/>
        </w:rPr>
        <w:t>AT&amp;T’s below 1 GHz spectrum holdings in markets in which it is acquiring spectrum from Verizon Wireless and Grain</w:t>
      </w:r>
      <w:r w:rsidR="00DF7A34">
        <w:rPr>
          <w:bCs/>
        </w:rPr>
        <w:t xml:space="preserve"> I</w:t>
      </w:r>
      <w:r w:rsidRPr="00255752">
        <w:t>.</w:t>
      </w:r>
      <w:r>
        <w:t xml:space="preserve">  Specifically, we consider whether this aggregation of spectrum below 1 GHz </w:t>
      </w:r>
      <w:r w:rsidR="00FA70B8">
        <w:t>c</w:t>
      </w:r>
      <w:r>
        <w:t xml:space="preserve">ould </w:t>
      </w:r>
      <w:r w:rsidRPr="004F51DF">
        <w:t xml:space="preserve">foreclose </w:t>
      </w:r>
      <w:r w:rsidR="00AF5205">
        <w:t xml:space="preserve">or raise costs of </w:t>
      </w:r>
      <w:r w:rsidRPr="004F51DF">
        <w:t>other service providers in th</w:t>
      </w:r>
      <w:r w:rsidR="00B33E31">
        <w:t>ese</w:t>
      </w:r>
      <w:r w:rsidRPr="004F51DF">
        <w:t xml:space="preserve"> market</w:t>
      </w:r>
      <w:r w:rsidR="00B33E31">
        <w:t>s</w:t>
      </w:r>
      <w:r w:rsidRPr="004F51DF">
        <w:t xml:space="preserve"> from deploying on</w:t>
      </w:r>
      <w:r w:rsidR="00723FB0">
        <w:t xml:space="preserve"> </w:t>
      </w:r>
      <w:r>
        <w:t xml:space="preserve">below </w:t>
      </w:r>
      <w:r w:rsidRPr="004F51DF">
        <w:t>1 GHz spectrum, and there</w:t>
      </w:r>
      <w:r w:rsidR="00B50EB1">
        <w:t>by</w:t>
      </w:r>
      <w:r w:rsidRPr="004F51DF">
        <w:t xml:space="preserve"> prevent such rival service providers from exerting an effective competitive constraint in the marketplace.</w:t>
      </w:r>
      <w:r>
        <w:t xml:space="preserve">  </w:t>
      </w:r>
      <w:r w:rsidR="00B6275E" w:rsidRPr="00B6275E">
        <w:t xml:space="preserve">We evaluate </w:t>
      </w:r>
      <w:r w:rsidR="00B50EB1">
        <w:t xml:space="preserve">in more detail </w:t>
      </w:r>
      <w:r w:rsidR="00694032">
        <w:t xml:space="preserve">below </w:t>
      </w:r>
      <w:r w:rsidR="00180F8E">
        <w:t xml:space="preserve">the </w:t>
      </w:r>
      <w:r w:rsidR="00B6275E" w:rsidRPr="00B6275E">
        <w:t xml:space="preserve">four markets </w:t>
      </w:r>
      <w:r w:rsidR="00B50EB1">
        <w:t xml:space="preserve">involved in this transaction </w:t>
      </w:r>
      <w:r w:rsidR="00694032">
        <w:t>in which AT&amp;T would hold</w:t>
      </w:r>
      <w:r w:rsidR="00B50EB1">
        <w:t>, post</w:t>
      </w:r>
      <w:r w:rsidR="00666BAB">
        <w:t>-</w:t>
      </w:r>
      <w:r w:rsidR="00B50EB1">
        <w:t>transaction, the greatest amount of</w:t>
      </w:r>
      <w:r w:rsidR="00694032">
        <w:t xml:space="preserve"> below 1 GHz spectrum</w:t>
      </w:r>
      <w:r w:rsidR="00B6275E" w:rsidRPr="00B6275E">
        <w:t>.</w:t>
      </w:r>
      <w:r w:rsidR="00B6275E" w:rsidRPr="00B6275E">
        <w:rPr>
          <w:vertAlign w:val="superscript"/>
        </w:rPr>
        <w:footnoteReference w:id="116"/>
      </w:r>
    </w:p>
    <w:p w:rsidR="005949DF" w:rsidRPr="004F12ED" w:rsidRDefault="005949DF" w:rsidP="00857D4D">
      <w:pPr>
        <w:pStyle w:val="ParaNum"/>
        <w:widowControl/>
        <w:rPr>
          <w:szCs w:val="22"/>
        </w:rPr>
      </w:pPr>
      <w:r w:rsidRPr="0008082C">
        <w:rPr>
          <w:szCs w:val="22"/>
        </w:rPr>
        <w:t xml:space="preserve">In two </w:t>
      </w:r>
      <w:r>
        <w:rPr>
          <w:szCs w:val="22"/>
        </w:rPr>
        <w:t>urban Florida CMAs,</w:t>
      </w:r>
      <w:r w:rsidRPr="0008082C">
        <w:rPr>
          <w:szCs w:val="22"/>
        </w:rPr>
        <w:t xml:space="preserve"> Miami-Fort Lauderdale (CMA 12) and West Palm Beach-Boca Raton (CMA 72), AT&amp;T would hold 80 megahertz of below 1 GHz spectrum post-transaction</w:t>
      </w:r>
      <w:r w:rsidR="00A67A95">
        <w:rPr>
          <w:szCs w:val="22"/>
        </w:rPr>
        <w:t>,</w:t>
      </w:r>
      <w:r w:rsidR="00A67A95" w:rsidRPr="00A67A95">
        <w:rPr>
          <w:rStyle w:val="FootnoteReference"/>
          <w:szCs w:val="22"/>
        </w:rPr>
        <w:t xml:space="preserve"> </w:t>
      </w:r>
      <w:r w:rsidR="00A67A95">
        <w:rPr>
          <w:rStyle w:val="FootnoteReference"/>
          <w:szCs w:val="22"/>
        </w:rPr>
        <w:footnoteReference w:id="117"/>
      </w:r>
      <w:r w:rsidR="006640DC" w:rsidRPr="006640DC">
        <w:rPr>
          <w:sz w:val="20"/>
          <w:szCs w:val="22"/>
          <w:vertAlign w:val="superscript"/>
        </w:rPr>
        <w:t xml:space="preserve"> </w:t>
      </w:r>
      <w:r w:rsidRPr="0008082C">
        <w:rPr>
          <w:szCs w:val="22"/>
        </w:rPr>
        <w:t xml:space="preserve"> </w:t>
      </w:r>
      <w:r w:rsidR="00A67A95">
        <w:rPr>
          <w:szCs w:val="22"/>
        </w:rPr>
        <w:t xml:space="preserve"> </w:t>
      </w:r>
      <w:r w:rsidR="00B50EB1" w:rsidRPr="000D40B1">
        <w:rPr>
          <w:szCs w:val="22"/>
        </w:rPr>
        <w:t xml:space="preserve">including </w:t>
      </w:r>
      <w:r w:rsidR="00B50EB1">
        <w:rPr>
          <w:szCs w:val="22"/>
        </w:rPr>
        <w:t xml:space="preserve">the Lower </w:t>
      </w:r>
      <w:r w:rsidR="00723FB0">
        <w:rPr>
          <w:szCs w:val="22"/>
        </w:rPr>
        <w:t xml:space="preserve">700 MHz Band </w:t>
      </w:r>
      <w:r w:rsidR="00B50EB1">
        <w:rPr>
          <w:szCs w:val="22"/>
        </w:rPr>
        <w:t xml:space="preserve">B Block license </w:t>
      </w:r>
      <w:r w:rsidR="00723FB0">
        <w:rPr>
          <w:szCs w:val="22"/>
        </w:rPr>
        <w:t xml:space="preserve">proposed to be </w:t>
      </w:r>
      <w:r w:rsidR="00B50EB1">
        <w:rPr>
          <w:szCs w:val="22"/>
        </w:rPr>
        <w:t xml:space="preserve">acquired in this transaction as well as </w:t>
      </w:r>
      <w:r>
        <w:rPr>
          <w:szCs w:val="22"/>
        </w:rPr>
        <w:t>both cellular licenses and the Lower 700 MHz Band C and D Block licenses.</w:t>
      </w:r>
      <w:r w:rsidR="00A67A95" w:rsidRPr="006640DC">
        <w:rPr>
          <w:szCs w:val="22"/>
          <w:vertAlign w:val="superscript"/>
        </w:rPr>
        <w:footnoteReference w:id="118"/>
      </w:r>
      <w:r w:rsidR="00A67A95" w:rsidRPr="0008082C">
        <w:rPr>
          <w:szCs w:val="22"/>
        </w:rPr>
        <w:t xml:space="preserve"> </w:t>
      </w:r>
      <w:r>
        <w:rPr>
          <w:szCs w:val="22"/>
        </w:rPr>
        <w:t xml:space="preserve"> </w:t>
      </w:r>
      <w:r w:rsidR="00F11527">
        <w:rPr>
          <w:szCs w:val="22"/>
        </w:rPr>
        <w:t xml:space="preserve">Verizon Wireless and </w:t>
      </w:r>
      <w:r>
        <w:rPr>
          <w:szCs w:val="22"/>
        </w:rPr>
        <w:t xml:space="preserve">Sprint also hold spectrum below 1 GHz, </w:t>
      </w:r>
      <w:r w:rsidR="00F11527">
        <w:rPr>
          <w:szCs w:val="22"/>
        </w:rPr>
        <w:t>34</w:t>
      </w:r>
      <w:r>
        <w:rPr>
          <w:szCs w:val="22"/>
        </w:rPr>
        <w:t xml:space="preserve"> megahertz and </w:t>
      </w:r>
      <w:r w:rsidR="00F11527">
        <w:rPr>
          <w:szCs w:val="22"/>
        </w:rPr>
        <w:t>16.5</w:t>
      </w:r>
      <w:r>
        <w:rPr>
          <w:szCs w:val="22"/>
        </w:rPr>
        <w:t xml:space="preserve"> megahertz, respectively, and T-Mobile holds significant spectrum above 1 GHz.</w:t>
      </w:r>
      <w:r>
        <w:rPr>
          <w:rStyle w:val="FootnoteReference"/>
          <w:szCs w:val="22"/>
        </w:rPr>
        <w:footnoteReference w:id="119"/>
      </w:r>
      <w:r>
        <w:rPr>
          <w:szCs w:val="22"/>
        </w:rPr>
        <w:t xml:space="preserve">  In these two CMAs, all four nationwide providers all have significant market share</w:t>
      </w:r>
      <w:r>
        <w:rPr>
          <w:rStyle w:val="FootnoteReference"/>
          <w:szCs w:val="22"/>
        </w:rPr>
        <w:footnoteReference w:id="120"/>
      </w:r>
      <w:r>
        <w:rPr>
          <w:szCs w:val="22"/>
        </w:rPr>
        <w:t xml:space="preserve"> and coverage.</w:t>
      </w:r>
      <w:r>
        <w:rPr>
          <w:rStyle w:val="FootnoteReference"/>
          <w:szCs w:val="22"/>
        </w:rPr>
        <w:footnoteReference w:id="121"/>
      </w:r>
      <w:r>
        <w:rPr>
          <w:szCs w:val="22"/>
        </w:rPr>
        <w:t xml:space="preserve">  In addition, in both CMAs, AT&amp;T, Verizon Wireless, and T-Mobile </w:t>
      </w:r>
      <w:r w:rsidR="00003075">
        <w:rPr>
          <w:szCs w:val="22"/>
        </w:rPr>
        <w:t xml:space="preserve">cover </w:t>
      </w:r>
      <w:r>
        <w:rPr>
          <w:szCs w:val="22"/>
        </w:rPr>
        <w:t xml:space="preserve">significant </w:t>
      </w:r>
      <w:r w:rsidR="00003075">
        <w:rPr>
          <w:szCs w:val="22"/>
        </w:rPr>
        <w:t xml:space="preserve">portions of the </w:t>
      </w:r>
      <w:r>
        <w:rPr>
          <w:szCs w:val="22"/>
        </w:rPr>
        <w:t>population and land area</w:t>
      </w:r>
      <w:r w:rsidR="00003075">
        <w:rPr>
          <w:szCs w:val="22"/>
        </w:rPr>
        <w:t xml:space="preserve"> with their</w:t>
      </w:r>
      <w:r>
        <w:rPr>
          <w:szCs w:val="22"/>
        </w:rPr>
        <w:t xml:space="preserve"> LTE </w:t>
      </w:r>
      <w:r w:rsidR="00003075">
        <w:rPr>
          <w:szCs w:val="22"/>
        </w:rPr>
        <w:t>network</w:t>
      </w:r>
      <w:r w:rsidR="00AD505C">
        <w:rPr>
          <w:szCs w:val="22"/>
        </w:rPr>
        <w:t>s</w:t>
      </w:r>
      <w:r w:rsidR="00723FB0">
        <w:rPr>
          <w:szCs w:val="22"/>
        </w:rPr>
        <w:t>, and</w:t>
      </w:r>
      <w:r>
        <w:rPr>
          <w:szCs w:val="22"/>
        </w:rPr>
        <w:t xml:space="preserve"> Sprint has significant WiMAX population coverage in the Miami CMA.</w:t>
      </w:r>
      <w:r>
        <w:rPr>
          <w:rStyle w:val="FootnoteReference"/>
          <w:szCs w:val="22"/>
        </w:rPr>
        <w:footnoteReference w:id="122"/>
      </w:r>
      <w:r>
        <w:rPr>
          <w:szCs w:val="22"/>
        </w:rPr>
        <w:t xml:space="preserve">  In both markets, given AT&amp;T’s rivals’ significant market shares and coverage, including coverage with advanced telecommunications technologies, it does not appear that AT&amp;T’s acquisition of </w:t>
      </w:r>
      <w:r w:rsidR="00AD505C">
        <w:rPr>
          <w:szCs w:val="22"/>
        </w:rPr>
        <w:t xml:space="preserve">Lower </w:t>
      </w:r>
      <w:r w:rsidR="003C1A32">
        <w:rPr>
          <w:szCs w:val="22"/>
        </w:rPr>
        <w:t xml:space="preserve">700 MHz Band </w:t>
      </w:r>
      <w:r w:rsidR="00AD505C">
        <w:rPr>
          <w:szCs w:val="22"/>
        </w:rPr>
        <w:t xml:space="preserve">B Block licenses </w:t>
      </w:r>
      <w:r>
        <w:rPr>
          <w:szCs w:val="22"/>
        </w:rPr>
        <w:t xml:space="preserve">would foreclose or significantly increase rivals’ costs, at least in the near term.  </w:t>
      </w:r>
    </w:p>
    <w:p w:rsidR="00F02162" w:rsidRDefault="005949DF" w:rsidP="005949DF">
      <w:pPr>
        <w:pStyle w:val="ParaNum"/>
        <w:rPr>
          <w:szCs w:val="22"/>
        </w:rPr>
      </w:pPr>
      <w:r w:rsidRPr="000D40B1">
        <w:rPr>
          <w:szCs w:val="22"/>
        </w:rPr>
        <w:t>In the Lake Charles</w:t>
      </w:r>
      <w:r>
        <w:rPr>
          <w:szCs w:val="22"/>
        </w:rPr>
        <w:t>,</w:t>
      </w:r>
      <w:r w:rsidRPr="000D40B1">
        <w:rPr>
          <w:szCs w:val="22"/>
        </w:rPr>
        <w:t xml:space="preserve"> Louisiana market (CMA 197),</w:t>
      </w:r>
      <w:r>
        <w:rPr>
          <w:rStyle w:val="FootnoteReference"/>
          <w:szCs w:val="22"/>
        </w:rPr>
        <w:footnoteReference w:id="123"/>
      </w:r>
      <w:r w:rsidRPr="000D40B1">
        <w:rPr>
          <w:szCs w:val="22"/>
        </w:rPr>
        <w:t xml:space="preserve"> post-transaction AT&amp;T would hold 80 megahertz of below 1 GHz spectrum, including </w:t>
      </w:r>
      <w:r>
        <w:rPr>
          <w:szCs w:val="22"/>
        </w:rPr>
        <w:t>the Lower</w:t>
      </w:r>
      <w:r w:rsidR="003C1A32">
        <w:rPr>
          <w:szCs w:val="22"/>
        </w:rPr>
        <w:t xml:space="preserve"> 700 MHz Band</w:t>
      </w:r>
      <w:r>
        <w:rPr>
          <w:szCs w:val="22"/>
        </w:rPr>
        <w:t xml:space="preserve"> B Block license </w:t>
      </w:r>
      <w:r w:rsidR="003C1A32">
        <w:rPr>
          <w:szCs w:val="22"/>
        </w:rPr>
        <w:t xml:space="preserve">proposed to be </w:t>
      </w:r>
      <w:r>
        <w:rPr>
          <w:szCs w:val="22"/>
        </w:rPr>
        <w:t xml:space="preserve">acquired in this transaction as well as </w:t>
      </w:r>
      <w:r w:rsidRPr="000D40B1">
        <w:rPr>
          <w:szCs w:val="22"/>
        </w:rPr>
        <w:t>both cellular licenses</w:t>
      </w:r>
      <w:r>
        <w:rPr>
          <w:szCs w:val="22"/>
        </w:rPr>
        <w:t xml:space="preserve"> and the Lower 700 MHz Band C and D Block licenses</w:t>
      </w:r>
      <w:r w:rsidRPr="000D40B1">
        <w:rPr>
          <w:szCs w:val="22"/>
        </w:rPr>
        <w:t>.</w:t>
      </w:r>
      <w:r>
        <w:rPr>
          <w:rStyle w:val="FootnoteReference"/>
          <w:szCs w:val="22"/>
        </w:rPr>
        <w:footnoteReference w:id="124"/>
      </w:r>
      <w:r w:rsidRPr="000D40B1">
        <w:rPr>
          <w:szCs w:val="22"/>
        </w:rPr>
        <w:t xml:space="preserve"> </w:t>
      </w:r>
      <w:r>
        <w:rPr>
          <w:szCs w:val="22"/>
        </w:rPr>
        <w:t xml:space="preserve"> </w:t>
      </w:r>
      <w:r w:rsidRPr="000D40B1">
        <w:rPr>
          <w:szCs w:val="22"/>
        </w:rPr>
        <w:t>Verizon Wireless and Sprint both hold below 1 GHz</w:t>
      </w:r>
      <w:r>
        <w:rPr>
          <w:szCs w:val="22"/>
        </w:rPr>
        <w:t xml:space="preserve"> spectrum </w:t>
      </w:r>
      <w:r w:rsidR="003C1A32">
        <w:rPr>
          <w:szCs w:val="22"/>
        </w:rPr>
        <w:t xml:space="preserve">– 22 </w:t>
      </w:r>
      <w:r w:rsidRPr="000D40B1">
        <w:rPr>
          <w:szCs w:val="22"/>
        </w:rPr>
        <w:t xml:space="preserve">megahertz and </w:t>
      </w:r>
      <w:r>
        <w:rPr>
          <w:szCs w:val="22"/>
        </w:rPr>
        <w:t>18.5</w:t>
      </w:r>
      <w:r w:rsidRPr="000D40B1">
        <w:rPr>
          <w:szCs w:val="22"/>
        </w:rPr>
        <w:t xml:space="preserve"> megahertz, respectively.</w:t>
      </w:r>
      <w:r w:rsidRPr="00D12F33">
        <w:rPr>
          <w:rStyle w:val="FootnoteReference"/>
          <w:szCs w:val="22"/>
        </w:rPr>
        <w:footnoteReference w:id="125"/>
      </w:r>
      <w:r>
        <w:rPr>
          <w:szCs w:val="22"/>
        </w:rPr>
        <w:t xml:space="preserve">  AT&amp;T, Verizon Wireless</w:t>
      </w:r>
      <w:r w:rsidR="00AD505C">
        <w:rPr>
          <w:szCs w:val="22"/>
        </w:rPr>
        <w:t>,</w:t>
      </w:r>
      <w:r>
        <w:rPr>
          <w:szCs w:val="22"/>
        </w:rPr>
        <w:t xml:space="preserve"> and Sprint have</w:t>
      </w:r>
      <w:r w:rsidR="00F579B2">
        <w:rPr>
          <w:szCs w:val="22"/>
        </w:rPr>
        <w:t xml:space="preserve"> </w:t>
      </w:r>
      <w:r w:rsidR="007D3D64">
        <w:rPr>
          <w:szCs w:val="22"/>
        </w:rPr>
        <w:t xml:space="preserve">significant network </w:t>
      </w:r>
      <w:r>
        <w:rPr>
          <w:szCs w:val="22"/>
        </w:rPr>
        <w:t>coverage</w:t>
      </w:r>
      <w:r w:rsidR="00F579B2">
        <w:rPr>
          <w:szCs w:val="22"/>
        </w:rPr>
        <w:t>,</w:t>
      </w:r>
      <w:r>
        <w:rPr>
          <w:rStyle w:val="FootnoteReference"/>
          <w:szCs w:val="22"/>
        </w:rPr>
        <w:footnoteReference w:id="126"/>
      </w:r>
      <w:r w:rsidRPr="000D40B1">
        <w:rPr>
          <w:szCs w:val="22"/>
        </w:rPr>
        <w:t xml:space="preserve"> </w:t>
      </w:r>
      <w:r w:rsidR="009F795A">
        <w:rPr>
          <w:szCs w:val="22"/>
        </w:rPr>
        <w:t>but</w:t>
      </w:r>
      <w:r w:rsidRPr="000D40B1">
        <w:rPr>
          <w:szCs w:val="22"/>
        </w:rPr>
        <w:t xml:space="preserve"> </w:t>
      </w:r>
      <w:r w:rsidR="00183E5B">
        <w:rPr>
          <w:szCs w:val="22"/>
        </w:rPr>
        <w:t>o</w:t>
      </w:r>
      <w:r w:rsidRPr="000D40B1">
        <w:rPr>
          <w:szCs w:val="22"/>
        </w:rPr>
        <w:t xml:space="preserve">nly Verizon Wireless has deployed LTE over a </w:t>
      </w:r>
      <w:r w:rsidR="007D3D64">
        <w:rPr>
          <w:szCs w:val="22"/>
        </w:rPr>
        <w:t>significant</w:t>
      </w:r>
      <w:r w:rsidR="007D3D64" w:rsidRPr="000D40B1">
        <w:rPr>
          <w:szCs w:val="22"/>
        </w:rPr>
        <w:t xml:space="preserve"> </w:t>
      </w:r>
      <w:r w:rsidRPr="000D40B1">
        <w:rPr>
          <w:szCs w:val="22"/>
        </w:rPr>
        <w:t>percentage of the population and land area</w:t>
      </w:r>
      <w:r w:rsidR="00921694">
        <w:rPr>
          <w:szCs w:val="22"/>
        </w:rPr>
        <w:t>.</w:t>
      </w:r>
      <w:r>
        <w:rPr>
          <w:rStyle w:val="FootnoteReference"/>
          <w:szCs w:val="22"/>
        </w:rPr>
        <w:footnoteReference w:id="127"/>
      </w:r>
      <w:r w:rsidRPr="000D40B1">
        <w:rPr>
          <w:szCs w:val="22"/>
        </w:rPr>
        <w:t xml:space="preserve"> </w:t>
      </w:r>
      <w:r w:rsidR="007D3D64">
        <w:rPr>
          <w:szCs w:val="22"/>
        </w:rPr>
        <w:t xml:space="preserve"> </w:t>
      </w:r>
      <w:r w:rsidR="003C1A32">
        <w:rPr>
          <w:szCs w:val="22"/>
        </w:rPr>
        <w:t>I</w:t>
      </w:r>
      <w:r w:rsidR="00921694">
        <w:rPr>
          <w:szCs w:val="22"/>
        </w:rPr>
        <w:t xml:space="preserve">n this market, </w:t>
      </w:r>
      <w:r w:rsidR="009F795A">
        <w:rPr>
          <w:szCs w:val="22"/>
        </w:rPr>
        <w:t>AT&amp;T would have</w:t>
      </w:r>
      <w:r w:rsidR="00F579B2" w:rsidRPr="000D40B1">
        <w:rPr>
          <w:szCs w:val="22"/>
        </w:rPr>
        <w:t xml:space="preserve"> the largest market share followed by Sprint</w:t>
      </w:r>
      <w:r w:rsidR="00F579B2">
        <w:rPr>
          <w:szCs w:val="22"/>
        </w:rPr>
        <w:t xml:space="preserve"> and Verizon Wireless</w:t>
      </w:r>
      <w:r w:rsidR="00F579B2" w:rsidRPr="000D40B1">
        <w:rPr>
          <w:szCs w:val="22"/>
        </w:rPr>
        <w:t>.</w:t>
      </w:r>
      <w:r w:rsidR="00F579B2">
        <w:rPr>
          <w:rStyle w:val="FootnoteReference"/>
          <w:szCs w:val="22"/>
        </w:rPr>
        <w:footnoteReference w:id="128"/>
      </w:r>
      <w:r w:rsidR="00F579B2" w:rsidRPr="000D40B1">
        <w:rPr>
          <w:szCs w:val="22"/>
        </w:rPr>
        <w:t xml:space="preserve"> </w:t>
      </w:r>
      <w:r w:rsidR="00F579B2">
        <w:rPr>
          <w:szCs w:val="22"/>
        </w:rPr>
        <w:t xml:space="preserve"> </w:t>
      </w:r>
      <w:r w:rsidR="00A77450">
        <w:rPr>
          <w:szCs w:val="22"/>
        </w:rPr>
        <w:t>Gi</w:t>
      </w:r>
      <w:r w:rsidR="00921694">
        <w:rPr>
          <w:szCs w:val="22"/>
        </w:rPr>
        <w:t>ven the other providers’</w:t>
      </w:r>
      <w:r w:rsidR="00696C6A" w:rsidRPr="000D40B1">
        <w:rPr>
          <w:szCs w:val="22"/>
        </w:rPr>
        <w:t xml:space="preserve"> market share</w:t>
      </w:r>
      <w:r w:rsidR="00A77450">
        <w:rPr>
          <w:szCs w:val="22"/>
        </w:rPr>
        <w:t>s</w:t>
      </w:r>
      <w:r w:rsidR="00E44EE1">
        <w:rPr>
          <w:szCs w:val="22"/>
        </w:rPr>
        <w:t>,</w:t>
      </w:r>
      <w:r w:rsidR="00696C6A" w:rsidRPr="000D40B1">
        <w:rPr>
          <w:szCs w:val="22"/>
        </w:rPr>
        <w:t xml:space="preserve"> </w:t>
      </w:r>
      <w:r w:rsidR="00A77450">
        <w:rPr>
          <w:szCs w:val="22"/>
        </w:rPr>
        <w:t xml:space="preserve">the </w:t>
      </w:r>
      <w:r w:rsidR="00696C6A" w:rsidRPr="000D40B1">
        <w:rPr>
          <w:szCs w:val="22"/>
        </w:rPr>
        <w:t xml:space="preserve">limited deployment of LTE or other </w:t>
      </w:r>
      <w:r w:rsidR="009F795A">
        <w:rPr>
          <w:szCs w:val="22"/>
        </w:rPr>
        <w:t>advanced</w:t>
      </w:r>
    </w:p>
    <w:p w:rsidR="00F02162" w:rsidRDefault="00F02162">
      <w:pPr>
        <w:widowControl/>
        <w:rPr>
          <w:szCs w:val="22"/>
        </w:rPr>
      </w:pPr>
      <w:r>
        <w:rPr>
          <w:szCs w:val="22"/>
        </w:rPr>
        <w:br w:type="page"/>
      </w:r>
    </w:p>
    <w:p w:rsidR="005949DF" w:rsidRPr="000D40B1" w:rsidRDefault="009F795A" w:rsidP="00F02162">
      <w:pPr>
        <w:pStyle w:val="ParaNum"/>
        <w:numPr>
          <w:ilvl w:val="0"/>
          <w:numId w:val="0"/>
        </w:numPr>
        <w:rPr>
          <w:szCs w:val="22"/>
        </w:rPr>
      </w:pPr>
      <w:r>
        <w:rPr>
          <w:szCs w:val="22"/>
        </w:rPr>
        <w:t xml:space="preserve">mobile technologies, </w:t>
      </w:r>
      <w:r w:rsidR="00183E5B">
        <w:rPr>
          <w:szCs w:val="22"/>
        </w:rPr>
        <w:t xml:space="preserve">and </w:t>
      </w:r>
      <w:r w:rsidR="00696C6A" w:rsidRPr="000D40B1">
        <w:rPr>
          <w:szCs w:val="22"/>
        </w:rPr>
        <w:t>AT&amp;T’s aggregation of</w:t>
      </w:r>
      <w:r w:rsidR="00696C6A">
        <w:rPr>
          <w:szCs w:val="22"/>
        </w:rPr>
        <w:t xml:space="preserve"> </w:t>
      </w:r>
      <w:r w:rsidR="00696C6A" w:rsidRPr="000D40B1">
        <w:rPr>
          <w:szCs w:val="22"/>
        </w:rPr>
        <w:t>below 1 GHz</w:t>
      </w:r>
      <w:r w:rsidR="00696C6A">
        <w:rPr>
          <w:szCs w:val="22"/>
        </w:rPr>
        <w:t xml:space="preserve"> spectrum</w:t>
      </w:r>
      <w:r w:rsidR="00E44EE1">
        <w:rPr>
          <w:szCs w:val="22"/>
        </w:rPr>
        <w:t xml:space="preserve">, </w:t>
      </w:r>
      <w:r w:rsidR="00183E5B">
        <w:rPr>
          <w:szCs w:val="22"/>
        </w:rPr>
        <w:t xml:space="preserve">we </w:t>
      </w:r>
      <w:r w:rsidR="00E44EE1">
        <w:rPr>
          <w:szCs w:val="22"/>
        </w:rPr>
        <w:t xml:space="preserve">see some limited potential for </w:t>
      </w:r>
      <w:r w:rsidR="00183E5B">
        <w:rPr>
          <w:szCs w:val="22"/>
        </w:rPr>
        <w:t xml:space="preserve">competitive concern </w:t>
      </w:r>
      <w:r w:rsidR="00710F6B">
        <w:rPr>
          <w:szCs w:val="22"/>
        </w:rPr>
        <w:t>in this local</w:t>
      </w:r>
      <w:r w:rsidR="00E13456">
        <w:rPr>
          <w:szCs w:val="22"/>
        </w:rPr>
        <w:t xml:space="preserve"> market</w:t>
      </w:r>
      <w:r w:rsidR="00E44EE1">
        <w:rPr>
          <w:szCs w:val="22"/>
        </w:rPr>
        <w:t>,</w:t>
      </w:r>
      <w:r w:rsidR="00E44EE1" w:rsidRPr="00E44EE1">
        <w:rPr>
          <w:szCs w:val="22"/>
        </w:rPr>
        <w:t xml:space="preserve"> </w:t>
      </w:r>
      <w:r w:rsidR="00E44EE1">
        <w:rPr>
          <w:szCs w:val="22"/>
        </w:rPr>
        <w:t>especially in the longer term</w:t>
      </w:r>
      <w:r w:rsidR="00E13456">
        <w:rPr>
          <w:szCs w:val="22"/>
        </w:rPr>
        <w:t>.</w:t>
      </w:r>
      <w:r w:rsidR="00E9750B">
        <w:rPr>
          <w:szCs w:val="22"/>
        </w:rPr>
        <w:t xml:space="preserve"> </w:t>
      </w:r>
    </w:p>
    <w:p w:rsidR="00F02162" w:rsidRDefault="005949DF" w:rsidP="00E72C06">
      <w:pPr>
        <w:pStyle w:val="ParaNum"/>
        <w:rPr>
          <w:snapToGrid/>
          <w:szCs w:val="22"/>
        </w:rPr>
      </w:pPr>
      <w:r w:rsidRPr="00982112">
        <w:t>In the Texas 18 – Edwards market</w:t>
      </w:r>
      <w:r>
        <w:t xml:space="preserve"> (CMA 669)</w:t>
      </w:r>
      <w:r w:rsidRPr="00B01B98">
        <w:t>,</w:t>
      </w:r>
      <w:r>
        <w:rPr>
          <w:rStyle w:val="FootnoteReference"/>
          <w:szCs w:val="22"/>
        </w:rPr>
        <w:footnoteReference w:id="129"/>
      </w:r>
      <w:r w:rsidRPr="00B01B98">
        <w:t xml:space="preserve"> AT&amp;T </w:t>
      </w:r>
      <w:r>
        <w:t xml:space="preserve">would hold 68 megahertz of below 1 GHz spectrum, including </w:t>
      </w:r>
      <w:r>
        <w:rPr>
          <w:szCs w:val="22"/>
        </w:rPr>
        <w:t xml:space="preserve">the Lower </w:t>
      </w:r>
      <w:r w:rsidR="003C1A32">
        <w:rPr>
          <w:szCs w:val="22"/>
        </w:rPr>
        <w:t xml:space="preserve">700 MHz Band </w:t>
      </w:r>
      <w:r>
        <w:rPr>
          <w:szCs w:val="22"/>
        </w:rPr>
        <w:t xml:space="preserve">B Block license </w:t>
      </w:r>
      <w:r w:rsidR="003C1A32">
        <w:rPr>
          <w:szCs w:val="22"/>
        </w:rPr>
        <w:t xml:space="preserve">proposed to be </w:t>
      </w:r>
      <w:r>
        <w:rPr>
          <w:szCs w:val="22"/>
        </w:rPr>
        <w:t xml:space="preserve">acquired in this transaction as well as </w:t>
      </w:r>
      <w:r>
        <w:t>the two cellular licenses and the Lower 700 MHz Band D Block license.</w:t>
      </w:r>
      <w:r>
        <w:rPr>
          <w:rStyle w:val="FootnoteReference"/>
        </w:rPr>
        <w:footnoteReference w:id="130"/>
      </w:r>
      <w:r>
        <w:t xml:space="preserve">  In this CMA, Verizon Wireless</w:t>
      </w:r>
      <w:r w:rsidR="00AD505C">
        <w:t xml:space="preserve"> and</w:t>
      </w:r>
      <w:r>
        <w:t xml:space="preserve"> Sprint, as well as certain smaller licensees</w:t>
      </w:r>
      <w:r w:rsidR="00AD505C">
        <w:t>,</w:t>
      </w:r>
      <w:r>
        <w:t xml:space="preserve"> hold paired spectrum below 1 GHz.</w:t>
      </w:r>
      <w:r w:rsidRPr="006D1696">
        <w:rPr>
          <w:rStyle w:val="FootnoteReference"/>
          <w:szCs w:val="22"/>
        </w:rPr>
        <w:footnoteReference w:id="131"/>
      </w:r>
      <w:r>
        <w:t xml:space="preserve">  AT&amp;T, Sprint, T-Mobile, and Leap </w:t>
      </w:r>
      <w:r w:rsidR="00003075">
        <w:t xml:space="preserve">each </w:t>
      </w:r>
      <w:r>
        <w:t xml:space="preserve">have a significant market share, </w:t>
      </w:r>
      <w:r w:rsidR="00003075">
        <w:t xml:space="preserve">although </w:t>
      </w:r>
      <w:r>
        <w:t xml:space="preserve">AT&amp;T has a </w:t>
      </w:r>
      <w:r w:rsidR="0005798C" w:rsidRPr="00A05053">
        <w:t>substantially</w:t>
      </w:r>
      <w:r w:rsidR="0005798C">
        <w:t xml:space="preserve"> </w:t>
      </w:r>
      <w:r>
        <w:t>greater market share</w:t>
      </w:r>
      <w:r>
        <w:rPr>
          <w:rStyle w:val="FootnoteReference"/>
        </w:rPr>
        <w:footnoteReference w:id="132"/>
      </w:r>
      <w:r w:rsidRPr="00EC264C">
        <w:rPr>
          <w:szCs w:val="22"/>
        </w:rPr>
        <w:t xml:space="preserve"> </w:t>
      </w:r>
      <w:r>
        <w:rPr>
          <w:szCs w:val="22"/>
        </w:rPr>
        <w:t xml:space="preserve">and </w:t>
      </w:r>
      <w:r w:rsidR="00E44EE1">
        <w:rPr>
          <w:szCs w:val="22"/>
        </w:rPr>
        <w:t>more extensive</w:t>
      </w:r>
      <w:r>
        <w:rPr>
          <w:szCs w:val="22"/>
        </w:rPr>
        <w:t xml:space="preserve"> coverage</w:t>
      </w:r>
      <w:r w:rsidR="00E44EE1" w:rsidRPr="00E44EE1">
        <w:rPr>
          <w:szCs w:val="22"/>
        </w:rPr>
        <w:t xml:space="preserve"> </w:t>
      </w:r>
      <w:r w:rsidR="00E44EE1">
        <w:rPr>
          <w:szCs w:val="22"/>
        </w:rPr>
        <w:t>than other providers in the market.</w:t>
      </w:r>
      <w:r w:rsidR="00E44EE1">
        <w:rPr>
          <w:rStyle w:val="FootnoteReference"/>
          <w:szCs w:val="22"/>
        </w:rPr>
        <w:footnoteReference w:id="133"/>
      </w:r>
      <w:r w:rsidR="00E44EE1">
        <w:rPr>
          <w:szCs w:val="22"/>
        </w:rPr>
        <w:t xml:space="preserve">  </w:t>
      </w:r>
      <w:r>
        <w:rPr>
          <w:szCs w:val="22"/>
        </w:rPr>
        <w:t xml:space="preserve">AT&amp;T, Sprint, and </w:t>
      </w:r>
      <w:r w:rsidR="00E44EE1">
        <w:rPr>
          <w:szCs w:val="22"/>
        </w:rPr>
        <w:t>Leap</w:t>
      </w:r>
      <w:r>
        <w:rPr>
          <w:szCs w:val="22"/>
        </w:rPr>
        <w:t xml:space="preserve"> each have </w:t>
      </w:r>
      <w:r w:rsidR="00E44EE1">
        <w:rPr>
          <w:szCs w:val="22"/>
        </w:rPr>
        <w:t xml:space="preserve">limited </w:t>
      </w:r>
      <w:r>
        <w:rPr>
          <w:szCs w:val="22"/>
        </w:rPr>
        <w:t>LTE deployment; however, none of these providers covers either 70 percent of the population or 50 percent of the land area</w:t>
      </w:r>
      <w:r w:rsidR="00003075">
        <w:rPr>
          <w:szCs w:val="22"/>
        </w:rPr>
        <w:t xml:space="preserve"> with its LTE network</w:t>
      </w:r>
      <w:r>
        <w:rPr>
          <w:szCs w:val="22"/>
        </w:rPr>
        <w:t>.</w:t>
      </w:r>
      <w:r>
        <w:rPr>
          <w:rStyle w:val="FootnoteReference"/>
          <w:szCs w:val="22"/>
        </w:rPr>
        <w:footnoteReference w:id="134"/>
      </w:r>
      <w:r>
        <w:rPr>
          <w:szCs w:val="22"/>
        </w:rPr>
        <w:t xml:space="preserve">  </w:t>
      </w:r>
      <w:r w:rsidR="009F795A">
        <w:rPr>
          <w:szCs w:val="22"/>
        </w:rPr>
        <w:t>This is a very rural CMA with a population density of 14 per square mile,</w:t>
      </w:r>
      <w:r w:rsidR="00DC7AE5">
        <w:rPr>
          <w:szCs w:val="22"/>
        </w:rPr>
        <w:t xml:space="preserve"> </w:t>
      </w:r>
      <w:r w:rsidR="009F795A">
        <w:rPr>
          <w:szCs w:val="22"/>
        </w:rPr>
        <w:t xml:space="preserve">and </w:t>
      </w:r>
      <w:r w:rsidR="00DC7AE5">
        <w:rPr>
          <w:szCs w:val="22"/>
        </w:rPr>
        <w:t>a</w:t>
      </w:r>
      <w:r>
        <w:rPr>
          <w:szCs w:val="22"/>
        </w:rPr>
        <w:t xml:space="preserve">s noted earlier, characteristics of below 1 GHz spectrum make it particularly suitable for provision of mobile telephony/broadband in rural areas because </w:t>
      </w:r>
      <w:r>
        <w:t>low-band spectrum may provide the same geographic coverage, at a lower cost, than higher-frequency bands.</w:t>
      </w:r>
      <w:r>
        <w:rPr>
          <w:rStyle w:val="FootnoteReference"/>
        </w:rPr>
        <w:footnoteReference w:id="135"/>
      </w:r>
      <w:r>
        <w:t xml:space="preserve">  </w:t>
      </w:r>
      <w:r w:rsidR="00AD43D6">
        <w:t xml:space="preserve">Given the characteristics of </w:t>
      </w:r>
      <w:r w:rsidR="0036629E">
        <w:t xml:space="preserve">this rural market, </w:t>
      </w:r>
      <w:r w:rsidR="00AD43D6">
        <w:t>we do have some concern about the potential competitive impact of this transaction in this market</w:t>
      </w:r>
      <w:r>
        <w:rPr>
          <w:snapToGrid/>
          <w:szCs w:val="22"/>
        </w:rPr>
        <w:t>.</w:t>
      </w:r>
      <w:r w:rsidRPr="000A5775">
        <w:rPr>
          <w:snapToGrid/>
          <w:szCs w:val="22"/>
        </w:rPr>
        <w:t xml:space="preserve">  </w:t>
      </w:r>
    </w:p>
    <w:p w:rsidR="00F02162" w:rsidRDefault="00F02162">
      <w:pPr>
        <w:widowControl/>
        <w:rPr>
          <w:snapToGrid/>
          <w:szCs w:val="22"/>
        </w:rPr>
      </w:pPr>
      <w:r>
        <w:rPr>
          <w:snapToGrid/>
          <w:szCs w:val="22"/>
        </w:rPr>
        <w:br w:type="page"/>
      </w:r>
    </w:p>
    <w:p w:rsidR="00C21C77" w:rsidRPr="006A2B5A" w:rsidRDefault="005949DF" w:rsidP="00392819">
      <w:pPr>
        <w:pStyle w:val="ParaNum"/>
        <w:widowControl/>
        <w:rPr>
          <w:szCs w:val="22"/>
        </w:rPr>
      </w:pPr>
      <w:r w:rsidRPr="006A2B5A">
        <w:rPr>
          <w:i/>
          <w:szCs w:val="22"/>
        </w:rPr>
        <w:t>Conclusion</w:t>
      </w:r>
      <w:r w:rsidRPr="006A2B5A">
        <w:rPr>
          <w:szCs w:val="22"/>
        </w:rPr>
        <w:t xml:space="preserve">.  Accordingly, based on our evaluation of the competitive effects of AT&amp;T’s </w:t>
      </w:r>
      <w:r>
        <w:rPr>
          <w:szCs w:val="22"/>
        </w:rPr>
        <w:t xml:space="preserve">spectrum </w:t>
      </w:r>
      <w:r w:rsidRPr="006A2B5A">
        <w:rPr>
          <w:szCs w:val="22"/>
        </w:rPr>
        <w:t xml:space="preserve">acquisition and leasing, we find that </w:t>
      </w:r>
      <w:r w:rsidR="00AD43D6" w:rsidRPr="006A2B5A">
        <w:rPr>
          <w:szCs w:val="22"/>
        </w:rPr>
        <w:t>the</w:t>
      </w:r>
      <w:r w:rsidR="00AD43D6">
        <w:rPr>
          <w:szCs w:val="22"/>
        </w:rPr>
        <w:t>re is a potential basis for competitive concern in</w:t>
      </w:r>
      <w:r w:rsidR="00AD43D6" w:rsidRPr="006A2B5A">
        <w:rPr>
          <w:szCs w:val="22"/>
        </w:rPr>
        <w:t xml:space="preserve"> </w:t>
      </w:r>
      <w:r w:rsidR="00AD43D6">
        <w:rPr>
          <w:szCs w:val="22"/>
        </w:rPr>
        <w:t xml:space="preserve">two of the markets in which AT&amp;T is acquiring access to Lower 700 MHz </w:t>
      </w:r>
      <w:r w:rsidR="00EC3133">
        <w:rPr>
          <w:szCs w:val="22"/>
        </w:rPr>
        <w:t xml:space="preserve">Band </w:t>
      </w:r>
      <w:r w:rsidR="00AD43D6">
        <w:rPr>
          <w:szCs w:val="22"/>
        </w:rPr>
        <w:t xml:space="preserve">B </w:t>
      </w:r>
      <w:r w:rsidR="00EC3133">
        <w:rPr>
          <w:szCs w:val="22"/>
        </w:rPr>
        <w:t>B</w:t>
      </w:r>
      <w:r w:rsidR="00AD43D6">
        <w:rPr>
          <w:szCs w:val="22"/>
        </w:rPr>
        <w:t>lock spectrum.</w:t>
      </w:r>
      <w:r w:rsidR="007C5B84">
        <w:rPr>
          <w:rStyle w:val="FootnoteReference"/>
          <w:szCs w:val="22"/>
        </w:rPr>
        <w:footnoteReference w:id="136"/>
      </w:r>
    </w:p>
    <w:p w:rsidR="00C21C77" w:rsidRPr="00995B8F" w:rsidRDefault="00C21C77" w:rsidP="00AE4DC7">
      <w:pPr>
        <w:pStyle w:val="Heading4"/>
      </w:pPr>
      <w:bookmarkStart w:id="189" w:name="_Toc365625591"/>
      <w:bookmarkStart w:id="190" w:name="_Toc365626592"/>
      <w:bookmarkStart w:id="191" w:name="_Toc365626793"/>
      <w:bookmarkStart w:id="192" w:name="_Toc365631643"/>
      <w:bookmarkStart w:id="193" w:name="_Toc365981453"/>
      <w:r w:rsidRPr="00995B8F">
        <w:t>Verizon Wireless</w:t>
      </w:r>
      <w:r w:rsidR="00254C8A">
        <w:t>’s</w:t>
      </w:r>
      <w:r w:rsidRPr="00995B8F">
        <w:t xml:space="preserve"> </w:t>
      </w:r>
      <w:r>
        <w:t>Acquisition of AWS-1 Spectrum</w:t>
      </w:r>
      <w:bookmarkEnd w:id="189"/>
      <w:bookmarkEnd w:id="190"/>
      <w:bookmarkEnd w:id="191"/>
      <w:bookmarkEnd w:id="192"/>
      <w:bookmarkEnd w:id="193"/>
      <w:r>
        <w:t xml:space="preserve"> </w:t>
      </w:r>
    </w:p>
    <w:p w:rsidR="00C21C77" w:rsidRPr="002114BF" w:rsidRDefault="00DF7526" w:rsidP="00DE5C5E">
      <w:pPr>
        <w:pStyle w:val="ParaNum"/>
        <w:rPr>
          <w:szCs w:val="22"/>
        </w:rPr>
      </w:pPr>
      <w:r>
        <w:t>T</w:t>
      </w:r>
      <w:r w:rsidR="00254C8A">
        <w:t xml:space="preserve">he </w:t>
      </w:r>
      <w:r w:rsidR="002C1EA1">
        <w:t xml:space="preserve">application of </w:t>
      </w:r>
      <w:r w:rsidR="00B5179B">
        <w:t xml:space="preserve">the spectrum screen to Verizon Wireless’s </w:t>
      </w:r>
      <w:r w:rsidR="002114BF">
        <w:t xml:space="preserve">proposed </w:t>
      </w:r>
      <w:r w:rsidR="00B5179B">
        <w:t xml:space="preserve">acquisition of spectrum from AT&amp;T and Grain II </w:t>
      </w:r>
      <w:r w:rsidR="00C21C77" w:rsidRPr="00995B8F">
        <w:t>identifi</w:t>
      </w:r>
      <w:r w:rsidR="00B5179B">
        <w:t>es</w:t>
      </w:r>
      <w:r w:rsidR="00C21C77" w:rsidRPr="00995B8F">
        <w:t xml:space="preserve"> </w:t>
      </w:r>
      <w:r w:rsidR="00254C8A">
        <w:t xml:space="preserve">only </w:t>
      </w:r>
      <w:r w:rsidR="00C21C77" w:rsidRPr="00995B8F">
        <w:t>six counties in one market</w:t>
      </w:r>
      <w:r w:rsidR="002114BF">
        <w:t>,</w:t>
      </w:r>
      <w:r w:rsidR="00C21C77" w:rsidRPr="00995B8F">
        <w:t xml:space="preserve"> </w:t>
      </w:r>
      <w:r w:rsidR="00C21C77">
        <w:t>Texas 7</w:t>
      </w:r>
      <w:r w:rsidR="00EC3133">
        <w:t xml:space="preserve"> - </w:t>
      </w:r>
      <w:r w:rsidR="00C21C77">
        <w:t>Fannin (CMA 658)</w:t>
      </w:r>
      <w:r w:rsidR="00254C8A">
        <w:t>, for further examination</w:t>
      </w:r>
      <w:r w:rsidR="00C21C77" w:rsidRPr="00B01B98">
        <w:t>.</w:t>
      </w:r>
      <w:r w:rsidR="00C21C77">
        <w:rPr>
          <w:rStyle w:val="FootnoteReference"/>
        </w:rPr>
        <w:footnoteReference w:id="137"/>
      </w:r>
      <w:r w:rsidR="00C21C77" w:rsidRPr="00B01B98">
        <w:t xml:space="preserve"> </w:t>
      </w:r>
      <w:r w:rsidR="00C21C77">
        <w:t xml:space="preserve"> </w:t>
      </w:r>
      <w:r w:rsidR="00C21C77" w:rsidRPr="002114BF">
        <w:rPr>
          <w:szCs w:val="22"/>
        </w:rPr>
        <w:t xml:space="preserve">In </w:t>
      </w:r>
      <w:r w:rsidR="00C21C77" w:rsidRPr="005E18D4">
        <w:t xml:space="preserve">Texas 7 – Fannin, </w:t>
      </w:r>
      <w:r w:rsidR="00D46E82">
        <w:t>p</w:t>
      </w:r>
      <w:r w:rsidR="00C21C77">
        <w:t xml:space="preserve">ost-transaction, </w:t>
      </w:r>
      <w:r w:rsidR="00C21C77" w:rsidRPr="005E18D4">
        <w:t>Verizon Wireless would hold 114 to 164 megahertz of total spectrum.</w:t>
      </w:r>
      <w:r w:rsidR="001172C8">
        <w:rPr>
          <w:rStyle w:val="FootnoteReference"/>
        </w:rPr>
        <w:footnoteReference w:id="138"/>
      </w:r>
      <w:r w:rsidR="00C21C77" w:rsidRPr="005E18D4">
        <w:t xml:space="preserve"> </w:t>
      </w:r>
      <w:r w:rsidR="00C81A64">
        <w:t xml:space="preserve"> </w:t>
      </w:r>
      <w:r w:rsidR="00836EAB">
        <w:t xml:space="preserve">We note, however, that Verizon Wireless’s spectrum holdings trigger the screen in only a portion of the market representing about one-quarter of the </w:t>
      </w:r>
      <w:r w:rsidR="003D4DB8">
        <w:t>CMA</w:t>
      </w:r>
      <w:r w:rsidR="00F11527">
        <w:t xml:space="preserve"> population</w:t>
      </w:r>
      <w:r w:rsidR="00836EAB">
        <w:t xml:space="preserve">, which should limit the competitive impact.  </w:t>
      </w:r>
      <w:r w:rsidR="00C21C77" w:rsidRPr="005E18D4">
        <w:t xml:space="preserve">The nationwide providers, other than Verizon Wireless, </w:t>
      </w:r>
      <w:r w:rsidR="003D4DB8">
        <w:t xml:space="preserve">each </w:t>
      </w:r>
      <w:r w:rsidR="00C21C77">
        <w:t>hold</w:t>
      </w:r>
      <w:r w:rsidR="00C21C77" w:rsidRPr="005E18D4">
        <w:t xml:space="preserve"> 38 </w:t>
      </w:r>
      <w:r w:rsidR="00C21C77">
        <w:t>to</w:t>
      </w:r>
      <w:r w:rsidR="00C21C77" w:rsidRPr="005E18D4">
        <w:t xml:space="preserve"> 153 megahertz of total spectrum</w:t>
      </w:r>
      <w:r w:rsidR="003D4DB8">
        <w:t xml:space="preserve"> in this CMA</w:t>
      </w:r>
      <w:r w:rsidR="00C21C77" w:rsidRPr="005E18D4">
        <w:t>.</w:t>
      </w:r>
      <w:r w:rsidR="00C21C77" w:rsidRPr="005E18D4">
        <w:rPr>
          <w:rStyle w:val="FootnoteReference"/>
        </w:rPr>
        <w:footnoteReference w:id="139"/>
      </w:r>
      <w:r w:rsidR="00C23987">
        <w:t xml:space="preserve">  </w:t>
      </w:r>
      <w:r w:rsidR="00934FAF">
        <w:t>O</w:t>
      </w:r>
      <w:r w:rsidR="0051237D">
        <w:t xml:space="preserve">ther licensees </w:t>
      </w:r>
      <w:r w:rsidR="00934FAF">
        <w:t>also</w:t>
      </w:r>
      <w:r w:rsidR="0051237D">
        <w:t xml:space="preserve"> hold spectrum in parts of or throughout the CMA, </w:t>
      </w:r>
      <w:r w:rsidR="00E80D20">
        <w:t>with</w:t>
      </w:r>
      <w:r w:rsidR="0051237D">
        <w:t xml:space="preserve"> spectrum holdings in their licen</w:t>
      </w:r>
      <w:r w:rsidR="00661F73">
        <w:t>sed areas rang</w:t>
      </w:r>
      <w:r w:rsidR="00254C8A">
        <w:t>ing</w:t>
      </w:r>
      <w:r w:rsidR="00661F73">
        <w:t xml:space="preserve"> from 10 </w:t>
      </w:r>
      <w:r w:rsidR="002857D2">
        <w:t>to</w:t>
      </w:r>
      <w:r w:rsidR="0051237D">
        <w:t xml:space="preserve"> 37 megahertz.</w:t>
      </w:r>
      <w:r w:rsidR="0051237D">
        <w:rPr>
          <w:rStyle w:val="FootnoteReference"/>
        </w:rPr>
        <w:footnoteReference w:id="140"/>
      </w:r>
      <w:r w:rsidR="0051237D">
        <w:t xml:space="preserve">  </w:t>
      </w:r>
      <w:r w:rsidR="00C21C77">
        <w:t xml:space="preserve">Verizon Wireless, AT&amp;T, Sprint, </w:t>
      </w:r>
      <w:r w:rsidR="00C23987">
        <w:t xml:space="preserve">and </w:t>
      </w:r>
      <w:r w:rsidR="00C21C77">
        <w:t xml:space="preserve">T-Mobile </w:t>
      </w:r>
      <w:r w:rsidR="00254C8A">
        <w:t xml:space="preserve">each </w:t>
      </w:r>
      <w:r w:rsidR="00C21C77">
        <w:t xml:space="preserve">have significant </w:t>
      </w:r>
      <w:r w:rsidR="00D46E82">
        <w:t>market share</w:t>
      </w:r>
      <w:r w:rsidR="00254C8A">
        <w:t>s in this market</w:t>
      </w:r>
      <w:r w:rsidR="002857D2">
        <w:t>.</w:t>
      </w:r>
      <w:r w:rsidR="00C21C77">
        <w:rPr>
          <w:rStyle w:val="FootnoteReference"/>
        </w:rPr>
        <w:footnoteReference w:id="141"/>
      </w:r>
      <w:r w:rsidR="00C21C77">
        <w:t xml:space="preserve"> </w:t>
      </w:r>
      <w:r w:rsidR="008B6823">
        <w:t xml:space="preserve"> </w:t>
      </w:r>
      <w:r w:rsidR="00D46E82">
        <w:t>Further, Verizon Wireless, AT&amp;T, and Sprint</w:t>
      </w:r>
      <w:r w:rsidR="00BB502E">
        <w:t xml:space="preserve"> each </w:t>
      </w:r>
      <w:r w:rsidR="00D46E82">
        <w:t xml:space="preserve">have </w:t>
      </w:r>
      <w:r w:rsidR="00836EAB">
        <w:t xml:space="preserve">significant </w:t>
      </w:r>
      <w:r w:rsidR="00C21C77">
        <w:t>coverage.</w:t>
      </w:r>
      <w:r w:rsidR="00C21C77">
        <w:rPr>
          <w:rStyle w:val="FootnoteReference"/>
        </w:rPr>
        <w:footnoteReference w:id="142"/>
      </w:r>
      <w:r w:rsidR="00C21C77">
        <w:t xml:space="preserve">  </w:t>
      </w:r>
      <w:r w:rsidR="008F7410">
        <w:t xml:space="preserve">Finally, we note that </w:t>
      </w:r>
      <w:r w:rsidR="00C21C77">
        <w:t xml:space="preserve">Verizon Wireless </w:t>
      </w:r>
      <w:r w:rsidR="00C23987">
        <w:t>ha</w:t>
      </w:r>
      <w:r w:rsidR="00C21C77">
        <w:t xml:space="preserve">s the largest LTE coverage in terms of </w:t>
      </w:r>
      <w:r w:rsidR="002857D2">
        <w:t xml:space="preserve">both </w:t>
      </w:r>
      <w:r w:rsidR="00C21C77">
        <w:t xml:space="preserve">population and </w:t>
      </w:r>
      <w:r w:rsidR="002857D2">
        <w:t xml:space="preserve">land </w:t>
      </w:r>
      <w:r w:rsidR="00C21C77">
        <w:t>area</w:t>
      </w:r>
      <w:r w:rsidR="00447ABD">
        <w:t>, while AT&amp;T and T-Mobile have some coverage</w:t>
      </w:r>
      <w:r w:rsidR="00C21C77">
        <w:t>.</w:t>
      </w:r>
      <w:r w:rsidR="00C21C77">
        <w:rPr>
          <w:rStyle w:val="FootnoteReference"/>
        </w:rPr>
        <w:footnoteReference w:id="143"/>
      </w:r>
      <w:r w:rsidR="00C21C77" w:rsidRPr="005E18D4">
        <w:t xml:space="preserve"> </w:t>
      </w:r>
      <w:r w:rsidR="00C21C77" w:rsidRPr="00FD387C">
        <w:t xml:space="preserve"> </w:t>
      </w:r>
      <w:r w:rsidR="00836EAB">
        <w:t xml:space="preserve">Given these factors, </w:t>
      </w:r>
      <w:r w:rsidR="00836EAB" w:rsidRPr="00A05053">
        <w:t>w</w:t>
      </w:r>
      <w:r w:rsidR="00DE5C5E" w:rsidRPr="00A05053">
        <w:t>e find that there is limited risk of competitive harm resulting from Verizon Wireless’s proposed acquisition of spectrum in this market</w:t>
      </w:r>
      <w:r w:rsidR="00C21C77" w:rsidRPr="00803B9C">
        <w:t>.</w:t>
      </w:r>
    </w:p>
    <w:p w:rsidR="004E4F65" w:rsidRDefault="004E4F65">
      <w:pPr>
        <w:widowControl/>
        <w:rPr>
          <w:szCs w:val="22"/>
        </w:rPr>
      </w:pPr>
      <w:r>
        <w:rPr>
          <w:szCs w:val="22"/>
        </w:rPr>
        <w:br w:type="page"/>
      </w:r>
    </w:p>
    <w:p w:rsidR="00C21C77" w:rsidRPr="00C011B1" w:rsidRDefault="002C1EA1" w:rsidP="00392819">
      <w:pPr>
        <w:pStyle w:val="ParaNum"/>
        <w:widowControl/>
        <w:tabs>
          <w:tab w:val="num" w:pos="2160"/>
        </w:tabs>
        <w:rPr>
          <w:szCs w:val="22"/>
        </w:rPr>
      </w:pPr>
      <w:r w:rsidRPr="002C1EA1">
        <w:rPr>
          <w:szCs w:val="22"/>
        </w:rPr>
        <w:t xml:space="preserve">We also analyze </w:t>
      </w:r>
      <w:r w:rsidR="00A455B2">
        <w:rPr>
          <w:szCs w:val="22"/>
        </w:rPr>
        <w:t xml:space="preserve">the </w:t>
      </w:r>
      <w:r w:rsidRPr="002C1EA1">
        <w:rPr>
          <w:szCs w:val="22"/>
        </w:rPr>
        <w:t>potential effects of Verizon Wireless’s post-transaction holdings of AWS-1 spectrum</w:t>
      </w:r>
      <w:r w:rsidR="00A455B2">
        <w:rPr>
          <w:szCs w:val="22"/>
        </w:rPr>
        <w:t>,</w:t>
      </w:r>
      <w:r w:rsidR="00BC2197">
        <w:rPr>
          <w:rStyle w:val="FootnoteReference"/>
          <w:szCs w:val="22"/>
        </w:rPr>
        <w:footnoteReference w:id="144"/>
      </w:r>
      <w:r w:rsidR="00A455B2">
        <w:rPr>
          <w:szCs w:val="22"/>
        </w:rPr>
        <w:t xml:space="preserve"> consistent with the Commission’s review </w:t>
      </w:r>
      <w:r w:rsidR="00447ABD">
        <w:rPr>
          <w:szCs w:val="22"/>
        </w:rPr>
        <w:t xml:space="preserve">last year </w:t>
      </w:r>
      <w:r w:rsidR="00A455B2">
        <w:rPr>
          <w:szCs w:val="22"/>
        </w:rPr>
        <w:t xml:space="preserve">of the </w:t>
      </w:r>
      <w:r w:rsidR="00A455B2" w:rsidRPr="008A02D8">
        <w:rPr>
          <w:szCs w:val="22"/>
        </w:rPr>
        <w:t>Verizon Wireless</w:t>
      </w:r>
      <w:r w:rsidR="00A455B2" w:rsidRPr="008746CB">
        <w:rPr>
          <w:szCs w:val="22"/>
        </w:rPr>
        <w:t>/</w:t>
      </w:r>
      <w:r w:rsidR="00A455B2" w:rsidRPr="008A02D8">
        <w:rPr>
          <w:szCs w:val="22"/>
        </w:rPr>
        <w:t>SpectrumCo</w:t>
      </w:r>
      <w:r w:rsidR="00A455B2" w:rsidRPr="008746CB">
        <w:rPr>
          <w:i/>
          <w:szCs w:val="22"/>
        </w:rPr>
        <w:t xml:space="preserve"> </w:t>
      </w:r>
      <w:r w:rsidR="00A455B2" w:rsidRPr="008A02D8">
        <w:rPr>
          <w:szCs w:val="22"/>
        </w:rPr>
        <w:t>transaction</w:t>
      </w:r>
      <w:r w:rsidRPr="002C1EA1">
        <w:rPr>
          <w:szCs w:val="22"/>
        </w:rPr>
        <w:t>.</w:t>
      </w:r>
      <w:r w:rsidRPr="002C1EA1">
        <w:rPr>
          <w:szCs w:val="22"/>
          <w:vertAlign w:val="superscript"/>
        </w:rPr>
        <w:footnoteReference w:id="145"/>
      </w:r>
      <w:r w:rsidRPr="002C1EA1">
        <w:rPr>
          <w:szCs w:val="22"/>
        </w:rPr>
        <w:t xml:space="preserve">  </w:t>
      </w:r>
      <w:r w:rsidR="00C21C77">
        <w:rPr>
          <w:szCs w:val="22"/>
        </w:rPr>
        <w:t xml:space="preserve">As </w:t>
      </w:r>
      <w:r w:rsidR="00C81A64">
        <w:rPr>
          <w:szCs w:val="22"/>
        </w:rPr>
        <w:t>the</w:t>
      </w:r>
      <w:r w:rsidR="005A7244">
        <w:rPr>
          <w:szCs w:val="22"/>
        </w:rPr>
        <w:t xml:space="preserve"> Commission observed in the</w:t>
      </w:r>
      <w:r w:rsidR="00C81A64">
        <w:rPr>
          <w:szCs w:val="22"/>
        </w:rPr>
        <w:t xml:space="preserve"> </w:t>
      </w:r>
      <w:r w:rsidR="00C21C77" w:rsidRPr="004F51DF">
        <w:rPr>
          <w:i/>
          <w:szCs w:val="22"/>
        </w:rPr>
        <w:t>Verizon Wireless</w:t>
      </w:r>
      <w:r w:rsidR="006F600C">
        <w:rPr>
          <w:i/>
          <w:szCs w:val="22"/>
        </w:rPr>
        <w:t>-</w:t>
      </w:r>
      <w:r w:rsidR="00C21C77" w:rsidRPr="004F51DF">
        <w:rPr>
          <w:i/>
          <w:szCs w:val="22"/>
        </w:rPr>
        <w:t>SpectrumCo Order</w:t>
      </w:r>
      <w:r w:rsidR="00C21C77">
        <w:rPr>
          <w:szCs w:val="22"/>
        </w:rPr>
        <w:t xml:space="preserve">, </w:t>
      </w:r>
      <w:r w:rsidR="005A7244" w:rsidRPr="005A7244">
        <w:rPr>
          <w:szCs w:val="22"/>
        </w:rPr>
        <w:t xml:space="preserve">AWS-1 spectrum </w:t>
      </w:r>
      <w:r w:rsidR="0040789F">
        <w:rPr>
          <w:szCs w:val="22"/>
        </w:rPr>
        <w:t xml:space="preserve">has a well-developed ecosystem for </w:t>
      </w:r>
      <w:r w:rsidR="005A7244" w:rsidRPr="005A7244">
        <w:rPr>
          <w:szCs w:val="22"/>
        </w:rPr>
        <w:t xml:space="preserve">LTE deployment and </w:t>
      </w:r>
      <w:r w:rsidR="0040789F">
        <w:rPr>
          <w:szCs w:val="22"/>
        </w:rPr>
        <w:t xml:space="preserve">is a critical band for </w:t>
      </w:r>
      <w:r w:rsidR="005A7244" w:rsidRPr="005A7244">
        <w:rPr>
          <w:szCs w:val="22"/>
        </w:rPr>
        <w:t>broadband growth</w:t>
      </w:r>
      <w:r w:rsidR="005A7244">
        <w:rPr>
          <w:szCs w:val="22"/>
        </w:rPr>
        <w:t>, and concentration of this spectrum with a single provider has the potential to raise rivals’ costs of providing mobile broadband service.</w:t>
      </w:r>
      <w:r w:rsidR="005A7244" w:rsidRPr="005A7244">
        <w:rPr>
          <w:szCs w:val="22"/>
          <w:vertAlign w:val="superscript"/>
        </w:rPr>
        <w:footnoteReference w:id="146"/>
      </w:r>
      <w:r w:rsidR="00C12A31">
        <w:rPr>
          <w:szCs w:val="22"/>
        </w:rPr>
        <w:t xml:space="preserve">  </w:t>
      </w:r>
      <w:r w:rsidR="009939F2">
        <w:rPr>
          <w:szCs w:val="22"/>
        </w:rPr>
        <w:t>As discussed below, we adopt the buildout condition</w:t>
      </w:r>
      <w:r w:rsidR="00AE3EF1">
        <w:rPr>
          <w:szCs w:val="22"/>
        </w:rPr>
        <w:t>s</w:t>
      </w:r>
      <w:r w:rsidR="009939F2">
        <w:rPr>
          <w:szCs w:val="22"/>
        </w:rPr>
        <w:t xml:space="preserve"> that the Commission set forth in the </w:t>
      </w:r>
      <w:r w:rsidR="00AE3EF1" w:rsidRPr="00AE3EF1">
        <w:rPr>
          <w:i/>
          <w:szCs w:val="22"/>
        </w:rPr>
        <w:t>Verizon Wireless-SpectrumCo Order</w:t>
      </w:r>
      <w:r w:rsidR="00E80D20">
        <w:rPr>
          <w:i/>
          <w:szCs w:val="22"/>
        </w:rPr>
        <w:t xml:space="preserve"> </w:t>
      </w:r>
      <w:r w:rsidR="00E80D20">
        <w:rPr>
          <w:szCs w:val="22"/>
        </w:rPr>
        <w:t xml:space="preserve">for </w:t>
      </w:r>
      <w:r w:rsidR="00BC2197">
        <w:rPr>
          <w:szCs w:val="22"/>
        </w:rPr>
        <w:t xml:space="preserve">the </w:t>
      </w:r>
      <w:r w:rsidR="00AF2390">
        <w:rPr>
          <w:szCs w:val="22"/>
        </w:rPr>
        <w:t xml:space="preserve">AWS-1 </w:t>
      </w:r>
      <w:r w:rsidR="00BC2197">
        <w:rPr>
          <w:szCs w:val="22"/>
        </w:rPr>
        <w:t xml:space="preserve">licenses </w:t>
      </w:r>
      <w:r w:rsidR="00AF2390">
        <w:rPr>
          <w:szCs w:val="22"/>
        </w:rPr>
        <w:t>and spectrum that</w:t>
      </w:r>
      <w:r w:rsidR="00BC2197">
        <w:rPr>
          <w:szCs w:val="22"/>
        </w:rPr>
        <w:t xml:space="preserve"> Verizon Wireless is acquiring from </w:t>
      </w:r>
      <w:r w:rsidR="00C27179">
        <w:rPr>
          <w:szCs w:val="22"/>
        </w:rPr>
        <w:t>AT&amp;T</w:t>
      </w:r>
      <w:r w:rsidR="00BC2197">
        <w:rPr>
          <w:szCs w:val="22"/>
        </w:rPr>
        <w:t xml:space="preserve"> and Grain</w:t>
      </w:r>
      <w:r w:rsidR="00272D41">
        <w:rPr>
          <w:szCs w:val="22"/>
        </w:rPr>
        <w:t xml:space="preserve"> II</w:t>
      </w:r>
      <w:r w:rsidR="00AE3EF1">
        <w:rPr>
          <w:szCs w:val="22"/>
        </w:rPr>
        <w:t>.</w:t>
      </w:r>
      <w:r w:rsidR="00C21C77">
        <w:rPr>
          <w:rStyle w:val="FootnoteReference"/>
          <w:szCs w:val="22"/>
        </w:rPr>
        <w:footnoteReference w:id="147"/>
      </w:r>
    </w:p>
    <w:p w:rsidR="00C65C77" w:rsidRPr="00C0515C" w:rsidRDefault="00C65C77" w:rsidP="002448E6">
      <w:pPr>
        <w:pStyle w:val="Heading4"/>
      </w:pPr>
      <w:bookmarkStart w:id="194" w:name="_Toc365625592"/>
      <w:bookmarkStart w:id="195" w:name="_Toc365626593"/>
      <w:bookmarkStart w:id="196" w:name="_Toc365626794"/>
      <w:bookmarkStart w:id="197" w:name="_Toc365631644"/>
      <w:bookmarkStart w:id="198" w:name="_Toc365981454"/>
      <w:r w:rsidRPr="00C0515C">
        <w:t>Grain I and Grain II</w:t>
      </w:r>
      <w:bookmarkEnd w:id="194"/>
      <w:bookmarkEnd w:id="195"/>
      <w:bookmarkEnd w:id="196"/>
      <w:bookmarkEnd w:id="197"/>
      <w:bookmarkEnd w:id="198"/>
    </w:p>
    <w:p w:rsidR="00C65C77" w:rsidRDefault="00C65C77" w:rsidP="007D7A97">
      <w:pPr>
        <w:pStyle w:val="ParaNum"/>
        <w:rPr>
          <w:szCs w:val="22"/>
        </w:rPr>
      </w:pPr>
      <w:r w:rsidRPr="00B01B98">
        <w:rPr>
          <w:szCs w:val="22"/>
        </w:rPr>
        <w:t xml:space="preserve">Grain I would hold 12 megahertz of </w:t>
      </w:r>
      <w:r>
        <w:rPr>
          <w:szCs w:val="22"/>
        </w:rPr>
        <w:t xml:space="preserve">Lower </w:t>
      </w:r>
      <w:r w:rsidRPr="00B01B98">
        <w:rPr>
          <w:szCs w:val="22"/>
        </w:rPr>
        <w:t>700 MH</w:t>
      </w:r>
      <w:r>
        <w:rPr>
          <w:szCs w:val="22"/>
        </w:rPr>
        <w:t>z Band B Block spectrum in three markets</w:t>
      </w:r>
      <w:r w:rsidRPr="00B01B98">
        <w:rPr>
          <w:szCs w:val="22"/>
        </w:rPr>
        <w:t xml:space="preserve"> in North Carolina</w:t>
      </w:r>
      <w:r>
        <w:rPr>
          <w:szCs w:val="22"/>
        </w:rPr>
        <w:t xml:space="preserve"> post-transaction</w:t>
      </w:r>
      <w:r w:rsidRPr="00B01B98">
        <w:rPr>
          <w:szCs w:val="22"/>
        </w:rPr>
        <w:t>.</w:t>
      </w:r>
      <w:r w:rsidRPr="00D12F33">
        <w:rPr>
          <w:rStyle w:val="FootnoteReference"/>
          <w:szCs w:val="22"/>
        </w:rPr>
        <w:footnoteReference w:id="148"/>
      </w:r>
      <w:r w:rsidRPr="008868BD">
        <w:rPr>
          <w:szCs w:val="22"/>
        </w:rPr>
        <w:t xml:space="preserve">  </w:t>
      </w:r>
      <w:r>
        <w:rPr>
          <w:szCs w:val="22"/>
        </w:rPr>
        <w:t>The initial</w:t>
      </w:r>
      <w:r w:rsidRPr="008868BD">
        <w:rPr>
          <w:szCs w:val="22"/>
        </w:rPr>
        <w:t xml:space="preserve"> spectrum screen is not triggered</w:t>
      </w:r>
      <w:r>
        <w:rPr>
          <w:szCs w:val="22"/>
        </w:rPr>
        <w:t xml:space="preserve"> in these markets</w:t>
      </w:r>
      <w:r w:rsidRPr="008868BD">
        <w:rPr>
          <w:szCs w:val="22"/>
        </w:rPr>
        <w:t xml:space="preserve">, and </w:t>
      </w:r>
      <w:r>
        <w:rPr>
          <w:szCs w:val="22"/>
        </w:rPr>
        <w:t xml:space="preserve">in addition, the </w:t>
      </w:r>
      <w:r w:rsidRPr="008868BD">
        <w:rPr>
          <w:szCs w:val="22"/>
        </w:rPr>
        <w:t xml:space="preserve">below 1 GHz </w:t>
      </w:r>
      <w:r>
        <w:rPr>
          <w:szCs w:val="22"/>
        </w:rPr>
        <w:t>spectrum holdings do</w:t>
      </w:r>
      <w:r w:rsidRPr="008868BD">
        <w:rPr>
          <w:szCs w:val="22"/>
        </w:rPr>
        <w:t xml:space="preserve"> not raise any </w:t>
      </w:r>
      <w:r>
        <w:rPr>
          <w:szCs w:val="22"/>
        </w:rPr>
        <w:t xml:space="preserve">potential </w:t>
      </w:r>
      <w:r w:rsidRPr="008868BD">
        <w:rPr>
          <w:szCs w:val="22"/>
        </w:rPr>
        <w:t xml:space="preserve">competitive concerns. </w:t>
      </w:r>
      <w:r w:rsidRPr="00AB0A91">
        <w:rPr>
          <w:szCs w:val="22"/>
        </w:rPr>
        <w:t xml:space="preserve"> </w:t>
      </w:r>
      <w:r w:rsidRPr="00033EA9">
        <w:rPr>
          <w:szCs w:val="22"/>
        </w:rPr>
        <w:t>Post-transaction</w:t>
      </w:r>
      <w:r>
        <w:rPr>
          <w:szCs w:val="22"/>
        </w:rPr>
        <w:t>,</w:t>
      </w:r>
      <w:r w:rsidRPr="00033EA9">
        <w:rPr>
          <w:szCs w:val="22"/>
        </w:rPr>
        <w:t xml:space="preserve"> Grain II would hold 10</w:t>
      </w:r>
      <w:r>
        <w:rPr>
          <w:szCs w:val="22"/>
        </w:rPr>
        <w:t xml:space="preserve"> megahertz of AWS-1 spectrum in 19</w:t>
      </w:r>
      <w:r w:rsidRPr="00255752">
        <w:rPr>
          <w:szCs w:val="22"/>
        </w:rPr>
        <w:t xml:space="preserve"> CMAs.</w:t>
      </w:r>
      <w:r w:rsidRPr="00255752">
        <w:rPr>
          <w:rStyle w:val="FootnoteReference"/>
          <w:szCs w:val="22"/>
        </w:rPr>
        <w:footnoteReference w:id="149"/>
      </w:r>
      <w:r w:rsidRPr="00255752">
        <w:rPr>
          <w:szCs w:val="22"/>
        </w:rPr>
        <w:t xml:space="preserve">  </w:t>
      </w:r>
      <w:r w:rsidR="00FD5684" w:rsidRPr="00FD5684">
        <w:rPr>
          <w:szCs w:val="22"/>
        </w:rPr>
        <w:t>As Grain is a new licensee in these markets, we conclude that there would not be any potential competitive concerns with Grain’s acquisition of this spectrum.</w:t>
      </w:r>
    </w:p>
    <w:p w:rsidR="00425548" w:rsidRPr="002448E6" w:rsidRDefault="00425548" w:rsidP="00723C80">
      <w:pPr>
        <w:pStyle w:val="Heading2"/>
      </w:pPr>
      <w:bookmarkStart w:id="199" w:name="_Toc365625593"/>
      <w:bookmarkStart w:id="200" w:name="_Toc365626594"/>
      <w:bookmarkStart w:id="201" w:name="_Toc365626795"/>
      <w:bookmarkStart w:id="202" w:name="_Toc365631645"/>
      <w:bookmarkStart w:id="203" w:name="_Toc365981455"/>
      <w:r w:rsidRPr="002448E6">
        <w:t xml:space="preserve">Other </w:t>
      </w:r>
      <w:r w:rsidR="00537FB8">
        <w:t>Issues</w:t>
      </w:r>
      <w:bookmarkEnd w:id="199"/>
      <w:bookmarkEnd w:id="200"/>
      <w:bookmarkEnd w:id="201"/>
      <w:bookmarkEnd w:id="202"/>
      <w:bookmarkEnd w:id="203"/>
    </w:p>
    <w:p w:rsidR="00A51E21" w:rsidRPr="00C37791" w:rsidRDefault="00537FB8" w:rsidP="00A51E21">
      <w:pPr>
        <w:pStyle w:val="ParaNum"/>
        <w:widowControl/>
        <w:tabs>
          <w:tab w:val="num" w:pos="2160"/>
        </w:tabs>
        <w:rPr>
          <w:szCs w:val="22"/>
        </w:rPr>
      </w:pPr>
      <w:r>
        <w:rPr>
          <w:i/>
          <w:iCs/>
        </w:rPr>
        <w:t>Record</w:t>
      </w:r>
      <w:r w:rsidR="00A51E21">
        <w:t xml:space="preserve">.  </w:t>
      </w:r>
      <w:r w:rsidR="00A51E21" w:rsidRPr="00C37791">
        <w:rPr>
          <w:szCs w:val="22"/>
        </w:rPr>
        <w:t>RTG asserts that</w:t>
      </w:r>
      <w:r w:rsidR="00A51E21">
        <w:rPr>
          <w:szCs w:val="22"/>
        </w:rPr>
        <w:t>,</w:t>
      </w:r>
      <w:r w:rsidR="00A51E21" w:rsidRPr="00C37791">
        <w:rPr>
          <w:szCs w:val="22"/>
        </w:rPr>
        <w:t xml:space="preserve"> if the Commission approves the proposed transactions, it should require, in those markets where either AT&amp;T or Verizon Wireless will hold more than 25 percent of the suitable and available spectrum or more than 40 percent of the suitable and available spectrum below 1 GHz, the affected company or companies </w:t>
      </w:r>
      <w:r w:rsidR="00A51E21">
        <w:rPr>
          <w:szCs w:val="22"/>
        </w:rPr>
        <w:t>to</w:t>
      </w:r>
      <w:r w:rsidR="00A51E21" w:rsidRPr="00C37791">
        <w:rPr>
          <w:szCs w:val="22"/>
        </w:rPr>
        <w:t xml:space="preserve"> offer data roaming to any requesting carrier at commercially reasonable rates, terms and conditions.</w:t>
      </w:r>
      <w:r w:rsidR="00A51E21" w:rsidRPr="00C37791">
        <w:rPr>
          <w:sz w:val="20"/>
          <w:szCs w:val="22"/>
          <w:vertAlign w:val="superscript"/>
        </w:rPr>
        <w:footnoteReference w:id="150"/>
      </w:r>
      <w:r w:rsidR="00A51E21" w:rsidRPr="00C37791">
        <w:rPr>
          <w:szCs w:val="22"/>
        </w:rPr>
        <w:t xml:space="preserve">  NTCA concurs that the Commission should </w:t>
      </w:r>
      <w:r w:rsidR="00A51E21">
        <w:rPr>
          <w:szCs w:val="22"/>
        </w:rPr>
        <w:t xml:space="preserve">impose this requirement on </w:t>
      </w:r>
      <w:r w:rsidR="00A51E21" w:rsidRPr="00C37791">
        <w:rPr>
          <w:szCs w:val="22"/>
        </w:rPr>
        <w:t>both carriers.</w:t>
      </w:r>
      <w:r w:rsidR="00A51E21" w:rsidRPr="00C37791">
        <w:rPr>
          <w:sz w:val="20"/>
          <w:szCs w:val="22"/>
          <w:vertAlign w:val="superscript"/>
        </w:rPr>
        <w:footnoteReference w:id="151"/>
      </w:r>
      <w:r w:rsidR="00A51E21" w:rsidRPr="00C37791">
        <w:rPr>
          <w:szCs w:val="22"/>
        </w:rPr>
        <w:t xml:space="preserve">  </w:t>
      </w:r>
    </w:p>
    <w:p w:rsidR="00A51E21" w:rsidRPr="00AE1456" w:rsidRDefault="00A51E21" w:rsidP="00A51E21">
      <w:pPr>
        <w:widowControl/>
        <w:numPr>
          <w:ilvl w:val="0"/>
          <w:numId w:val="1"/>
        </w:numPr>
        <w:tabs>
          <w:tab w:val="clear" w:pos="1080"/>
          <w:tab w:val="num" w:pos="1440"/>
          <w:tab w:val="num" w:pos="2160"/>
        </w:tabs>
        <w:spacing w:after="120"/>
        <w:rPr>
          <w:szCs w:val="22"/>
        </w:rPr>
      </w:pPr>
      <w:r w:rsidRPr="00AE1456">
        <w:rPr>
          <w:szCs w:val="22"/>
        </w:rPr>
        <w:t xml:space="preserve">Several of the filers urge the Commission, should it decide to approve the proposed transaction, to impose </w:t>
      </w:r>
      <w:r w:rsidR="007B73FE">
        <w:rPr>
          <w:szCs w:val="22"/>
        </w:rPr>
        <w:t xml:space="preserve">other </w:t>
      </w:r>
      <w:r w:rsidRPr="00AE1456">
        <w:rPr>
          <w:szCs w:val="22"/>
        </w:rPr>
        <w:t>conditions that they assert will promote competition and offset any harms that might otherwise result.</w:t>
      </w:r>
      <w:r w:rsidRPr="00C37791">
        <w:rPr>
          <w:sz w:val="20"/>
          <w:szCs w:val="22"/>
          <w:vertAlign w:val="superscript"/>
        </w:rPr>
        <w:footnoteReference w:id="152"/>
      </w:r>
      <w:r w:rsidRPr="00AE1456">
        <w:rPr>
          <w:szCs w:val="22"/>
        </w:rPr>
        <w:t xml:space="preserve">  First, in light of the 700 MHz licenses that would be transferred to AT&amp;T pursuant to this transaction, </w:t>
      </w:r>
      <w:r w:rsidR="006E00E9">
        <w:rPr>
          <w:szCs w:val="22"/>
        </w:rPr>
        <w:t xml:space="preserve">CCA, NTCA, </w:t>
      </w:r>
      <w:r w:rsidRPr="00AE1456">
        <w:rPr>
          <w:szCs w:val="22"/>
        </w:rPr>
        <w:t xml:space="preserve">Public Knowledge, </w:t>
      </w:r>
      <w:r w:rsidR="006E00E9">
        <w:rPr>
          <w:szCs w:val="22"/>
        </w:rPr>
        <w:t xml:space="preserve">and </w:t>
      </w:r>
      <w:r w:rsidRPr="00AE1456">
        <w:rPr>
          <w:szCs w:val="22"/>
        </w:rPr>
        <w:t>RTG recommend that the Commission impose 700 MHz interoperability requirements on AT&amp;T.</w:t>
      </w:r>
      <w:r w:rsidRPr="00C37791">
        <w:rPr>
          <w:sz w:val="20"/>
          <w:szCs w:val="22"/>
          <w:vertAlign w:val="superscript"/>
        </w:rPr>
        <w:footnoteReference w:id="153"/>
      </w:r>
      <w:r w:rsidRPr="00AE1456">
        <w:rPr>
          <w:szCs w:val="22"/>
        </w:rPr>
        <w:t xml:space="preserve">  Second, Public Knowledge and RTG </w:t>
      </w:r>
      <w:r>
        <w:rPr>
          <w:szCs w:val="22"/>
        </w:rPr>
        <w:t>urge</w:t>
      </w:r>
      <w:r w:rsidRPr="00AE1456">
        <w:rPr>
          <w:szCs w:val="22"/>
        </w:rPr>
        <w:t xml:space="preserve"> the Commission </w:t>
      </w:r>
      <w:r>
        <w:rPr>
          <w:szCs w:val="22"/>
        </w:rPr>
        <w:t xml:space="preserve">to </w:t>
      </w:r>
      <w:r w:rsidRPr="00AE1456">
        <w:rPr>
          <w:szCs w:val="22"/>
        </w:rPr>
        <w:t>require as a condition of any license transfers that AT&amp;T and Verizon</w:t>
      </w:r>
      <w:r w:rsidR="006E00E9">
        <w:rPr>
          <w:szCs w:val="22"/>
        </w:rPr>
        <w:t xml:space="preserve"> Wireless</w:t>
      </w:r>
      <w:r w:rsidRPr="00AE1456">
        <w:rPr>
          <w:szCs w:val="22"/>
        </w:rPr>
        <w:t xml:space="preserve"> not </w:t>
      </w:r>
      <w:r w:rsidR="00B32416">
        <w:rPr>
          <w:szCs w:val="22"/>
        </w:rPr>
        <w:t>enter into</w:t>
      </w:r>
      <w:r w:rsidR="00B32416" w:rsidRPr="00AE1456">
        <w:rPr>
          <w:szCs w:val="22"/>
        </w:rPr>
        <w:t xml:space="preserve"> </w:t>
      </w:r>
      <w:r w:rsidRPr="00AE1456">
        <w:rPr>
          <w:szCs w:val="22"/>
        </w:rPr>
        <w:t>any exclusive equipment deals that disadvantage smaller operators.</w:t>
      </w:r>
      <w:r w:rsidRPr="00C37791">
        <w:rPr>
          <w:sz w:val="20"/>
          <w:szCs w:val="22"/>
          <w:vertAlign w:val="superscript"/>
        </w:rPr>
        <w:footnoteReference w:id="154"/>
      </w:r>
      <w:r w:rsidRPr="00AE1456">
        <w:rPr>
          <w:szCs w:val="22"/>
        </w:rPr>
        <w:t xml:space="preserve">  Third, Public Knowledge recommends that</w:t>
      </w:r>
      <w:r>
        <w:rPr>
          <w:szCs w:val="22"/>
        </w:rPr>
        <w:t xml:space="preserve"> any early termination fees imposed by</w:t>
      </w:r>
      <w:r w:rsidRPr="00AE1456">
        <w:rPr>
          <w:szCs w:val="22"/>
        </w:rPr>
        <w:t xml:space="preserve"> AT&amp;T and Verizon</w:t>
      </w:r>
      <w:r w:rsidR="006E00E9">
        <w:rPr>
          <w:szCs w:val="22"/>
        </w:rPr>
        <w:t xml:space="preserve"> Wireless</w:t>
      </w:r>
      <w:r w:rsidRPr="00AE1456">
        <w:rPr>
          <w:szCs w:val="22"/>
        </w:rPr>
        <w:t xml:space="preserve"> </w:t>
      </w:r>
      <w:r>
        <w:rPr>
          <w:szCs w:val="22"/>
        </w:rPr>
        <w:t xml:space="preserve">be </w:t>
      </w:r>
      <w:r w:rsidRPr="00AE1456">
        <w:rPr>
          <w:szCs w:val="22"/>
        </w:rPr>
        <w:t>tie</w:t>
      </w:r>
      <w:r>
        <w:rPr>
          <w:szCs w:val="22"/>
        </w:rPr>
        <w:t>d</w:t>
      </w:r>
      <w:r w:rsidRPr="00AE1456">
        <w:rPr>
          <w:szCs w:val="22"/>
        </w:rPr>
        <w:t xml:space="preserve"> to specific equipment costs on a pro-rated basis.</w:t>
      </w:r>
      <w:r w:rsidRPr="00C37791">
        <w:rPr>
          <w:sz w:val="20"/>
          <w:szCs w:val="22"/>
          <w:vertAlign w:val="superscript"/>
        </w:rPr>
        <w:footnoteReference w:id="155"/>
      </w:r>
      <w:r w:rsidRPr="00AE1456">
        <w:rPr>
          <w:szCs w:val="22"/>
        </w:rPr>
        <w:t xml:space="preserve">  Finally, Public Knowledge states that carriers with an advantage in special access and backhaul provision are able to leverage that advantage to keep their costs low, and asserts that </w:t>
      </w:r>
      <w:r w:rsidR="006E00E9" w:rsidRPr="00AE1456">
        <w:rPr>
          <w:szCs w:val="22"/>
        </w:rPr>
        <w:t xml:space="preserve">therefore </w:t>
      </w:r>
      <w:r w:rsidRPr="00AE1456">
        <w:rPr>
          <w:szCs w:val="22"/>
        </w:rPr>
        <w:t>the Commission should require that a provider that would increase its market power as a result of the proposed transactions should make its backhaul and special access services available to competitors on the same terms it enjoys.</w:t>
      </w:r>
      <w:r w:rsidRPr="00C37791">
        <w:rPr>
          <w:sz w:val="20"/>
          <w:szCs w:val="22"/>
          <w:vertAlign w:val="superscript"/>
        </w:rPr>
        <w:footnoteReference w:id="156"/>
      </w:r>
    </w:p>
    <w:p w:rsidR="00A51E21" w:rsidRDefault="00A51E21" w:rsidP="00A51E21">
      <w:pPr>
        <w:pStyle w:val="ParaNum"/>
        <w:rPr>
          <w:szCs w:val="22"/>
        </w:rPr>
      </w:pPr>
      <w:r w:rsidRPr="00C37791">
        <w:rPr>
          <w:szCs w:val="22"/>
        </w:rPr>
        <w:t xml:space="preserve">The Applicants assert that </w:t>
      </w:r>
      <w:r w:rsidR="006E00E9">
        <w:rPr>
          <w:szCs w:val="22"/>
        </w:rPr>
        <w:t xml:space="preserve">CCA, NTCA, </w:t>
      </w:r>
      <w:r w:rsidRPr="00C37791">
        <w:rPr>
          <w:szCs w:val="22"/>
        </w:rPr>
        <w:t xml:space="preserve">Public Knowledge, </w:t>
      </w:r>
      <w:r w:rsidR="006E00E9">
        <w:rPr>
          <w:szCs w:val="22"/>
        </w:rPr>
        <w:t xml:space="preserve">and </w:t>
      </w:r>
      <w:r w:rsidRPr="00C37791">
        <w:rPr>
          <w:szCs w:val="22"/>
        </w:rPr>
        <w:t>RTG have not identified any transaction-specific harms that the proposed data roaming, interoperability, handset exclusivity, early termination fee, and special access and backhaul conditions would address.</w:t>
      </w:r>
      <w:r w:rsidRPr="00C37791">
        <w:rPr>
          <w:sz w:val="20"/>
          <w:szCs w:val="22"/>
          <w:vertAlign w:val="superscript"/>
        </w:rPr>
        <w:footnoteReference w:id="157"/>
      </w:r>
      <w:r w:rsidRPr="00C37791">
        <w:rPr>
          <w:szCs w:val="22"/>
        </w:rPr>
        <w:t xml:space="preserve">  Instead, according to the Applicants, these proposed conditions relate only to alleged harms that </w:t>
      </w:r>
      <w:r w:rsidR="00537FB8" w:rsidRPr="00537FB8">
        <w:rPr>
          <w:szCs w:val="22"/>
        </w:rPr>
        <w:t xml:space="preserve">exist regardless of the transaction and that </w:t>
      </w:r>
      <w:r w:rsidRPr="00C37791">
        <w:rPr>
          <w:szCs w:val="22"/>
        </w:rPr>
        <w:t>are or were the subject of industry-wide proceedings, and consistent with past practice</w:t>
      </w:r>
      <w:r w:rsidR="00803B9C">
        <w:rPr>
          <w:szCs w:val="22"/>
        </w:rPr>
        <w:t xml:space="preserve">, </w:t>
      </w:r>
      <w:r w:rsidR="00537FB8">
        <w:rPr>
          <w:szCs w:val="22"/>
        </w:rPr>
        <w:t>we</w:t>
      </w:r>
      <w:r w:rsidRPr="00C37791">
        <w:rPr>
          <w:szCs w:val="22"/>
        </w:rPr>
        <w:t xml:space="preserve"> should decline to impose these conditions.</w:t>
      </w:r>
      <w:r w:rsidRPr="00C37791">
        <w:rPr>
          <w:sz w:val="20"/>
          <w:szCs w:val="22"/>
          <w:vertAlign w:val="superscript"/>
        </w:rPr>
        <w:footnoteReference w:id="158"/>
      </w:r>
    </w:p>
    <w:p w:rsidR="00580E73" w:rsidRPr="00255752" w:rsidRDefault="00A51E21" w:rsidP="00CD07FC">
      <w:pPr>
        <w:pStyle w:val="ParaNum"/>
        <w:widowControl/>
      </w:pPr>
      <w:r w:rsidRPr="00A51E21">
        <w:rPr>
          <w:i/>
          <w:iCs/>
        </w:rPr>
        <w:t>Discussion</w:t>
      </w:r>
      <w:r>
        <w:t xml:space="preserve">.  </w:t>
      </w:r>
      <w:r w:rsidRPr="00F45E34">
        <w:t xml:space="preserve">We conclude that the conditions proposed by </w:t>
      </w:r>
      <w:r w:rsidR="006E00E9">
        <w:t xml:space="preserve">CCA, NTCA, </w:t>
      </w:r>
      <w:r>
        <w:t xml:space="preserve">Public Knowledge, </w:t>
      </w:r>
      <w:r w:rsidR="006E00E9">
        <w:t xml:space="preserve">and </w:t>
      </w:r>
      <w:r w:rsidRPr="00F45E34">
        <w:t>RTG</w:t>
      </w:r>
      <w:r w:rsidRPr="00967A60">
        <w:t xml:space="preserve"> regarding data roaming, interoperability, handset exclusivity, early termination fees, and special access and backhaul obligations are not narrowly tailored to remedy </w:t>
      </w:r>
      <w:r w:rsidR="004A32F1">
        <w:t>any purported</w:t>
      </w:r>
      <w:r w:rsidRPr="00967A60">
        <w:t xml:space="preserve"> harms arising out of this transaction.</w:t>
      </w:r>
      <w:r w:rsidRPr="005506B8">
        <w:rPr>
          <w:rStyle w:val="FootnoteReference"/>
          <w:szCs w:val="22"/>
        </w:rPr>
        <w:footnoteReference w:id="159"/>
      </w:r>
      <w:r w:rsidRPr="005506B8">
        <w:t xml:space="preserve">  </w:t>
      </w:r>
      <w:r>
        <w:t xml:space="preserve">In particular, regarding </w:t>
      </w:r>
      <w:r w:rsidRPr="00F45E34">
        <w:t>the interoperabilit</w:t>
      </w:r>
      <w:r w:rsidRPr="00967A60">
        <w:t>y issues raised by Public Knowledge and RTG</w:t>
      </w:r>
      <w:r>
        <w:t>, we note that</w:t>
      </w:r>
      <w:r w:rsidRPr="00967A60">
        <w:t xml:space="preserve"> </w:t>
      </w:r>
      <w:r w:rsidRPr="00F45E34">
        <w:t>the Commission has initiated a rulemaking proceeding to address such issues on an industry-wide basis.</w:t>
      </w:r>
      <w:r w:rsidRPr="00F45E34">
        <w:rPr>
          <w:rStyle w:val="FootnoteReference"/>
          <w:szCs w:val="22"/>
        </w:rPr>
        <w:footnoteReference w:id="160"/>
      </w:r>
      <w:r w:rsidRPr="00F45E34">
        <w:t xml:space="preserve">  We accordingly will not impose these proposed conditions.</w:t>
      </w:r>
    </w:p>
    <w:p w:rsidR="005C0F80" w:rsidRPr="00995B8F" w:rsidRDefault="005C0F80" w:rsidP="00BD692F">
      <w:pPr>
        <w:pStyle w:val="Heading1"/>
        <w:tabs>
          <w:tab w:val="num" w:pos="1440"/>
          <w:tab w:val="num" w:pos="2160"/>
        </w:tabs>
        <w:ind w:left="0" w:firstLine="0"/>
        <w:rPr>
          <w:rFonts w:ascii="Times New Roman" w:hAnsi="Times New Roman"/>
          <w:szCs w:val="22"/>
        </w:rPr>
      </w:pPr>
      <w:bookmarkStart w:id="204" w:name="_Toc345093547"/>
      <w:bookmarkStart w:id="205" w:name="_Toc345093922"/>
      <w:bookmarkStart w:id="206" w:name="_Toc328997051"/>
      <w:bookmarkStart w:id="207" w:name="_Toc328997748"/>
      <w:bookmarkStart w:id="208" w:name="_Toc329798725"/>
      <w:bookmarkStart w:id="209" w:name="_Toc329799135"/>
      <w:bookmarkStart w:id="210" w:name="_Toc329799345"/>
      <w:bookmarkStart w:id="211" w:name="_Toc330488344"/>
      <w:bookmarkStart w:id="212" w:name="_Toc330489061"/>
      <w:bookmarkStart w:id="213" w:name="_Toc330565852"/>
      <w:bookmarkStart w:id="214" w:name="_Toc331009477"/>
      <w:bookmarkStart w:id="215" w:name="_Toc331009549"/>
      <w:bookmarkStart w:id="216" w:name="_Toc331440418"/>
      <w:bookmarkStart w:id="217" w:name="_Toc331792635"/>
      <w:bookmarkStart w:id="218" w:name="_Toc332215074"/>
      <w:bookmarkStart w:id="219" w:name="_Toc332220059"/>
      <w:bookmarkStart w:id="220" w:name="_Toc332220204"/>
      <w:bookmarkStart w:id="221" w:name="_Toc332220247"/>
      <w:bookmarkStart w:id="222" w:name="_Toc332220294"/>
      <w:bookmarkStart w:id="223" w:name="_Toc332220393"/>
      <w:bookmarkStart w:id="224" w:name="_Toc332220436"/>
      <w:bookmarkStart w:id="225" w:name="_Toc332220490"/>
      <w:bookmarkStart w:id="226" w:name="_Toc332220571"/>
      <w:bookmarkStart w:id="227" w:name="_Toc332220634"/>
      <w:bookmarkStart w:id="228" w:name="_Toc332220681"/>
      <w:bookmarkStart w:id="229" w:name="_Toc332220726"/>
      <w:bookmarkStart w:id="230" w:name="_Toc332220782"/>
      <w:bookmarkStart w:id="231" w:name="_Toc332220837"/>
      <w:bookmarkStart w:id="232" w:name="_Toc332220989"/>
      <w:bookmarkStart w:id="233" w:name="_Toc332221284"/>
      <w:bookmarkStart w:id="234" w:name="_Toc332300552"/>
      <w:bookmarkStart w:id="235" w:name="_Toc332301098"/>
      <w:bookmarkStart w:id="236" w:name="_Toc332303338"/>
      <w:bookmarkStart w:id="237" w:name="_Toc332392806"/>
      <w:bookmarkStart w:id="238" w:name="_Toc332626597"/>
      <w:bookmarkStart w:id="239" w:name="_Toc332634635"/>
      <w:bookmarkStart w:id="240" w:name="_Toc332744014"/>
      <w:bookmarkStart w:id="241" w:name="_Toc332880484"/>
      <w:bookmarkStart w:id="242" w:name="_Toc332886568"/>
      <w:bookmarkStart w:id="243" w:name="_Toc332888837"/>
      <w:bookmarkStart w:id="244" w:name="_Toc332891438"/>
      <w:bookmarkStart w:id="245" w:name="_Toc333263406"/>
      <w:bookmarkStart w:id="246" w:name="_Toc333330523"/>
      <w:bookmarkStart w:id="247" w:name="_Toc344908331"/>
      <w:bookmarkStart w:id="248" w:name="_Toc344931000"/>
      <w:bookmarkStart w:id="249" w:name="_Toc344970650"/>
      <w:bookmarkStart w:id="250" w:name="_Toc345091255"/>
      <w:bookmarkStart w:id="251" w:name="_Toc345092698"/>
      <w:bookmarkStart w:id="252" w:name="_Toc345093549"/>
      <w:bookmarkStart w:id="253" w:name="_Toc345093924"/>
      <w:bookmarkStart w:id="254" w:name="_Toc345094308"/>
      <w:bookmarkStart w:id="255" w:name="_Toc345436699"/>
      <w:bookmarkStart w:id="256" w:name="_Toc347166634"/>
      <w:bookmarkStart w:id="257" w:name="_Toc348340334"/>
      <w:bookmarkStart w:id="258" w:name="_Toc348371126"/>
      <w:bookmarkStart w:id="259" w:name="_Toc348543629"/>
      <w:bookmarkStart w:id="260" w:name="_Toc348547982"/>
      <w:bookmarkStart w:id="261" w:name="_Toc348565401"/>
      <w:bookmarkStart w:id="262" w:name="_Toc348714699"/>
      <w:bookmarkStart w:id="263" w:name="_Toc349157009"/>
      <w:bookmarkStart w:id="264" w:name="_Toc349170686"/>
      <w:bookmarkStart w:id="265" w:name="_Toc349170743"/>
      <w:bookmarkStart w:id="266" w:name="_Toc349202863"/>
      <w:bookmarkStart w:id="267" w:name="_Toc349259349"/>
      <w:bookmarkStart w:id="268" w:name="_Toc349316347"/>
      <w:bookmarkStart w:id="269" w:name="_Toc349573260"/>
      <w:bookmarkStart w:id="270" w:name="_Toc349741790"/>
      <w:bookmarkStart w:id="271" w:name="_Toc349812417"/>
      <w:bookmarkStart w:id="272" w:name="_Toc349932736"/>
      <w:bookmarkStart w:id="273" w:name="_Toc350432496"/>
      <w:bookmarkStart w:id="274" w:name="_Toc350787851"/>
      <w:bookmarkStart w:id="275" w:name="_Toc362852304"/>
      <w:bookmarkStart w:id="276" w:name="_Toc362854202"/>
      <w:bookmarkStart w:id="277" w:name="_Toc365625594"/>
      <w:bookmarkStart w:id="278" w:name="_Toc365626595"/>
      <w:bookmarkStart w:id="279" w:name="_Toc365626796"/>
      <w:bookmarkStart w:id="280" w:name="_Toc365631646"/>
      <w:bookmarkStart w:id="281" w:name="_Toc365981456"/>
      <w:bookmarkStart w:id="282" w:name="_Toc308200424"/>
      <w:bookmarkStart w:id="283" w:name="_Toc308200580"/>
      <w:bookmarkStart w:id="284" w:name="_Toc308203058"/>
      <w:bookmarkStart w:id="285" w:name="_Toc30914632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204"/>
      <w:bookmarkEnd w:id="205"/>
      <w:r w:rsidRPr="00995B8F">
        <w:rPr>
          <w:rFonts w:ascii="Times New Roman" w:hAnsi="Times New Roman"/>
          <w:szCs w:val="22"/>
        </w:rPr>
        <w:t>POTENTIAL PUBLIC INTEREST BENEFITS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995B8F" w:rsidRDefault="007021CD" w:rsidP="0015794D">
      <w:pPr>
        <w:pStyle w:val="ParaNum"/>
        <w:tabs>
          <w:tab w:val="num" w:pos="2160"/>
        </w:tabs>
        <w:rPr>
          <w:szCs w:val="22"/>
        </w:rPr>
      </w:pPr>
      <w:bookmarkStart w:id="286" w:name="_Toc331440419"/>
      <w:bookmarkStart w:id="287" w:name="_Toc332215075"/>
      <w:bookmarkStart w:id="288" w:name="_Toc332220060"/>
      <w:bookmarkStart w:id="289" w:name="_Toc332220205"/>
      <w:bookmarkStart w:id="290" w:name="_Toc332220248"/>
      <w:bookmarkStart w:id="291" w:name="_Toc332220295"/>
      <w:bookmarkStart w:id="292" w:name="_Toc332220394"/>
      <w:bookmarkStart w:id="293" w:name="_Toc332220437"/>
      <w:bookmarkStart w:id="294" w:name="_Toc332220491"/>
      <w:bookmarkStart w:id="295" w:name="_Toc332220572"/>
      <w:bookmarkStart w:id="296" w:name="_Toc332220635"/>
      <w:bookmarkStart w:id="297" w:name="_Toc332220682"/>
      <w:bookmarkStart w:id="298" w:name="_Toc332220727"/>
      <w:bookmarkStart w:id="299" w:name="_Toc332220783"/>
      <w:bookmarkStart w:id="300" w:name="_Toc332220838"/>
      <w:bookmarkStart w:id="301" w:name="_Toc332220990"/>
      <w:bookmarkStart w:id="302" w:name="_Toc332221285"/>
      <w:bookmarkStart w:id="303" w:name="_Toc332300553"/>
      <w:bookmarkStart w:id="304" w:name="_Toc332301099"/>
      <w:bookmarkStart w:id="305" w:name="_Toc332303339"/>
      <w:bookmarkStart w:id="306" w:name="_Toc332392807"/>
      <w:bookmarkStart w:id="307" w:name="_Toc332626598"/>
      <w:bookmarkStart w:id="308" w:name="_Toc332634636"/>
      <w:bookmarkStart w:id="309" w:name="_Toc332744015"/>
      <w:bookmarkStart w:id="310" w:name="_Toc332880485"/>
      <w:bookmarkStart w:id="311" w:name="_Toc332886569"/>
      <w:bookmarkStart w:id="312" w:name="_Toc332888838"/>
      <w:bookmarkStart w:id="313" w:name="_Toc332891439"/>
      <w:bookmarkStart w:id="314" w:name="_Toc333263407"/>
      <w:bookmarkStart w:id="315" w:name="_Toc333330524"/>
      <w:bookmarkStart w:id="316" w:name="_Toc344908332"/>
      <w:bookmarkEnd w:id="282"/>
      <w:bookmarkEnd w:id="283"/>
      <w:bookmarkEnd w:id="284"/>
      <w:bookmarkEnd w:id="285"/>
      <w:r w:rsidRPr="00995B8F">
        <w:rPr>
          <w:szCs w:val="22"/>
        </w:rPr>
        <w:t>After assessing the potential competitive harms of the proposed transactions, we next consider whether the prop</w:t>
      </w:r>
      <w:r w:rsidRPr="006B6C82">
        <w:rPr>
          <w:szCs w:val="22"/>
        </w:rPr>
        <w:t>osed assignment</w:t>
      </w:r>
      <w:r w:rsidR="00B65FEA">
        <w:rPr>
          <w:szCs w:val="22"/>
        </w:rPr>
        <w:t>s</w:t>
      </w:r>
      <w:r w:rsidRPr="006B6C82">
        <w:rPr>
          <w:szCs w:val="22"/>
        </w:rPr>
        <w:t xml:space="preserve"> of licenses </w:t>
      </w:r>
      <w:r w:rsidR="00B65FEA">
        <w:rPr>
          <w:szCs w:val="22"/>
        </w:rPr>
        <w:t>are</w:t>
      </w:r>
      <w:r w:rsidRPr="006B6C82">
        <w:rPr>
          <w:szCs w:val="22"/>
        </w:rPr>
        <w:t xml:space="preserve"> likely to generate verifiable, transaction-specific public interest </w:t>
      </w:r>
      <w:r w:rsidRPr="006B6C82">
        <w:rPr>
          <w:color w:val="010101"/>
          <w:kern w:val="0"/>
          <w:szCs w:val="22"/>
        </w:rPr>
        <w:t>benefits</w:t>
      </w:r>
      <w:r w:rsidRPr="00497713">
        <w:rPr>
          <w:szCs w:val="22"/>
        </w:rPr>
        <w:t xml:space="preserve"> that outweigh any identified competitive harms.</w:t>
      </w:r>
      <w:r w:rsidRPr="00995B8F">
        <w:rPr>
          <w:rStyle w:val="FootnoteReference"/>
          <w:szCs w:val="22"/>
        </w:rPr>
        <w:footnoteReference w:id="161"/>
      </w:r>
      <w:r w:rsidRPr="00995B8F">
        <w:rPr>
          <w:szCs w:val="22"/>
        </w:rPr>
        <w:t xml:space="preserve">  As discussed below, we anticipate that the proposed transactions likely </w:t>
      </w:r>
      <w:r w:rsidR="00860E5A">
        <w:rPr>
          <w:szCs w:val="22"/>
        </w:rPr>
        <w:t>would</w:t>
      </w:r>
      <w:r w:rsidR="00860E5A" w:rsidRPr="00995B8F">
        <w:rPr>
          <w:szCs w:val="22"/>
        </w:rPr>
        <w:t xml:space="preserve"> </w:t>
      </w:r>
      <w:r w:rsidRPr="00995B8F">
        <w:rPr>
          <w:szCs w:val="22"/>
        </w:rPr>
        <w:t>facilitate certai</w:t>
      </w:r>
      <w:r w:rsidRPr="006B6C82">
        <w:rPr>
          <w:szCs w:val="22"/>
        </w:rPr>
        <w:t xml:space="preserve">n transaction-specific public interest benefits, </w:t>
      </w:r>
      <w:r w:rsidR="0093100D">
        <w:rPr>
          <w:szCs w:val="22"/>
        </w:rPr>
        <w:t xml:space="preserve">such as </w:t>
      </w:r>
      <w:r w:rsidRPr="006B6C82">
        <w:rPr>
          <w:szCs w:val="22"/>
        </w:rPr>
        <w:t xml:space="preserve">the acceleration of advanced mobile broadband services.  </w:t>
      </w:r>
      <w:r w:rsidRPr="00995B8F">
        <w:rPr>
          <w:szCs w:val="22"/>
        </w:rPr>
        <w:t>We reach our conclusion regarding public interest benefits reco</w:t>
      </w:r>
      <w:r w:rsidRPr="006B6C82">
        <w:rPr>
          <w:szCs w:val="22"/>
        </w:rPr>
        <w:t xml:space="preserve">gnizing that it is difficult for us to precisely quantify either the magnitude of or the time period in which these benefits </w:t>
      </w:r>
      <w:r w:rsidR="00EB3253">
        <w:rPr>
          <w:szCs w:val="22"/>
        </w:rPr>
        <w:t>would</w:t>
      </w:r>
      <w:r w:rsidRPr="006B6C82">
        <w:rPr>
          <w:szCs w:val="22"/>
        </w:rPr>
        <w:t xml:space="preserve"> be realized.</w:t>
      </w:r>
      <w:r w:rsidRPr="00995B8F">
        <w:rPr>
          <w:rStyle w:val="FootnoteReference"/>
          <w:szCs w:val="22"/>
        </w:rPr>
        <w:footnoteReference w:id="162"/>
      </w:r>
    </w:p>
    <w:p w:rsidR="00CB2DFB" w:rsidRPr="00CB2DFB" w:rsidRDefault="00995B8F" w:rsidP="00723C80">
      <w:pPr>
        <w:pStyle w:val="Heading2"/>
      </w:pPr>
      <w:bookmarkStart w:id="317" w:name="_Toc365625595"/>
      <w:bookmarkStart w:id="318" w:name="_Toc365626596"/>
      <w:bookmarkStart w:id="319" w:name="_Toc365626797"/>
      <w:bookmarkStart w:id="320" w:name="_Toc365631647"/>
      <w:bookmarkStart w:id="321" w:name="_Toc365981457"/>
      <w:r w:rsidRPr="002316CA">
        <w:t>Analytical Framework</w:t>
      </w:r>
      <w:bookmarkEnd w:id="317"/>
      <w:bookmarkEnd w:id="318"/>
      <w:bookmarkEnd w:id="319"/>
      <w:bookmarkEnd w:id="320"/>
      <w:bookmarkEnd w:id="321"/>
    </w:p>
    <w:p w:rsidR="007021CD" w:rsidRPr="00255752" w:rsidRDefault="007021CD" w:rsidP="00BD692F">
      <w:pPr>
        <w:pStyle w:val="ParaNum"/>
        <w:tabs>
          <w:tab w:val="num" w:pos="2160"/>
        </w:tabs>
        <w:rPr>
          <w:szCs w:val="22"/>
        </w:rPr>
      </w:pPr>
      <w:r w:rsidRPr="00B01B98">
        <w:rPr>
          <w:szCs w:val="22"/>
        </w:rPr>
        <w:t>The Commission has recognized that “[e]fficiencies generated through a merger can mitigate competitive harms if such efficiencies enhance the merged firm’s ability and incentive to compete and therefore result in lower prices, improved quality of service, enhanced service or new products.”</w:t>
      </w:r>
      <w:r w:rsidRPr="00995B8F">
        <w:rPr>
          <w:rStyle w:val="FootnoteReference"/>
          <w:szCs w:val="22"/>
        </w:rPr>
        <w:footnoteReference w:id="163"/>
      </w:r>
      <w:r w:rsidRPr="00995B8F">
        <w:rPr>
          <w:szCs w:val="22"/>
        </w:rPr>
        <w:t xml:space="preserve">  This same analysis applies to an acquisition of assets like that contemplated by the proposed transactions before us.  Under Commission precedent, the Applicants bear the burden of demonstrating that the </w:t>
      </w:r>
      <w:r w:rsidRPr="006B6C82">
        <w:rPr>
          <w:color w:val="010101"/>
          <w:kern w:val="0"/>
          <w:szCs w:val="22"/>
        </w:rPr>
        <w:t>potential</w:t>
      </w:r>
      <w:r w:rsidRPr="006B6C82">
        <w:rPr>
          <w:szCs w:val="22"/>
        </w:rPr>
        <w:t xml:space="preserve"> public interest benefits of the proposed transaction outweigh the potential public interest harm</w:t>
      </w:r>
      <w:r w:rsidRPr="00255752">
        <w:rPr>
          <w:szCs w:val="22"/>
        </w:rPr>
        <w:t>s.</w:t>
      </w:r>
      <w:r w:rsidRPr="00255752">
        <w:rPr>
          <w:rStyle w:val="FootnoteReference"/>
          <w:szCs w:val="22"/>
        </w:rPr>
        <w:footnoteReference w:id="164"/>
      </w:r>
    </w:p>
    <w:p w:rsidR="007021CD" w:rsidRPr="00F45E34" w:rsidRDefault="007021CD" w:rsidP="00BD692F">
      <w:pPr>
        <w:pStyle w:val="ParaNum"/>
        <w:widowControl/>
        <w:tabs>
          <w:tab w:val="num" w:pos="2160"/>
        </w:tabs>
        <w:rPr>
          <w:szCs w:val="22"/>
        </w:rPr>
      </w:pPr>
      <w:r w:rsidRPr="00995B8F">
        <w:rPr>
          <w:szCs w:val="22"/>
        </w:rPr>
        <w:t>The Commission applies several criteria in deciding whether a claimed benefit should be considered and weighed against potential harms.</w:t>
      </w:r>
      <w:r w:rsidRPr="00995B8F">
        <w:rPr>
          <w:rStyle w:val="FootnoteReference"/>
          <w:szCs w:val="22"/>
        </w:rPr>
        <w:footnoteReference w:id="165"/>
      </w:r>
      <w:r w:rsidRPr="00995B8F">
        <w:rPr>
          <w:szCs w:val="22"/>
        </w:rPr>
        <w:t xml:space="preserve">  First, the claimed benefit must be transaction-specific.  Second, the claimed benefit must be verifiable.  Because much of the information relating to the potential benefits of a transaction is in the sole possession of the applicants, they are required to provide sufficient evidence supporting each claimed benefit so that the Commission can verify its likelihood and </w:t>
      </w:r>
      <w:r w:rsidRPr="005B4640">
        <w:rPr>
          <w:szCs w:val="22"/>
        </w:rPr>
        <w:t>magnitude.  In addition, “the magnitude of benefits must be calculated net of the cost of achieving them.”</w:t>
      </w:r>
      <w:r w:rsidRPr="005B4640">
        <w:rPr>
          <w:rStyle w:val="FootnoteReference"/>
          <w:szCs w:val="22"/>
        </w:rPr>
        <w:footnoteReference w:id="166"/>
      </w:r>
      <w:r w:rsidRPr="00701135">
        <w:rPr>
          <w:szCs w:val="22"/>
        </w:rPr>
        <w:t xml:space="preserve">  Finally, the </w:t>
      </w:r>
      <w:r w:rsidRPr="00701135">
        <w:rPr>
          <w:color w:val="010101"/>
          <w:kern w:val="0"/>
          <w:szCs w:val="22"/>
        </w:rPr>
        <w:t>Commission</w:t>
      </w:r>
      <w:r w:rsidRPr="00B54044">
        <w:rPr>
          <w:szCs w:val="22"/>
        </w:rPr>
        <w:t xml:space="preserve"> applies a “sliding scale approach” to evaluating benefit claims.</w:t>
      </w:r>
      <w:r w:rsidRPr="00B54044">
        <w:rPr>
          <w:rStyle w:val="FootnoteReference"/>
          <w:szCs w:val="22"/>
        </w:rPr>
        <w:footnoteReference w:id="167"/>
      </w:r>
      <w:r w:rsidRPr="00B54044">
        <w:rPr>
          <w:szCs w:val="22"/>
        </w:rPr>
        <w:t xml:space="preserve">  Under this sliding scale approach, where potential harms</w:t>
      </w:r>
      <w:r w:rsidRPr="006B6C82">
        <w:rPr>
          <w:szCs w:val="22"/>
        </w:rPr>
        <w:t xml:space="preserve"> appear “both substantial and likely, a demonstration of claimed benefits also must reveal a higher degree of magnitude and likelihood than we would otherwise demand.”</w:t>
      </w:r>
      <w:r w:rsidRPr="006B6C82">
        <w:rPr>
          <w:rStyle w:val="FootnoteReference"/>
          <w:szCs w:val="22"/>
        </w:rPr>
        <w:footnoteReference w:id="168"/>
      </w:r>
      <w:r w:rsidRPr="00497713">
        <w:rPr>
          <w:szCs w:val="22"/>
        </w:rPr>
        <w:t xml:space="preserve">  </w:t>
      </w:r>
    </w:p>
    <w:p w:rsidR="00995B8F" w:rsidRPr="00995B8F" w:rsidRDefault="00896872" w:rsidP="00723C80">
      <w:pPr>
        <w:pStyle w:val="Heading2"/>
      </w:pPr>
      <w:bookmarkStart w:id="322" w:name="_Toc365625596"/>
      <w:bookmarkStart w:id="323" w:name="_Toc365626597"/>
      <w:bookmarkStart w:id="324" w:name="_Toc365626798"/>
      <w:bookmarkStart w:id="325" w:name="_Toc365631648"/>
      <w:bookmarkStart w:id="326" w:name="_Toc365981458"/>
      <w:r>
        <w:t>Potential</w:t>
      </w:r>
      <w:r w:rsidR="00336E51">
        <w:t xml:space="preserve"> </w:t>
      </w:r>
      <w:r w:rsidR="00995B8F" w:rsidRPr="00995B8F">
        <w:t>Benefits</w:t>
      </w:r>
      <w:bookmarkEnd w:id="322"/>
      <w:bookmarkEnd w:id="323"/>
      <w:bookmarkEnd w:id="324"/>
      <w:bookmarkEnd w:id="325"/>
      <w:bookmarkEnd w:id="326"/>
    </w:p>
    <w:p w:rsidR="00B31FCD" w:rsidRPr="00336E51" w:rsidRDefault="00B31FCD" w:rsidP="00EF2A3C">
      <w:pPr>
        <w:pStyle w:val="ParaNum"/>
        <w:tabs>
          <w:tab w:val="num" w:pos="2160"/>
        </w:tabs>
        <w:rPr>
          <w:szCs w:val="22"/>
        </w:rPr>
      </w:pPr>
      <w:r w:rsidRPr="00896872">
        <w:rPr>
          <w:szCs w:val="22"/>
        </w:rPr>
        <w:t xml:space="preserve">AT&amp;T and Verizon Wireless claim that they </w:t>
      </w:r>
      <w:r w:rsidR="00EB3253" w:rsidRPr="00896872">
        <w:rPr>
          <w:szCs w:val="22"/>
        </w:rPr>
        <w:t>would</w:t>
      </w:r>
      <w:r w:rsidRPr="00896872">
        <w:rPr>
          <w:szCs w:val="22"/>
        </w:rPr>
        <w:t xml:space="preserve"> put the spectrum </w:t>
      </w:r>
      <w:r w:rsidR="00EF2A3C">
        <w:rPr>
          <w:szCs w:val="22"/>
        </w:rPr>
        <w:t xml:space="preserve">each would acquire </w:t>
      </w:r>
      <w:r w:rsidRPr="00896872">
        <w:rPr>
          <w:szCs w:val="22"/>
        </w:rPr>
        <w:t xml:space="preserve">to use in benefiting consumers </w:t>
      </w:r>
      <w:r w:rsidR="00EF2A3C">
        <w:rPr>
          <w:szCs w:val="22"/>
        </w:rPr>
        <w:t>by</w:t>
      </w:r>
      <w:r w:rsidRPr="00896872">
        <w:rPr>
          <w:szCs w:val="22"/>
        </w:rPr>
        <w:t xml:space="preserve"> providing high-quality, high-speed wireless broadband.</w:t>
      </w:r>
      <w:r w:rsidRPr="00995B8F">
        <w:rPr>
          <w:rStyle w:val="FootnoteReference"/>
          <w:szCs w:val="22"/>
        </w:rPr>
        <w:footnoteReference w:id="169"/>
      </w:r>
      <w:r w:rsidRPr="00896872">
        <w:rPr>
          <w:szCs w:val="22"/>
        </w:rPr>
        <w:t xml:space="preserve">  The Applicants </w:t>
      </w:r>
      <w:r w:rsidR="007740B9" w:rsidRPr="00896872">
        <w:rPr>
          <w:szCs w:val="22"/>
        </w:rPr>
        <w:t xml:space="preserve">assert </w:t>
      </w:r>
      <w:r w:rsidRPr="00896872">
        <w:rPr>
          <w:szCs w:val="22"/>
        </w:rPr>
        <w:t xml:space="preserve">that the proposed transactions </w:t>
      </w:r>
      <w:r w:rsidR="007740B9" w:rsidRPr="00896872">
        <w:rPr>
          <w:szCs w:val="22"/>
        </w:rPr>
        <w:t xml:space="preserve">would </w:t>
      </w:r>
      <w:r w:rsidRPr="00896872">
        <w:rPr>
          <w:szCs w:val="22"/>
        </w:rPr>
        <w:t>allow AT&amp;T and Verizon Wireless each “to further rationalize their spectrum holdings and obtain contiguous spectrum in many markets, enabling more spectrally efficient deployments.”</w:t>
      </w:r>
      <w:r w:rsidRPr="006B6C82">
        <w:rPr>
          <w:rStyle w:val="FootnoteReference"/>
          <w:szCs w:val="22"/>
        </w:rPr>
        <w:footnoteReference w:id="170"/>
      </w:r>
      <w:r w:rsidR="002C41EA" w:rsidRPr="00896872">
        <w:rPr>
          <w:szCs w:val="22"/>
        </w:rPr>
        <w:t xml:space="preserve">  </w:t>
      </w:r>
      <w:r w:rsidR="00896872" w:rsidRPr="00896872">
        <w:rPr>
          <w:szCs w:val="22"/>
        </w:rPr>
        <w:t>We anticip</w:t>
      </w:r>
      <w:r w:rsidR="00896872" w:rsidRPr="00822E76">
        <w:rPr>
          <w:szCs w:val="22"/>
        </w:rPr>
        <w:t>ate that the proposed transactions ha</w:t>
      </w:r>
      <w:r w:rsidR="00EF2A3C">
        <w:rPr>
          <w:szCs w:val="22"/>
        </w:rPr>
        <w:t>ve</w:t>
      </w:r>
      <w:r w:rsidR="00896872" w:rsidRPr="00822E76">
        <w:rPr>
          <w:szCs w:val="22"/>
        </w:rPr>
        <w:t xml:space="preserve"> the potential to </w:t>
      </w:r>
      <w:r w:rsidR="00896872" w:rsidRPr="008F193A">
        <w:rPr>
          <w:szCs w:val="22"/>
        </w:rPr>
        <w:t>result in some important transaction-specific public interest benefits</w:t>
      </w:r>
      <w:r w:rsidR="00896872" w:rsidRPr="002448E6">
        <w:rPr>
          <w:szCs w:val="22"/>
        </w:rPr>
        <w:t xml:space="preserve"> in the affected markets.  The Applicants have provided support in the record for their assertions that the two companies </w:t>
      </w:r>
      <w:r w:rsidR="00EF2A3C">
        <w:rPr>
          <w:szCs w:val="22"/>
        </w:rPr>
        <w:t xml:space="preserve">each </w:t>
      </w:r>
      <w:r w:rsidR="00896872" w:rsidRPr="002448E6">
        <w:rPr>
          <w:szCs w:val="22"/>
        </w:rPr>
        <w:t xml:space="preserve">could use the spectrum involved in the proposed transactions to assist in rationalizing their spectrum holdings, due in part, to each obtaining contiguous spectrum in certain markets.  We anticipate that, with the buildout condition imposed on Verizon Wireless, the additional spectrum will enable AT&amp;T and Verizon Wireless to better meet customers’ continued increase in demand for wireless broadband services.  </w:t>
      </w:r>
    </w:p>
    <w:p w:rsidR="005510D9" w:rsidRPr="00D71DC8" w:rsidRDefault="005510D9" w:rsidP="00723C80">
      <w:pPr>
        <w:pStyle w:val="Heading3"/>
      </w:pPr>
      <w:bookmarkStart w:id="327" w:name="_Toc365625597"/>
      <w:bookmarkStart w:id="328" w:name="_Toc365626598"/>
      <w:bookmarkStart w:id="329" w:name="_Toc365626799"/>
      <w:bookmarkStart w:id="330" w:name="_Toc365631649"/>
      <w:bookmarkStart w:id="331" w:name="_Toc365981459"/>
      <w:r w:rsidRPr="00D71DC8">
        <w:t>AT&amp;T</w:t>
      </w:r>
      <w:r w:rsidR="00857883">
        <w:t>’s</w:t>
      </w:r>
      <w:r w:rsidRPr="00D71DC8">
        <w:t xml:space="preserve"> </w:t>
      </w:r>
      <w:r w:rsidR="00C75E79">
        <w:t xml:space="preserve">Acquisition of Lower 700 MHz </w:t>
      </w:r>
      <w:r w:rsidR="00A00F5D">
        <w:t xml:space="preserve">Band B Block </w:t>
      </w:r>
      <w:r w:rsidR="00C75E79">
        <w:t>Spectrum</w:t>
      </w:r>
      <w:bookmarkEnd w:id="327"/>
      <w:bookmarkEnd w:id="328"/>
      <w:bookmarkEnd w:id="329"/>
      <w:bookmarkEnd w:id="330"/>
      <w:bookmarkEnd w:id="331"/>
      <w:r w:rsidR="00C75E79">
        <w:t xml:space="preserve"> </w:t>
      </w:r>
    </w:p>
    <w:p w:rsidR="00687260" w:rsidRDefault="00810C21" w:rsidP="00C44390">
      <w:pPr>
        <w:pStyle w:val="ParaNum"/>
        <w:tabs>
          <w:tab w:val="num" w:pos="2160"/>
        </w:tabs>
        <w:rPr>
          <w:szCs w:val="22"/>
        </w:rPr>
      </w:pPr>
      <w:r>
        <w:rPr>
          <w:szCs w:val="22"/>
        </w:rPr>
        <w:t xml:space="preserve">AT&amp;T claims that </w:t>
      </w:r>
      <w:r w:rsidR="00687260">
        <w:rPr>
          <w:szCs w:val="22"/>
        </w:rPr>
        <w:t>as a result of the proposed transaction, it would be able to further its LTE deployment due to efficiency improvem</w:t>
      </w:r>
      <w:r w:rsidR="00B541A9">
        <w:rPr>
          <w:szCs w:val="22"/>
        </w:rPr>
        <w:t>ents, particularly with its utilization of contiguous</w:t>
      </w:r>
      <w:r w:rsidR="00687260">
        <w:rPr>
          <w:szCs w:val="22"/>
        </w:rPr>
        <w:t xml:space="preserve"> Lower 700 </w:t>
      </w:r>
      <w:r w:rsidR="0046484A">
        <w:rPr>
          <w:szCs w:val="22"/>
        </w:rPr>
        <w:t>MHz Band B and C Block</w:t>
      </w:r>
      <w:r w:rsidR="00B541A9">
        <w:rPr>
          <w:szCs w:val="22"/>
        </w:rPr>
        <w:t xml:space="preserve"> spectrum</w:t>
      </w:r>
      <w:r w:rsidR="0046484A">
        <w:rPr>
          <w:szCs w:val="22"/>
        </w:rPr>
        <w:t>.</w:t>
      </w:r>
      <w:r w:rsidR="0097387E">
        <w:rPr>
          <w:rStyle w:val="FootnoteReference"/>
          <w:szCs w:val="22"/>
        </w:rPr>
        <w:footnoteReference w:id="171"/>
      </w:r>
      <w:r w:rsidR="00B541A9">
        <w:rPr>
          <w:szCs w:val="22"/>
        </w:rPr>
        <w:t xml:space="preserve">  Regarding the four markets </w:t>
      </w:r>
      <w:r w:rsidR="000C375C">
        <w:rPr>
          <w:szCs w:val="22"/>
        </w:rPr>
        <w:t xml:space="preserve">noted above </w:t>
      </w:r>
      <w:r w:rsidR="00B541A9">
        <w:rPr>
          <w:szCs w:val="22"/>
        </w:rPr>
        <w:t>where AT&amp;T would hold a considerable amount of below 1 GHz spectrum</w:t>
      </w:r>
      <w:r w:rsidR="00EF69C8">
        <w:rPr>
          <w:szCs w:val="22"/>
        </w:rPr>
        <w:t xml:space="preserve"> post-transaction</w:t>
      </w:r>
      <w:r w:rsidR="00B541A9">
        <w:rPr>
          <w:szCs w:val="22"/>
        </w:rPr>
        <w:t xml:space="preserve">, </w:t>
      </w:r>
      <w:r w:rsidR="00EF69C8">
        <w:rPr>
          <w:szCs w:val="22"/>
        </w:rPr>
        <w:t xml:space="preserve">our analysis indicates that there is a likelihood that there would be initial deployment </w:t>
      </w:r>
      <w:r w:rsidR="001E5852">
        <w:rPr>
          <w:szCs w:val="22"/>
        </w:rPr>
        <w:t>or</w:t>
      </w:r>
      <w:r w:rsidR="00EF69C8">
        <w:rPr>
          <w:szCs w:val="22"/>
        </w:rPr>
        <w:t xml:space="preserve"> expansion of LTE</w:t>
      </w:r>
      <w:r w:rsidR="0097387E">
        <w:rPr>
          <w:szCs w:val="22"/>
        </w:rPr>
        <w:t>,</w:t>
      </w:r>
      <w:r w:rsidR="00EF69C8">
        <w:rPr>
          <w:szCs w:val="22"/>
        </w:rPr>
        <w:t xml:space="preserve"> leading to potential benefits to consumers</w:t>
      </w:r>
      <w:r w:rsidR="00C44390">
        <w:rPr>
          <w:szCs w:val="22"/>
        </w:rPr>
        <w:t>, as discussed below</w:t>
      </w:r>
      <w:r w:rsidR="00EF69C8">
        <w:rPr>
          <w:szCs w:val="22"/>
        </w:rPr>
        <w:t>.</w:t>
      </w:r>
      <w:r w:rsidR="0046484A">
        <w:rPr>
          <w:szCs w:val="22"/>
        </w:rPr>
        <w:t xml:space="preserve">  </w:t>
      </w:r>
      <w:r w:rsidR="00687260">
        <w:rPr>
          <w:szCs w:val="22"/>
        </w:rPr>
        <w:t xml:space="preserve"> </w:t>
      </w:r>
    </w:p>
    <w:p w:rsidR="007632AA" w:rsidRPr="00A5434A" w:rsidRDefault="00A70D0D" w:rsidP="00723C80">
      <w:pPr>
        <w:pStyle w:val="ParaNum"/>
        <w:widowControl/>
        <w:tabs>
          <w:tab w:val="num" w:pos="2160"/>
        </w:tabs>
        <w:rPr>
          <w:szCs w:val="22"/>
        </w:rPr>
      </w:pPr>
      <w:r w:rsidRPr="003356EE">
        <w:rPr>
          <w:szCs w:val="22"/>
        </w:rPr>
        <w:t xml:space="preserve">AT&amp;T asserts that it </w:t>
      </w:r>
      <w:r w:rsidR="000B0CAD" w:rsidRPr="00A5434A">
        <w:rPr>
          <w:szCs w:val="22"/>
        </w:rPr>
        <w:t>would</w:t>
      </w:r>
      <w:r w:rsidRPr="00B77C06">
        <w:rPr>
          <w:szCs w:val="22"/>
        </w:rPr>
        <w:t xml:space="preserve"> use the Lower 700 MHz Band B Block spectrum at issue to augment or fill in gaps in AT&amp;T’s LTE deploy</w:t>
      </w:r>
      <w:r w:rsidRPr="0013202F">
        <w:rPr>
          <w:szCs w:val="22"/>
        </w:rPr>
        <w:t>ment and improve spectral efficiency, resulting in faster, higher quality services to its customers in the markets involved in the proposed transaction, which includes a number of small markets</w:t>
      </w:r>
      <w:r w:rsidRPr="003356EE">
        <w:rPr>
          <w:szCs w:val="22"/>
        </w:rPr>
        <w:t>.</w:t>
      </w:r>
      <w:r w:rsidRPr="006B6C82">
        <w:rPr>
          <w:rStyle w:val="FootnoteReference"/>
          <w:szCs w:val="22"/>
        </w:rPr>
        <w:footnoteReference w:id="172"/>
      </w:r>
      <w:r w:rsidRPr="003356EE">
        <w:rPr>
          <w:szCs w:val="22"/>
        </w:rPr>
        <w:t xml:space="preserve">  </w:t>
      </w:r>
      <w:r w:rsidR="00956A6E" w:rsidRPr="00A5434A">
        <w:rPr>
          <w:szCs w:val="22"/>
        </w:rPr>
        <w:t>AT&amp;T contends that this spectrum would be particularly be</w:t>
      </w:r>
      <w:r w:rsidR="00956A6E" w:rsidRPr="00B77C06">
        <w:rPr>
          <w:szCs w:val="22"/>
        </w:rPr>
        <w:t>neficial in deploying LTE in the areas where it currently holds the Lower 700 MHz</w:t>
      </w:r>
      <w:r w:rsidR="00A633EE">
        <w:rPr>
          <w:szCs w:val="22"/>
        </w:rPr>
        <w:t xml:space="preserve"> Band</w:t>
      </w:r>
      <w:r w:rsidR="00956A6E" w:rsidRPr="00B77C06">
        <w:rPr>
          <w:szCs w:val="22"/>
        </w:rPr>
        <w:t xml:space="preserve"> C Block spectrum.</w:t>
      </w:r>
      <w:r w:rsidR="00956A6E">
        <w:rPr>
          <w:rStyle w:val="FootnoteReference"/>
          <w:szCs w:val="22"/>
        </w:rPr>
        <w:footnoteReference w:id="173"/>
      </w:r>
      <w:r w:rsidR="00956A6E" w:rsidRPr="003356EE">
        <w:rPr>
          <w:szCs w:val="22"/>
        </w:rPr>
        <w:t xml:space="preserve">  AT&amp;T claims that where it has already deployed the Lower 700 MHz </w:t>
      </w:r>
      <w:r w:rsidR="00A633EE">
        <w:rPr>
          <w:szCs w:val="22"/>
        </w:rPr>
        <w:t xml:space="preserve">Band </w:t>
      </w:r>
      <w:r w:rsidR="00956A6E" w:rsidRPr="003356EE">
        <w:rPr>
          <w:szCs w:val="22"/>
        </w:rPr>
        <w:t>C Block</w:t>
      </w:r>
      <w:r w:rsidR="00A633EE">
        <w:rPr>
          <w:szCs w:val="22"/>
        </w:rPr>
        <w:t xml:space="preserve"> spectrum</w:t>
      </w:r>
      <w:r w:rsidR="00956A6E" w:rsidRPr="003356EE">
        <w:rPr>
          <w:szCs w:val="22"/>
        </w:rPr>
        <w:t>, it already has the necessary equipment in place to deploy the Lower 700 MHz Band</w:t>
      </w:r>
      <w:r w:rsidR="00956A6E" w:rsidRPr="0013202F">
        <w:rPr>
          <w:szCs w:val="22"/>
        </w:rPr>
        <w:t xml:space="preserve"> B Block spectrum expeditiously in 60 to 90 days post</w:t>
      </w:r>
      <w:r w:rsidR="00666BAB">
        <w:rPr>
          <w:szCs w:val="22"/>
        </w:rPr>
        <w:t>-</w:t>
      </w:r>
      <w:r w:rsidR="00956A6E" w:rsidRPr="0013202F">
        <w:rPr>
          <w:szCs w:val="22"/>
        </w:rPr>
        <w:t>transaction.</w:t>
      </w:r>
      <w:r w:rsidR="00956A6E" w:rsidRPr="0008082C">
        <w:rPr>
          <w:rStyle w:val="FootnoteReference"/>
          <w:szCs w:val="22"/>
        </w:rPr>
        <w:footnoteReference w:id="174"/>
      </w:r>
      <w:r w:rsidR="00956A6E" w:rsidRPr="003356EE">
        <w:rPr>
          <w:szCs w:val="22"/>
        </w:rPr>
        <w:t xml:space="preserve">  According to AT&amp;T, </w:t>
      </w:r>
      <w:r w:rsidR="00956A6E" w:rsidRPr="00A5434A">
        <w:rPr>
          <w:szCs w:val="22"/>
        </w:rPr>
        <w:t xml:space="preserve">these locations </w:t>
      </w:r>
      <w:r w:rsidR="00956A6E" w:rsidRPr="00B77C06">
        <w:rPr>
          <w:szCs w:val="22"/>
        </w:rPr>
        <w:t>reflect approximately 80 percent of the total population in the license areas where AT&amp;T would acquire or lease the spectrum in th</w:t>
      </w:r>
      <w:r w:rsidR="00DB5429" w:rsidRPr="00396B07">
        <w:rPr>
          <w:szCs w:val="22"/>
        </w:rPr>
        <w:t>ese</w:t>
      </w:r>
      <w:r w:rsidR="00956A6E" w:rsidRPr="00396B07">
        <w:rPr>
          <w:szCs w:val="22"/>
        </w:rPr>
        <w:t xml:space="preserve"> transaction</w:t>
      </w:r>
      <w:r w:rsidR="00DB5429" w:rsidRPr="00396B07">
        <w:rPr>
          <w:szCs w:val="22"/>
        </w:rPr>
        <w:t>s</w:t>
      </w:r>
      <w:r w:rsidR="00956A6E" w:rsidRPr="00396B07">
        <w:rPr>
          <w:szCs w:val="22"/>
        </w:rPr>
        <w:t>.</w:t>
      </w:r>
      <w:r w:rsidR="00956A6E" w:rsidRPr="00967A60">
        <w:rPr>
          <w:rStyle w:val="FootnoteReference"/>
          <w:szCs w:val="22"/>
        </w:rPr>
        <w:footnoteReference w:id="175"/>
      </w:r>
      <w:r w:rsidR="00956A6E" w:rsidRPr="003356EE">
        <w:rPr>
          <w:szCs w:val="22"/>
        </w:rPr>
        <w:t xml:space="preserve">  AT&amp;</w:t>
      </w:r>
      <w:r w:rsidR="00956A6E" w:rsidRPr="00A5434A">
        <w:rPr>
          <w:szCs w:val="22"/>
        </w:rPr>
        <w:t xml:space="preserve">T claims that where it holds, </w:t>
      </w:r>
      <w:r w:rsidR="00DB5429" w:rsidRPr="00B77C06">
        <w:rPr>
          <w:szCs w:val="22"/>
        </w:rPr>
        <w:t>bu</w:t>
      </w:r>
      <w:r w:rsidR="00DB5429" w:rsidRPr="00396B07">
        <w:rPr>
          <w:szCs w:val="22"/>
        </w:rPr>
        <w:t>t</w:t>
      </w:r>
      <w:r w:rsidR="00956A6E" w:rsidRPr="00396B07">
        <w:rPr>
          <w:szCs w:val="22"/>
        </w:rPr>
        <w:t xml:space="preserve"> has not deployed, the Lower 700 MHz </w:t>
      </w:r>
      <w:r w:rsidR="00A633EE">
        <w:rPr>
          <w:szCs w:val="22"/>
        </w:rPr>
        <w:t xml:space="preserve">Band </w:t>
      </w:r>
      <w:r w:rsidR="00956A6E" w:rsidRPr="00396B07">
        <w:rPr>
          <w:szCs w:val="22"/>
        </w:rPr>
        <w:t>C Block spectrum, the addition of the spectrum subject to the transaction would allow AT&amp;T to deploy LTE with contiguous spectrum,</w:t>
      </w:r>
      <w:r w:rsidR="00956A6E" w:rsidRPr="00AB0A91">
        <w:rPr>
          <w:rStyle w:val="FootnoteReference"/>
          <w:szCs w:val="22"/>
        </w:rPr>
        <w:footnoteReference w:id="176"/>
      </w:r>
      <w:r w:rsidR="00956A6E" w:rsidRPr="003356EE">
        <w:rPr>
          <w:szCs w:val="22"/>
        </w:rPr>
        <w:t xml:space="preserve"> leading to higher system capacity, spectral effic</w:t>
      </w:r>
      <w:r w:rsidR="00956A6E" w:rsidRPr="00A5434A">
        <w:rPr>
          <w:szCs w:val="22"/>
        </w:rPr>
        <w:t>iency, and a better throughput experience</w:t>
      </w:r>
      <w:r w:rsidR="00956A6E" w:rsidRPr="00B77C06">
        <w:rPr>
          <w:szCs w:val="22"/>
        </w:rPr>
        <w:t xml:space="preserve"> for customers.</w:t>
      </w:r>
      <w:r w:rsidR="00956A6E">
        <w:rPr>
          <w:rStyle w:val="FootnoteReference"/>
          <w:szCs w:val="22"/>
        </w:rPr>
        <w:footnoteReference w:id="177"/>
      </w:r>
      <w:r w:rsidR="00956A6E" w:rsidRPr="003356EE">
        <w:rPr>
          <w:szCs w:val="22"/>
        </w:rPr>
        <w:t xml:space="preserve">  </w:t>
      </w:r>
      <w:r w:rsidR="007F1F32" w:rsidRPr="00A5434A">
        <w:rPr>
          <w:szCs w:val="22"/>
        </w:rPr>
        <w:t>I</w:t>
      </w:r>
      <w:r w:rsidRPr="00B77C06">
        <w:rPr>
          <w:szCs w:val="22"/>
        </w:rPr>
        <w:t xml:space="preserve">n the markets where AT&amp;T holds no Lower 700 MHz </w:t>
      </w:r>
      <w:r w:rsidR="00A633EE">
        <w:rPr>
          <w:szCs w:val="22"/>
        </w:rPr>
        <w:t xml:space="preserve">Band </w:t>
      </w:r>
      <w:r w:rsidRPr="00B77C06">
        <w:rPr>
          <w:szCs w:val="22"/>
        </w:rPr>
        <w:t xml:space="preserve">C Block spectrum, </w:t>
      </w:r>
      <w:r w:rsidR="007F1F32" w:rsidRPr="00B77C06">
        <w:rPr>
          <w:szCs w:val="22"/>
        </w:rPr>
        <w:t xml:space="preserve">AT&amp;T claims that </w:t>
      </w:r>
      <w:r w:rsidRPr="0013202F">
        <w:rPr>
          <w:szCs w:val="22"/>
        </w:rPr>
        <w:t xml:space="preserve">the spectrum </w:t>
      </w:r>
      <w:r w:rsidR="00EB3253" w:rsidRPr="0013202F">
        <w:rPr>
          <w:szCs w:val="22"/>
        </w:rPr>
        <w:t>would</w:t>
      </w:r>
      <w:r w:rsidRPr="0013202F">
        <w:rPr>
          <w:szCs w:val="22"/>
        </w:rPr>
        <w:t xml:space="preserve"> be used for AT&amp;T’s initial LTE deployment or to augment AT&amp;T’s initi</w:t>
      </w:r>
      <w:r w:rsidR="00F03CF1" w:rsidRPr="0013202F">
        <w:rPr>
          <w:szCs w:val="22"/>
        </w:rPr>
        <w:t xml:space="preserve">al </w:t>
      </w:r>
      <w:r w:rsidR="001E5852">
        <w:rPr>
          <w:szCs w:val="22"/>
        </w:rPr>
        <w:t xml:space="preserve">LTE </w:t>
      </w:r>
      <w:r w:rsidR="00F03CF1" w:rsidRPr="0013202F">
        <w:rPr>
          <w:szCs w:val="22"/>
        </w:rPr>
        <w:t>deployment of 5x5 megahertz</w:t>
      </w:r>
      <w:r w:rsidRPr="0013202F">
        <w:rPr>
          <w:szCs w:val="22"/>
        </w:rPr>
        <w:t xml:space="preserve"> of AWS-1 spectrum.</w:t>
      </w:r>
      <w:r w:rsidRPr="006F7EA4">
        <w:rPr>
          <w:rStyle w:val="FootnoteReference"/>
          <w:szCs w:val="22"/>
        </w:rPr>
        <w:footnoteReference w:id="178"/>
      </w:r>
      <w:r w:rsidR="002B598E" w:rsidRPr="003356EE">
        <w:rPr>
          <w:szCs w:val="22"/>
        </w:rPr>
        <w:t xml:space="preserve">  </w:t>
      </w:r>
    </w:p>
    <w:p w:rsidR="00822E76" w:rsidRDefault="00641199" w:rsidP="009C566D">
      <w:pPr>
        <w:pStyle w:val="ParaNum"/>
        <w:widowControl/>
        <w:tabs>
          <w:tab w:val="num" w:pos="2160"/>
        </w:tabs>
        <w:rPr>
          <w:szCs w:val="22"/>
        </w:rPr>
      </w:pPr>
      <w:r>
        <w:rPr>
          <w:szCs w:val="22"/>
        </w:rPr>
        <w:t>Based</w:t>
      </w:r>
      <w:r w:rsidRPr="008941B2">
        <w:rPr>
          <w:szCs w:val="22"/>
        </w:rPr>
        <w:t xml:space="preserve"> </w:t>
      </w:r>
      <w:r>
        <w:rPr>
          <w:szCs w:val="22"/>
        </w:rPr>
        <w:t xml:space="preserve">on </w:t>
      </w:r>
      <w:r w:rsidRPr="008941B2">
        <w:rPr>
          <w:szCs w:val="22"/>
        </w:rPr>
        <w:t>the record before us</w:t>
      </w:r>
      <w:r>
        <w:rPr>
          <w:szCs w:val="22"/>
        </w:rPr>
        <w:t xml:space="preserve">, </w:t>
      </w:r>
      <w:r w:rsidRPr="0008082C">
        <w:rPr>
          <w:szCs w:val="22"/>
        </w:rPr>
        <w:t>we</w:t>
      </w:r>
      <w:r>
        <w:rPr>
          <w:szCs w:val="22"/>
        </w:rPr>
        <w:t xml:space="preserve"> find that AT&amp;T’s acquisition and leasing of this Lower 700 MHz Band B Block spectrum would likely result in some transaction-specific</w:t>
      </w:r>
      <w:r w:rsidR="001F11C2">
        <w:rPr>
          <w:szCs w:val="22"/>
        </w:rPr>
        <w:t xml:space="preserve"> benefits</w:t>
      </w:r>
      <w:r>
        <w:rPr>
          <w:szCs w:val="22"/>
        </w:rPr>
        <w:t>.</w:t>
      </w:r>
      <w:r w:rsidRPr="0008082C">
        <w:rPr>
          <w:szCs w:val="22"/>
        </w:rPr>
        <w:t xml:space="preserve"> </w:t>
      </w:r>
      <w:r>
        <w:rPr>
          <w:szCs w:val="22"/>
        </w:rPr>
        <w:t xml:space="preserve"> </w:t>
      </w:r>
      <w:r w:rsidRPr="0008082C">
        <w:rPr>
          <w:szCs w:val="22"/>
        </w:rPr>
        <w:t xml:space="preserve">The record supports AT&amp;T’s contentions that, as part of its spectrum rationalization plan, the proposed transaction </w:t>
      </w:r>
      <w:r w:rsidR="00CA4C59">
        <w:rPr>
          <w:szCs w:val="22"/>
        </w:rPr>
        <w:t>has the potential to enable AT&amp;T to achieve greater</w:t>
      </w:r>
      <w:r w:rsidRPr="0008082C">
        <w:rPr>
          <w:szCs w:val="22"/>
        </w:rPr>
        <w:t xml:space="preserve"> spectral efficiency and greater throughput in the license areas</w:t>
      </w:r>
      <w:r w:rsidR="00CA4C59">
        <w:rPr>
          <w:szCs w:val="22"/>
        </w:rPr>
        <w:t xml:space="preserve"> at issue,</w:t>
      </w:r>
      <w:r w:rsidRPr="0008082C">
        <w:rPr>
          <w:szCs w:val="22"/>
        </w:rPr>
        <w:t xml:space="preserve"> </w:t>
      </w:r>
      <w:r w:rsidR="00CA4C59">
        <w:rPr>
          <w:szCs w:val="22"/>
        </w:rPr>
        <w:t xml:space="preserve">which </w:t>
      </w:r>
      <w:r w:rsidRPr="0008082C">
        <w:rPr>
          <w:szCs w:val="22"/>
        </w:rPr>
        <w:t xml:space="preserve">would </w:t>
      </w:r>
      <w:r w:rsidR="00CA4C59">
        <w:rPr>
          <w:szCs w:val="22"/>
        </w:rPr>
        <w:t>en</w:t>
      </w:r>
      <w:r w:rsidRPr="0008082C">
        <w:rPr>
          <w:szCs w:val="22"/>
        </w:rPr>
        <w:t xml:space="preserve">able </w:t>
      </w:r>
      <w:r w:rsidR="00CA4C59">
        <w:rPr>
          <w:szCs w:val="22"/>
        </w:rPr>
        <w:t xml:space="preserve">AT&amp;T </w:t>
      </w:r>
      <w:r w:rsidRPr="0008082C">
        <w:rPr>
          <w:szCs w:val="22"/>
        </w:rPr>
        <w:t xml:space="preserve">to expand its LTE deployment </w:t>
      </w:r>
      <w:r>
        <w:rPr>
          <w:szCs w:val="22"/>
        </w:rPr>
        <w:t xml:space="preserve">using contiguous </w:t>
      </w:r>
      <w:r w:rsidR="009A57B8">
        <w:rPr>
          <w:szCs w:val="22"/>
        </w:rPr>
        <w:t>spectrum.</w:t>
      </w:r>
      <w:r w:rsidRPr="0008082C">
        <w:rPr>
          <w:szCs w:val="22"/>
        </w:rPr>
        <w:t xml:space="preserve"> </w:t>
      </w:r>
      <w:r w:rsidR="00A5747A">
        <w:rPr>
          <w:szCs w:val="22"/>
        </w:rPr>
        <w:t xml:space="preserve"> Indeed, AT&amp;T’s description of its plans for these markets generally suggests that AT&amp;T would take advantage of these potential benefits to provide better service to customers.</w:t>
      </w:r>
      <w:r w:rsidR="00A5747A">
        <w:rPr>
          <w:rStyle w:val="FootnoteReference"/>
          <w:szCs w:val="22"/>
        </w:rPr>
        <w:footnoteReference w:id="179"/>
      </w:r>
      <w:r w:rsidR="00A5747A">
        <w:rPr>
          <w:szCs w:val="22"/>
        </w:rPr>
        <w:t xml:space="preserve">  </w:t>
      </w:r>
      <w:r>
        <w:rPr>
          <w:szCs w:val="22"/>
        </w:rPr>
        <w:t xml:space="preserve">We also note that the Commission’s performance requirements for these Lower </w:t>
      </w:r>
      <w:r w:rsidR="00D72C2F">
        <w:rPr>
          <w:szCs w:val="22"/>
        </w:rPr>
        <w:t xml:space="preserve">700 MHz Band </w:t>
      </w:r>
      <w:r>
        <w:rPr>
          <w:szCs w:val="22"/>
        </w:rPr>
        <w:t>B Block licenses should help ensure that AT&amp;T makes significant deployments of these licenses quickly.</w:t>
      </w:r>
      <w:r>
        <w:rPr>
          <w:rStyle w:val="FootnoteReference"/>
          <w:szCs w:val="22"/>
        </w:rPr>
        <w:footnoteReference w:id="180"/>
      </w:r>
      <w:r>
        <w:rPr>
          <w:szCs w:val="22"/>
        </w:rPr>
        <w:t xml:space="preserve">  </w:t>
      </w:r>
      <w:r w:rsidR="009907C0">
        <w:rPr>
          <w:szCs w:val="22"/>
        </w:rPr>
        <w:t>Thus, w</w:t>
      </w:r>
      <w:r>
        <w:rPr>
          <w:szCs w:val="22"/>
        </w:rPr>
        <w:t xml:space="preserve">e </w:t>
      </w:r>
      <w:r w:rsidRPr="0008082C">
        <w:rPr>
          <w:szCs w:val="22"/>
        </w:rPr>
        <w:t xml:space="preserve">expect </w:t>
      </w:r>
      <w:r w:rsidR="009907C0">
        <w:rPr>
          <w:szCs w:val="22"/>
        </w:rPr>
        <w:t xml:space="preserve">generally </w:t>
      </w:r>
      <w:r w:rsidRPr="0008082C">
        <w:rPr>
          <w:szCs w:val="22"/>
        </w:rPr>
        <w:t xml:space="preserve">that this proposed transaction </w:t>
      </w:r>
      <w:r>
        <w:rPr>
          <w:szCs w:val="22"/>
        </w:rPr>
        <w:t>would</w:t>
      </w:r>
      <w:r w:rsidRPr="0008082C">
        <w:rPr>
          <w:szCs w:val="22"/>
        </w:rPr>
        <w:t xml:space="preserve"> likely result in </w:t>
      </w:r>
      <w:r>
        <w:rPr>
          <w:szCs w:val="22"/>
        </w:rPr>
        <w:t xml:space="preserve">new deployment and/or </w:t>
      </w:r>
      <w:r w:rsidRPr="0008082C">
        <w:rPr>
          <w:szCs w:val="22"/>
        </w:rPr>
        <w:t xml:space="preserve">expansion of </w:t>
      </w:r>
      <w:r>
        <w:rPr>
          <w:szCs w:val="22"/>
        </w:rPr>
        <w:t xml:space="preserve">AT&amp;T’s </w:t>
      </w:r>
      <w:r w:rsidRPr="0008082C">
        <w:rPr>
          <w:szCs w:val="22"/>
        </w:rPr>
        <w:t xml:space="preserve">LTE </w:t>
      </w:r>
      <w:r>
        <w:rPr>
          <w:szCs w:val="22"/>
        </w:rPr>
        <w:t>network.</w:t>
      </w:r>
      <w:r w:rsidR="00822E76">
        <w:rPr>
          <w:szCs w:val="22"/>
        </w:rPr>
        <w:t xml:space="preserve"> </w:t>
      </w:r>
    </w:p>
    <w:p w:rsidR="00B31FCD" w:rsidRPr="004E04EC" w:rsidRDefault="009907C0" w:rsidP="00723C80">
      <w:pPr>
        <w:pStyle w:val="ParaNum"/>
        <w:widowControl/>
        <w:tabs>
          <w:tab w:val="num" w:pos="2160"/>
        </w:tabs>
        <w:rPr>
          <w:szCs w:val="22"/>
        </w:rPr>
      </w:pPr>
      <w:r>
        <w:rPr>
          <w:szCs w:val="22"/>
        </w:rPr>
        <w:t xml:space="preserve">More specifically, in the four markets discussed above </w:t>
      </w:r>
      <w:r w:rsidRPr="009C566D">
        <w:rPr>
          <w:szCs w:val="22"/>
        </w:rPr>
        <w:t>in which AT&amp;T would hold 68 megahertz or more of spectrum below 1 GHz</w:t>
      </w:r>
      <w:r>
        <w:rPr>
          <w:szCs w:val="22"/>
        </w:rPr>
        <w:t xml:space="preserve">, we anticipate that the proposed transaction would lead to the realization of certain market and transaction-specific public interest benefits.  </w:t>
      </w:r>
      <w:r w:rsidR="00822E76" w:rsidRPr="009C566D">
        <w:rPr>
          <w:szCs w:val="22"/>
        </w:rPr>
        <w:t>In the Miami and West Palm Beach CMAs, where AT&amp;T currently holds the Lower 700 MHz Band C Block license</w:t>
      </w:r>
      <w:r w:rsidR="00060829" w:rsidRPr="009C566D">
        <w:rPr>
          <w:szCs w:val="22"/>
        </w:rPr>
        <w:t>, AT&amp;T</w:t>
      </w:r>
      <w:r w:rsidR="00822E76" w:rsidRPr="009C566D">
        <w:rPr>
          <w:szCs w:val="22"/>
        </w:rPr>
        <w:t xml:space="preserve"> has already deployed LTE on that spectrum.</w:t>
      </w:r>
      <w:r w:rsidR="00822E76" w:rsidRPr="002448E6">
        <w:rPr>
          <w:vertAlign w:val="superscript"/>
        </w:rPr>
        <w:footnoteReference w:id="181"/>
      </w:r>
      <w:r w:rsidR="00822E76" w:rsidRPr="009C566D">
        <w:rPr>
          <w:szCs w:val="22"/>
        </w:rPr>
        <w:t xml:space="preserve">  </w:t>
      </w:r>
      <w:r w:rsidR="00C26364" w:rsidRPr="009C566D">
        <w:rPr>
          <w:szCs w:val="22"/>
        </w:rPr>
        <w:t xml:space="preserve">By adding the Lower 700 MHz </w:t>
      </w:r>
      <w:r w:rsidR="00D72C2F">
        <w:rPr>
          <w:szCs w:val="22"/>
        </w:rPr>
        <w:t xml:space="preserve">Band </w:t>
      </w:r>
      <w:r>
        <w:rPr>
          <w:szCs w:val="22"/>
        </w:rPr>
        <w:t>B</w:t>
      </w:r>
      <w:r w:rsidR="00C26364" w:rsidRPr="009C566D">
        <w:rPr>
          <w:szCs w:val="22"/>
        </w:rPr>
        <w:t xml:space="preserve"> Block spectrum, AT&amp;T </w:t>
      </w:r>
      <w:r>
        <w:rPr>
          <w:szCs w:val="22"/>
        </w:rPr>
        <w:t>would</w:t>
      </w:r>
      <w:r w:rsidR="00C26364" w:rsidRPr="009C566D">
        <w:rPr>
          <w:szCs w:val="22"/>
        </w:rPr>
        <w:t xml:space="preserve"> be able to expand its LTE service on contiguous spectrum.  </w:t>
      </w:r>
      <w:r w:rsidR="00822E76" w:rsidRPr="009C566D">
        <w:rPr>
          <w:szCs w:val="22"/>
        </w:rPr>
        <w:t>Thus, consumers would benefit from a better LTE performance</w:t>
      </w:r>
      <w:r w:rsidR="00C26364" w:rsidRPr="009C566D">
        <w:rPr>
          <w:szCs w:val="22"/>
        </w:rPr>
        <w:t>, and we expect this would occur</w:t>
      </w:r>
      <w:r w:rsidR="00822E76" w:rsidRPr="009C566D">
        <w:rPr>
          <w:szCs w:val="22"/>
        </w:rPr>
        <w:t xml:space="preserve"> no later than 90 days after the closing of the transaction.</w:t>
      </w:r>
      <w:r w:rsidR="00822E76" w:rsidRPr="002448E6">
        <w:rPr>
          <w:vertAlign w:val="superscript"/>
        </w:rPr>
        <w:footnoteReference w:id="182"/>
      </w:r>
      <w:r w:rsidR="00822E76" w:rsidRPr="009C566D">
        <w:rPr>
          <w:szCs w:val="22"/>
          <w:vertAlign w:val="superscript"/>
        </w:rPr>
        <w:t xml:space="preserve"> </w:t>
      </w:r>
      <w:r w:rsidR="00822E76" w:rsidRPr="009C566D">
        <w:rPr>
          <w:szCs w:val="22"/>
        </w:rPr>
        <w:t xml:space="preserve"> </w:t>
      </w:r>
      <w:r w:rsidR="002239F6">
        <w:t xml:space="preserve">In </w:t>
      </w:r>
      <w:r w:rsidR="00BD271E">
        <w:t>the Lake Charles, Louisiana market,</w:t>
      </w:r>
      <w:r w:rsidR="002239F6">
        <w:t xml:space="preserve"> </w:t>
      </w:r>
      <w:r w:rsidR="00C26364">
        <w:t xml:space="preserve">where </w:t>
      </w:r>
      <w:r w:rsidR="002239F6">
        <w:t xml:space="preserve">AT&amp;T </w:t>
      </w:r>
      <w:r w:rsidR="00C26364">
        <w:t>has not yet deployed LTE,</w:t>
      </w:r>
      <w:r w:rsidR="00BD271E">
        <w:t xml:space="preserve"> </w:t>
      </w:r>
      <w:r w:rsidR="002239F6">
        <w:t xml:space="preserve">AT&amp;T </w:t>
      </w:r>
      <w:r w:rsidR="00BD271E">
        <w:t xml:space="preserve">recently acquired the </w:t>
      </w:r>
      <w:r w:rsidR="002239F6">
        <w:t xml:space="preserve">Lower 700 MHz </w:t>
      </w:r>
      <w:r w:rsidR="00D72C2F">
        <w:t xml:space="preserve">Band </w:t>
      </w:r>
      <w:r w:rsidR="002239F6">
        <w:t xml:space="preserve">C Block </w:t>
      </w:r>
      <w:r w:rsidR="00BD271E">
        <w:t>license</w:t>
      </w:r>
      <w:r w:rsidR="002239F6">
        <w:t>.</w:t>
      </w:r>
      <w:r w:rsidR="00641476">
        <w:t xml:space="preserve"> </w:t>
      </w:r>
      <w:r w:rsidR="00BD271E">
        <w:t xml:space="preserve"> In this market, </w:t>
      </w:r>
      <w:r w:rsidR="004422A7">
        <w:t xml:space="preserve">too, </w:t>
      </w:r>
      <w:r w:rsidR="00BD271E">
        <w:t xml:space="preserve">AT&amp;T would be able to deploy LTE </w:t>
      </w:r>
      <w:r w:rsidR="004422A7">
        <w:t>using</w:t>
      </w:r>
      <w:r w:rsidR="00BD271E">
        <w:t xml:space="preserve"> contiguous spectrum, </w:t>
      </w:r>
      <w:r w:rsidR="004422A7" w:rsidRPr="004422A7">
        <w:t>and we expect it would do so soon,</w:t>
      </w:r>
      <w:r w:rsidR="00653B1E" w:rsidRPr="00653B1E">
        <w:rPr>
          <w:rStyle w:val="FootnoteReference"/>
        </w:rPr>
        <w:t xml:space="preserve"> </w:t>
      </w:r>
      <w:r w:rsidR="00653B1E">
        <w:rPr>
          <w:rStyle w:val="FootnoteReference"/>
        </w:rPr>
        <w:footnoteReference w:id="183"/>
      </w:r>
      <w:r w:rsidR="004422A7" w:rsidRPr="004422A7">
        <w:t xml:space="preserve"> </w:t>
      </w:r>
      <w:r w:rsidR="00BD271E">
        <w:t xml:space="preserve">although the timeframe is </w:t>
      </w:r>
      <w:r w:rsidR="004306F9">
        <w:t xml:space="preserve">likely </w:t>
      </w:r>
      <w:r w:rsidR="00BD271E">
        <w:t>longer than 60 to 90 days.</w:t>
      </w:r>
      <w:r w:rsidR="00641476">
        <w:t xml:space="preserve"> </w:t>
      </w:r>
      <w:r w:rsidR="00F81EFE">
        <w:t xml:space="preserve"> </w:t>
      </w:r>
      <w:r w:rsidR="00653B1E">
        <w:t>T</w:t>
      </w:r>
      <w:r w:rsidR="008F193A">
        <w:t>his</w:t>
      </w:r>
      <w:r w:rsidR="008F193A" w:rsidRPr="00A55F45">
        <w:t xml:space="preserve"> </w:t>
      </w:r>
      <w:r w:rsidR="00653B1E">
        <w:t xml:space="preserve">LTE deployment </w:t>
      </w:r>
      <w:r w:rsidR="008F193A">
        <w:t xml:space="preserve">would confer transaction-specific benefits in the rural Texas 18 – Edwards market, where no provider currently has </w:t>
      </w:r>
      <w:r w:rsidR="00D537B3">
        <w:t xml:space="preserve">significant </w:t>
      </w:r>
      <w:r w:rsidR="008F193A">
        <w:t xml:space="preserve">LTE population or land area coverage.  </w:t>
      </w:r>
    </w:p>
    <w:p w:rsidR="005510D9" w:rsidRPr="0008082C" w:rsidRDefault="005510D9" w:rsidP="00723C80">
      <w:pPr>
        <w:pStyle w:val="Heading3"/>
      </w:pPr>
      <w:bookmarkStart w:id="332" w:name="_Toc365625598"/>
      <w:bookmarkStart w:id="333" w:name="_Toc365626599"/>
      <w:bookmarkStart w:id="334" w:name="_Toc365626800"/>
      <w:bookmarkStart w:id="335" w:name="_Toc365631650"/>
      <w:bookmarkStart w:id="336" w:name="_Toc365981460"/>
      <w:r w:rsidRPr="0008082C">
        <w:t>Verizon Wireless</w:t>
      </w:r>
      <w:r w:rsidR="00857883">
        <w:t>’s</w:t>
      </w:r>
      <w:r w:rsidRPr="0008082C">
        <w:t xml:space="preserve"> </w:t>
      </w:r>
      <w:r w:rsidR="00E4674D">
        <w:t>Acquisition of AWS-1 Spectrum</w:t>
      </w:r>
      <w:bookmarkEnd w:id="332"/>
      <w:bookmarkEnd w:id="333"/>
      <w:bookmarkEnd w:id="334"/>
      <w:bookmarkEnd w:id="335"/>
      <w:bookmarkEnd w:id="336"/>
      <w:r w:rsidR="00E4674D">
        <w:t xml:space="preserve"> </w:t>
      </w:r>
    </w:p>
    <w:p w:rsidR="00947041" w:rsidRPr="0008082C" w:rsidRDefault="00891372" w:rsidP="00396693">
      <w:pPr>
        <w:pStyle w:val="ParaNum"/>
        <w:widowControl/>
        <w:tabs>
          <w:tab w:val="num" w:pos="2160"/>
        </w:tabs>
        <w:rPr>
          <w:szCs w:val="22"/>
        </w:rPr>
      </w:pPr>
      <w:r>
        <w:rPr>
          <w:szCs w:val="22"/>
        </w:rPr>
        <w:t>Verizon Wireless maintains that the proposed transaction would lead to specific public interest benefits, such as enhancing its provision of LTE services to consumers.</w:t>
      </w:r>
      <w:r w:rsidR="0097387E">
        <w:rPr>
          <w:rStyle w:val="FootnoteReference"/>
          <w:szCs w:val="22"/>
        </w:rPr>
        <w:footnoteReference w:id="184"/>
      </w:r>
      <w:r>
        <w:rPr>
          <w:szCs w:val="22"/>
        </w:rPr>
        <w:t xml:space="preserve">  </w:t>
      </w:r>
      <w:r w:rsidR="009506CC" w:rsidRPr="009B6419">
        <w:rPr>
          <w:szCs w:val="22"/>
        </w:rPr>
        <w:t>Verizon Wireless asserts that it needs the AWS</w:t>
      </w:r>
      <w:r w:rsidR="009506CC">
        <w:rPr>
          <w:szCs w:val="22"/>
        </w:rPr>
        <w:t>-1</w:t>
      </w:r>
      <w:r w:rsidR="00E979D5">
        <w:rPr>
          <w:szCs w:val="22"/>
        </w:rPr>
        <w:t xml:space="preserve"> spectrum that it</w:t>
      </w:r>
      <w:r w:rsidR="009506CC" w:rsidRPr="009B6419">
        <w:rPr>
          <w:szCs w:val="22"/>
        </w:rPr>
        <w:t xml:space="preserve"> proposes to acquire and lease because of the increase in wireless data use due to data-intensive services.</w:t>
      </w:r>
      <w:r w:rsidR="009506CC" w:rsidRPr="009B6419">
        <w:rPr>
          <w:rStyle w:val="FootnoteReference"/>
          <w:szCs w:val="22"/>
        </w:rPr>
        <w:footnoteReference w:id="185"/>
      </w:r>
      <w:r w:rsidR="009506CC" w:rsidRPr="009B6419">
        <w:rPr>
          <w:szCs w:val="22"/>
        </w:rPr>
        <w:t xml:space="preserve">  </w:t>
      </w:r>
      <w:r w:rsidR="00E616F1">
        <w:rPr>
          <w:szCs w:val="22"/>
        </w:rPr>
        <w:t xml:space="preserve">Verizon Wireless asserts that, as a result of the proposed transaction, it would increase the capacity of its LTE network </w:t>
      </w:r>
      <w:r w:rsidR="005B7A0F">
        <w:rPr>
          <w:szCs w:val="22"/>
        </w:rPr>
        <w:t>by</w:t>
      </w:r>
      <w:r w:rsidR="00E616F1">
        <w:rPr>
          <w:szCs w:val="22"/>
        </w:rPr>
        <w:t xml:space="preserve"> us</w:t>
      </w:r>
      <w:r w:rsidR="005B7A0F">
        <w:rPr>
          <w:szCs w:val="22"/>
        </w:rPr>
        <w:t>ing</w:t>
      </w:r>
      <w:r w:rsidR="00E616F1">
        <w:rPr>
          <w:szCs w:val="22"/>
        </w:rPr>
        <w:t xml:space="preserve"> </w:t>
      </w:r>
      <w:r w:rsidR="005B7A0F">
        <w:rPr>
          <w:szCs w:val="22"/>
        </w:rPr>
        <w:t>the</w:t>
      </w:r>
      <w:r w:rsidR="00E616F1">
        <w:rPr>
          <w:szCs w:val="22"/>
        </w:rPr>
        <w:t xml:space="preserve"> AWS-1 spectrum to supplement its</w:t>
      </w:r>
      <w:r>
        <w:rPr>
          <w:szCs w:val="22"/>
        </w:rPr>
        <w:t xml:space="preserve"> existing</w:t>
      </w:r>
      <w:r w:rsidR="00E616F1">
        <w:rPr>
          <w:szCs w:val="22"/>
        </w:rPr>
        <w:t xml:space="preserve"> </w:t>
      </w:r>
      <w:r w:rsidR="000C1FDA" w:rsidRPr="0008082C">
        <w:rPr>
          <w:szCs w:val="22"/>
        </w:rPr>
        <w:t xml:space="preserve">Upper 700 MHz </w:t>
      </w:r>
      <w:r w:rsidR="00D72C2F">
        <w:rPr>
          <w:szCs w:val="22"/>
        </w:rPr>
        <w:t xml:space="preserve">Band </w:t>
      </w:r>
      <w:r w:rsidR="000C1FDA" w:rsidRPr="0008082C">
        <w:rPr>
          <w:szCs w:val="22"/>
        </w:rPr>
        <w:t>C Block spectrum.</w:t>
      </w:r>
      <w:r w:rsidR="005619DE" w:rsidRPr="0008082C">
        <w:rPr>
          <w:rStyle w:val="FootnoteReference"/>
          <w:szCs w:val="22"/>
        </w:rPr>
        <w:footnoteReference w:id="186"/>
      </w:r>
      <w:r w:rsidR="000C1FDA" w:rsidRPr="0008082C">
        <w:rPr>
          <w:szCs w:val="22"/>
        </w:rPr>
        <w:t xml:space="preserve">  </w:t>
      </w:r>
      <w:r w:rsidR="009506CC">
        <w:rPr>
          <w:szCs w:val="22"/>
        </w:rPr>
        <w:t xml:space="preserve">According to Verizon Wireless, AWS-1 spectrum </w:t>
      </w:r>
      <w:r w:rsidR="009506CC" w:rsidRPr="0008082C">
        <w:rPr>
          <w:szCs w:val="22"/>
        </w:rPr>
        <w:t xml:space="preserve">is the most optimal spectrum for </w:t>
      </w:r>
      <w:r w:rsidR="009506CC">
        <w:rPr>
          <w:szCs w:val="22"/>
        </w:rPr>
        <w:t xml:space="preserve">it to supplement its Upper 700 MHz </w:t>
      </w:r>
      <w:r w:rsidR="00D72C2F">
        <w:rPr>
          <w:szCs w:val="22"/>
        </w:rPr>
        <w:t xml:space="preserve">Band </w:t>
      </w:r>
      <w:r w:rsidR="009506CC">
        <w:rPr>
          <w:szCs w:val="22"/>
        </w:rPr>
        <w:t>C Block spectrum in order to provide capacity for growth in consumers’ use of LTE.</w:t>
      </w:r>
      <w:r w:rsidR="009506CC" w:rsidRPr="0008082C">
        <w:rPr>
          <w:rStyle w:val="FootnoteReference"/>
          <w:szCs w:val="22"/>
        </w:rPr>
        <w:footnoteReference w:id="187"/>
      </w:r>
      <w:r w:rsidR="009506CC">
        <w:rPr>
          <w:szCs w:val="22"/>
        </w:rPr>
        <w:t xml:space="preserve">  </w:t>
      </w:r>
      <w:r w:rsidRPr="00967A60">
        <w:rPr>
          <w:szCs w:val="22"/>
        </w:rPr>
        <w:t xml:space="preserve">Verizon Wireless states that the proposed </w:t>
      </w:r>
      <w:r w:rsidRPr="00854DE5">
        <w:rPr>
          <w:szCs w:val="22"/>
        </w:rPr>
        <w:t>AWS-1 spectrum acquisition</w:t>
      </w:r>
      <w:r w:rsidRPr="00047316">
        <w:rPr>
          <w:szCs w:val="22"/>
        </w:rPr>
        <w:t xml:space="preserve"> and leasing is part of its spectrum rationalization plan</w:t>
      </w:r>
      <w:r w:rsidRPr="00B7720F">
        <w:rPr>
          <w:szCs w:val="22"/>
        </w:rPr>
        <w:t xml:space="preserve">, which, the company claims, </w:t>
      </w:r>
      <w:r>
        <w:rPr>
          <w:szCs w:val="22"/>
        </w:rPr>
        <w:t>would</w:t>
      </w:r>
      <w:r w:rsidRPr="00B7720F">
        <w:rPr>
          <w:szCs w:val="22"/>
        </w:rPr>
        <w:t xml:space="preserve"> </w:t>
      </w:r>
      <w:r w:rsidR="00774029">
        <w:rPr>
          <w:szCs w:val="22"/>
        </w:rPr>
        <w:t xml:space="preserve">allow it to deploy a more </w:t>
      </w:r>
      <w:r w:rsidRPr="00B7720F">
        <w:rPr>
          <w:szCs w:val="22"/>
        </w:rPr>
        <w:t>spectral</w:t>
      </w:r>
      <w:r w:rsidR="00774029">
        <w:rPr>
          <w:szCs w:val="22"/>
        </w:rPr>
        <w:t>ly efficient network</w:t>
      </w:r>
      <w:r w:rsidRPr="00B7720F">
        <w:rPr>
          <w:szCs w:val="22"/>
        </w:rPr>
        <w:t xml:space="preserve"> </w:t>
      </w:r>
      <w:r w:rsidR="00774029">
        <w:rPr>
          <w:szCs w:val="22"/>
        </w:rPr>
        <w:t xml:space="preserve">and provide </w:t>
      </w:r>
      <w:r w:rsidRPr="00B7720F">
        <w:rPr>
          <w:szCs w:val="22"/>
        </w:rPr>
        <w:t>benefits to Verizon Wireless, its customers, and the public.</w:t>
      </w:r>
      <w:r w:rsidRPr="002316CA">
        <w:rPr>
          <w:rStyle w:val="FootnoteReference"/>
          <w:szCs w:val="22"/>
        </w:rPr>
        <w:footnoteReference w:id="188"/>
      </w:r>
      <w:r w:rsidRPr="002316CA">
        <w:rPr>
          <w:szCs w:val="22"/>
        </w:rPr>
        <w:t xml:space="preserve">  </w:t>
      </w:r>
    </w:p>
    <w:p w:rsidR="004E4F65" w:rsidRDefault="00BC0496" w:rsidP="00396693">
      <w:pPr>
        <w:pStyle w:val="ParaNum"/>
        <w:widowControl/>
        <w:tabs>
          <w:tab w:val="num" w:pos="2160"/>
        </w:tabs>
        <w:rPr>
          <w:szCs w:val="22"/>
        </w:rPr>
      </w:pPr>
      <w:r w:rsidRPr="0008082C">
        <w:rPr>
          <w:szCs w:val="22"/>
        </w:rPr>
        <w:t>According to Verizon Wireless</w:t>
      </w:r>
      <w:r w:rsidR="00171BAD" w:rsidRPr="0008082C">
        <w:rPr>
          <w:szCs w:val="22"/>
        </w:rPr>
        <w:t xml:space="preserve">, </w:t>
      </w:r>
      <w:r w:rsidR="00013B6F" w:rsidRPr="00013B6F">
        <w:rPr>
          <w:szCs w:val="22"/>
        </w:rPr>
        <w:t xml:space="preserve">the AWS-1 spectrum </w:t>
      </w:r>
      <w:r w:rsidR="00FB7675">
        <w:rPr>
          <w:szCs w:val="22"/>
        </w:rPr>
        <w:t xml:space="preserve">to be acquired or leased in this transaction </w:t>
      </w:r>
      <w:r w:rsidR="00013B6F" w:rsidRPr="00013B6F">
        <w:rPr>
          <w:szCs w:val="22"/>
        </w:rPr>
        <w:t xml:space="preserve">would </w:t>
      </w:r>
      <w:r w:rsidR="00FB7675">
        <w:rPr>
          <w:szCs w:val="22"/>
        </w:rPr>
        <w:t xml:space="preserve">specifically </w:t>
      </w:r>
      <w:r w:rsidR="00013B6F" w:rsidRPr="00013B6F">
        <w:rPr>
          <w:szCs w:val="22"/>
        </w:rPr>
        <w:t xml:space="preserve">further supplement its existing Upper 700 MHz Band C Block and AWS-1 spectrum </w:t>
      </w:r>
      <w:r w:rsidR="00171BAD" w:rsidRPr="0008082C">
        <w:rPr>
          <w:szCs w:val="22"/>
        </w:rPr>
        <w:t xml:space="preserve">in six metropolitan </w:t>
      </w:r>
      <w:r w:rsidR="00FE435E">
        <w:rPr>
          <w:szCs w:val="22"/>
        </w:rPr>
        <w:t xml:space="preserve">and surrounding </w:t>
      </w:r>
      <w:r w:rsidR="00171BAD" w:rsidRPr="0008082C">
        <w:rPr>
          <w:szCs w:val="22"/>
        </w:rPr>
        <w:t>areas</w:t>
      </w:r>
      <w:r w:rsidR="009907C0">
        <w:rPr>
          <w:szCs w:val="22"/>
        </w:rPr>
        <w:t>.</w:t>
      </w:r>
      <w:r w:rsidR="00104423" w:rsidRPr="0008082C">
        <w:rPr>
          <w:rStyle w:val="FootnoteReference"/>
          <w:szCs w:val="22"/>
        </w:rPr>
        <w:footnoteReference w:id="189"/>
      </w:r>
      <w:r w:rsidR="003C1F19" w:rsidRPr="00F45E34">
        <w:rPr>
          <w:szCs w:val="22"/>
        </w:rPr>
        <w:t xml:space="preserve">  </w:t>
      </w:r>
      <w:r w:rsidR="009506CC">
        <w:rPr>
          <w:szCs w:val="22"/>
        </w:rPr>
        <w:t xml:space="preserve">In </w:t>
      </w:r>
      <w:r w:rsidR="006308A2">
        <w:rPr>
          <w:szCs w:val="22"/>
        </w:rPr>
        <w:t>certain</w:t>
      </w:r>
      <w:r w:rsidR="009506CC">
        <w:rPr>
          <w:szCs w:val="22"/>
        </w:rPr>
        <w:t xml:space="preserve"> markets, on these AWS-1 spectrum blocks, </w:t>
      </w:r>
      <w:r w:rsidR="009506CC" w:rsidRPr="00F45E34">
        <w:rPr>
          <w:szCs w:val="22"/>
        </w:rPr>
        <w:t xml:space="preserve">Verizon Wireless </w:t>
      </w:r>
      <w:r w:rsidR="007E4DD2">
        <w:rPr>
          <w:szCs w:val="22"/>
        </w:rPr>
        <w:t xml:space="preserve">argues that it </w:t>
      </w:r>
      <w:r w:rsidR="009506CC">
        <w:rPr>
          <w:szCs w:val="22"/>
        </w:rPr>
        <w:t>would</w:t>
      </w:r>
      <w:r w:rsidR="009506CC" w:rsidRPr="00F45E34">
        <w:rPr>
          <w:szCs w:val="22"/>
        </w:rPr>
        <w:t xml:space="preserve"> </w:t>
      </w:r>
      <w:r w:rsidR="009506CC" w:rsidRPr="00967A60">
        <w:rPr>
          <w:szCs w:val="22"/>
        </w:rPr>
        <w:t xml:space="preserve">be able to </w:t>
      </w:r>
      <w:r w:rsidR="007E4DD2" w:rsidRPr="007E4DD2">
        <w:rPr>
          <w:szCs w:val="22"/>
        </w:rPr>
        <w:t xml:space="preserve">deploy its new spectrum contiguously </w:t>
      </w:r>
      <w:r w:rsidR="009506CC" w:rsidRPr="00967A60">
        <w:rPr>
          <w:szCs w:val="22"/>
        </w:rPr>
        <w:t xml:space="preserve">with </w:t>
      </w:r>
    </w:p>
    <w:p w:rsidR="004E4F65" w:rsidRDefault="004E4F65">
      <w:pPr>
        <w:widowControl/>
        <w:rPr>
          <w:szCs w:val="22"/>
        </w:rPr>
      </w:pPr>
      <w:r>
        <w:rPr>
          <w:szCs w:val="22"/>
        </w:rPr>
        <w:br w:type="page"/>
      </w:r>
    </w:p>
    <w:p w:rsidR="003C1F19" w:rsidRPr="00A84895" w:rsidRDefault="009506CC" w:rsidP="004E4F65">
      <w:pPr>
        <w:pStyle w:val="ParaNum"/>
        <w:widowControl/>
        <w:numPr>
          <w:ilvl w:val="0"/>
          <w:numId w:val="0"/>
        </w:numPr>
        <w:tabs>
          <w:tab w:val="num" w:pos="2160"/>
        </w:tabs>
        <w:rPr>
          <w:szCs w:val="22"/>
        </w:rPr>
      </w:pPr>
      <w:r w:rsidRPr="00967A60">
        <w:rPr>
          <w:szCs w:val="22"/>
        </w:rPr>
        <w:t>existing AWS</w:t>
      </w:r>
      <w:r>
        <w:rPr>
          <w:szCs w:val="22"/>
        </w:rPr>
        <w:t>-1</w:t>
      </w:r>
      <w:r w:rsidRPr="00967A60">
        <w:rPr>
          <w:szCs w:val="22"/>
        </w:rPr>
        <w:t xml:space="preserve"> holdings, creating efficiency benefits and greater throughput on its LTE network.</w:t>
      </w:r>
      <w:r w:rsidRPr="00F45E34">
        <w:rPr>
          <w:rStyle w:val="FootnoteReference"/>
          <w:szCs w:val="22"/>
        </w:rPr>
        <w:footnoteReference w:id="190"/>
      </w:r>
      <w:r w:rsidR="00E33CDA" w:rsidRPr="00967A60">
        <w:rPr>
          <w:szCs w:val="22"/>
        </w:rPr>
        <w:t xml:space="preserve">  </w:t>
      </w:r>
      <w:r w:rsidR="009907C0" w:rsidRPr="006B668F">
        <w:rPr>
          <w:szCs w:val="22"/>
        </w:rPr>
        <w:t xml:space="preserve">Post-transaction, Verizon Wireless would be acquiring or leasing AWS-1 spectrum in 26 </w:t>
      </w:r>
      <w:r w:rsidR="00196682">
        <w:rPr>
          <w:szCs w:val="22"/>
        </w:rPr>
        <w:t>CMAs</w:t>
      </w:r>
      <w:r w:rsidR="00196682" w:rsidRPr="006B668F">
        <w:rPr>
          <w:szCs w:val="22"/>
        </w:rPr>
        <w:t xml:space="preserve"> </w:t>
      </w:r>
      <w:r w:rsidR="009907C0" w:rsidRPr="006B668F">
        <w:rPr>
          <w:szCs w:val="22"/>
        </w:rPr>
        <w:t>that is contiguous to its existing AWS-1 spectrum.</w:t>
      </w:r>
      <w:r w:rsidR="009907C0" w:rsidRPr="00AB0A91">
        <w:rPr>
          <w:rStyle w:val="FootnoteReference"/>
          <w:szCs w:val="22"/>
        </w:rPr>
        <w:footnoteReference w:id="191"/>
      </w:r>
      <w:r w:rsidR="009907C0" w:rsidRPr="006B668F">
        <w:rPr>
          <w:szCs w:val="22"/>
        </w:rPr>
        <w:t xml:space="preserve">  </w:t>
      </w:r>
      <w:r w:rsidR="007E4DD2">
        <w:rPr>
          <w:szCs w:val="22"/>
        </w:rPr>
        <w:t xml:space="preserve">In areas where </w:t>
      </w:r>
      <w:r w:rsidR="00E33CDA" w:rsidRPr="00967A60">
        <w:rPr>
          <w:szCs w:val="22"/>
        </w:rPr>
        <w:t>the newly-acquired spectrum is not adjacent to its exi</w:t>
      </w:r>
      <w:r w:rsidR="00CC07CE">
        <w:rPr>
          <w:szCs w:val="22"/>
        </w:rPr>
        <w:t>s</w:t>
      </w:r>
      <w:r w:rsidR="00E33CDA" w:rsidRPr="00967A60">
        <w:rPr>
          <w:szCs w:val="22"/>
        </w:rPr>
        <w:t>ting AWS</w:t>
      </w:r>
      <w:r w:rsidR="00A43FA5">
        <w:rPr>
          <w:szCs w:val="22"/>
        </w:rPr>
        <w:t>-1</w:t>
      </w:r>
      <w:r w:rsidR="00E33CDA" w:rsidRPr="00967A60">
        <w:rPr>
          <w:szCs w:val="22"/>
        </w:rPr>
        <w:t xml:space="preserve"> spectrum, Verizon Wireless contends </w:t>
      </w:r>
      <w:r w:rsidR="007E4DD2">
        <w:rPr>
          <w:szCs w:val="22"/>
        </w:rPr>
        <w:t>that the spectrum</w:t>
      </w:r>
      <w:r w:rsidR="00E33CDA" w:rsidRPr="00967A60">
        <w:rPr>
          <w:szCs w:val="22"/>
        </w:rPr>
        <w:t xml:space="preserve"> </w:t>
      </w:r>
      <w:r w:rsidR="000B0CAD">
        <w:rPr>
          <w:szCs w:val="22"/>
        </w:rPr>
        <w:t>would</w:t>
      </w:r>
      <w:r w:rsidR="00E33CDA" w:rsidRPr="00967A60">
        <w:rPr>
          <w:szCs w:val="22"/>
        </w:rPr>
        <w:t xml:space="preserve"> be used to add capacity</w:t>
      </w:r>
      <w:r w:rsidR="00E616F1">
        <w:rPr>
          <w:szCs w:val="22"/>
        </w:rPr>
        <w:t>.</w:t>
      </w:r>
      <w:r w:rsidR="00E616F1">
        <w:rPr>
          <w:rStyle w:val="FootnoteReference"/>
          <w:szCs w:val="22"/>
        </w:rPr>
        <w:footnoteReference w:id="192"/>
      </w:r>
      <w:r w:rsidR="00E33CDA" w:rsidRPr="00967A60">
        <w:rPr>
          <w:szCs w:val="22"/>
        </w:rPr>
        <w:t xml:space="preserve"> </w:t>
      </w:r>
      <w:r w:rsidR="00E616F1">
        <w:rPr>
          <w:szCs w:val="22"/>
        </w:rPr>
        <w:t xml:space="preserve"> </w:t>
      </w:r>
      <w:r w:rsidR="00891372" w:rsidRPr="0008082C">
        <w:rPr>
          <w:szCs w:val="22"/>
        </w:rPr>
        <w:t xml:space="preserve">Verizon Wireless </w:t>
      </w:r>
      <w:r w:rsidR="00891372">
        <w:rPr>
          <w:szCs w:val="22"/>
        </w:rPr>
        <w:t xml:space="preserve">asserts that its spectrum utilization </w:t>
      </w:r>
      <w:r w:rsidR="00891372" w:rsidRPr="0008082C">
        <w:rPr>
          <w:szCs w:val="22"/>
        </w:rPr>
        <w:t xml:space="preserve">plans </w:t>
      </w:r>
      <w:r w:rsidR="00891372">
        <w:rPr>
          <w:szCs w:val="22"/>
        </w:rPr>
        <w:t xml:space="preserve">include the </w:t>
      </w:r>
      <w:r w:rsidR="00891372" w:rsidRPr="0008082C">
        <w:rPr>
          <w:szCs w:val="22"/>
        </w:rPr>
        <w:t>deploy</w:t>
      </w:r>
      <w:r w:rsidR="00891372">
        <w:rPr>
          <w:szCs w:val="22"/>
        </w:rPr>
        <w:t xml:space="preserve">ment </w:t>
      </w:r>
      <w:r w:rsidR="007E4DD2" w:rsidRPr="007E4DD2">
        <w:rPr>
          <w:szCs w:val="22"/>
        </w:rPr>
        <w:t xml:space="preserve">of the AWS-1 spectrum at issue </w:t>
      </w:r>
      <w:r w:rsidR="0080184F">
        <w:rPr>
          <w:szCs w:val="22"/>
        </w:rPr>
        <w:t xml:space="preserve">beginning </w:t>
      </w:r>
      <w:r w:rsidR="00AB565C">
        <w:rPr>
          <w:szCs w:val="22"/>
        </w:rPr>
        <w:t>later this year</w:t>
      </w:r>
      <w:r w:rsidR="0080184F">
        <w:rPr>
          <w:szCs w:val="22"/>
        </w:rPr>
        <w:t>,</w:t>
      </w:r>
      <w:r w:rsidR="00EF1F88">
        <w:rPr>
          <w:szCs w:val="22"/>
        </w:rPr>
        <w:t xml:space="preserve"> with further deployment planned for next year</w:t>
      </w:r>
      <w:r w:rsidR="00891372" w:rsidRPr="0008082C">
        <w:rPr>
          <w:szCs w:val="22"/>
        </w:rPr>
        <w:t>.</w:t>
      </w:r>
      <w:r w:rsidR="00891372" w:rsidRPr="0008082C">
        <w:rPr>
          <w:rStyle w:val="FootnoteReference"/>
          <w:szCs w:val="22"/>
        </w:rPr>
        <w:footnoteReference w:id="193"/>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BD692F" w:rsidRDefault="008A14BD" w:rsidP="00790153">
      <w:pPr>
        <w:pStyle w:val="ParaNum"/>
        <w:tabs>
          <w:tab w:val="num" w:pos="2160"/>
        </w:tabs>
        <w:rPr>
          <w:szCs w:val="22"/>
        </w:rPr>
      </w:pPr>
      <w:r>
        <w:rPr>
          <w:szCs w:val="22"/>
        </w:rPr>
        <w:t>Our analysis of t</w:t>
      </w:r>
      <w:r w:rsidR="00730FF4" w:rsidRPr="006F7EA4">
        <w:rPr>
          <w:szCs w:val="22"/>
        </w:rPr>
        <w:t xml:space="preserve">he record </w:t>
      </w:r>
      <w:r w:rsidR="00133844">
        <w:rPr>
          <w:szCs w:val="22"/>
        </w:rPr>
        <w:t xml:space="preserve">leads us to conclude that Verizon Wireless’s acquisition and leasing of the AWS-1 spectrum at issue would likely result in </w:t>
      </w:r>
      <w:r w:rsidR="00C5536B">
        <w:rPr>
          <w:szCs w:val="22"/>
        </w:rPr>
        <w:t xml:space="preserve">certain </w:t>
      </w:r>
      <w:r w:rsidR="00133844">
        <w:rPr>
          <w:szCs w:val="22"/>
        </w:rPr>
        <w:t xml:space="preserve">transaction-specific </w:t>
      </w:r>
      <w:r w:rsidR="00C5536B">
        <w:rPr>
          <w:szCs w:val="22"/>
        </w:rPr>
        <w:t xml:space="preserve">public interest </w:t>
      </w:r>
      <w:r w:rsidR="00133844">
        <w:rPr>
          <w:szCs w:val="22"/>
        </w:rPr>
        <w:t xml:space="preserve">benefits.  In particular, </w:t>
      </w:r>
      <w:r w:rsidR="00730FF4" w:rsidRPr="006F7EA4">
        <w:rPr>
          <w:szCs w:val="22"/>
        </w:rPr>
        <w:t>Verizon Wireless</w:t>
      </w:r>
      <w:r w:rsidR="00730FF4" w:rsidRPr="00CB0384">
        <w:rPr>
          <w:szCs w:val="22"/>
        </w:rPr>
        <w:t>’s planned utilization fo</w:t>
      </w:r>
      <w:r w:rsidR="00FA09AA" w:rsidRPr="00CB0384">
        <w:rPr>
          <w:szCs w:val="22"/>
        </w:rPr>
        <w:t>r the</w:t>
      </w:r>
      <w:r w:rsidR="00FA09AA" w:rsidRPr="005136FA">
        <w:rPr>
          <w:szCs w:val="22"/>
        </w:rPr>
        <w:t xml:space="preserve"> </w:t>
      </w:r>
      <w:r w:rsidR="00730FF4" w:rsidRPr="00CE4B55">
        <w:rPr>
          <w:szCs w:val="22"/>
        </w:rPr>
        <w:t xml:space="preserve">contiguous </w:t>
      </w:r>
      <w:r w:rsidR="00FA09AA" w:rsidRPr="00CE4B55">
        <w:rPr>
          <w:szCs w:val="22"/>
        </w:rPr>
        <w:t xml:space="preserve">AWS-1 </w:t>
      </w:r>
      <w:r w:rsidR="00730FF4" w:rsidRPr="005A18A2">
        <w:rPr>
          <w:szCs w:val="22"/>
        </w:rPr>
        <w:t xml:space="preserve">spectrum </w:t>
      </w:r>
      <w:r w:rsidR="000B0CAD">
        <w:rPr>
          <w:szCs w:val="22"/>
        </w:rPr>
        <w:t>would</w:t>
      </w:r>
      <w:r w:rsidR="00730FF4" w:rsidRPr="005A18A2">
        <w:rPr>
          <w:szCs w:val="22"/>
        </w:rPr>
        <w:t xml:space="preserve"> further its LTE deployment </w:t>
      </w:r>
      <w:r w:rsidR="00730FF4" w:rsidRPr="005506B8">
        <w:rPr>
          <w:szCs w:val="22"/>
        </w:rPr>
        <w:t>and</w:t>
      </w:r>
      <w:r w:rsidR="00461982">
        <w:rPr>
          <w:szCs w:val="22"/>
        </w:rPr>
        <w:t xml:space="preserve"> likely</w:t>
      </w:r>
      <w:r w:rsidR="00730FF4" w:rsidRPr="005506B8">
        <w:rPr>
          <w:szCs w:val="22"/>
        </w:rPr>
        <w:t xml:space="preserve"> improve the user experience</w:t>
      </w:r>
      <w:r w:rsidR="007C0A5F">
        <w:rPr>
          <w:szCs w:val="22"/>
        </w:rPr>
        <w:t xml:space="preserve">.  </w:t>
      </w:r>
      <w:r w:rsidR="00B50F9B">
        <w:rPr>
          <w:szCs w:val="22"/>
        </w:rPr>
        <w:t>A</w:t>
      </w:r>
      <w:r w:rsidR="00B50F9B" w:rsidRPr="00B50F9B">
        <w:rPr>
          <w:szCs w:val="22"/>
        </w:rPr>
        <w:t xml:space="preserve">s the Commission did in </w:t>
      </w:r>
      <w:r w:rsidR="00B50F9B" w:rsidRPr="00B50F9B">
        <w:rPr>
          <w:i/>
          <w:szCs w:val="22"/>
        </w:rPr>
        <w:t>Verizon Wireless-SpectrumCo,</w:t>
      </w:r>
      <w:r w:rsidR="00B50F9B" w:rsidRPr="00723C80">
        <w:rPr>
          <w:szCs w:val="22"/>
          <w:vertAlign w:val="superscript"/>
        </w:rPr>
        <w:footnoteReference w:id="194"/>
      </w:r>
      <w:r w:rsidR="003A379C">
        <w:rPr>
          <w:szCs w:val="22"/>
        </w:rPr>
        <w:t xml:space="preserve"> we accelerate the 2021 buildout deadlines that currently apply to these licenses</w:t>
      </w:r>
      <w:r w:rsidR="003A379C" w:rsidRPr="003A379C">
        <w:rPr>
          <w:szCs w:val="22"/>
        </w:rPr>
        <w:t xml:space="preserve"> </w:t>
      </w:r>
      <w:r w:rsidR="00B50F9B">
        <w:rPr>
          <w:szCs w:val="22"/>
        </w:rPr>
        <w:t xml:space="preserve">Verizon </w:t>
      </w:r>
      <w:r w:rsidR="009A57B8">
        <w:rPr>
          <w:szCs w:val="22"/>
        </w:rPr>
        <w:t>Wireless</w:t>
      </w:r>
      <w:r w:rsidR="00B50F9B">
        <w:rPr>
          <w:szCs w:val="22"/>
        </w:rPr>
        <w:t xml:space="preserve"> is acquiring from AT&amp;T and </w:t>
      </w:r>
      <w:r w:rsidR="00FB7675">
        <w:rPr>
          <w:szCs w:val="22"/>
        </w:rPr>
        <w:t xml:space="preserve">spectrum it is leasing from </w:t>
      </w:r>
      <w:r w:rsidR="00B50F9B">
        <w:rPr>
          <w:szCs w:val="22"/>
        </w:rPr>
        <w:t xml:space="preserve">Grain </w:t>
      </w:r>
      <w:r w:rsidR="00944674">
        <w:rPr>
          <w:szCs w:val="22"/>
        </w:rPr>
        <w:t xml:space="preserve">II </w:t>
      </w:r>
      <w:r w:rsidR="003A379C">
        <w:rPr>
          <w:szCs w:val="22"/>
        </w:rPr>
        <w:t xml:space="preserve">in order to </w:t>
      </w:r>
      <w:r w:rsidR="00A93088">
        <w:rPr>
          <w:szCs w:val="22"/>
        </w:rPr>
        <w:t xml:space="preserve">ensure the realization of </w:t>
      </w:r>
      <w:r w:rsidR="003A379C">
        <w:rPr>
          <w:szCs w:val="22"/>
        </w:rPr>
        <w:t xml:space="preserve">the </w:t>
      </w:r>
      <w:r w:rsidR="003A379C" w:rsidRPr="003A379C">
        <w:rPr>
          <w:szCs w:val="22"/>
        </w:rPr>
        <w:t>public interest benefits that Verizon Wireless asserts will result from the proposed transactions</w:t>
      </w:r>
      <w:r w:rsidR="002D1915">
        <w:rPr>
          <w:szCs w:val="22"/>
        </w:rPr>
        <w:t xml:space="preserve">.  </w:t>
      </w:r>
      <w:r w:rsidR="003A379C">
        <w:rPr>
          <w:szCs w:val="22"/>
        </w:rPr>
        <w:t xml:space="preserve">We find that the accelerated </w:t>
      </w:r>
      <w:r w:rsidR="003A379C" w:rsidRPr="003A379C">
        <w:rPr>
          <w:szCs w:val="22"/>
        </w:rPr>
        <w:t xml:space="preserve">schedule for </w:t>
      </w:r>
      <w:r w:rsidR="003A379C">
        <w:rPr>
          <w:szCs w:val="22"/>
        </w:rPr>
        <w:t>Verizon Wireless’</w:t>
      </w:r>
      <w:r w:rsidR="00FB7675">
        <w:rPr>
          <w:szCs w:val="22"/>
        </w:rPr>
        <w:t>s</w:t>
      </w:r>
      <w:r w:rsidR="003A379C" w:rsidRPr="003A379C">
        <w:rPr>
          <w:szCs w:val="22"/>
        </w:rPr>
        <w:t xml:space="preserve"> acquired AWS-1 licenses </w:t>
      </w:r>
      <w:r w:rsidR="00FB7675">
        <w:rPr>
          <w:szCs w:val="22"/>
        </w:rPr>
        <w:t xml:space="preserve">and spectrum </w:t>
      </w:r>
      <w:r w:rsidR="003A379C" w:rsidRPr="003A379C">
        <w:rPr>
          <w:szCs w:val="22"/>
        </w:rPr>
        <w:t>will spur rapid use of the spectrum and benefit consumers by facilitating Verizon Wireless’s expansion of capacity on its 4G LTE network</w:t>
      </w:r>
      <w:r w:rsidR="00F26528">
        <w:rPr>
          <w:szCs w:val="22"/>
        </w:rPr>
        <w:t>.</w:t>
      </w:r>
      <w:r w:rsidR="00BD692F">
        <w:rPr>
          <w:rStyle w:val="FootnoteReference"/>
          <w:szCs w:val="22"/>
        </w:rPr>
        <w:footnoteReference w:id="195"/>
      </w:r>
      <w:r w:rsidR="00BD692F">
        <w:rPr>
          <w:szCs w:val="22"/>
        </w:rPr>
        <w:t xml:space="preserve">  </w:t>
      </w:r>
    </w:p>
    <w:p w:rsidR="00BD692F" w:rsidRPr="001B3CA9" w:rsidRDefault="001B3CA9" w:rsidP="00BD692F">
      <w:pPr>
        <w:pStyle w:val="ParaNum"/>
        <w:tabs>
          <w:tab w:val="left" w:pos="1440"/>
          <w:tab w:val="num" w:pos="4050"/>
        </w:tabs>
        <w:rPr>
          <w:szCs w:val="22"/>
        </w:rPr>
      </w:pPr>
      <w:r w:rsidRPr="008746CB">
        <w:rPr>
          <w:szCs w:val="22"/>
        </w:rPr>
        <w:t xml:space="preserve">Accordingly, we </w:t>
      </w:r>
      <w:r>
        <w:rPr>
          <w:szCs w:val="22"/>
        </w:rPr>
        <w:t>apply</w:t>
      </w:r>
      <w:r w:rsidRPr="008746CB">
        <w:rPr>
          <w:szCs w:val="22"/>
        </w:rPr>
        <w:t xml:space="preserve"> the following buildout conditions to the AWS-1 licenses that Verizon </w:t>
      </w:r>
      <w:r w:rsidRPr="001B3CA9">
        <w:rPr>
          <w:szCs w:val="22"/>
        </w:rPr>
        <w:t>Wireless</w:t>
      </w:r>
      <w:r w:rsidRPr="008746CB">
        <w:rPr>
          <w:szCs w:val="22"/>
        </w:rPr>
        <w:t xml:space="preserve"> is acquiring from AT&amp;T and </w:t>
      </w:r>
      <w:r w:rsidR="00745A85">
        <w:rPr>
          <w:szCs w:val="22"/>
        </w:rPr>
        <w:t xml:space="preserve">the AWS-1 </w:t>
      </w:r>
      <w:r w:rsidR="00FB7675">
        <w:rPr>
          <w:szCs w:val="22"/>
        </w:rPr>
        <w:t xml:space="preserve">spectrum it is leasing from </w:t>
      </w:r>
      <w:r w:rsidRPr="001B3CA9">
        <w:rPr>
          <w:szCs w:val="22"/>
        </w:rPr>
        <w:t>Grain</w:t>
      </w:r>
      <w:r w:rsidRPr="008746CB">
        <w:rPr>
          <w:szCs w:val="22"/>
        </w:rPr>
        <w:t xml:space="preserve"> </w:t>
      </w:r>
      <w:r>
        <w:rPr>
          <w:szCs w:val="22"/>
        </w:rPr>
        <w:t>II</w:t>
      </w:r>
      <w:r w:rsidRPr="008746CB">
        <w:rPr>
          <w:szCs w:val="22"/>
        </w:rPr>
        <w:t>:</w:t>
      </w:r>
    </w:p>
    <w:p w:rsidR="00BD692F" w:rsidRDefault="00BD692F" w:rsidP="00BD692F">
      <w:pPr>
        <w:pStyle w:val="ParaNum"/>
        <w:numPr>
          <w:ilvl w:val="0"/>
          <w:numId w:val="29"/>
        </w:numPr>
        <w:tabs>
          <w:tab w:val="left" w:pos="1440"/>
          <w:tab w:val="left" w:pos="1800"/>
        </w:tabs>
        <w:ind w:left="0" w:firstLine="720"/>
        <w:rPr>
          <w:szCs w:val="22"/>
        </w:rPr>
      </w:pPr>
      <w:r>
        <w:rPr>
          <w:szCs w:val="22"/>
        </w:rPr>
        <w:t xml:space="preserve">Within three (3) years of the </w:t>
      </w:r>
      <w:r w:rsidR="00FB7675">
        <w:rPr>
          <w:szCs w:val="22"/>
        </w:rPr>
        <w:t xml:space="preserve">effective date of </w:t>
      </w:r>
      <w:r w:rsidR="001B3CA9">
        <w:rPr>
          <w:szCs w:val="22"/>
        </w:rPr>
        <w:t xml:space="preserve">this </w:t>
      </w:r>
      <w:r w:rsidR="00FB7675">
        <w:rPr>
          <w:szCs w:val="22"/>
        </w:rPr>
        <w:t xml:space="preserve">Memorandum Opinion and </w:t>
      </w:r>
      <w:r>
        <w:rPr>
          <w:szCs w:val="22"/>
        </w:rPr>
        <w:t>Order approving the AWS-1 license assignments</w:t>
      </w:r>
      <w:r w:rsidR="00FB7675">
        <w:rPr>
          <w:szCs w:val="22"/>
        </w:rPr>
        <w:t xml:space="preserve"> and the AWS-1 spectrum leasing arrangements</w:t>
      </w:r>
      <w:r>
        <w:rPr>
          <w:szCs w:val="22"/>
        </w:rPr>
        <w:t>, Verizon Wireless will provide signal coverage and offer service to at least 30 percent of the total population in the Economic Areas or the portions of Economic Areas in which it is acquiring or leasing AWS-1 license authorizations from AT&amp;T and Grain II.  The total population will be calculated by summing the population for each of these areas; and</w:t>
      </w:r>
    </w:p>
    <w:p w:rsidR="00BD692F" w:rsidRDefault="00BD692F" w:rsidP="00CD07FC">
      <w:pPr>
        <w:pStyle w:val="ParaNum"/>
        <w:widowControl/>
        <w:numPr>
          <w:ilvl w:val="0"/>
          <w:numId w:val="29"/>
        </w:numPr>
        <w:tabs>
          <w:tab w:val="left" w:pos="1440"/>
        </w:tabs>
        <w:ind w:left="0" w:firstLine="720"/>
        <w:rPr>
          <w:szCs w:val="22"/>
        </w:rPr>
      </w:pPr>
      <w:r>
        <w:rPr>
          <w:szCs w:val="22"/>
        </w:rPr>
        <w:t>Within seven (7) years of</w:t>
      </w:r>
      <w:r w:rsidR="00FB7675">
        <w:rPr>
          <w:szCs w:val="22"/>
        </w:rPr>
        <w:t xml:space="preserve"> the effective date of</w:t>
      </w:r>
      <w:r>
        <w:rPr>
          <w:szCs w:val="22"/>
        </w:rPr>
        <w:t xml:space="preserve"> th</w:t>
      </w:r>
      <w:r w:rsidR="001B3CA9">
        <w:rPr>
          <w:szCs w:val="22"/>
        </w:rPr>
        <w:t>is</w:t>
      </w:r>
      <w:r>
        <w:rPr>
          <w:szCs w:val="22"/>
        </w:rPr>
        <w:t xml:space="preserve"> </w:t>
      </w:r>
      <w:r w:rsidR="00FB7675">
        <w:rPr>
          <w:szCs w:val="22"/>
        </w:rPr>
        <w:t xml:space="preserve">Memorandum Opinion and </w:t>
      </w:r>
      <w:r>
        <w:rPr>
          <w:szCs w:val="22"/>
        </w:rPr>
        <w:t>Order approving the AWS-1 license assignments</w:t>
      </w:r>
      <w:r w:rsidR="00FB7675">
        <w:rPr>
          <w:szCs w:val="22"/>
        </w:rPr>
        <w:t xml:space="preserve"> and the AWS-1 spectrum leasing arrangements</w:t>
      </w:r>
      <w:r>
        <w:rPr>
          <w:szCs w:val="22"/>
        </w:rPr>
        <w:t>, Verizon Wireless will provide signal coverage and offer service to at least 70 percent of the population in each Economic Area in which it is acquiring or leasing AWS-1 license authorizations from AT&amp;T and Grain II, or, where a portion of the Economic Area is acquired or leased, to at least 70 percent of the population of the total acquired or leased portion of the licensed Economic Area.</w:t>
      </w:r>
      <w:r w:rsidR="00745A85">
        <w:rPr>
          <w:rStyle w:val="FootnoteReference"/>
          <w:szCs w:val="22"/>
        </w:rPr>
        <w:footnoteReference w:id="196"/>
      </w:r>
    </w:p>
    <w:p w:rsidR="00BD692F" w:rsidRDefault="00BD692F" w:rsidP="00BD692F">
      <w:pPr>
        <w:pStyle w:val="ParaNum"/>
        <w:numPr>
          <w:ilvl w:val="0"/>
          <w:numId w:val="29"/>
        </w:numPr>
        <w:tabs>
          <w:tab w:val="left" w:pos="1440"/>
        </w:tabs>
        <w:ind w:left="0" w:firstLine="720"/>
        <w:rPr>
          <w:szCs w:val="22"/>
        </w:rPr>
      </w:pPr>
      <w:r>
        <w:rPr>
          <w:szCs w:val="22"/>
        </w:rPr>
        <w:t>Failure to meet these requirements will result in appropriate enforcement action pursuant to the Commission’s statutory authority.</w:t>
      </w:r>
      <w:r>
        <w:rPr>
          <w:szCs w:val="22"/>
          <w:vertAlign w:val="superscript"/>
        </w:rPr>
        <w:footnoteReference w:id="197"/>
      </w:r>
    </w:p>
    <w:p w:rsidR="005D0F06" w:rsidRPr="006F7EA4" w:rsidRDefault="004C3E8A" w:rsidP="00723C80">
      <w:pPr>
        <w:pStyle w:val="Heading3"/>
      </w:pPr>
      <w:bookmarkStart w:id="337" w:name="_Toc365625599"/>
      <w:bookmarkStart w:id="338" w:name="_Toc365626600"/>
      <w:bookmarkStart w:id="339" w:name="_Toc365626801"/>
      <w:bookmarkStart w:id="340" w:name="_Toc365631651"/>
      <w:bookmarkStart w:id="341" w:name="_Toc365981461"/>
      <w:r>
        <w:t>Grain I and Grain II T</w:t>
      </w:r>
      <w:r w:rsidR="005D0F06" w:rsidRPr="006F7EA4">
        <w:t>ransactions</w:t>
      </w:r>
      <w:bookmarkEnd w:id="337"/>
      <w:bookmarkEnd w:id="338"/>
      <w:bookmarkEnd w:id="339"/>
      <w:bookmarkEnd w:id="340"/>
      <w:bookmarkEnd w:id="341"/>
    </w:p>
    <w:p w:rsidR="005D0F06" w:rsidRPr="00967A60" w:rsidRDefault="005D0F06" w:rsidP="005D0F06">
      <w:pPr>
        <w:pStyle w:val="ParaNum"/>
        <w:tabs>
          <w:tab w:val="num" w:pos="2160"/>
        </w:tabs>
        <w:rPr>
          <w:szCs w:val="22"/>
        </w:rPr>
      </w:pPr>
      <w:r w:rsidRPr="00CB0384">
        <w:rPr>
          <w:szCs w:val="22"/>
        </w:rPr>
        <w:t>T</w:t>
      </w:r>
      <w:r w:rsidRPr="00FE68ED">
        <w:rPr>
          <w:szCs w:val="22"/>
        </w:rPr>
        <w:t xml:space="preserve">he Applicants assert that the proposed transactions </w:t>
      </w:r>
      <w:r>
        <w:rPr>
          <w:szCs w:val="22"/>
        </w:rPr>
        <w:t>would</w:t>
      </w:r>
      <w:r w:rsidRPr="00FE68ED">
        <w:rPr>
          <w:szCs w:val="22"/>
        </w:rPr>
        <w:t xml:space="preserve"> further the Commission’s goal of extending opportunities in the wireless market to small and minority-owned businesses by enabling Grain, a minority-owned business, to p</w:t>
      </w:r>
      <w:r w:rsidRPr="005136FA">
        <w:rPr>
          <w:szCs w:val="22"/>
        </w:rPr>
        <w:t>urchase AWS</w:t>
      </w:r>
      <w:r w:rsidR="00977C4F">
        <w:rPr>
          <w:szCs w:val="22"/>
        </w:rPr>
        <w:t>-1</w:t>
      </w:r>
      <w:r w:rsidRPr="005136FA">
        <w:rPr>
          <w:szCs w:val="22"/>
        </w:rPr>
        <w:t xml:space="preserve"> and Lower 700 MHz </w:t>
      </w:r>
      <w:r w:rsidR="00977C4F">
        <w:rPr>
          <w:szCs w:val="22"/>
        </w:rPr>
        <w:t xml:space="preserve">Band </w:t>
      </w:r>
      <w:r w:rsidRPr="005136FA">
        <w:rPr>
          <w:szCs w:val="22"/>
        </w:rPr>
        <w:t xml:space="preserve">licenses from </w:t>
      </w:r>
      <w:r w:rsidR="00196682" w:rsidRPr="005136FA">
        <w:rPr>
          <w:szCs w:val="22"/>
        </w:rPr>
        <w:t xml:space="preserve">Verizon Wireless </w:t>
      </w:r>
      <w:r w:rsidR="00196682">
        <w:rPr>
          <w:szCs w:val="22"/>
        </w:rPr>
        <w:t xml:space="preserve">and </w:t>
      </w:r>
      <w:r w:rsidR="009A58D1">
        <w:rPr>
          <w:szCs w:val="22"/>
        </w:rPr>
        <w:t>AT&amp;T</w:t>
      </w:r>
      <w:r w:rsidRPr="005136FA">
        <w:rPr>
          <w:szCs w:val="22"/>
        </w:rPr>
        <w:t>.</w:t>
      </w:r>
      <w:r w:rsidRPr="00CE4B55">
        <w:rPr>
          <w:rStyle w:val="FootnoteReference"/>
          <w:szCs w:val="22"/>
        </w:rPr>
        <w:footnoteReference w:id="198"/>
      </w:r>
      <w:r w:rsidRPr="00CE4B55">
        <w:rPr>
          <w:szCs w:val="22"/>
        </w:rPr>
        <w:t xml:space="preserve">  Grain Management, the Applicants note, is a business experienced in building, acquiring, and operating communications infrastructure and wireless tower construction, but it does not </w:t>
      </w:r>
      <w:r w:rsidR="00E979D5">
        <w:rPr>
          <w:szCs w:val="22"/>
        </w:rPr>
        <w:t>have spectrum asse</w:t>
      </w:r>
      <w:r w:rsidRPr="00F45E34">
        <w:rPr>
          <w:szCs w:val="22"/>
        </w:rPr>
        <w:t>ts.</w:t>
      </w:r>
      <w:r w:rsidRPr="00F45E34">
        <w:rPr>
          <w:rStyle w:val="FootnoteReference"/>
          <w:szCs w:val="22"/>
        </w:rPr>
        <w:footnoteReference w:id="199"/>
      </w:r>
      <w:r w:rsidRPr="00F45E34">
        <w:rPr>
          <w:szCs w:val="22"/>
        </w:rPr>
        <w:t xml:space="preserve">  The Applicants argue that the proposed transactions </w:t>
      </w:r>
      <w:r>
        <w:rPr>
          <w:szCs w:val="22"/>
        </w:rPr>
        <w:t>would</w:t>
      </w:r>
      <w:r w:rsidRPr="00F45E34">
        <w:rPr>
          <w:szCs w:val="22"/>
        </w:rPr>
        <w:t xml:space="preserve"> enable Grain to diversify its wireless business interests and become a new licensee.</w:t>
      </w:r>
      <w:r w:rsidRPr="00F45E34">
        <w:rPr>
          <w:rStyle w:val="FootnoteReference"/>
          <w:szCs w:val="22"/>
        </w:rPr>
        <w:footnoteReference w:id="200"/>
      </w:r>
      <w:r w:rsidRPr="00F45E34">
        <w:rPr>
          <w:szCs w:val="22"/>
        </w:rPr>
        <w:t xml:space="preserve">  In particular, the Applicants assert that the proposed transactions </w:t>
      </w:r>
      <w:r>
        <w:rPr>
          <w:szCs w:val="22"/>
        </w:rPr>
        <w:t>would</w:t>
      </w:r>
      <w:r w:rsidRPr="00F45E34">
        <w:rPr>
          <w:szCs w:val="22"/>
        </w:rPr>
        <w:t xml:space="preserve"> enable Grain to expand its existing telecommunications infrastructure business and participate in complementary spectrum-based services, initially on a wholesale basis.  </w:t>
      </w:r>
      <w:r w:rsidRPr="00967A60">
        <w:rPr>
          <w:szCs w:val="22"/>
        </w:rPr>
        <w:t xml:space="preserve">The Applicants contend that because of the spectrum leases to AT&amp;T and Verizon Wireless, Grain </w:t>
      </w:r>
      <w:r>
        <w:rPr>
          <w:szCs w:val="22"/>
        </w:rPr>
        <w:t>would</w:t>
      </w:r>
      <w:r w:rsidRPr="00967A60">
        <w:rPr>
          <w:szCs w:val="22"/>
        </w:rPr>
        <w:t xml:space="preserve"> have additional capital that </w:t>
      </w:r>
      <w:r>
        <w:rPr>
          <w:szCs w:val="22"/>
        </w:rPr>
        <w:t>would</w:t>
      </w:r>
      <w:r w:rsidRPr="00967A60">
        <w:rPr>
          <w:szCs w:val="22"/>
        </w:rPr>
        <w:t xml:space="preserve"> help enable the company to expand its wireless business in the future.</w:t>
      </w:r>
      <w:r w:rsidRPr="00967A60">
        <w:rPr>
          <w:rStyle w:val="FootnoteReference"/>
          <w:szCs w:val="22"/>
        </w:rPr>
        <w:footnoteReference w:id="201"/>
      </w:r>
      <w:r w:rsidRPr="00967A60">
        <w:rPr>
          <w:szCs w:val="22"/>
        </w:rPr>
        <w:t xml:space="preserve">  </w:t>
      </w:r>
    </w:p>
    <w:p w:rsidR="009E38AD" w:rsidRPr="009E38AD" w:rsidRDefault="009907C0" w:rsidP="00723C80">
      <w:pPr>
        <w:pStyle w:val="ParaNum"/>
        <w:tabs>
          <w:tab w:val="num" w:pos="2160"/>
        </w:tabs>
        <w:rPr>
          <w:szCs w:val="22"/>
        </w:rPr>
      </w:pPr>
      <w:r>
        <w:t>We note that in the most recent Section 257 report</w:t>
      </w:r>
      <w:r w:rsidR="00523F41">
        <w:t>,</w:t>
      </w:r>
      <w:r>
        <w:t xml:space="preserve"> the Commission recognized “the role that small communications businesses play in a robust American economy” and the importance of this “vital sector of the industry and the economy.”</w:t>
      </w:r>
      <w:r w:rsidR="00977C4F">
        <w:rPr>
          <w:rStyle w:val="FootnoteReference"/>
        </w:rPr>
        <w:footnoteReference w:id="202"/>
      </w:r>
      <w:r>
        <w:t xml:space="preserve">  Particularly given that context, we find that the </w:t>
      </w:r>
      <w:r w:rsidR="00523F41">
        <w:t xml:space="preserve">proposed </w:t>
      </w:r>
      <w:r>
        <w:t>assignment of licenses to Grain I and Grain II would result in transaction-specific public interest benefits</w:t>
      </w:r>
      <w:r w:rsidR="001506D1">
        <w:t>, including</w:t>
      </w:r>
      <w:r>
        <w:t xml:space="preserve"> by promoting spectrum license opportunities for entrepreneurs and other small businesses.</w:t>
      </w:r>
    </w:p>
    <w:p w:rsidR="00BB502E" w:rsidRDefault="00B826FE" w:rsidP="002235D2">
      <w:pPr>
        <w:pStyle w:val="Heading1"/>
        <w:tabs>
          <w:tab w:val="num" w:pos="720"/>
        </w:tabs>
      </w:pPr>
      <w:bookmarkStart w:id="342" w:name="_Toc365625600"/>
      <w:bookmarkStart w:id="343" w:name="_Toc365626601"/>
      <w:bookmarkStart w:id="344" w:name="_Toc365626802"/>
      <w:bookmarkStart w:id="345" w:name="_Toc365631652"/>
      <w:bookmarkStart w:id="346" w:name="_Toc365981462"/>
      <w:r w:rsidRPr="00BB502E">
        <w:t>Balancing the Public Interest Benefits and the Harms</w:t>
      </w:r>
      <w:bookmarkEnd w:id="342"/>
      <w:bookmarkEnd w:id="343"/>
      <w:bookmarkEnd w:id="344"/>
      <w:bookmarkEnd w:id="345"/>
      <w:bookmarkEnd w:id="346"/>
    </w:p>
    <w:p w:rsidR="00BA25BA" w:rsidRPr="00757ADB" w:rsidRDefault="00684062" w:rsidP="00AA6B3E">
      <w:pPr>
        <w:pStyle w:val="ParaNum"/>
      </w:pPr>
      <w:r w:rsidRPr="00684062">
        <w:t xml:space="preserve">Based on our analysis of the record before us, we conclude, with the conditions we impose, that the potential benefits of the proposed transactions outweigh the potential harms and that granting the applications would serve the public interest.  As discussed above, we find that in </w:t>
      </w:r>
      <w:r w:rsidR="00523F41">
        <w:t xml:space="preserve">two of </w:t>
      </w:r>
      <w:r w:rsidRPr="00684062">
        <w:t xml:space="preserve">the four markets where AT&amp;T would hold 68 megahertz or 80 megahertz of below 1 GHz spectrum after the transaction, there </w:t>
      </w:r>
      <w:r w:rsidR="00523F41">
        <w:t>may be some</w:t>
      </w:r>
      <w:r w:rsidRPr="00684062">
        <w:t xml:space="preserve"> potential for competitive harm.  We balance those potential harms against the benefits we conclude are likely to occur in furthering LTE deployment </w:t>
      </w:r>
      <w:r w:rsidR="00EA3770">
        <w:t>through</w:t>
      </w:r>
      <w:r w:rsidRPr="00684062">
        <w:t xml:space="preserve"> </w:t>
      </w:r>
      <w:r w:rsidR="00EA3770">
        <w:t xml:space="preserve">AT&amp;T’s </w:t>
      </w:r>
      <w:r w:rsidRPr="00684062">
        <w:t>spectrum utilization plans for the Lower 700 MHz Band B Block spectrum</w:t>
      </w:r>
      <w:r w:rsidR="007D7A97">
        <w:t>,</w:t>
      </w:r>
      <w:r w:rsidRPr="00684062">
        <w:t xml:space="preserve"> likely leading to better services for consumers.  </w:t>
      </w:r>
      <w:r w:rsidR="00EA3770">
        <w:t>In addition</w:t>
      </w:r>
      <w:r w:rsidRPr="00684062">
        <w:t xml:space="preserve">, </w:t>
      </w:r>
      <w:r w:rsidR="007D7A97">
        <w:t xml:space="preserve">recognizing the importance of the AWS-1 band for broadband growth, we conclude that </w:t>
      </w:r>
      <w:r w:rsidRPr="00684062">
        <w:t xml:space="preserve">the </w:t>
      </w:r>
      <w:r w:rsidR="007D7A97">
        <w:t xml:space="preserve">buildout </w:t>
      </w:r>
      <w:r w:rsidRPr="00684062">
        <w:t xml:space="preserve">conditions regarding the AWS-1 spectrum </w:t>
      </w:r>
      <w:r w:rsidR="001506D1">
        <w:t xml:space="preserve">being acquired </w:t>
      </w:r>
      <w:r w:rsidR="00C27179">
        <w:t xml:space="preserve">or leased </w:t>
      </w:r>
      <w:r w:rsidR="001506D1">
        <w:t xml:space="preserve">by </w:t>
      </w:r>
      <w:r w:rsidRPr="00684062">
        <w:t xml:space="preserve">Verizon Wireless will </w:t>
      </w:r>
      <w:r w:rsidR="001506D1">
        <w:t xml:space="preserve">ensure </w:t>
      </w:r>
      <w:r w:rsidRPr="00684062">
        <w:t xml:space="preserve">that spectrum </w:t>
      </w:r>
      <w:r w:rsidR="001506D1">
        <w:t xml:space="preserve">is deployed </w:t>
      </w:r>
      <w:r w:rsidRPr="00684062">
        <w:t xml:space="preserve">quickly, </w:t>
      </w:r>
      <w:r w:rsidR="00EA3770">
        <w:t>heightening the</w:t>
      </w:r>
      <w:r w:rsidRPr="00684062">
        <w:t xml:space="preserve"> public </w:t>
      </w:r>
      <w:r w:rsidR="00EA3770">
        <w:t xml:space="preserve">interest </w:t>
      </w:r>
      <w:r w:rsidRPr="00684062">
        <w:t>benefits</w:t>
      </w:r>
      <w:r w:rsidR="007D7A97">
        <w:t xml:space="preserve"> associated with its acquisition of AWS-1 spectrum from AT&amp;T and Grain.</w:t>
      </w:r>
      <w:r w:rsidR="007D7A97" w:rsidRPr="00AA6B3E">
        <w:rPr>
          <w:szCs w:val="22"/>
        </w:rPr>
        <w:t xml:space="preserve">  </w:t>
      </w:r>
      <w:r w:rsidR="00AA6B3E" w:rsidRPr="00857D4D">
        <w:rPr>
          <w:color w:val="000000"/>
          <w:szCs w:val="22"/>
        </w:rPr>
        <w:t xml:space="preserve">We also recognize, as noted above, that the proposed assignment of licenses to Grain I and Grain II would result in transaction-specific public interest benefits.  </w:t>
      </w:r>
      <w:r w:rsidRPr="00684062">
        <w:t xml:space="preserve">Using the sliding-scale approach described above, we conclude that the expected magnitude of the public interest benefits </w:t>
      </w:r>
      <w:r w:rsidR="00AA6B3E" w:rsidRPr="00AA6B3E">
        <w:rPr>
          <w:szCs w:val="22"/>
        </w:rPr>
        <w:t xml:space="preserve">of the proposed transactions </w:t>
      </w:r>
      <w:r w:rsidRPr="00684062">
        <w:t>are sufficient to outweigh the potential competitive harms.</w:t>
      </w:r>
      <w:bookmarkStart w:id="347" w:name="_Toc309146335"/>
      <w:bookmarkStart w:id="348" w:name="_Toc309735607"/>
      <w:bookmarkStart w:id="349" w:name="_Toc327385239"/>
      <w:bookmarkStart w:id="350" w:name="_Toc327385358"/>
      <w:bookmarkStart w:id="351" w:name="_Toc327385475"/>
      <w:bookmarkStart w:id="352" w:name="_Toc327385558"/>
      <w:bookmarkStart w:id="353" w:name="_Toc327385672"/>
      <w:bookmarkStart w:id="354" w:name="_Toc327385755"/>
      <w:bookmarkStart w:id="355" w:name="_Toc327385852"/>
      <w:bookmarkStart w:id="356" w:name="_Toc327385899"/>
      <w:bookmarkStart w:id="357" w:name="_Toc327385971"/>
      <w:bookmarkStart w:id="358" w:name="_Toc327386019"/>
      <w:bookmarkStart w:id="359" w:name="_Toc327386355"/>
      <w:bookmarkStart w:id="360" w:name="_Toc327386634"/>
      <w:bookmarkStart w:id="361" w:name="_Toc327386736"/>
      <w:bookmarkStart w:id="362" w:name="_Toc327387078"/>
      <w:bookmarkStart w:id="363" w:name="_Toc327389609"/>
      <w:bookmarkStart w:id="364" w:name="_Toc328413271"/>
      <w:bookmarkStart w:id="365" w:name="_Toc328413339"/>
      <w:bookmarkStart w:id="366" w:name="_Toc328414165"/>
      <w:bookmarkStart w:id="367" w:name="_Toc328414278"/>
      <w:bookmarkStart w:id="368" w:name="_Toc328414326"/>
      <w:bookmarkStart w:id="369" w:name="_Toc328414375"/>
      <w:bookmarkStart w:id="370" w:name="_Toc328414420"/>
      <w:bookmarkStart w:id="371" w:name="_Toc328414480"/>
      <w:bookmarkStart w:id="372" w:name="_Toc328414546"/>
      <w:bookmarkStart w:id="373" w:name="_Toc328414624"/>
      <w:bookmarkStart w:id="374" w:name="_Toc328414687"/>
      <w:bookmarkStart w:id="375" w:name="_Toc328670925"/>
      <w:bookmarkStart w:id="376" w:name="_Toc328997113"/>
      <w:bookmarkStart w:id="377" w:name="_Toc328997809"/>
      <w:bookmarkStart w:id="378" w:name="_Toc329798744"/>
      <w:bookmarkStart w:id="379" w:name="_Toc329799152"/>
      <w:bookmarkStart w:id="380" w:name="_Toc329799362"/>
      <w:bookmarkStart w:id="381" w:name="_Toc330488364"/>
      <w:bookmarkStart w:id="382" w:name="_Toc330489081"/>
      <w:bookmarkStart w:id="383" w:name="_Toc330565875"/>
      <w:bookmarkStart w:id="384" w:name="_Toc331009503"/>
      <w:bookmarkStart w:id="385" w:name="_Toc331009575"/>
      <w:bookmarkStart w:id="386" w:name="_Toc331440446"/>
      <w:bookmarkStart w:id="387" w:name="_Toc331792641"/>
      <w:bookmarkStart w:id="388" w:name="_Toc332215085"/>
      <w:bookmarkStart w:id="389" w:name="_Toc332220070"/>
      <w:bookmarkStart w:id="390" w:name="_Toc332220215"/>
      <w:bookmarkStart w:id="391" w:name="_Toc332220258"/>
      <w:bookmarkStart w:id="392" w:name="_Toc332220305"/>
      <w:bookmarkStart w:id="393" w:name="_Toc332220404"/>
      <w:bookmarkStart w:id="394" w:name="_Toc332220447"/>
      <w:bookmarkStart w:id="395" w:name="_Toc332220501"/>
      <w:bookmarkStart w:id="396" w:name="_Toc332220582"/>
      <w:bookmarkStart w:id="397" w:name="_Toc332220645"/>
      <w:bookmarkStart w:id="398" w:name="_Toc332220692"/>
      <w:bookmarkStart w:id="399" w:name="_Toc332220737"/>
      <w:bookmarkStart w:id="400" w:name="_Toc332220793"/>
      <w:bookmarkStart w:id="401" w:name="_Toc332220848"/>
      <w:bookmarkStart w:id="402" w:name="_Toc332221000"/>
      <w:bookmarkStart w:id="403" w:name="_Toc332221295"/>
      <w:bookmarkStart w:id="404" w:name="_Toc332300563"/>
      <w:bookmarkStart w:id="405" w:name="_Toc332301109"/>
      <w:bookmarkStart w:id="406" w:name="_Toc332303352"/>
      <w:bookmarkStart w:id="407" w:name="_Toc332392820"/>
      <w:bookmarkStart w:id="408" w:name="_Toc332626608"/>
      <w:bookmarkStart w:id="409" w:name="_Toc332634646"/>
      <w:bookmarkStart w:id="410" w:name="_Toc332744025"/>
      <w:bookmarkStart w:id="411" w:name="_Toc332880495"/>
      <w:bookmarkStart w:id="412" w:name="_Toc332886578"/>
      <w:bookmarkStart w:id="413" w:name="_Toc332888847"/>
      <w:bookmarkStart w:id="414" w:name="_Toc332891448"/>
      <w:bookmarkStart w:id="415" w:name="_Toc333263416"/>
      <w:bookmarkStart w:id="416" w:name="_Toc333330533"/>
      <w:bookmarkStart w:id="417" w:name="_Toc344908336"/>
      <w:bookmarkStart w:id="418" w:name="_Toc344931009"/>
      <w:bookmarkStart w:id="419" w:name="_Toc344970659"/>
      <w:bookmarkStart w:id="420" w:name="_Toc345091263"/>
      <w:bookmarkStart w:id="421" w:name="_Toc345092706"/>
      <w:bookmarkStart w:id="422" w:name="_Toc345093557"/>
      <w:bookmarkStart w:id="423" w:name="_Toc345093932"/>
      <w:bookmarkStart w:id="424" w:name="_Toc345094316"/>
      <w:bookmarkStart w:id="425" w:name="_Toc345436707"/>
      <w:bookmarkStart w:id="426" w:name="_Toc347166642"/>
      <w:bookmarkStart w:id="427" w:name="_Toc348340342"/>
      <w:bookmarkStart w:id="428" w:name="_Toc348371134"/>
      <w:bookmarkStart w:id="429" w:name="_Toc348543638"/>
      <w:bookmarkStart w:id="430" w:name="_Toc348547991"/>
      <w:bookmarkStart w:id="431" w:name="_Toc348565410"/>
      <w:bookmarkStart w:id="432" w:name="_Toc348714712"/>
      <w:bookmarkStart w:id="433" w:name="_Toc349157022"/>
      <w:bookmarkStart w:id="434" w:name="_Toc349170699"/>
      <w:bookmarkStart w:id="435" w:name="_Toc349170756"/>
      <w:bookmarkStart w:id="436" w:name="_Toc349202876"/>
      <w:bookmarkStart w:id="437" w:name="_Toc349259362"/>
      <w:bookmarkStart w:id="438" w:name="_Toc349316360"/>
      <w:bookmarkStart w:id="439" w:name="_Toc349573273"/>
      <w:bookmarkStart w:id="440" w:name="_Toc349741803"/>
      <w:bookmarkStart w:id="441" w:name="_Toc349812430"/>
      <w:bookmarkStart w:id="442" w:name="_Toc349932749"/>
      <w:bookmarkStart w:id="443" w:name="_Toc350432509"/>
      <w:bookmarkStart w:id="444" w:name="_Toc350787864"/>
      <w:bookmarkStart w:id="445" w:name="_Toc303937308"/>
      <w:bookmarkStart w:id="446" w:name="_Toc303960095"/>
      <w:bookmarkStart w:id="447" w:name="_Toc306292691"/>
      <w:bookmarkStart w:id="448" w:name="_Toc306378777"/>
      <w:bookmarkStart w:id="449" w:name="_Toc308203070"/>
      <w:bookmarkStart w:id="450" w:name="_Toc309146336"/>
      <w:bookmarkStart w:id="451" w:name="_Toc309735608"/>
      <w:bookmarkStart w:id="452" w:name="_Toc327385240"/>
      <w:bookmarkStart w:id="453" w:name="_Toc327385359"/>
      <w:bookmarkStart w:id="454" w:name="_Toc327385476"/>
      <w:bookmarkStart w:id="455" w:name="_Toc327385559"/>
      <w:bookmarkStart w:id="456" w:name="_Toc327385673"/>
      <w:bookmarkStart w:id="457" w:name="_Toc327385756"/>
      <w:bookmarkStart w:id="458" w:name="_Toc327385853"/>
      <w:bookmarkStart w:id="459" w:name="_Toc327385900"/>
      <w:bookmarkStart w:id="460" w:name="_Toc327385972"/>
      <w:bookmarkStart w:id="461" w:name="_Toc327386020"/>
      <w:bookmarkStart w:id="462" w:name="_Toc327386356"/>
      <w:bookmarkStart w:id="463" w:name="_Toc327386635"/>
      <w:bookmarkStart w:id="464" w:name="_Toc327386737"/>
      <w:bookmarkStart w:id="465" w:name="_Toc327387079"/>
      <w:bookmarkStart w:id="466" w:name="_Toc327389610"/>
      <w:bookmarkStart w:id="467" w:name="_Toc328413272"/>
      <w:bookmarkStart w:id="468" w:name="_Toc328413340"/>
      <w:bookmarkStart w:id="469" w:name="_Toc328414166"/>
      <w:bookmarkStart w:id="470" w:name="_Toc328414279"/>
      <w:bookmarkStart w:id="471" w:name="_Toc328414327"/>
      <w:bookmarkStart w:id="472" w:name="_Toc328414376"/>
      <w:bookmarkStart w:id="473" w:name="_Toc328414421"/>
      <w:bookmarkStart w:id="474" w:name="_Toc328414481"/>
      <w:bookmarkStart w:id="475" w:name="_Toc328414547"/>
      <w:bookmarkStart w:id="476" w:name="_Toc328414625"/>
      <w:bookmarkStart w:id="477" w:name="_Toc328414688"/>
      <w:bookmarkStart w:id="478" w:name="_Toc328670926"/>
      <w:bookmarkStart w:id="479" w:name="_Toc328997114"/>
      <w:bookmarkStart w:id="480" w:name="_Toc328997810"/>
    </w:p>
    <w:p w:rsidR="005C0F80" w:rsidRDefault="005C0F80" w:rsidP="00BD692F">
      <w:pPr>
        <w:pStyle w:val="Heading1"/>
        <w:tabs>
          <w:tab w:val="num" w:pos="2160"/>
        </w:tabs>
        <w:ind w:left="0" w:firstLine="0"/>
        <w:rPr>
          <w:rFonts w:ascii="Times New Roman" w:hAnsi="Times New Roman"/>
          <w:szCs w:val="22"/>
        </w:rPr>
      </w:pPr>
      <w:bookmarkStart w:id="481" w:name="_Toc362852309"/>
      <w:bookmarkStart w:id="482" w:name="_Toc362854207"/>
      <w:bookmarkStart w:id="483" w:name="_Toc365625601"/>
      <w:bookmarkStart w:id="484" w:name="_Toc365626602"/>
      <w:bookmarkStart w:id="485" w:name="_Toc365626803"/>
      <w:bookmarkStart w:id="486" w:name="_Toc365631653"/>
      <w:bookmarkStart w:id="487" w:name="_Toc365981463"/>
      <w:r w:rsidRPr="00FB1540">
        <w:rPr>
          <w:rFonts w:ascii="Times New Roman" w:hAnsi="Times New Roman"/>
          <w:szCs w:val="22"/>
        </w:rPr>
        <w:t>conclusion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81"/>
      <w:bookmarkEnd w:id="482"/>
      <w:bookmarkEnd w:id="483"/>
      <w:bookmarkEnd w:id="484"/>
      <w:bookmarkEnd w:id="485"/>
      <w:bookmarkEnd w:id="486"/>
      <w:bookmarkEnd w:id="487"/>
    </w:p>
    <w:p w:rsidR="00CC07CE" w:rsidRPr="002315CD" w:rsidRDefault="00757ADB" w:rsidP="00BD692F">
      <w:pPr>
        <w:pStyle w:val="ParaNum"/>
        <w:tabs>
          <w:tab w:val="left" w:pos="1440"/>
        </w:tabs>
      </w:pPr>
      <w:r>
        <w:t>For the reasons stated above, we find that the proposed transactions are in the public interest.</w:t>
      </w:r>
    </w:p>
    <w:p w:rsidR="005C0F80" w:rsidRPr="00935E0C" w:rsidRDefault="005C0F80" w:rsidP="00BD692F">
      <w:pPr>
        <w:pStyle w:val="Heading1"/>
        <w:tabs>
          <w:tab w:val="num" w:pos="2160"/>
        </w:tabs>
        <w:ind w:left="0" w:firstLine="0"/>
        <w:rPr>
          <w:rFonts w:ascii="Times New Roman" w:hAnsi="Times New Roman"/>
          <w:szCs w:val="22"/>
        </w:rPr>
      </w:pPr>
      <w:bookmarkStart w:id="488" w:name="_Toc329798745"/>
      <w:bookmarkStart w:id="489" w:name="_Toc329799153"/>
      <w:bookmarkStart w:id="490" w:name="_Toc329799363"/>
      <w:bookmarkStart w:id="491" w:name="_Toc330488365"/>
      <w:bookmarkStart w:id="492" w:name="_Toc330489082"/>
      <w:bookmarkStart w:id="493" w:name="_Toc330565876"/>
      <w:bookmarkStart w:id="494" w:name="_Toc331009504"/>
      <w:bookmarkStart w:id="495" w:name="_Toc331009576"/>
      <w:bookmarkStart w:id="496" w:name="_Toc331440447"/>
      <w:bookmarkStart w:id="497" w:name="_Toc331792642"/>
      <w:bookmarkStart w:id="498" w:name="_Toc332215086"/>
      <w:bookmarkStart w:id="499" w:name="_Toc332220071"/>
      <w:bookmarkStart w:id="500" w:name="_Toc332220216"/>
      <w:bookmarkStart w:id="501" w:name="_Toc332220259"/>
      <w:bookmarkStart w:id="502" w:name="_Toc332220306"/>
      <w:bookmarkStart w:id="503" w:name="_Toc332220405"/>
      <w:bookmarkStart w:id="504" w:name="_Toc332220448"/>
      <w:bookmarkStart w:id="505" w:name="_Toc332220502"/>
      <w:bookmarkStart w:id="506" w:name="_Toc332220583"/>
      <w:bookmarkStart w:id="507" w:name="_Toc332220646"/>
      <w:bookmarkStart w:id="508" w:name="_Toc332220693"/>
      <w:bookmarkStart w:id="509" w:name="_Toc332220738"/>
      <w:bookmarkStart w:id="510" w:name="_Toc332220794"/>
      <w:bookmarkStart w:id="511" w:name="_Toc332220849"/>
      <w:bookmarkStart w:id="512" w:name="_Toc332221001"/>
      <w:bookmarkStart w:id="513" w:name="_Toc332221296"/>
      <w:bookmarkStart w:id="514" w:name="_Toc332300564"/>
      <w:bookmarkStart w:id="515" w:name="_Toc332301110"/>
      <w:bookmarkStart w:id="516" w:name="_Toc332303353"/>
      <w:bookmarkStart w:id="517" w:name="_Toc332392821"/>
      <w:bookmarkStart w:id="518" w:name="_Toc332626609"/>
      <w:bookmarkStart w:id="519" w:name="_Toc332634647"/>
      <w:bookmarkStart w:id="520" w:name="_Toc332744026"/>
      <w:bookmarkStart w:id="521" w:name="_Toc332880496"/>
      <w:bookmarkStart w:id="522" w:name="_Toc332886579"/>
      <w:bookmarkStart w:id="523" w:name="_Toc332888848"/>
      <w:bookmarkStart w:id="524" w:name="_Toc332891449"/>
      <w:bookmarkStart w:id="525" w:name="_Toc333263417"/>
      <w:bookmarkStart w:id="526" w:name="_Toc333330534"/>
      <w:bookmarkStart w:id="527" w:name="_Toc344908337"/>
      <w:bookmarkStart w:id="528" w:name="_Toc344931010"/>
      <w:bookmarkStart w:id="529" w:name="_Toc344970660"/>
      <w:bookmarkStart w:id="530" w:name="_Toc345091264"/>
      <w:bookmarkStart w:id="531" w:name="_Toc345092707"/>
      <w:bookmarkStart w:id="532" w:name="_Toc345093558"/>
      <w:bookmarkStart w:id="533" w:name="_Toc345093933"/>
      <w:bookmarkStart w:id="534" w:name="_Toc345094317"/>
      <w:bookmarkStart w:id="535" w:name="_Toc345436708"/>
      <w:bookmarkStart w:id="536" w:name="_Toc347166643"/>
      <w:bookmarkStart w:id="537" w:name="_Toc348340343"/>
      <w:bookmarkStart w:id="538" w:name="_Toc348371135"/>
      <w:bookmarkStart w:id="539" w:name="_Toc348543639"/>
      <w:bookmarkStart w:id="540" w:name="_Toc348547992"/>
      <w:bookmarkStart w:id="541" w:name="_Toc348565411"/>
      <w:bookmarkStart w:id="542" w:name="_Toc348714713"/>
      <w:bookmarkStart w:id="543" w:name="_Toc349157023"/>
      <w:bookmarkStart w:id="544" w:name="_Toc349170700"/>
      <w:bookmarkStart w:id="545" w:name="_Toc349170757"/>
      <w:bookmarkStart w:id="546" w:name="_Toc349202877"/>
      <w:bookmarkStart w:id="547" w:name="_Toc349259363"/>
      <w:bookmarkStart w:id="548" w:name="_Toc349316361"/>
      <w:bookmarkStart w:id="549" w:name="_Toc349573274"/>
      <w:bookmarkStart w:id="550" w:name="_Toc349741804"/>
      <w:bookmarkStart w:id="551" w:name="_Toc349812431"/>
      <w:bookmarkStart w:id="552" w:name="_Toc349932750"/>
      <w:bookmarkStart w:id="553" w:name="_Toc350432510"/>
      <w:bookmarkStart w:id="554" w:name="_Toc350787865"/>
      <w:bookmarkStart w:id="555" w:name="_Toc362852310"/>
      <w:bookmarkStart w:id="556" w:name="_Toc362854208"/>
      <w:bookmarkStart w:id="557" w:name="_Toc365625602"/>
      <w:bookmarkStart w:id="558" w:name="_Toc365626603"/>
      <w:bookmarkStart w:id="559" w:name="_Toc365626804"/>
      <w:bookmarkStart w:id="560" w:name="_Toc365631654"/>
      <w:bookmarkStart w:id="561" w:name="_Toc365981464"/>
      <w:r w:rsidRPr="00935E0C">
        <w:rPr>
          <w:rFonts w:ascii="Times New Roman" w:hAnsi="Times New Roman"/>
          <w:szCs w:val="22"/>
        </w:rPr>
        <w:t>ordering clauses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5C0F80" w:rsidRPr="00857D4D" w:rsidRDefault="005C0F80" w:rsidP="006978E4">
      <w:pPr>
        <w:pStyle w:val="ParaNum"/>
      </w:pPr>
      <w:r w:rsidRPr="00FB1540">
        <w:t xml:space="preserve">ACCORDINGLY, having reviewed the Applications and the record in these matters, IT IS ORDERED that, pursuant to </w:t>
      </w:r>
      <w:r w:rsidR="00154490">
        <w:t>s</w:t>
      </w:r>
      <w:r w:rsidRPr="00FB1540">
        <w:t>ections 4(i) and (j), 303(r), 309, 310(b), and 310(d) of the Communications Act of 1934, as amended, 47 U.S.C. §§ 154(i), 154(j), 303(r), 309, 310(b), 310(d),</w:t>
      </w:r>
      <w:r w:rsidRPr="006978E4">
        <w:rPr>
          <w:b/>
        </w:rPr>
        <w:t xml:space="preserve"> </w:t>
      </w:r>
      <w:r w:rsidRPr="00FB1540">
        <w:t xml:space="preserve">the applications for the </w:t>
      </w:r>
      <w:r w:rsidR="00AC0ACD">
        <w:t xml:space="preserve">assignment of </w:t>
      </w:r>
      <w:r w:rsidR="006978E4">
        <w:t xml:space="preserve">Lower 700 MHz Band B Block licenses from Verizon Wireless to AT&amp;T, </w:t>
      </w:r>
      <w:r w:rsidR="00196682">
        <w:t xml:space="preserve">the assignment of Lower 700 MHz Band B Block licenses from Verizon Wireless to Grain I, </w:t>
      </w:r>
      <w:r w:rsidR="006978E4">
        <w:t xml:space="preserve">the assignment of AWS-1 licenses from AT&amp;T to Verizon Wireless, </w:t>
      </w:r>
      <w:r w:rsidR="00567525">
        <w:t xml:space="preserve">the assignment of an AWS-1 license from AT&amp;T to Grain II, </w:t>
      </w:r>
      <w:r w:rsidR="006978E4">
        <w:t xml:space="preserve">the leasing of Lower 700 MHz Band B Block spectrum from Grain I to AT&amp;T, and the leasing of AWS-1 spectrum from Grain II to Verizon Wireless </w:t>
      </w:r>
      <w:r w:rsidRPr="00FB1540">
        <w:t>are GRANTED</w:t>
      </w:r>
      <w:r w:rsidR="006978E4">
        <w:t xml:space="preserve"> </w:t>
      </w:r>
      <w:r w:rsidR="006978E4" w:rsidRPr="006978E4">
        <w:rPr>
          <w:szCs w:val="22"/>
        </w:rPr>
        <w:t>to the extent specified in this Memorandum Opinion and Order and subject to the conditions specified herein</w:t>
      </w:r>
      <w:r w:rsidRPr="00FB1540">
        <w:t>.</w:t>
      </w:r>
      <w:r w:rsidRPr="006978E4">
        <w:rPr>
          <w:b/>
        </w:rPr>
        <w:t xml:space="preserve"> </w:t>
      </w:r>
    </w:p>
    <w:p w:rsidR="00C73334" w:rsidRPr="00A85348" w:rsidRDefault="00C73334" w:rsidP="006978E4">
      <w:pPr>
        <w:pStyle w:val="ParaNum"/>
      </w:pPr>
      <w:r>
        <w:t>IT IS FURTHER ORDERED that, pursuant to Sections 4(i) and (j), 303(r), 309, 310(b), and 310(d) of the Communications Act of 1934, as amended, 47 U.S.C. §§ 154(i), 154(j), 303(r), 309, 310(b), 310(d), the Petitions to Deny filed by DISH Network Corporation and Public Knowledge and the Writers Guild of America, West are DENIED for the reasons stated herein.</w:t>
      </w:r>
    </w:p>
    <w:p w:rsidR="00AC0ACD" w:rsidRDefault="00AC0ACD" w:rsidP="00BD692F">
      <w:pPr>
        <w:pStyle w:val="ParaNum"/>
        <w:tabs>
          <w:tab w:val="left" w:pos="1440"/>
          <w:tab w:val="num" w:pos="2160"/>
        </w:tabs>
        <w:rPr>
          <w:snapToGrid/>
          <w:kern w:val="0"/>
          <w:szCs w:val="22"/>
        </w:rPr>
      </w:pPr>
      <w:r w:rsidRPr="00A64D81">
        <w:rPr>
          <w:snapToGrid/>
          <w:kern w:val="0"/>
          <w:szCs w:val="22"/>
        </w:rPr>
        <w:t xml:space="preserve">IT IS FURTHER ORDERED that, pursuant to sections 4(i) and (j), </w:t>
      </w:r>
      <w:r w:rsidR="00C73334">
        <w:rPr>
          <w:snapToGrid/>
          <w:kern w:val="0"/>
          <w:szCs w:val="22"/>
        </w:rPr>
        <w:t xml:space="preserve">303(r), </w:t>
      </w:r>
      <w:r w:rsidRPr="00A64D81">
        <w:rPr>
          <w:snapToGrid/>
          <w:kern w:val="0"/>
          <w:szCs w:val="22"/>
        </w:rPr>
        <w:t xml:space="preserve">309, </w:t>
      </w:r>
      <w:r w:rsidR="00C73334">
        <w:rPr>
          <w:snapToGrid/>
          <w:kern w:val="0"/>
          <w:szCs w:val="22"/>
        </w:rPr>
        <w:t xml:space="preserve">310(b), </w:t>
      </w:r>
      <w:r w:rsidRPr="00A64D81">
        <w:rPr>
          <w:snapToGrid/>
          <w:kern w:val="0"/>
          <w:szCs w:val="22"/>
        </w:rPr>
        <w:t xml:space="preserve">and 310(d) of the Communications Act of 1934, as amended, 47 U.S.C. §§ 154(i), (j), </w:t>
      </w:r>
      <w:r w:rsidR="00C73334">
        <w:rPr>
          <w:snapToGrid/>
          <w:kern w:val="0"/>
          <w:szCs w:val="22"/>
        </w:rPr>
        <w:t xml:space="preserve">303(r), </w:t>
      </w:r>
      <w:r w:rsidRPr="00A64D81">
        <w:rPr>
          <w:snapToGrid/>
          <w:kern w:val="0"/>
          <w:szCs w:val="22"/>
        </w:rPr>
        <w:t xml:space="preserve">309, </w:t>
      </w:r>
      <w:r w:rsidR="00C73334">
        <w:rPr>
          <w:snapToGrid/>
          <w:kern w:val="0"/>
          <w:szCs w:val="22"/>
        </w:rPr>
        <w:t xml:space="preserve">310(b), </w:t>
      </w:r>
      <w:r w:rsidRPr="00A64D81">
        <w:rPr>
          <w:snapToGrid/>
          <w:kern w:val="0"/>
          <w:szCs w:val="22"/>
        </w:rPr>
        <w:t xml:space="preserve">and 310(d), the request for conditions in the </w:t>
      </w:r>
      <w:r w:rsidR="00C73334">
        <w:rPr>
          <w:snapToGrid/>
          <w:kern w:val="0"/>
          <w:szCs w:val="22"/>
        </w:rPr>
        <w:t xml:space="preserve">Petitions or </w:t>
      </w:r>
      <w:r w:rsidRPr="00A64D81">
        <w:rPr>
          <w:snapToGrid/>
          <w:kern w:val="0"/>
          <w:szCs w:val="22"/>
        </w:rPr>
        <w:t xml:space="preserve">Comments filed by </w:t>
      </w:r>
      <w:r w:rsidR="00C73334">
        <w:rPr>
          <w:snapToGrid/>
          <w:kern w:val="0"/>
          <w:szCs w:val="22"/>
        </w:rPr>
        <w:t>the Competitive Carriers Association, DISH Network Corporation, NTCA</w:t>
      </w:r>
      <w:r w:rsidR="00C73334" w:rsidRPr="00F076C4">
        <w:t>—</w:t>
      </w:r>
      <w:r w:rsidR="00C73334">
        <w:rPr>
          <w:snapToGrid/>
          <w:kern w:val="0"/>
          <w:szCs w:val="22"/>
        </w:rPr>
        <w:t>The Rural Broadband Association, Public Knowledge and the Writers Guild of America, West, and the Rural Telecommunications Group, Inc. are</w:t>
      </w:r>
      <w:r w:rsidRPr="00A64D81">
        <w:rPr>
          <w:snapToGrid/>
          <w:kern w:val="0"/>
          <w:szCs w:val="22"/>
        </w:rPr>
        <w:t xml:space="preserve"> DENIED for the reasons stated herein.</w:t>
      </w:r>
    </w:p>
    <w:p w:rsidR="00985D97" w:rsidRPr="00A64D81" w:rsidRDefault="00985D97" w:rsidP="00BD692F">
      <w:pPr>
        <w:pStyle w:val="ParaNum"/>
        <w:tabs>
          <w:tab w:val="left" w:pos="1440"/>
          <w:tab w:val="num" w:pos="2160"/>
        </w:tabs>
        <w:rPr>
          <w:snapToGrid/>
          <w:kern w:val="0"/>
          <w:szCs w:val="22"/>
        </w:rPr>
      </w:pPr>
      <w:r w:rsidRPr="00A64D81">
        <w:rPr>
          <w:snapToGrid/>
          <w:kern w:val="0"/>
          <w:szCs w:val="22"/>
        </w:rPr>
        <w:t xml:space="preserve">IT IS FURTHER ORDERED that, pursuant to sections 4(i) and (j), 309, and 310(d) of the Communications Act of 1934, as amended, 47 U.S.C. §§ 154(i), (j), 309, and 310(d), the request for </w:t>
      </w:r>
      <w:r>
        <w:rPr>
          <w:snapToGrid/>
          <w:kern w:val="0"/>
          <w:szCs w:val="22"/>
        </w:rPr>
        <w:t>consolidation</w:t>
      </w:r>
      <w:r w:rsidRPr="00A64D81">
        <w:rPr>
          <w:snapToGrid/>
          <w:kern w:val="0"/>
          <w:szCs w:val="22"/>
        </w:rPr>
        <w:t xml:space="preserve"> in the </w:t>
      </w:r>
      <w:r w:rsidR="00C73334">
        <w:rPr>
          <w:snapToGrid/>
          <w:kern w:val="0"/>
          <w:szCs w:val="22"/>
        </w:rPr>
        <w:t>Statement</w:t>
      </w:r>
      <w:r w:rsidR="00C73334" w:rsidRPr="00A64D81">
        <w:rPr>
          <w:snapToGrid/>
          <w:kern w:val="0"/>
          <w:szCs w:val="22"/>
        </w:rPr>
        <w:t xml:space="preserve"> </w:t>
      </w:r>
      <w:r w:rsidRPr="00A64D81">
        <w:rPr>
          <w:snapToGrid/>
          <w:kern w:val="0"/>
          <w:szCs w:val="22"/>
        </w:rPr>
        <w:t xml:space="preserve">filed by </w:t>
      </w:r>
      <w:r>
        <w:rPr>
          <w:snapToGrid/>
          <w:kern w:val="0"/>
          <w:szCs w:val="22"/>
        </w:rPr>
        <w:t xml:space="preserve">Maneesh Pangasa </w:t>
      </w:r>
      <w:r w:rsidRPr="00A64D81">
        <w:rPr>
          <w:snapToGrid/>
          <w:kern w:val="0"/>
          <w:szCs w:val="22"/>
        </w:rPr>
        <w:t>is DENIED for the reasons stated herein</w:t>
      </w:r>
      <w:r>
        <w:rPr>
          <w:snapToGrid/>
          <w:kern w:val="0"/>
          <w:szCs w:val="22"/>
        </w:rPr>
        <w:t>.</w:t>
      </w:r>
    </w:p>
    <w:p w:rsidR="00AC0ACD" w:rsidRPr="00A64D81" w:rsidRDefault="00AC0ACD" w:rsidP="00BD692F">
      <w:pPr>
        <w:pStyle w:val="ParaNum"/>
        <w:tabs>
          <w:tab w:val="left" w:pos="1440"/>
          <w:tab w:val="num" w:pos="2160"/>
        </w:tabs>
        <w:rPr>
          <w:snapToGrid/>
          <w:kern w:val="0"/>
          <w:szCs w:val="22"/>
        </w:rPr>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rsidR="00731CDD" w:rsidRDefault="00AC0ACD" w:rsidP="00BD692F">
      <w:pPr>
        <w:pStyle w:val="ParaNum"/>
        <w:widowControl/>
        <w:tabs>
          <w:tab w:val="left" w:pos="1440"/>
          <w:tab w:val="num" w:pos="2160"/>
        </w:tabs>
        <w:spacing w:after="240"/>
      </w:pPr>
      <w:r w:rsidRPr="00995B8F">
        <w:rPr>
          <w:snapToGrid/>
          <w:kern w:val="0"/>
          <w:szCs w:val="22"/>
        </w:rPr>
        <w:t>This action is taken under delegated authority pursuant to sections 0.131 and 0.331 of the Commission’s Rules, 47 C.F.R. §§ 0.131, 0.331.</w:t>
      </w:r>
    </w:p>
    <w:p w:rsidR="00731CDD" w:rsidRDefault="00995B8F" w:rsidP="00C22581">
      <w:pPr>
        <w:tabs>
          <w:tab w:val="num" w:pos="1440"/>
          <w:tab w:val="num" w:pos="2160"/>
        </w:tabs>
        <w:ind w:firstLine="720"/>
      </w:pPr>
      <w:r>
        <w:tab/>
      </w:r>
      <w:r>
        <w:tab/>
      </w:r>
      <w:r>
        <w:tab/>
      </w:r>
      <w:r>
        <w:tab/>
      </w:r>
      <w:r w:rsidR="00731CDD">
        <w:t>FEDERAL COMMUNICATIONS COMMISSION</w:t>
      </w:r>
    </w:p>
    <w:p w:rsidR="00731CDD" w:rsidRDefault="00731CDD" w:rsidP="00C22581">
      <w:pPr>
        <w:tabs>
          <w:tab w:val="num" w:pos="1440"/>
          <w:tab w:val="num" w:pos="2160"/>
        </w:tabs>
        <w:ind w:firstLine="720"/>
      </w:pPr>
    </w:p>
    <w:p w:rsidR="00731CDD" w:rsidRDefault="00731CDD" w:rsidP="00C22581">
      <w:pPr>
        <w:tabs>
          <w:tab w:val="num" w:pos="1440"/>
          <w:tab w:val="num" w:pos="2160"/>
        </w:tabs>
        <w:ind w:firstLine="720"/>
      </w:pPr>
    </w:p>
    <w:p w:rsidR="00731CDD" w:rsidRDefault="00731CDD" w:rsidP="00C22581">
      <w:pPr>
        <w:tabs>
          <w:tab w:val="num" w:pos="1440"/>
          <w:tab w:val="num" w:pos="2160"/>
        </w:tabs>
        <w:ind w:firstLine="720"/>
      </w:pPr>
    </w:p>
    <w:p w:rsidR="00985D97" w:rsidRDefault="00985D97" w:rsidP="00995B8F">
      <w:pPr>
        <w:tabs>
          <w:tab w:val="num" w:pos="1440"/>
          <w:tab w:val="num" w:pos="2160"/>
        </w:tabs>
        <w:ind w:left="2880" w:firstLine="720"/>
      </w:pPr>
    </w:p>
    <w:p w:rsidR="00731CDD" w:rsidRDefault="00410752" w:rsidP="00995B8F">
      <w:pPr>
        <w:tabs>
          <w:tab w:val="num" w:pos="1440"/>
          <w:tab w:val="num" w:pos="2160"/>
        </w:tabs>
        <w:ind w:left="2880" w:firstLine="720"/>
        <w:rPr>
          <w:lang w:val="fr-FR"/>
        </w:rPr>
      </w:pPr>
      <w:r>
        <w:rPr>
          <w:lang w:val="fr-FR"/>
        </w:rPr>
        <w:t>Ruth Milkman</w:t>
      </w:r>
    </w:p>
    <w:p w:rsidR="00410752" w:rsidRDefault="00410752" w:rsidP="00995B8F">
      <w:pPr>
        <w:tabs>
          <w:tab w:val="num" w:pos="1440"/>
          <w:tab w:val="num" w:pos="2160"/>
        </w:tabs>
        <w:ind w:left="2880" w:firstLine="720"/>
        <w:rPr>
          <w:lang w:val="fr-FR"/>
        </w:rPr>
      </w:pPr>
      <w:r>
        <w:rPr>
          <w:lang w:val="fr-FR"/>
        </w:rPr>
        <w:t>Chief</w:t>
      </w:r>
    </w:p>
    <w:p w:rsidR="00410752" w:rsidRDefault="00410752" w:rsidP="00995B8F">
      <w:pPr>
        <w:tabs>
          <w:tab w:val="num" w:pos="1440"/>
          <w:tab w:val="num" w:pos="2160"/>
        </w:tabs>
        <w:ind w:left="2880" w:firstLine="720"/>
        <w:rPr>
          <w:lang w:val="fr-FR"/>
        </w:rPr>
      </w:pPr>
      <w:r>
        <w:rPr>
          <w:lang w:val="fr-FR"/>
        </w:rPr>
        <w:t>Wireless Telecommunications Bureau</w:t>
      </w:r>
    </w:p>
    <w:p w:rsidR="00731CDD" w:rsidRDefault="00731CDD" w:rsidP="00C22581">
      <w:pPr>
        <w:tabs>
          <w:tab w:val="num" w:pos="1440"/>
          <w:tab w:val="num" w:pos="2160"/>
        </w:tabs>
        <w:ind w:firstLine="720"/>
        <w:rPr>
          <w:lang w:val="fr-FR"/>
        </w:rPr>
      </w:pPr>
    </w:p>
    <w:p w:rsidR="00731CDD" w:rsidRDefault="00731CDD" w:rsidP="00C22581">
      <w:pPr>
        <w:tabs>
          <w:tab w:val="num" w:pos="1440"/>
          <w:tab w:val="num" w:pos="2160"/>
        </w:tabs>
        <w:ind w:firstLine="720"/>
        <w:rPr>
          <w:lang w:val="fr-FR"/>
        </w:rPr>
      </w:pPr>
    </w:p>
    <w:p w:rsidR="00731CDD" w:rsidRDefault="00731CDD" w:rsidP="00C22581">
      <w:pPr>
        <w:tabs>
          <w:tab w:val="num" w:pos="1440"/>
          <w:tab w:val="num" w:pos="2160"/>
        </w:tabs>
        <w:ind w:firstLine="720"/>
        <w:rPr>
          <w:lang w:val="fr-FR"/>
        </w:rPr>
      </w:pPr>
    </w:p>
    <w:p w:rsidR="0032245A" w:rsidRPr="00FB1540" w:rsidRDefault="005C0F80" w:rsidP="0032245A">
      <w:pPr>
        <w:pStyle w:val="ParaNum"/>
        <w:numPr>
          <w:ilvl w:val="0"/>
          <w:numId w:val="0"/>
        </w:numPr>
        <w:tabs>
          <w:tab w:val="num" w:pos="1440"/>
        </w:tabs>
        <w:jc w:val="center"/>
        <w:rPr>
          <w:b/>
          <w:szCs w:val="22"/>
        </w:rPr>
      </w:pPr>
      <w:r w:rsidRPr="00FB1540">
        <w:rPr>
          <w:szCs w:val="22"/>
        </w:rPr>
        <w:br w:type="page"/>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32245A" w:rsidRPr="00FB1540" w:rsidRDefault="0032245A" w:rsidP="0032245A">
      <w:pPr>
        <w:pStyle w:val="ParaNum"/>
        <w:numPr>
          <w:ilvl w:val="0"/>
          <w:numId w:val="0"/>
        </w:numPr>
        <w:tabs>
          <w:tab w:val="num" w:pos="1440"/>
        </w:tabs>
        <w:jc w:val="center"/>
        <w:rPr>
          <w:b/>
          <w:szCs w:val="22"/>
        </w:rPr>
      </w:pPr>
      <w:r w:rsidRPr="00FB1540">
        <w:rPr>
          <w:b/>
          <w:szCs w:val="22"/>
        </w:rPr>
        <w:t xml:space="preserve">APPENDIX </w:t>
      </w:r>
      <w:r>
        <w:rPr>
          <w:b/>
          <w:szCs w:val="22"/>
        </w:rPr>
        <w:t>A</w:t>
      </w:r>
      <w:r w:rsidRPr="00FB1540">
        <w:rPr>
          <w:b/>
          <w:szCs w:val="22"/>
        </w:rPr>
        <w:t xml:space="preserve"> </w:t>
      </w:r>
    </w:p>
    <w:p w:rsidR="0032245A" w:rsidRPr="008B4E3A" w:rsidRDefault="0032245A" w:rsidP="0032245A">
      <w:pPr>
        <w:pStyle w:val="ParaNum"/>
        <w:numPr>
          <w:ilvl w:val="0"/>
          <w:numId w:val="0"/>
        </w:numPr>
        <w:spacing w:after="240"/>
        <w:jc w:val="center"/>
        <w:rPr>
          <w:b/>
          <w:szCs w:val="22"/>
        </w:rPr>
      </w:pPr>
      <w:r>
        <w:rPr>
          <w:b/>
          <w:szCs w:val="22"/>
        </w:rPr>
        <w:t>Pleadings</w:t>
      </w:r>
      <w:r w:rsidRPr="00FB1540">
        <w:rPr>
          <w:b/>
          <w:szCs w:val="22"/>
        </w:rPr>
        <w:t xml:space="preserve"> in WT Docket No. </w:t>
      </w:r>
      <w:r>
        <w:rPr>
          <w:b/>
          <w:szCs w:val="22"/>
        </w:rPr>
        <w:t>13-56</w:t>
      </w:r>
      <w:r w:rsidRPr="00FB1540">
        <w:rPr>
          <w:b/>
          <w:szCs w:val="22"/>
        </w:rPr>
        <w:t xml:space="preserve"> </w:t>
      </w:r>
    </w:p>
    <w:p w:rsidR="0032245A" w:rsidRDefault="0032245A" w:rsidP="0032245A">
      <w:pPr>
        <w:pStyle w:val="PlainText"/>
        <w:spacing w:after="120"/>
        <w:rPr>
          <w:rFonts w:ascii="Times New Roman" w:hAnsi="Times New Roman"/>
          <w:b/>
          <w:sz w:val="22"/>
          <w:szCs w:val="22"/>
        </w:rPr>
      </w:pPr>
      <w:r>
        <w:rPr>
          <w:rFonts w:ascii="Times New Roman" w:hAnsi="Times New Roman"/>
          <w:b/>
          <w:sz w:val="22"/>
          <w:szCs w:val="22"/>
        </w:rPr>
        <w:t>Petitions:</w:t>
      </w:r>
    </w:p>
    <w:p w:rsidR="0032245A" w:rsidRDefault="0032245A" w:rsidP="0032245A">
      <w:pPr>
        <w:pStyle w:val="PlainText"/>
        <w:spacing w:after="120"/>
        <w:rPr>
          <w:rFonts w:ascii="Times New Roman" w:hAnsi="Times New Roman"/>
          <w:sz w:val="22"/>
          <w:szCs w:val="22"/>
        </w:rPr>
      </w:pPr>
      <w:r>
        <w:rPr>
          <w:rFonts w:ascii="Times New Roman" w:hAnsi="Times New Roman"/>
          <w:sz w:val="22"/>
          <w:szCs w:val="22"/>
        </w:rPr>
        <w:t>Competitive Carriers Association</w:t>
      </w:r>
    </w:p>
    <w:p w:rsidR="0032245A" w:rsidRDefault="0032245A" w:rsidP="0032245A">
      <w:pPr>
        <w:pStyle w:val="PlainText"/>
        <w:spacing w:after="120"/>
        <w:rPr>
          <w:rFonts w:ascii="Times New Roman" w:hAnsi="Times New Roman"/>
          <w:sz w:val="22"/>
          <w:szCs w:val="22"/>
        </w:rPr>
      </w:pPr>
      <w:r>
        <w:rPr>
          <w:rFonts w:ascii="Times New Roman" w:hAnsi="Times New Roman"/>
          <w:sz w:val="22"/>
          <w:szCs w:val="22"/>
        </w:rPr>
        <w:t>DISH Network Corporation</w:t>
      </w:r>
    </w:p>
    <w:p w:rsidR="0032245A" w:rsidRDefault="0032245A" w:rsidP="0032245A">
      <w:pPr>
        <w:pStyle w:val="PlainText"/>
        <w:rPr>
          <w:rFonts w:ascii="Times New Roman" w:hAnsi="Times New Roman"/>
          <w:sz w:val="22"/>
          <w:szCs w:val="22"/>
        </w:rPr>
      </w:pPr>
      <w:r>
        <w:rPr>
          <w:rFonts w:ascii="Times New Roman" w:hAnsi="Times New Roman"/>
          <w:sz w:val="22"/>
          <w:szCs w:val="22"/>
        </w:rPr>
        <w:t>Public Knowledge and The Writers Guild of America, West</w:t>
      </w:r>
    </w:p>
    <w:p w:rsidR="0032245A" w:rsidRPr="00E21E10" w:rsidRDefault="0032245A" w:rsidP="0032245A">
      <w:pPr>
        <w:pStyle w:val="PlainText"/>
        <w:rPr>
          <w:rFonts w:ascii="Times New Roman" w:hAnsi="Times New Roman"/>
          <w:sz w:val="22"/>
          <w:szCs w:val="22"/>
        </w:rPr>
      </w:pPr>
    </w:p>
    <w:p w:rsidR="0032245A" w:rsidRDefault="0032245A" w:rsidP="0032245A">
      <w:pPr>
        <w:widowControl/>
        <w:spacing w:after="120"/>
        <w:rPr>
          <w:rFonts w:eastAsia="Calibri"/>
          <w:b/>
          <w:bCs/>
          <w:snapToGrid/>
          <w:color w:val="000000"/>
          <w:kern w:val="0"/>
          <w:szCs w:val="22"/>
        </w:rPr>
      </w:pPr>
      <w:r w:rsidRPr="00F24A51">
        <w:rPr>
          <w:rFonts w:eastAsia="Calibri"/>
          <w:b/>
          <w:snapToGrid/>
          <w:color w:val="000000"/>
          <w:kern w:val="0"/>
          <w:szCs w:val="22"/>
        </w:rPr>
        <w:t>Comments</w:t>
      </w:r>
      <w:r w:rsidRPr="00F24A51">
        <w:rPr>
          <w:rFonts w:eastAsia="Calibri"/>
          <w:b/>
          <w:bCs/>
          <w:snapToGrid/>
          <w:color w:val="000000"/>
          <w:kern w:val="0"/>
          <w:szCs w:val="22"/>
        </w:rPr>
        <w:t xml:space="preserve">: </w:t>
      </w:r>
    </w:p>
    <w:p w:rsidR="0032245A" w:rsidRPr="00E21E10" w:rsidRDefault="0032245A" w:rsidP="0032245A">
      <w:pPr>
        <w:widowControl/>
        <w:rPr>
          <w:rFonts w:eastAsia="Calibri"/>
          <w:snapToGrid/>
          <w:color w:val="000000"/>
          <w:kern w:val="0"/>
          <w:szCs w:val="22"/>
        </w:rPr>
      </w:pPr>
      <w:r w:rsidRPr="00BE0784">
        <w:rPr>
          <w:rFonts w:eastAsia="Calibri"/>
          <w:bCs/>
          <w:snapToGrid/>
          <w:color w:val="000000"/>
          <w:kern w:val="0"/>
          <w:szCs w:val="22"/>
        </w:rPr>
        <w:t>Rural Telecommunications Group</w:t>
      </w:r>
      <w:r>
        <w:rPr>
          <w:rFonts w:eastAsia="Calibri"/>
          <w:bCs/>
          <w:snapToGrid/>
          <w:color w:val="000000"/>
          <w:kern w:val="0"/>
          <w:szCs w:val="22"/>
        </w:rPr>
        <w:t>, Inc.</w:t>
      </w:r>
    </w:p>
    <w:p w:rsidR="0032245A" w:rsidRPr="00F24A51" w:rsidRDefault="0032245A" w:rsidP="0032245A">
      <w:pPr>
        <w:widowControl/>
        <w:rPr>
          <w:rFonts w:eastAsia="Calibri"/>
          <w:snapToGrid/>
          <w:color w:val="000000"/>
          <w:kern w:val="0"/>
          <w:szCs w:val="22"/>
        </w:rPr>
      </w:pPr>
    </w:p>
    <w:p w:rsidR="0032245A" w:rsidRPr="00F24A51" w:rsidRDefault="0032245A" w:rsidP="0032245A">
      <w:pPr>
        <w:widowControl/>
        <w:spacing w:after="120"/>
        <w:rPr>
          <w:rFonts w:eastAsia="Calibri"/>
          <w:b/>
          <w:snapToGrid/>
          <w:color w:val="000000"/>
          <w:kern w:val="0"/>
          <w:szCs w:val="22"/>
        </w:rPr>
      </w:pPr>
      <w:r w:rsidRPr="00F24A51">
        <w:rPr>
          <w:rFonts w:eastAsia="Calibri"/>
          <w:b/>
          <w:snapToGrid/>
          <w:color w:val="000000"/>
          <w:kern w:val="0"/>
          <w:szCs w:val="22"/>
        </w:rPr>
        <w:t xml:space="preserve">Opposition: </w:t>
      </w:r>
    </w:p>
    <w:p w:rsidR="0032245A" w:rsidRDefault="0032245A" w:rsidP="0032245A">
      <w:pPr>
        <w:widowControl/>
        <w:rPr>
          <w:rFonts w:eastAsia="Calibri"/>
          <w:snapToGrid/>
          <w:color w:val="000000"/>
          <w:kern w:val="0"/>
          <w:szCs w:val="22"/>
        </w:rPr>
      </w:pPr>
      <w:r w:rsidRPr="00BE0784">
        <w:rPr>
          <w:rFonts w:eastAsia="Calibri"/>
          <w:snapToGrid/>
          <w:color w:val="000000"/>
          <w:kern w:val="0"/>
          <w:szCs w:val="22"/>
        </w:rPr>
        <w:t xml:space="preserve">AT&amp;T Inc., </w:t>
      </w:r>
      <w:r>
        <w:rPr>
          <w:rFonts w:eastAsia="Calibri"/>
          <w:snapToGrid/>
          <w:color w:val="000000"/>
          <w:kern w:val="0"/>
          <w:szCs w:val="22"/>
        </w:rPr>
        <w:t>Cellco Partnership d/b/a/ Verizon Wireless, Grain Spectrum, LLC, and Grain Spectrum II, LLC</w:t>
      </w:r>
    </w:p>
    <w:p w:rsidR="0032245A" w:rsidRPr="00BE0784" w:rsidRDefault="0032245A" w:rsidP="0032245A">
      <w:pPr>
        <w:widowControl/>
        <w:rPr>
          <w:rFonts w:eastAsia="Calibri"/>
          <w:snapToGrid/>
          <w:color w:val="000000"/>
          <w:kern w:val="0"/>
          <w:szCs w:val="22"/>
        </w:rPr>
      </w:pPr>
    </w:p>
    <w:p w:rsidR="0032245A" w:rsidRPr="00F24A51" w:rsidRDefault="0032245A" w:rsidP="0032245A">
      <w:pPr>
        <w:widowControl/>
        <w:spacing w:after="120"/>
        <w:rPr>
          <w:rFonts w:eastAsia="Calibri"/>
          <w:snapToGrid/>
          <w:color w:val="000000"/>
          <w:kern w:val="0"/>
          <w:szCs w:val="22"/>
        </w:rPr>
      </w:pPr>
      <w:r w:rsidRPr="00F24A51">
        <w:rPr>
          <w:rFonts w:eastAsia="Calibri"/>
          <w:b/>
          <w:snapToGrid/>
          <w:color w:val="000000"/>
          <w:kern w:val="0"/>
          <w:szCs w:val="22"/>
        </w:rPr>
        <w:t xml:space="preserve">Replies: </w:t>
      </w:r>
    </w:p>
    <w:p w:rsidR="0032245A" w:rsidRDefault="0032245A" w:rsidP="0032245A">
      <w:pPr>
        <w:pStyle w:val="ParaNum"/>
        <w:numPr>
          <w:ilvl w:val="0"/>
          <w:numId w:val="0"/>
        </w:numPr>
        <w:rPr>
          <w:szCs w:val="22"/>
        </w:rPr>
      </w:pPr>
      <w:r>
        <w:rPr>
          <w:szCs w:val="22"/>
        </w:rPr>
        <w:t>Competitive Carriers Association</w:t>
      </w:r>
    </w:p>
    <w:p w:rsidR="0032245A" w:rsidRDefault="0032245A" w:rsidP="0032245A">
      <w:pPr>
        <w:pStyle w:val="ParaNum"/>
        <w:numPr>
          <w:ilvl w:val="0"/>
          <w:numId w:val="0"/>
        </w:numPr>
        <w:rPr>
          <w:szCs w:val="22"/>
        </w:rPr>
      </w:pPr>
      <w:r>
        <w:rPr>
          <w:szCs w:val="22"/>
        </w:rPr>
        <w:t>DISH Network Corporation</w:t>
      </w:r>
    </w:p>
    <w:p w:rsidR="0032245A" w:rsidRDefault="0032245A" w:rsidP="0032245A">
      <w:pPr>
        <w:pStyle w:val="ParaNum"/>
        <w:numPr>
          <w:ilvl w:val="0"/>
          <w:numId w:val="0"/>
        </w:numPr>
        <w:rPr>
          <w:szCs w:val="22"/>
        </w:rPr>
      </w:pPr>
      <w:r>
        <w:rPr>
          <w:szCs w:val="22"/>
        </w:rPr>
        <w:t>NTCA</w:t>
      </w:r>
      <w:r w:rsidR="00521A45" w:rsidRPr="00F076C4">
        <w:t>—</w:t>
      </w:r>
      <w:r>
        <w:rPr>
          <w:szCs w:val="22"/>
        </w:rPr>
        <w:t>The Rural Broadband Association</w:t>
      </w:r>
    </w:p>
    <w:p w:rsidR="0032245A" w:rsidRDefault="0032245A" w:rsidP="0032245A">
      <w:pPr>
        <w:pStyle w:val="ParaNum"/>
        <w:numPr>
          <w:ilvl w:val="0"/>
          <w:numId w:val="0"/>
        </w:numPr>
        <w:rPr>
          <w:szCs w:val="22"/>
        </w:rPr>
      </w:pPr>
      <w:r>
        <w:rPr>
          <w:szCs w:val="22"/>
        </w:rPr>
        <w:t>Rural Telecommunications Group, Inc.</w:t>
      </w:r>
    </w:p>
    <w:p w:rsidR="00A45833" w:rsidRPr="00F24A51" w:rsidRDefault="00A45833" w:rsidP="00972ED9">
      <w:pPr>
        <w:pStyle w:val="ParaNum"/>
        <w:numPr>
          <w:ilvl w:val="0"/>
          <w:numId w:val="0"/>
        </w:numPr>
        <w:tabs>
          <w:tab w:val="num" w:pos="1440"/>
        </w:tabs>
        <w:jc w:val="center"/>
        <w:rPr>
          <w:rFonts w:eastAsia="Calibri"/>
          <w:snapToGrid/>
          <w:color w:val="000000"/>
          <w:kern w:val="0"/>
          <w:szCs w:val="22"/>
        </w:rPr>
      </w:pPr>
    </w:p>
    <w:p w:rsidR="005B43D1" w:rsidRDefault="005B43D1" w:rsidP="005B43D1">
      <w:pPr>
        <w:pStyle w:val="ParaNum"/>
        <w:numPr>
          <w:ilvl w:val="0"/>
          <w:numId w:val="0"/>
        </w:numPr>
        <w:rPr>
          <w:szCs w:val="22"/>
        </w:rPr>
      </w:pPr>
    </w:p>
    <w:sectPr w:rsidR="005B43D1" w:rsidSect="00E7575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52" w:rsidRDefault="00126C52">
      <w:pPr>
        <w:spacing w:line="20" w:lineRule="exact"/>
      </w:pPr>
    </w:p>
  </w:endnote>
  <w:endnote w:type="continuationSeparator" w:id="0">
    <w:p w:rsidR="00126C52" w:rsidRDefault="00126C52">
      <w:r>
        <w:t xml:space="preserve"> </w:t>
      </w:r>
    </w:p>
  </w:endnote>
  <w:endnote w:type="continuationNotice" w:id="1">
    <w:p w:rsidR="00126C52" w:rsidRDefault="00126C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2" w:rsidRDefault="00126C52">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126C52" w:rsidRDefault="00126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2" w:rsidRDefault="00126C52">
    <w:pPr>
      <w:pStyle w:val="Footer"/>
      <w:framePr w:wrap="around" w:vAnchor="text" w:hAnchor="margin" w:xAlign="center" w:y="1"/>
    </w:pPr>
    <w:r>
      <w:fldChar w:fldCharType="begin"/>
    </w:r>
    <w:r>
      <w:instrText xml:space="preserve">PAGE  </w:instrText>
    </w:r>
    <w:r>
      <w:fldChar w:fldCharType="separate"/>
    </w:r>
    <w:r w:rsidR="00CC2844">
      <w:rPr>
        <w:noProof/>
      </w:rPr>
      <w:t>30</w:t>
    </w:r>
    <w:r>
      <w:fldChar w:fldCharType="end"/>
    </w:r>
  </w:p>
  <w:p w:rsidR="00126C52" w:rsidRDefault="00126C52">
    <w:pPr>
      <w:spacing w:before="140" w:line="100" w:lineRule="exact"/>
      <w:rPr>
        <w:sz w:val="10"/>
      </w:rPr>
    </w:pPr>
  </w:p>
  <w:p w:rsidR="00126C52" w:rsidRDefault="00126C5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B" w:rsidRDefault="00B3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52" w:rsidRDefault="00126C52">
      <w:r>
        <w:separator/>
      </w:r>
    </w:p>
  </w:footnote>
  <w:footnote w:type="continuationSeparator" w:id="0">
    <w:p w:rsidR="00126C52" w:rsidRDefault="00126C52">
      <w:pPr>
        <w:rPr>
          <w:sz w:val="20"/>
        </w:rPr>
      </w:pPr>
      <w:r>
        <w:rPr>
          <w:sz w:val="20"/>
        </w:rPr>
        <w:t xml:space="preserve">(Continued from previous page)  </w:t>
      </w:r>
      <w:r>
        <w:rPr>
          <w:sz w:val="20"/>
        </w:rPr>
        <w:separator/>
      </w:r>
    </w:p>
  </w:footnote>
  <w:footnote w:type="continuationNotice" w:id="1">
    <w:p w:rsidR="00126C52" w:rsidRDefault="00126C52">
      <w:pPr>
        <w:rPr>
          <w:sz w:val="20"/>
        </w:rPr>
      </w:pPr>
      <w:r>
        <w:rPr>
          <w:sz w:val="20"/>
        </w:rPr>
        <w:t>(continued….)</w:t>
      </w:r>
    </w:p>
  </w:footnote>
  <w:footnote w:id="2">
    <w:p w:rsidR="00126C52" w:rsidRDefault="00126C52" w:rsidP="008A7C66">
      <w:pPr>
        <w:pStyle w:val="FootnoteText"/>
      </w:pPr>
      <w:r>
        <w:rPr>
          <w:rStyle w:val="FootnoteReference"/>
        </w:rPr>
        <w:footnoteRef/>
      </w:r>
      <w:r>
        <w:t xml:space="preserve"> Applications of AT&amp;T Inc., Cellco Partnership d/b/a Verizon Wireless, Grain Spectrum, LLC, and Grain Spectrum II, LLC for Consent To Assign Licenses and Lease Spectrum, ULS File Nos. 0005627587, 0005627610, 0005630397, 0005630442, 0005630591, 0005630585, 0005630946, 7004WYNL13, and 7005AWNL13 (filed Feb. 6, 2013) (collectively, the “Applications”).  File No. 0005627587 is designated as the lead application (“Lead Application”).</w:t>
      </w:r>
    </w:p>
  </w:footnote>
  <w:footnote w:id="3">
    <w:p w:rsidR="00126C52" w:rsidRPr="00272BE8" w:rsidRDefault="00126C52" w:rsidP="004B49E1">
      <w:pPr>
        <w:pStyle w:val="FootnoteText"/>
      </w:pPr>
      <w:r>
        <w:rPr>
          <w:rStyle w:val="FootnoteReference"/>
        </w:rPr>
        <w:footnoteRef/>
      </w:r>
      <w:r>
        <w:t xml:space="preserve"> </w:t>
      </w:r>
      <w:r w:rsidRPr="004B49E1">
        <w:t>AT&amp;T Mobility Spectrum LLC and New Cingular Wireless PCS, LLC, both indirect wholly-owned subsidiaries of AT&amp;T, are applicants here.</w:t>
      </w:r>
      <w:r>
        <w:t xml:space="preserve">  </w:t>
      </w:r>
      <w:r>
        <w:rPr>
          <w:i/>
        </w:rPr>
        <w:t xml:space="preserve">See </w:t>
      </w:r>
      <w:r>
        <w:t>Lead Application, Exhibit 1, Description of the Transaction and Public Interest Statement (“Public Interest Statement”), at 1.</w:t>
      </w:r>
    </w:p>
  </w:footnote>
  <w:footnote w:id="4">
    <w:p w:rsidR="00126C52" w:rsidRDefault="00126C52" w:rsidP="00243365">
      <w:pPr>
        <w:pStyle w:val="FootnoteText"/>
      </w:pPr>
      <w:r>
        <w:rPr>
          <w:rStyle w:val="FootnoteReference"/>
        </w:rPr>
        <w:footnoteRef/>
      </w:r>
      <w:r>
        <w:t xml:space="preserve"> AT&amp;T Inc., SEC Form 10-K (filed Feb. 22, 2013) (“AT&amp;T 10-K”), at 1, </w:t>
      </w:r>
      <w:r>
        <w:rPr>
          <w:i/>
        </w:rPr>
        <w:t xml:space="preserve">available at </w:t>
      </w:r>
      <w:r w:rsidRPr="004D6537">
        <w:t>http://www.sec.gov/Archives/edgar/data/732717/000073271713000017/ye12_10k.htm</w:t>
      </w:r>
      <w:r>
        <w:t>.</w:t>
      </w:r>
    </w:p>
  </w:footnote>
  <w:footnote w:id="5">
    <w:p w:rsidR="00126C52" w:rsidRDefault="00126C52" w:rsidP="00243365">
      <w:pPr>
        <w:pStyle w:val="FootnoteText"/>
      </w:pPr>
      <w:r>
        <w:rPr>
          <w:rStyle w:val="FootnoteReference"/>
        </w:rPr>
        <w:footnoteRef/>
      </w:r>
      <w:r>
        <w:t xml:space="preserve"> AT&amp;T Inc., 2012 Annual Report, Ex. 13 (filed Feb. 22, 2013), at 1, 5, </w:t>
      </w:r>
      <w:r>
        <w:rPr>
          <w:i/>
        </w:rPr>
        <w:t>available at</w:t>
      </w:r>
      <w:r>
        <w:t xml:space="preserve"> </w:t>
      </w:r>
      <w:r w:rsidRPr="004D6537">
        <w:t>http://www.sec.gov/Archives/edgar/data/732717/000073271713000017/ex13.htm</w:t>
      </w:r>
      <w:r>
        <w:t xml:space="preserve">.  </w:t>
      </w:r>
    </w:p>
  </w:footnote>
  <w:footnote w:id="6">
    <w:p w:rsidR="00126C52" w:rsidRPr="00F4505C" w:rsidRDefault="00126C52" w:rsidP="00243365">
      <w:pPr>
        <w:pStyle w:val="FootnoteText"/>
      </w:pPr>
      <w:r w:rsidRPr="00F4505C">
        <w:rPr>
          <w:rStyle w:val="FootnoteReference"/>
        </w:rPr>
        <w:footnoteRef/>
      </w:r>
      <w:r w:rsidRPr="00F4505C">
        <w:t xml:space="preserve"> </w:t>
      </w:r>
      <w:r>
        <w:t xml:space="preserve">Of the 308 million people covered by its wireless network, </w:t>
      </w:r>
      <w:r w:rsidRPr="00F4505C">
        <w:t>AT&amp;T covers approximately 301.</w:t>
      </w:r>
      <w:r>
        <w:t>3</w:t>
      </w:r>
      <w:r w:rsidRPr="00F4505C">
        <w:t xml:space="preserve"> million people with 3G, 294.</w:t>
      </w:r>
      <w:r>
        <w:t>6</w:t>
      </w:r>
      <w:r w:rsidRPr="00F4505C">
        <w:t xml:space="preserve"> million people with HSPA+</w:t>
      </w:r>
      <w:r>
        <w:t>,</w:t>
      </w:r>
      <w:r w:rsidRPr="00F4505C">
        <w:t xml:space="preserve"> and 221.6 million people with LTE.  Mosaik Solutions Data (“Mosaik”), July 2013.</w:t>
      </w:r>
    </w:p>
  </w:footnote>
  <w:footnote w:id="7">
    <w:p w:rsidR="00126C52" w:rsidRDefault="00126C52" w:rsidP="00243365">
      <w:pPr>
        <w:pStyle w:val="FootnoteText"/>
      </w:pPr>
      <w:r>
        <w:rPr>
          <w:rStyle w:val="FootnoteReference"/>
        </w:rPr>
        <w:footnoteRef/>
      </w:r>
      <w:r>
        <w:t xml:space="preserve"> AT&amp;T 10-K at 2.</w:t>
      </w:r>
    </w:p>
  </w:footnote>
  <w:footnote w:id="8">
    <w:p w:rsidR="00126C52" w:rsidRDefault="00126C52" w:rsidP="00243365">
      <w:pPr>
        <w:pStyle w:val="FootnoteText"/>
      </w:pPr>
      <w:r w:rsidRPr="00407AA2">
        <w:rPr>
          <w:rStyle w:val="FootnoteReference"/>
        </w:rPr>
        <w:footnoteRef/>
      </w:r>
      <w:r>
        <w:rPr>
          <w:color w:val="000000"/>
        </w:rPr>
        <w:t xml:space="preserve"> Public Interest Statement at 18 (citing </w:t>
      </w:r>
      <w:r w:rsidRPr="006746F9">
        <w:t xml:space="preserve">Applications of </w:t>
      </w:r>
      <w:r w:rsidRPr="006746F9">
        <w:rPr>
          <w:spacing w:val="-2"/>
        </w:rPr>
        <w:t>Cellco Partnership d/b/a</w:t>
      </w:r>
      <w:r w:rsidRPr="006746F9">
        <w:rPr>
          <w:i/>
        </w:rPr>
        <w:t xml:space="preserve"> </w:t>
      </w:r>
      <w:r w:rsidRPr="006746F9">
        <w:rPr>
          <w:spacing w:val="-2"/>
        </w:rPr>
        <w:t xml:space="preserve">Verizon Wireless and SpectrumCo LLC and Cox TMI, LLC </w:t>
      </w:r>
      <w:r>
        <w:rPr>
          <w:spacing w:val="-2"/>
        </w:rPr>
        <w:t>F</w:t>
      </w:r>
      <w:r w:rsidRPr="006746F9">
        <w:rPr>
          <w:spacing w:val="-2"/>
        </w:rPr>
        <w:t>or Consent To Assign AWS-1 Licenses</w:t>
      </w:r>
      <w:r>
        <w:rPr>
          <w:spacing w:val="-2"/>
        </w:rPr>
        <w:t>, WT Docket No. 12-4</w:t>
      </w:r>
      <w:r w:rsidRPr="00526817">
        <w:rPr>
          <w:spacing w:val="-2"/>
        </w:rPr>
        <w:t xml:space="preserve">, </w:t>
      </w:r>
      <w:r w:rsidRPr="00526817">
        <w:rPr>
          <w:i/>
          <w:spacing w:val="-2"/>
        </w:rPr>
        <w:t>Memorandum Opinion and Order and Declaratory Ruling</w:t>
      </w:r>
      <w:r w:rsidRPr="00526817">
        <w:rPr>
          <w:spacing w:val="-2"/>
        </w:rPr>
        <w:t xml:space="preserve">, </w:t>
      </w:r>
      <w:r>
        <w:rPr>
          <w:color w:val="252525"/>
        </w:rPr>
        <w:t>27 FCC Rcd 10698, 10764-67 ¶¶ 171-78</w:t>
      </w:r>
      <w:r w:rsidRPr="006746F9">
        <w:rPr>
          <w:color w:val="252525"/>
        </w:rPr>
        <w:t xml:space="preserve"> (2012)</w:t>
      </w:r>
      <w:r>
        <w:rPr>
          <w:color w:val="252525"/>
        </w:rPr>
        <w:t xml:space="preserve"> (“</w:t>
      </w:r>
      <w:r w:rsidRPr="00264B8A">
        <w:rPr>
          <w:i/>
          <w:color w:val="252525"/>
        </w:rPr>
        <w:t>Verizon Wireless-SpectrumCo Order</w:t>
      </w:r>
      <w:r>
        <w:rPr>
          <w:color w:val="252525"/>
        </w:rPr>
        <w:t>”)</w:t>
      </w:r>
      <w:r>
        <w:t>)</w:t>
      </w:r>
      <w:r w:rsidRPr="00A62ED3">
        <w:t xml:space="preserve">.  </w:t>
      </w:r>
    </w:p>
  </w:footnote>
  <w:footnote w:id="9">
    <w:p w:rsidR="00126C52" w:rsidRDefault="00126C52" w:rsidP="00243365">
      <w:pPr>
        <w:pStyle w:val="FootnoteText"/>
      </w:pPr>
      <w:r>
        <w:rPr>
          <w:rStyle w:val="FootnoteReference"/>
        </w:rPr>
        <w:footnoteRef/>
      </w:r>
      <w:r>
        <w:t xml:space="preserve"> </w:t>
      </w:r>
      <w:r w:rsidRPr="00912866">
        <w:rPr>
          <w:i/>
        </w:rPr>
        <w:t xml:space="preserve">See </w:t>
      </w:r>
      <w:r w:rsidRPr="00912866">
        <w:t xml:space="preserve">Implementation of Section 6002(b) of the Omnibus Budget Reconciliation Act of 1993, Annual Report and Analysis of Competitive Market Conditions </w:t>
      </w:r>
      <w:r>
        <w:t>W</w:t>
      </w:r>
      <w:r w:rsidRPr="00912866">
        <w:t xml:space="preserve">ith Respect to Mobile Wireless, </w:t>
      </w:r>
      <w:r>
        <w:t>I</w:t>
      </w:r>
      <w:r w:rsidRPr="00912866">
        <w:t>ncluding Commercial Mobile Services, WT Docket No. 1-1</w:t>
      </w:r>
      <w:r>
        <w:t>86</w:t>
      </w:r>
      <w:r w:rsidRPr="00912866">
        <w:t xml:space="preserve">, </w:t>
      </w:r>
      <w:r>
        <w:rPr>
          <w:i/>
        </w:rPr>
        <w:t>Six</w:t>
      </w:r>
      <w:r w:rsidRPr="00912866">
        <w:rPr>
          <w:i/>
        </w:rPr>
        <w:t>teenth Report</w:t>
      </w:r>
      <w:r w:rsidRPr="00912866">
        <w:t>, 2</w:t>
      </w:r>
      <w:r>
        <w:t>8</w:t>
      </w:r>
      <w:r w:rsidRPr="00912866">
        <w:t xml:space="preserve"> FCC Rcd</w:t>
      </w:r>
      <w:r>
        <w:t xml:space="preserve"> 3700</w:t>
      </w:r>
      <w:r w:rsidRPr="00912866">
        <w:t>,</w:t>
      </w:r>
      <w:r w:rsidRPr="0073354D">
        <w:t xml:space="preserve"> </w:t>
      </w:r>
      <w:r>
        <w:t xml:space="preserve">3753-54, </w:t>
      </w:r>
      <w:r w:rsidRPr="0073354D">
        <w:t xml:space="preserve">Tables </w:t>
      </w:r>
      <w:r>
        <w:t>11-13</w:t>
      </w:r>
      <w:r w:rsidRPr="0073354D">
        <w:t xml:space="preserve"> </w:t>
      </w:r>
      <w:r w:rsidRPr="00912866">
        <w:t>(201</w:t>
      </w:r>
      <w:r>
        <w:t>3</w:t>
      </w:r>
      <w:r w:rsidRPr="00912866">
        <w:t>) (“</w:t>
      </w:r>
      <w:r>
        <w:rPr>
          <w:i/>
        </w:rPr>
        <w:t>Six</w:t>
      </w:r>
      <w:r w:rsidRPr="00912866">
        <w:rPr>
          <w:i/>
        </w:rPr>
        <w:t xml:space="preserve">teenth Annual </w:t>
      </w:r>
      <w:r>
        <w:rPr>
          <w:i/>
        </w:rPr>
        <w:t xml:space="preserve">Mobile Wireless </w:t>
      </w:r>
      <w:r w:rsidRPr="00912866">
        <w:rPr>
          <w:i/>
        </w:rPr>
        <w:t>Competition Report</w:t>
      </w:r>
      <w:r w:rsidRPr="00912866">
        <w:t>”).</w:t>
      </w:r>
    </w:p>
  </w:footnote>
  <w:footnote w:id="10">
    <w:p w:rsidR="00126C52" w:rsidRPr="00DA75C8" w:rsidRDefault="00126C52" w:rsidP="00243365">
      <w:pPr>
        <w:pStyle w:val="FootnoteText"/>
      </w:pPr>
      <w:r w:rsidRPr="00DA75C8">
        <w:rPr>
          <w:rStyle w:val="FootnoteReference"/>
        </w:rPr>
        <w:footnoteRef/>
      </w:r>
      <w:r w:rsidRPr="00DA75C8">
        <w:t xml:space="preserve"> </w:t>
      </w:r>
      <w:r w:rsidRPr="0008082C">
        <w:t xml:space="preserve">Verizon Wireless, </w:t>
      </w:r>
      <w:r w:rsidRPr="00723C80">
        <w:rPr>
          <w:i/>
        </w:rPr>
        <w:t>About Us, Our Technology</w:t>
      </w:r>
      <w:r w:rsidRPr="0008082C">
        <w:t xml:space="preserve">, </w:t>
      </w:r>
      <w:r w:rsidRPr="004370B5">
        <w:t>http://aboutus.verizonwireless.com/technology/network/</w:t>
      </w:r>
      <w:r w:rsidRPr="0008082C">
        <w:t xml:space="preserve"> (last visited </w:t>
      </w:r>
      <w:r>
        <w:t>August 28, 2013</w:t>
      </w:r>
      <w:r w:rsidRPr="0008082C">
        <w:t>).</w:t>
      </w:r>
    </w:p>
  </w:footnote>
  <w:footnote w:id="11">
    <w:p w:rsidR="00126C52" w:rsidRPr="003370E3" w:rsidRDefault="00126C52" w:rsidP="00243365">
      <w:pPr>
        <w:pStyle w:val="FootnoteText"/>
      </w:pPr>
      <w:r>
        <w:rPr>
          <w:rStyle w:val="FootnoteReference"/>
        </w:rPr>
        <w:footnoteRef/>
      </w:r>
      <w:r>
        <w:t xml:space="preserve"> </w:t>
      </w:r>
      <w:r w:rsidRPr="0008082C">
        <w:t>Verizo</w:t>
      </w:r>
      <w:r>
        <w:t>n</w:t>
      </w:r>
      <w:r w:rsidRPr="0008082C">
        <w:t xml:space="preserve">, </w:t>
      </w:r>
      <w:r>
        <w:t xml:space="preserve">2012 Annual Report 15 25, </w:t>
      </w:r>
      <w:r w:rsidRPr="00857D4D">
        <w:rPr>
          <w:i/>
        </w:rPr>
        <w:t>available at</w:t>
      </w:r>
      <w:r>
        <w:t xml:space="preserve"> </w:t>
      </w:r>
      <w:r w:rsidRPr="00EE182A">
        <w:t>http://www22.verizon.com/investor/anualreports.htm</w:t>
      </w:r>
      <w:r>
        <w:t>.</w:t>
      </w:r>
    </w:p>
  </w:footnote>
  <w:footnote w:id="12">
    <w:p w:rsidR="00126C52" w:rsidRPr="00AD2A00" w:rsidRDefault="00126C52" w:rsidP="00243365">
      <w:pPr>
        <w:pStyle w:val="FootnoteText"/>
      </w:pPr>
      <w:r>
        <w:rPr>
          <w:rStyle w:val="FootnoteReference"/>
        </w:rPr>
        <w:footnoteRef/>
      </w:r>
      <w:r>
        <w:t xml:space="preserve"> </w:t>
      </w:r>
      <w:r>
        <w:rPr>
          <w:i/>
        </w:rPr>
        <w:t>See</w:t>
      </w:r>
      <w:r>
        <w:t xml:space="preserve"> Ownership Disclosure Filing of Grain I, FCC Form 602, ULS File No. 0005633824, Exhibit 1; Ownership Disclosure Filing of Grain II, FCC Form 602, ULS File No. 0005633842, Exhibit 1.</w:t>
      </w:r>
    </w:p>
  </w:footnote>
  <w:footnote w:id="13">
    <w:p w:rsidR="00126C52" w:rsidRDefault="00126C52" w:rsidP="00243365">
      <w:pPr>
        <w:pStyle w:val="FootnoteText"/>
      </w:pPr>
      <w:r>
        <w:rPr>
          <w:rStyle w:val="FootnoteReference"/>
        </w:rPr>
        <w:footnoteRef/>
      </w:r>
      <w:r>
        <w:t xml:space="preserve"> </w:t>
      </w:r>
      <w:r>
        <w:rPr>
          <w:i/>
        </w:rPr>
        <w:t>See</w:t>
      </w:r>
      <w:r>
        <w:t xml:space="preserve"> Public Interest Statement at 5-6.  </w:t>
      </w:r>
    </w:p>
  </w:footnote>
  <w:footnote w:id="14">
    <w:p w:rsidR="00126C52" w:rsidRDefault="00126C52" w:rsidP="00243365">
      <w:pPr>
        <w:pStyle w:val="FootnoteText"/>
      </w:pPr>
      <w:r>
        <w:rPr>
          <w:rStyle w:val="FootnoteReference"/>
        </w:rPr>
        <w:footnoteRef/>
      </w:r>
      <w:r>
        <w:t xml:space="preserve"> 47 U.S.C. § 310(d).</w:t>
      </w:r>
    </w:p>
  </w:footnote>
  <w:footnote w:id="15">
    <w:p w:rsidR="00126C52" w:rsidRPr="004F2E9D" w:rsidRDefault="00126C52" w:rsidP="00243365">
      <w:pPr>
        <w:pStyle w:val="FootnoteText"/>
      </w:pPr>
      <w:r>
        <w:rPr>
          <w:rStyle w:val="FootnoteReference"/>
        </w:rPr>
        <w:footnoteRef/>
      </w:r>
      <w:r>
        <w:t xml:space="preserve"> The Applicants state that AT&amp;T and Verizon also plan to enter into short-term spectrum manager leases for much of the spectrum to allow each to begin to utilize the spectrum quickly.  </w:t>
      </w:r>
      <w:r>
        <w:rPr>
          <w:i/>
        </w:rPr>
        <w:t>See</w:t>
      </w:r>
      <w:r>
        <w:t xml:space="preserve"> Public Interest Statement</w:t>
      </w:r>
      <w:r>
        <w:rPr>
          <w:i/>
        </w:rPr>
        <w:t xml:space="preserve"> </w:t>
      </w:r>
      <w:r>
        <w:t>at 4.</w:t>
      </w:r>
    </w:p>
  </w:footnote>
  <w:footnote w:id="16">
    <w:p w:rsidR="00126C52" w:rsidRPr="004D266B" w:rsidRDefault="00126C52" w:rsidP="00243365">
      <w:pPr>
        <w:pStyle w:val="FootnoteText"/>
      </w:pPr>
      <w:r>
        <w:rPr>
          <w:rStyle w:val="FootnoteReference"/>
        </w:rPr>
        <w:footnoteRef/>
      </w:r>
      <w:r>
        <w:t xml:space="preserve"> </w:t>
      </w:r>
      <w:r>
        <w:rPr>
          <w:i/>
        </w:rPr>
        <w:t>See</w:t>
      </w:r>
      <w:r>
        <w:t xml:space="preserve"> </w:t>
      </w:r>
      <w:r>
        <w:rPr>
          <w:i/>
        </w:rPr>
        <w:t xml:space="preserve">id. </w:t>
      </w:r>
      <w:r>
        <w:t>at 3.</w:t>
      </w:r>
    </w:p>
  </w:footnote>
  <w:footnote w:id="17">
    <w:p w:rsidR="00126C52" w:rsidRPr="004D266B" w:rsidRDefault="00126C52" w:rsidP="00243365">
      <w:pPr>
        <w:pStyle w:val="FootnoteText"/>
      </w:pPr>
      <w:r>
        <w:rPr>
          <w:rStyle w:val="FootnoteReference"/>
        </w:rPr>
        <w:footnoteRef/>
      </w:r>
      <w:r>
        <w:t xml:space="preserve"> </w:t>
      </w:r>
      <w:r>
        <w:rPr>
          <w:i/>
        </w:rPr>
        <w:t>See</w:t>
      </w:r>
      <w:r>
        <w:t xml:space="preserve"> </w:t>
      </w:r>
      <w:r>
        <w:rPr>
          <w:i/>
        </w:rPr>
        <w:t>id.</w:t>
      </w:r>
      <w:r>
        <w:t xml:space="preserve"> at 4.</w:t>
      </w:r>
    </w:p>
  </w:footnote>
  <w:footnote w:id="18">
    <w:p w:rsidR="00126C52" w:rsidRPr="004D266B" w:rsidRDefault="00126C52" w:rsidP="00243365">
      <w:pPr>
        <w:pStyle w:val="FootnoteText"/>
      </w:pPr>
      <w:r>
        <w:rPr>
          <w:rStyle w:val="FootnoteReference"/>
        </w:rPr>
        <w:footnoteRef/>
      </w:r>
      <w:r>
        <w:t xml:space="preserve"> </w:t>
      </w:r>
      <w:r>
        <w:rPr>
          <w:i/>
        </w:rPr>
        <w:t>See id.</w:t>
      </w:r>
      <w:r>
        <w:t xml:space="preserve"> at 11-13.</w:t>
      </w:r>
    </w:p>
  </w:footnote>
  <w:footnote w:id="19">
    <w:p w:rsidR="00126C52" w:rsidRPr="004D266B" w:rsidRDefault="00126C52" w:rsidP="00243365">
      <w:pPr>
        <w:pStyle w:val="FootnoteText"/>
      </w:pPr>
      <w:r>
        <w:rPr>
          <w:rStyle w:val="FootnoteReference"/>
        </w:rPr>
        <w:footnoteRef/>
      </w:r>
      <w:r>
        <w:t xml:space="preserve"> </w:t>
      </w:r>
      <w:r>
        <w:rPr>
          <w:i/>
        </w:rPr>
        <w:t>See id.</w:t>
      </w:r>
      <w:r>
        <w:t xml:space="preserve"> at 14.  </w:t>
      </w:r>
    </w:p>
  </w:footnote>
  <w:footnote w:id="20">
    <w:p w:rsidR="00126C52" w:rsidRPr="0018651B" w:rsidRDefault="00126C52" w:rsidP="00243365">
      <w:pPr>
        <w:pStyle w:val="FootnoteText"/>
      </w:pPr>
      <w:r>
        <w:rPr>
          <w:rStyle w:val="FootnoteReference"/>
        </w:rPr>
        <w:footnoteRef/>
      </w:r>
      <w:r>
        <w:t xml:space="preserve"> </w:t>
      </w:r>
      <w:r>
        <w:rPr>
          <w:i/>
        </w:rPr>
        <w:t>See</w:t>
      </w:r>
      <w:r>
        <w:t xml:space="preserve"> </w:t>
      </w:r>
      <w:r>
        <w:rPr>
          <w:i/>
        </w:rPr>
        <w:t>id.</w:t>
      </w:r>
      <w:r>
        <w:t xml:space="preserve"> at 11.  In April, 2012, Verizon Wireless announced a process to sell its Lower 700 MHz Band A and B Block licenses.</w:t>
      </w:r>
      <w:r w:rsidRPr="001C34A5">
        <w:t xml:space="preserve"> </w:t>
      </w:r>
      <w:r>
        <w:t xml:space="preserve"> </w:t>
      </w:r>
      <w:r>
        <w:rPr>
          <w:i/>
        </w:rPr>
        <w:t>See</w:t>
      </w:r>
      <w:r>
        <w:t xml:space="preserve"> </w:t>
      </w:r>
      <w:r>
        <w:rPr>
          <w:i/>
        </w:rPr>
        <w:t>i</w:t>
      </w:r>
      <w:r w:rsidRPr="006969BE">
        <w:rPr>
          <w:i/>
          <w:iCs/>
        </w:rPr>
        <w:t>d.</w:t>
      </w:r>
      <w:r>
        <w:t xml:space="preserve">, citing </w:t>
      </w:r>
      <w:r w:rsidRPr="00A05053">
        <w:t>News Release, Verizon Wireless To Conduct Spectrum License Sale (Apr. 18, 2012), http://news.verizonwireless.com/news/2012/04/pr2012-04-18f.html</w:t>
      </w:r>
      <w:r>
        <w:t>.</w:t>
      </w:r>
    </w:p>
  </w:footnote>
  <w:footnote w:id="21">
    <w:p w:rsidR="00126C52" w:rsidRPr="003830C5" w:rsidRDefault="00126C52" w:rsidP="00243365">
      <w:pPr>
        <w:pStyle w:val="FootnoteText"/>
        <w:rPr>
          <w:rFonts w:eastAsia="MS Mincho"/>
          <w:color w:val="000000"/>
          <w:lang w:eastAsia="ja-JP"/>
        </w:rPr>
      </w:pPr>
      <w:r w:rsidRPr="003830C5">
        <w:rPr>
          <w:rStyle w:val="FootnoteReference"/>
        </w:rPr>
        <w:footnoteRef/>
      </w:r>
      <w:r w:rsidRPr="003830C5">
        <w:t xml:space="preserve"> </w:t>
      </w:r>
      <w:r>
        <w:t xml:space="preserve">AT&amp;T Inc., Cellco Partnership d/b/d/a Verizon Wireless, Grain Spectrum, LLC, and Grain Spectrum II, LLC </w:t>
      </w:r>
      <w:r w:rsidRPr="003830C5">
        <w:t xml:space="preserve">Seek FCC Consent to the Assignment of </w:t>
      </w:r>
      <w:r>
        <w:t xml:space="preserve">Advanced Wireless Services and Lower 700 MHz Band B Block Licenses and to Long-Term </w:t>
      </w:r>
      <w:r>
        <w:rPr>
          <w:i/>
        </w:rPr>
        <w:t>De Facto</w:t>
      </w:r>
      <w:r>
        <w:t xml:space="preserve"> Transfer Spectrum</w:t>
      </w:r>
      <w:r w:rsidRPr="003830C5">
        <w:t xml:space="preserve"> </w:t>
      </w:r>
      <w:r>
        <w:t>Leasing Arrangements Involving Advanced Wireless Services and Lower 700 MHz B Block Licenses,</w:t>
      </w:r>
      <w:r w:rsidRPr="003830C5">
        <w:t xml:space="preserve"> WT Docket No. 1</w:t>
      </w:r>
      <w:r>
        <w:t>3</w:t>
      </w:r>
      <w:r w:rsidRPr="003830C5">
        <w:t>-</w:t>
      </w:r>
      <w:r>
        <w:t>56</w:t>
      </w:r>
      <w:r w:rsidRPr="003830C5">
        <w:t>,</w:t>
      </w:r>
      <w:r>
        <w:t xml:space="preserve"> </w:t>
      </w:r>
      <w:r w:rsidRPr="003830C5">
        <w:rPr>
          <w:i/>
        </w:rPr>
        <w:t>Public Notice</w:t>
      </w:r>
      <w:r w:rsidRPr="007F2CDF">
        <w:t>,</w:t>
      </w:r>
      <w:r>
        <w:t xml:space="preserve"> DA 13-354</w:t>
      </w:r>
      <w:r w:rsidRPr="003830C5">
        <w:t xml:space="preserve"> (</w:t>
      </w:r>
      <w:r>
        <w:t>rel. March 5, 2013</w:t>
      </w:r>
      <w:r w:rsidRPr="003830C5">
        <w:t>) (“</w:t>
      </w:r>
      <w:r w:rsidRPr="003830C5">
        <w:rPr>
          <w:i/>
        </w:rPr>
        <w:t>Comment Public Notice</w:t>
      </w:r>
      <w:r w:rsidRPr="003830C5">
        <w:t>”).</w:t>
      </w:r>
    </w:p>
  </w:footnote>
  <w:footnote w:id="22">
    <w:p w:rsidR="00126C52" w:rsidRPr="007F1E6B" w:rsidRDefault="00126C52" w:rsidP="00243365">
      <w:pPr>
        <w:pStyle w:val="FootnoteText"/>
      </w:pPr>
      <w:r>
        <w:rPr>
          <w:rStyle w:val="FootnoteReference"/>
        </w:rPr>
        <w:footnoteRef/>
      </w:r>
      <w:r>
        <w:t xml:space="preserve"> </w:t>
      </w:r>
      <w:r>
        <w:rPr>
          <w:i/>
        </w:rPr>
        <w:t>See</w:t>
      </w:r>
      <w:r>
        <w:t xml:space="preserve"> Appendix A </w:t>
      </w:r>
      <w:r>
        <w:rPr>
          <w:i/>
        </w:rPr>
        <w:t>infra</w:t>
      </w:r>
      <w:r>
        <w:t xml:space="preserve">.  </w:t>
      </w:r>
      <w:r w:rsidRPr="00F4505C">
        <w:t>Maneesh Pangasa filed a number of comments after the comment period closed.</w:t>
      </w:r>
    </w:p>
  </w:footnote>
  <w:footnote w:id="23">
    <w:p w:rsidR="00126C52" w:rsidRDefault="00126C52" w:rsidP="00243365">
      <w:pPr>
        <w:pStyle w:val="FootnoteText"/>
      </w:pPr>
      <w:r>
        <w:rPr>
          <w:rStyle w:val="FootnoteReference"/>
        </w:rPr>
        <w:footnoteRef/>
      </w:r>
      <w:r>
        <w:t xml:space="preserve"> </w:t>
      </w:r>
      <w:r w:rsidRPr="001873DA">
        <w:t>47 U.S.C. § 308(b)</w:t>
      </w:r>
      <w:r>
        <w:t>.</w:t>
      </w:r>
    </w:p>
  </w:footnote>
  <w:footnote w:id="24">
    <w:p w:rsidR="00126C52" w:rsidRDefault="00126C52" w:rsidP="00243365">
      <w:pPr>
        <w:pStyle w:val="FootnoteText"/>
      </w:pPr>
      <w:r>
        <w:rPr>
          <w:rStyle w:val="FootnoteReference"/>
        </w:rPr>
        <w:footnoteRef/>
      </w:r>
      <w:r w:rsidRPr="006518CE">
        <w:rPr>
          <w:i/>
        </w:rPr>
        <w:t xml:space="preserve"> </w:t>
      </w:r>
      <w:r>
        <w:rPr>
          <w:i/>
        </w:rPr>
        <w:t>S</w:t>
      </w:r>
      <w:r w:rsidRPr="006518CE">
        <w:rPr>
          <w:i/>
        </w:rPr>
        <w:t>ee</w:t>
      </w:r>
      <w:r w:rsidRPr="001873DA">
        <w:t xml:space="preserve"> Letter from Ruth Milkman, Chief, WTB, FCC, to</w:t>
      </w:r>
      <w:r>
        <w:t xml:space="preserve"> Michael P. Goggin</w:t>
      </w:r>
      <w:r w:rsidRPr="001873DA">
        <w:t xml:space="preserve">, </w:t>
      </w:r>
      <w:r>
        <w:t>AT&amp;T, Inc.</w:t>
      </w:r>
      <w:r w:rsidRPr="001873DA">
        <w:t>, WT Docket No. 1</w:t>
      </w:r>
      <w:r>
        <w:t>3</w:t>
      </w:r>
      <w:r w:rsidRPr="001873DA">
        <w:t>-</w:t>
      </w:r>
      <w:r>
        <w:t>56</w:t>
      </w:r>
      <w:r w:rsidRPr="001873DA">
        <w:t xml:space="preserve"> </w:t>
      </w:r>
      <w:r>
        <w:t>(June</w:t>
      </w:r>
      <w:r w:rsidRPr="001873DA">
        <w:t xml:space="preserve"> 1</w:t>
      </w:r>
      <w:r>
        <w:t>3</w:t>
      </w:r>
      <w:r w:rsidRPr="001873DA">
        <w:t>, 201</w:t>
      </w:r>
      <w:r>
        <w:t>3)</w:t>
      </w:r>
      <w:r w:rsidRPr="001873DA">
        <w:t>; Letter from Ruth Milkman, Chief, WTB, FCC, to</w:t>
      </w:r>
      <w:r>
        <w:t xml:space="preserve"> Sarah Trosch</w:t>
      </w:r>
      <w:r w:rsidRPr="001873DA">
        <w:t xml:space="preserve">, </w:t>
      </w:r>
      <w:r>
        <w:t xml:space="preserve">Verizon </w:t>
      </w:r>
      <w:r w:rsidRPr="001873DA">
        <w:t>Wireless, WT Docket No. 1</w:t>
      </w:r>
      <w:r>
        <w:t>3</w:t>
      </w:r>
      <w:r w:rsidRPr="001873DA">
        <w:t>-</w:t>
      </w:r>
      <w:r>
        <w:t>56</w:t>
      </w:r>
      <w:r w:rsidRPr="001873DA">
        <w:t xml:space="preserve"> </w:t>
      </w:r>
      <w:r>
        <w:t xml:space="preserve">(June </w:t>
      </w:r>
      <w:r w:rsidRPr="001873DA">
        <w:t>1</w:t>
      </w:r>
      <w:r>
        <w:t>3</w:t>
      </w:r>
      <w:r w:rsidRPr="001873DA">
        <w:t>, 201</w:t>
      </w:r>
      <w:r>
        <w:t>3)</w:t>
      </w:r>
      <w:r w:rsidRPr="001873DA">
        <w:t>.</w:t>
      </w:r>
    </w:p>
  </w:footnote>
  <w:footnote w:id="25">
    <w:p w:rsidR="00126C52" w:rsidRDefault="00126C52" w:rsidP="00243365">
      <w:pPr>
        <w:pStyle w:val="FootnoteText"/>
      </w:pPr>
      <w:r>
        <w:rPr>
          <w:rStyle w:val="FootnoteReference"/>
        </w:rPr>
        <w:footnoteRef/>
      </w:r>
      <w:r>
        <w:t xml:space="preserve"> </w:t>
      </w:r>
      <w:r w:rsidRPr="00320CD0">
        <w:t>Applications of</w:t>
      </w:r>
      <w:r>
        <w:t xml:space="preserve"> AT&amp;T Inc.,</w:t>
      </w:r>
      <w:r w:rsidRPr="00320CD0">
        <w:t xml:space="preserve"> </w:t>
      </w:r>
      <w:r>
        <w:t xml:space="preserve">Cellco Partnership d/b/a Verizon Wireless, Grain Spectrum, LLC, and Grain Spectrum II, LLC </w:t>
      </w:r>
      <w:r w:rsidRPr="00320CD0">
        <w:t xml:space="preserve">For Consent To Assign Licenses </w:t>
      </w:r>
      <w:r>
        <w:t xml:space="preserve">and Grant Long-Term </w:t>
      </w:r>
      <w:r>
        <w:rPr>
          <w:i/>
        </w:rPr>
        <w:t>De Facto</w:t>
      </w:r>
      <w:r>
        <w:t xml:space="preserve"> Transfer Spectrum Leasing Arrangements, </w:t>
      </w:r>
      <w:r w:rsidRPr="00320CD0">
        <w:t>WT Docket No. 1</w:t>
      </w:r>
      <w:r>
        <w:t>3</w:t>
      </w:r>
      <w:r w:rsidRPr="00320CD0">
        <w:t>-</w:t>
      </w:r>
      <w:r>
        <w:t>56</w:t>
      </w:r>
      <w:r w:rsidRPr="00320CD0">
        <w:t xml:space="preserve">, </w:t>
      </w:r>
      <w:r w:rsidRPr="00857D4D">
        <w:rPr>
          <w:i/>
        </w:rPr>
        <w:t>Protective Order</w:t>
      </w:r>
      <w:r w:rsidRPr="00320CD0">
        <w:t xml:space="preserve">, </w:t>
      </w:r>
      <w:r>
        <w:t xml:space="preserve">28 FCC Rcd 8417 </w:t>
      </w:r>
      <w:r w:rsidRPr="00320CD0">
        <w:t>(</w:t>
      </w:r>
      <w:r>
        <w:t xml:space="preserve">WTB </w:t>
      </w:r>
      <w:r w:rsidRPr="00320CD0">
        <w:t>201</w:t>
      </w:r>
      <w:r>
        <w:t>3</w:t>
      </w:r>
      <w:r w:rsidRPr="00320CD0">
        <w:t xml:space="preserve">); Applications of </w:t>
      </w:r>
      <w:r>
        <w:t>AT&amp;T Inc.,</w:t>
      </w:r>
      <w:r w:rsidRPr="00320CD0">
        <w:t xml:space="preserve"> </w:t>
      </w:r>
      <w:r>
        <w:t xml:space="preserve">Cellco Partnership d/b/a Verizon Wireless, Grain Spectrum, LLC, and Grain Spectrum II, LLC </w:t>
      </w:r>
      <w:r w:rsidRPr="00320CD0">
        <w:t xml:space="preserve">For Consent To Assign Licenses </w:t>
      </w:r>
      <w:r>
        <w:t xml:space="preserve">and Grant Long-Term </w:t>
      </w:r>
      <w:r>
        <w:rPr>
          <w:i/>
        </w:rPr>
        <w:t>De Facto</w:t>
      </w:r>
      <w:r>
        <w:t xml:space="preserve"> Transfer Spectrum Leasing Arrangements, </w:t>
      </w:r>
      <w:r w:rsidRPr="00320CD0">
        <w:t>WT Docket No. 1</w:t>
      </w:r>
      <w:r>
        <w:t>3</w:t>
      </w:r>
      <w:r w:rsidRPr="00320CD0">
        <w:t>-</w:t>
      </w:r>
      <w:r>
        <w:t>56</w:t>
      </w:r>
      <w:r w:rsidRPr="00320CD0">
        <w:t xml:space="preserve">, </w:t>
      </w:r>
      <w:r w:rsidRPr="00857D4D">
        <w:rPr>
          <w:i/>
        </w:rPr>
        <w:t>Second Protective Order</w:t>
      </w:r>
      <w:r w:rsidRPr="00320CD0">
        <w:t xml:space="preserve">, </w:t>
      </w:r>
      <w:r>
        <w:t xml:space="preserve">28 FCC Rcd 8433 </w:t>
      </w:r>
      <w:r w:rsidRPr="00320CD0">
        <w:t>(</w:t>
      </w:r>
      <w:r>
        <w:t xml:space="preserve">WTB </w:t>
      </w:r>
      <w:r w:rsidRPr="00320CD0">
        <w:t>201</w:t>
      </w:r>
      <w:r>
        <w:t>3</w:t>
      </w:r>
      <w:r w:rsidRPr="00320CD0">
        <w:t>)</w:t>
      </w:r>
      <w:r>
        <w:t xml:space="preserve">; </w:t>
      </w:r>
      <w:r w:rsidRPr="002235D2">
        <w:t xml:space="preserve">Applications of AT&amp;T Inc., Cellco Partnership d/b/a/ Verizon Wireless, Grain Spectrum, LLC, and Grain Spectrum II, LLC for Consent To Assign Licenses and Grant Long-Term </w:t>
      </w:r>
      <w:r w:rsidRPr="002235D2">
        <w:rPr>
          <w:i/>
        </w:rPr>
        <w:t>De Facto</w:t>
      </w:r>
      <w:r w:rsidRPr="002235D2">
        <w:t xml:space="preserve"> Transfer Spectrum Leasing Arrangements, WT Docket No. 13-56, Supplement to Second Protective Order, </w:t>
      </w:r>
      <w:r w:rsidRPr="002235D2">
        <w:rPr>
          <w:snapToGrid w:val="0"/>
        </w:rPr>
        <w:t> </w:t>
      </w:r>
      <w:r w:rsidRPr="002235D2">
        <w:t xml:space="preserve">WT Docket No. 13-56, Appendix A Protective Order, </w:t>
      </w:r>
      <w:r>
        <w:t>28 FCC Rcd 9041</w:t>
      </w:r>
      <w:r w:rsidRPr="002235D2">
        <w:t xml:space="preserve"> (</w:t>
      </w:r>
      <w:r>
        <w:t xml:space="preserve">WTB </w:t>
      </w:r>
      <w:r w:rsidRPr="002235D2">
        <w:t>2013)</w:t>
      </w:r>
      <w:r w:rsidRPr="00320CD0">
        <w:t xml:space="preserve"> (together, the “</w:t>
      </w:r>
      <w:r w:rsidRPr="00723C80">
        <w:rPr>
          <w:i/>
        </w:rPr>
        <w:t>Protective Orders</w:t>
      </w:r>
      <w:r w:rsidRPr="00320CD0">
        <w:t>”).</w:t>
      </w:r>
      <w:r>
        <w:t xml:space="preserve">  </w:t>
      </w:r>
      <w:r w:rsidRPr="00527546">
        <w:t xml:space="preserve">The unredacted version of this </w:t>
      </w:r>
      <w:r>
        <w:t xml:space="preserve">Memorandum Opinion and </w:t>
      </w:r>
      <w:r w:rsidRPr="00527546">
        <w:t>Order will be available upon request to qualified persons who have executed the signed acknowledgements req</w:t>
      </w:r>
      <w:r>
        <w:t xml:space="preserve">uired by the </w:t>
      </w:r>
      <w:r w:rsidRPr="00723C80">
        <w:rPr>
          <w:i/>
        </w:rPr>
        <w:t>Protective Orders</w:t>
      </w:r>
      <w:r>
        <w:t xml:space="preserve">. </w:t>
      </w:r>
      <w:r w:rsidRPr="00527546">
        <w:t xml:space="preserve"> Qualified persons who have not yet signed the required acknowledgments may do so in order to obtain the confidential version of this </w:t>
      </w:r>
      <w:r>
        <w:t xml:space="preserve">Memorandum Opinion and </w:t>
      </w:r>
      <w:r w:rsidRPr="00527546">
        <w:t>Order.</w:t>
      </w:r>
    </w:p>
  </w:footnote>
  <w:footnote w:id="26">
    <w:p w:rsidR="00126C52" w:rsidRDefault="00126C52" w:rsidP="00243365">
      <w:pPr>
        <w:pStyle w:val="FootnoteText"/>
      </w:pPr>
      <w:r>
        <w:rPr>
          <w:rStyle w:val="FootnoteReference"/>
        </w:rPr>
        <w:footnoteRef/>
      </w:r>
      <w:r>
        <w:t xml:space="preserve"> </w:t>
      </w:r>
      <w:r w:rsidRPr="00724950">
        <w:t>Applications of</w:t>
      </w:r>
      <w:r w:rsidRPr="00B72531">
        <w:t xml:space="preserve"> </w:t>
      </w:r>
      <w:r>
        <w:t>AT&amp;T Inc.,</w:t>
      </w:r>
      <w:r w:rsidRPr="00320CD0">
        <w:t xml:space="preserve"> </w:t>
      </w:r>
      <w:r>
        <w:t xml:space="preserve">Cellco Partnership d/b/a Verizon Wireless, Grain Spectrum, LLC, and Grain Spectrum II, LLC </w:t>
      </w:r>
      <w:r w:rsidRPr="00320CD0">
        <w:t xml:space="preserve">For Consent To Assign Licenses </w:t>
      </w:r>
      <w:r>
        <w:t xml:space="preserve">and Grant Long-Term </w:t>
      </w:r>
      <w:r>
        <w:rPr>
          <w:i/>
        </w:rPr>
        <w:t>De Facto</w:t>
      </w:r>
      <w:r>
        <w:t xml:space="preserve"> Transfer Spectrum Leasing Arrangements,</w:t>
      </w:r>
      <w:r w:rsidRPr="00724950">
        <w:t xml:space="preserve"> Numbering Resource Utilization and Forecast Reports and Local Number Portability Reports to be Placed into the Record, Subject to Protective Order, WT Docket No. 1</w:t>
      </w:r>
      <w:r>
        <w:t>3-56</w:t>
      </w:r>
      <w:r w:rsidRPr="00724950">
        <w:t xml:space="preserve">, </w:t>
      </w:r>
      <w:r w:rsidRPr="00857D4D">
        <w:rPr>
          <w:i/>
        </w:rPr>
        <w:t>Public Notice</w:t>
      </w:r>
      <w:r w:rsidRPr="00724950">
        <w:t xml:space="preserve">, </w:t>
      </w:r>
      <w:r>
        <w:t>28 FCC Rcd 8430</w:t>
      </w:r>
      <w:r w:rsidRPr="00724950">
        <w:t xml:space="preserve"> (</w:t>
      </w:r>
      <w:r>
        <w:t>WTB</w:t>
      </w:r>
      <w:r w:rsidRPr="00724950">
        <w:t xml:space="preserve"> 201</w:t>
      </w:r>
      <w:r>
        <w:t>3</w:t>
      </w:r>
      <w:r w:rsidRPr="00724950">
        <w:t>); Applications of</w:t>
      </w:r>
      <w:r w:rsidRPr="00B72531">
        <w:t xml:space="preserve"> </w:t>
      </w:r>
      <w:r>
        <w:t>AT&amp;T Inc.,</w:t>
      </w:r>
      <w:r w:rsidRPr="00320CD0">
        <w:t xml:space="preserve"> </w:t>
      </w:r>
      <w:r>
        <w:t xml:space="preserve">Cellco Partnership d/b/a Verizon Wireless, Grain Spectrum, LLC, and Grain Spectrum II, LLC </w:t>
      </w:r>
      <w:r w:rsidRPr="00320CD0">
        <w:t xml:space="preserve">For Consent To Assign Licenses </w:t>
      </w:r>
      <w:r>
        <w:t xml:space="preserve">and Grant Long-Term </w:t>
      </w:r>
      <w:r>
        <w:rPr>
          <w:i/>
        </w:rPr>
        <w:t>De Facto</w:t>
      </w:r>
      <w:r>
        <w:t xml:space="preserve"> Transfer Spectrum Leasing Arrangements</w:t>
      </w:r>
      <w:r w:rsidRPr="00724950">
        <w:t>, WT Docket No. 1</w:t>
      </w:r>
      <w:r>
        <w:t>3</w:t>
      </w:r>
      <w:r w:rsidRPr="00724950">
        <w:t>-</w:t>
      </w:r>
      <w:r>
        <w:t>56</w:t>
      </w:r>
      <w:r w:rsidRPr="00724950">
        <w:t xml:space="preserve">, </w:t>
      </w:r>
      <w:r w:rsidRPr="00857D4D">
        <w:rPr>
          <w:i/>
        </w:rPr>
        <w:t>NRUF/LNP Protective Order</w:t>
      </w:r>
      <w:r w:rsidRPr="00724950">
        <w:t xml:space="preserve">, </w:t>
      </w:r>
      <w:r>
        <w:t>28 FCC Rcd 8424</w:t>
      </w:r>
      <w:r w:rsidRPr="00724950">
        <w:t xml:space="preserve"> (</w:t>
      </w:r>
      <w:r>
        <w:t>WTB</w:t>
      </w:r>
      <w:r w:rsidRPr="00724950">
        <w:t xml:space="preserve"> 201</w:t>
      </w:r>
      <w:r>
        <w:t>3</w:t>
      </w:r>
      <w:r w:rsidRPr="00724950">
        <w:t>).</w:t>
      </w:r>
    </w:p>
  </w:footnote>
  <w:footnote w:id="27">
    <w:p w:rsidR="00126C52" w:rsidRDefault="00126C52" w:rsidP="00243365">
      <w:pPr>
        <w:pStyle w:val="FootnoteText"/>
      </w:pPr>
      <w:r>
        <w:rPr>
          <w:rStyle w:val="FootnoteReference"/>
        </w:rPr>
        <w:footnoteRef/>
      </w:r>
      <w:r>
        <w:t xml:space="preserve"> </w:t>
      </w:r>
      <w:r>
        <w:rPr>
          <w:i/>
        </w:rPr>
        <w:t>See</w:t>
      </w:r>
      <w:r>
        <w:t xml:space="preserve"> WT Docket No. 13-54, </w:t>
      </w:r>
      <w:r w:rsidRPr="00036A83">
        <w:t xml:space="preserve">Applications of Allied Wireless Communications Corporation, AWCC Acquisition Company LLC, and AT&amp;T Inc. for Consent </w:t>
      </w:r>
      <w:r>
        <w:t>T</w:t>
      </w:r>
      <w:r w:rsidRPr="00036A83">
        <w:t xml:space="preserve">o Transfer Control of and Assign Licenses, and Authorizations </w:t>
      </w:r>
      <w:r>
        <w:t>T</w:t>
      </w:r>
      <w:r w:rsidRPr="00036A83">
        <w:t>o Lease Spectrum, ULS File Nos. 0005632405, 0005631527, 0005631556,</w:t>
      </w:r>
      <w:r>
        <w:t xml:space="preserve"> </w:t>
      </w:r>
      <w:r w:rsidRPr="00036A83">
        <w:t>0005631562, 0005631563, 0005631565, 0005631586, 0005632708, 0005632710, 0005632713, and 0005632716</w:t>
      </w:r>
      <w:r>
        <w:t xml:space="preserve"> (filed Feb. 5, 2013; amended Apr. 3, 2013).</w:t>
      </w:r>
    </w:p>
  </w:footnote>
  <w:footnote w:id="28">
    <w:p w:rsidR="00126C52" w:rsidRDefault="00126C52" w:rsidP="00243365">
      <w:pPr>
        <w:pStyle w:val="FootnoteText"/>
      </w:pPr>
      <w:r>
        <w:rPr>
          <w:rStyle w:val="FootnoteReference"/>
        </w:rPr>
        <w:footnoteRef/>
      </w:r>
      <w:r>
        <w:t xml:space="preserve"> Maneesh Pangasa Statement for the Record (filed May 10, 2013) (“Pangasa Statement”).</w:t>
      </w:r>
    </w:p>
  </w:footnote>
  <w:footnote w:id="29">
    <w:p w:rsidR="00126C52" w:rsidRDefault="00126C52" w:rsidP="00243365">
      <w:pPr>
        <w:pStyle w:val="FootnoteText"/>
      </w:pPr>
      <w:r>
        <w:rPr>
          <w:rStyle w:val="FootnoteReference"/>
        </w:rPr>
        <w:footnoteRef/>
      </w:r>
      <w:r>
        <w:t xml:space="preserve"> Other apparent defects include failure to provide the filer’s name, street address, telephone number, or signature.  </w:t>
      </w:r>
    </w:p>
  </w:footnote>
  <w:footnote w:id="30">
    <w:p w:rsidR="00126C52" w:rsidRDefault="00126C52" w:rsidP="00200600">
      <w:pPr>
        <w:pStyle w:val="FootnoteText"/>
      </w:pPr>
      <w:r>
        <w:rPr>
          <w:rStyle w:val="FootnoteReference"/>
        </w:rPr>
        <w:footnoteRef/>
      </w:r>
      <w:r>
        <w:t xml:space="preserve"> 47 U.S.C. § 154(j); </w:t>
      </w:r>
      <w:r>
        <w:rPr>
          <w:i/>
          <w:iCs/>
        </w:rPr>
        <w:t>see FCC v. Schreiber,</w:t>
      </w:r>
      <w:r>
        <w:t xml:space="preserve"> 381 U.S. 279 (1965).</w:t>
      </w:r>
    </w:p>
  </w:footnote>
  <w:footnote w:id="31">
    <w:p w:rsidR="00126C52" w:rsidRDefault="00126C52" w:rsidP="00243365">
      <w:pPr>
        <w:pStyle w:val="FootnoteText"/>
      </w:pPr>
      <w:r>
        <w:rPr>
          <w:rStyle w:val="FootnoteReference"/>
        </w:rPr>
        <w:footnoteRef/>
      </w:r>
      <w:r>
        <w:t xml:space="preserve"> </w:t>
      </w:r>
      <w:r>
        <w:rPr>
          <w:i/>
        </w:rPr>
        <w:t xml:space="preserve">See </w:t>
      </w:r>
      <w:r>
        <w:t xml:space="preserve">47 U.S.C. § 310(d). </w:t>
      </w:r>
    </w:p>
  </w:footnote>
  <w:footnote w:id="32">
    <w:p w:rsidR="00126C52" w:rsidRPr="00857D4D" w:rsidRDefault="00126C52" w:rsidP="00243365">
      <w:pPr>
        <w:pStyle w:val="FootnoteText"/>
        <w:rPr>
          <w:b/>
        </w:rPr>
      </w:pPr>
      <w:r>
        <w:rPr>
          <w:rStyle w:val="FootnoteReference"/>
        </w:rPr>
        <w:footnoteRef/>
      </w:r>
      <w:r>
        <w:t xml:space="preserve"> Section 310(d) requires that we consider the applications as if each of the proposed assignees were applying for the licenses directly under section 308 of the Act, 47 U.S.C. § 308.  </w:t>
      </w:r>
      <w:r>
        <w:rPr>
          <w:i/>
        </w:rPr>
        <w:t>See, e.g.</w:t>
      </w:r>
      <w:r>
        <w:t xml:space="preserve">, </w:t>
      </w:r>
      <w:r w:rsidRPr="00264B8A">
        <w:rPr>
          <w:i/>
          <w:color w:val="252525"/>
        </w:rPr>
        <w:t>Verizon Wireless-SpectrumCo Order</w:t>
      </w:r>
      <w:r>
        <w:rPr>
          <w:color w:val="252525"/>
        </w:rPr>
        <w:t>, 27 FCC Rcd at 10710 ¶ 28.</w:t>
      </w:r>
      <w:r>
        <w:t xml:space="preserve">  </w:t>
      </w:r>
    </w:p>
  </w:footnote>
  <w:footnote w:id="33">
    <w:p w:rsidR="00126C52" w:rsidRDefault="00126C52" w:rsidP="00243365">
      <w:pPr>
        <w:pStyle w:val="FootnoteText"/>
      </w:pPr>
      <w:r>
        <w:rPr>
          <w:rStyle w:val="FootnoteReference"/>
        </w:rPr>
        <w:footnoteRef/>
      </w:r>
      <w:r>
        <w:rPr>
          <w:i/>
        </w:rPr>
        <w:t xml:space="preserve"> See, e.g</w:t>
      </w:r>
      <w:r>
        <w:t xml:space="preserve">., Applications of GCI Communication Corp., ACS Wireless License Sub, Inc., ACS of Anchorage License Sub, Inc., and Unicom, Inc. for Consent To Assign Licenses to The Alaska Wireless Network, WT Docket No. 12-187, </w:t>
      </w:r>
      <w:r>
        <w:rPr>
          <w:i/>
        </w:rPr>
        <w:t xml:space="preserve">Memorandum Opinion and Order and Declaratory </w:t>
      </w:r>
      <w:r w:rsidRPr="007A77C8">
        <w:rPr>
          <w:i/>
        </w:rPr>
        <w:t>Ruling</w:t>
      </w:r>
      <w:r>
        <w:t>, 28 FCC Rcd 10433, 10442 ¶ 23 (2013) (“</w:t>
      </w:r>
      <w:r>
        <w:rPr>
          <w:i/>
        </w:rPr>
        <w:t xml:space="preserve">Alaska Wireless </w:t>
      </w:r>
      <w:r w:rsidRPr="007A77C8">
        <w:rPr>
          <w:i/>
        </w:rPr>
        <w:t>Order</w:t>
      </w:r>
      <w:r>
        <w:t xml:space="preserve">”); Applications of SOFTBANK CORP., Starburst II, Inc., Sprint Nextel Corporation, and Clearwire Corporation, IB Docket No. 12-343, </w:t>
      </w:r>
      <w:r>
        <w:rPr>
          <w:i/>
        </w:rPr>
        <w:t xml:space="preserve">Memorandum Opinion and Order, Declaratory Ruling, and Order on </w:t>
      </w:r>
      <w:r w:rsidRPr="007A77C8">
        <w:rPr>
          <w:i/>
        </w:rPr>
        <w:t>Reconsideration</w:t>
      </w:r>
      <w:r>
        <w:t>, 28 FCC Rcd 9642, 9650 ¶ 23 (2013) (“</w:t>
      </w:r>
      <w:r w:rsidRPr="007A77C8">
        <w:rPr>
          <w:i/>
        </w:rPr>
        <w:t>Soft</w:t>
      </w:r>
      <w:r>
        <w:rPr>
          <w:i/>
        </w:rPr>
        <w:t>B</w:t>
      </w:r>
      <w:r w:rsidRPr="007A77C8">
        <w:rPr>
          <w:i/>
        </w:rPr>
        <w:t>ank-Sprint Order</w:t>
      </w:r>
      <w:r>
        <w:t xml:space="preserve">”); Applications of </w:t>
      </w:r>
      <w:r w:rsidRPr="003B7AB4">
        <w:t xml:space="preserve">AT&amp;T Mobility Spectrum LLC, New Cingular Wireless PCS, LLC, Comcast Corporation, Horizon Wi-Com, LLC, NextWave Wireless, Inc., and San Diego </w:t>
      </w:r>
      <w:r>
        <w:t>Gas &amp; Electric Company F</w:t>
      </w:r>
      <w:r w:rsidRPr="003B7AB4">
        <w:t>or Consent to Assign and Transfer Licenses</w:t>
      </w:r>
      <w:r>
        <w:t xml:space="preserve">, WT Docket No. 12-240, </w:t>
      </w:r>
      <w:r w:rsidRPr="003B7AB4">
        <w:rPr>
          <w:i/>
        </w:rPr>
        <w:t>Memorandum Opinion and Order</w:t>
      </w:r>
      <w:r>
        <w:t xml:space="preserve">, 27 FCC Rcd 16459, 16463-64 </w:t>
      </w:r>
      <w:r w:rsidRPr="0055216B">
        <w:t>¶</w:t>
      </w:r>
      <w:r w:rsidRPr="00F90C52">
        <w:t xml:space="preserve"> </w:t>
      </w:r>
      <w:r>
        <w:t>10 (2012) (“</w:t>
      </w:r>
      <w:r w:rsidRPr="00AB61AA">
        <w:rPr>
          <w:i/>
        </w:rPr>
        <w:t>AT&amp;T-WCS Order</w:t>
      </w:r>
      <w:r>
        <w:t xml:space="preserve">”); </w:t>
      </w:r>
      <w:r w:rsidRPr="00264B8A">
        <w:rPr>
          <w:i/>
          <w:color w:val="252525"/>
        </w:rPr>
        <w:t>Verizon Wireless-SpectrumCo Order</w:t>
      </w:r>
      <w:r>
        <w:t>, 27 FCC Rcd at 10710 ¶ 28</w:t>
      </w:r>
      <w:r>
        <w:rPr>
          <w:i/>
        </w:rPr>
        <w:t>.</w:t>
      </w:r>
    </w:p>
  </w:footnote>
  <w:footnote w:id="34">
    <w:p w:rsidR="00126C52" w:rsidRDefault="00126C52" w:rsidP="00243365">
      <w:pPr>
        <w:pStyle w:val="FootnoteText"/>
      </w:pPr>
      <w:r>
        <w:rPr>
          <w:rStyle w:val="FootnoteReference"/>
        </w:rPr>
        <w:footnoteRef/>
      </w:r>
      <w:r>
        <w:rPr>
          <w:i/>
        </w:rPr>
        <w:t xml:space="preserve"> See, e.g.</w:t>
      </w:r>
      <w:r>
        <w:t>,</w:t>
      </w:r>
      <w:r>
        <w:rPr>
          <w:i/>
        </w:rPr>
        <w:t xml:space="preserve"> Alaska Wireless </w:t>
      </w:r>
      <w:r w:rsidRPr="006E2C3E">
        <w:rPr>
          <w:i/>
        </w:rPr>
        <w:t>Order</w:t>
      </w:r>
      <w:r>
        <w:t xml:space="preserve">, 28 FCC Rcd at 10442 ¶ 23; </w:t>
      </w:r>
      <w:r>
        <w:rPr>
          <w:i/>
        </w:rPr>
        <w:t xml:space="preserve">SoftBank-Sprint </w:t>
      </w:r>
      <w:r w:rsidRPr="006E2C3E">
        <w:rPr>
          <w:i/>
        </w:rPr>
        <w:t>Order</w:t>
      </w:r>
      <w:r>
        <w:t xml:space="preserve">, 28 FCC Rcd at 9650-51 ¶ 23; </w:t>
      </w:r>
      <w:r w:rsidRPr="00AB61AA">
        <w:rPr>
          <w:i/>
        </w:rPr>
        <w:t>AT&amp;T-WCS Order</w:t>
      </w:r>
      <w:r>
        <w:t xml:space="preserve">, 27 FCC Rcd at 16463-64 </w:t>
      </w:r>
      <w:r w:rsidRPr="0055216B">
        <w:t>¶</w:t>
      </w:r>
      <w:r w:rsidRPr="00F90C52">
        <w:t xml:space="preserve"> </w:t>
      </w:r>
      <w:r>
        <w:t>10;</w:t>
      </w:r>
      <w:r w:rsidRPr="00264B8A">
        <w:rPr>
          <w:i/>
          <w:color w:val="252525"/>
        </w:rPr>
        <w:t xml:space="preserve"> Verizon Wireless-SpectrumCo Order</w:t>
      </w:r>
      <w:r>
        <w:t>, 27 FCC Rcd at 10710 ¶ 28.</w:t>
      </w:r>
    </w:p>
  </w:footnote>
  <w:footnote w:id="35">
    <w:p w:rsidR="00126C52" w:rsidRDefault="00126C52" w:rsidP="00243365">
      <w:pPr>
        <w:pStyle w:val="FootnoteText"/>
      </w:pPr>
      <w:r>
        <w:rPr>
          <w:rStyle w:val="FootnoteReference"/>
        </w:rPr>
        <w:footnoteRef/>
      </w:r>
      <w:r>
        <w:rPr>
          <w:i/>
        </w:rPr>
        <w:t xml:space="preserve"> See, e.g.</w:t>
      </w:r>
      <w:r>
        <w:t>,</w:t>
      </w:r>
      <w:r>
        <w:rPr>
          <w:i/>
        </w:rPr>
        <w:t xml:space="preserve"> Alaska Wireless </w:t>
      </w:r>
      <w:r w:rsidRPr="006E2C3E">
        <w:rPr>
          <w:i/>
        </w:rPr>
        <w:t>Order</w:t>
      </w:r>
      <w:r>
        <w:t xml:space="preserve">, 28 FCC Rcd at 10442 ¶ 23; </w:t>
      </w:r>
      <w:r>
        <w:rPr>
          <w:i/>
        </w:rPr>
        <w:t xml:space="preserve">SoftBank-Sprint </w:t>
      </w:r>
      <w:r w:rsidRPr="006E2C3E">
        <w:rPr>
          <w:i/>
        </w:rPr>
        <w:t>Order</w:t>
      </w:r>
      <w:r>
        <w:t xml:space="preserve">, 28 FCC Rcd at 9651 ¶ 23; </w:t>
      </w:r>
      <w:r w:rsidRPr="00AB61AA">
        <w:rPr>
          <w:i/>
        </w:rPr>
        <w:t>AT&amp;T-WCS Order</w:t>
      </w:r>
      <w:r>
        <w:t xml:space="preserve">, 27 FCC Rcd at 16463-64 </w:t>
      </w:r>
      <w:r w:rsidRPr="0055216B">
        <w:t>¶</w:t>
      </w:r>
      <w:r w:rsidRPr="00F90C52">
        <w:t xml:space="preserve"> </w:t>
      </w:r>
      <w:r>
        <w:t>10;</w:t>
      </w:r>
      <w:r w:rsidRPr="00264B8A">
        <w:rPr>
          <w:i/>
          <w:color w:val="252525"/>
        </w:rPr>
        <w:t xml:space="preserve"> Verizon Wireless-SpectrumCo Order</w:t>
      </w:r>
      <w:r>
        <w:t>, 27 FCC Rcd at 10710 ¶ 28.</w:t>
      </w:r>
    </w:p>
  </w:footnote>
  <w:footnote w:id="36">
    <w:p w:rsidR="00126C52" w:rsidRDefault="00126C52" w:rsidP="00243365">
      <w:pPr>
        <w:pStyle w:val="FootnoteText"/>
      </w:pPr>
      <w:r>
        <w:rPr>
          <w:rStyle w:val="FootnoteReference"/>
        </w:rPr>
        <w:footnoteRef/>
      </w:r>
      <w:r>
        <w:rPr>
          <w:i/>
        </w:rPr>
        <w:t xml:space="preserve"> See, e.g.</w:t>
      </w:r>
      <w:r>
        <w:t>,</w:t>
      </w:r>
      <w:r>
        <w:rPr>
          <w:i/>
        </w:rPr>
        <w:t xml:space="preserve"> Alaska Wireless </w:t>
      </w:r>
      <w:r w:rsidRPr="006E2C3E">
        <w:rPr>
          <w:i/>
        </w:rPr>
        <w:t>Order</w:t>
      </w:r>
      <w:r>
        <w:t xml:space="preserve">, 28 FCC Rcd at 10442 ¶ 23; </w:t>
      </w:r>
      <w:r>
        <w:rPr>
          <w:i/>
        </w:rPr>
        <w:t xml:space="preserve">SoftBank-Sprint </w:t>
      </w:r>
      <w:r w:rsidRPr="006E2C3E">
        <w:rPr>
          <w:i/>
        </w:rPr>
        <w:t>Order</w:t>
      </w:r>
      <w:r>
        <w:t xml:space="preserve">, 28 FCC Rcd at 9651 ¶ 23; </w:t>
      </w:r>
      <w:r w:rsidRPr="00AB61AA">
        <w:rPr>
          <w:i/>
        </w:rPr>
        <w:t>AT&amp;T-WCS Order</w:t>
      </w:r>
      <w:r>
        <w:t xml:space="preserve">, 27 FCC Rcd at 16463-64 </w:t>
      </w:r>
      <w:r w:rsidRPr="0055216B">
        <w:t>¶</w:t>
      </w:r>
      <w:r w:rsidRPr="00F90C52">
        <w:t xml:space="preserve"> </w:t>
      </w:r>
      <w:r>
        <w:t>10;</w:t>
      </w:r>
      <w:r w:rsidRPr="00264B8A">
        <w:rPr>
          <w:i/>
          <w:color w:val="252525"/>
        </w:rPr>
        <w:t xml:space="preserve"> Verizon Wireless-SpectrumCo Order</w:t>
      </w:r>
      <w:r>
        <w:t>, 27 FCC Rcd at 10710 ¶ 28.</w:t>
      </w:r>
    </w:p>
  </w:footnote>
  <w:footnote w:id="37">
    <w:p w:rsidR="00126C52" w:rsidRPr="00D83047" w:rsidRDefault="00126C52" w:rsidP="00243365">
      <w:pPr>
        <w:pStyle w:val="FootnoteText"/>
      </w:pPr>
      <w:r>
        <w:rPr>
          <w:rStyle w:val="FootnoteReference"/>
        </w:rPr>
        <w:footnoteRef/>
      </w:r>
      <w:r>
        <w:t xml:space="preserve"> </w:t>
      </w:r>
      <w:r>
        <w:rPr>
          <w:i/>
        </w:rPr>
        <w:t xml:space="preserve">See, e.g., </w:t>
      </w:r>
      <w:r w:rsidRPr="00B57042">
        <w:t xml:space="preserve">Application of AT&amp;T Inc. and Qualcomm Incorporated For Consent </w:t>
      </w:r>
      <w:r>
        <w:t>T</w:t>
      </w:r>
      <w:r w:rsidRPr="00B57042">
        <w:t>o Assign Licenses and</w:t>
      </w:r>
      <w:r>
        <w:rPr>
          <w:i/>
        </w:rPr>
        <w:t xml:space="preserve"> </w:t>
      </w:r>
      <w:r w:rsidRPr="00B57042">
        <w:t>Authorizations</w:t>
      </w:r>
      <w:r>
        <w:t>, WT Docket No. 11-18</w:t>
      </w:r>
      <w:r>
        <w:rPr>
          <w:i/>
        </w:rPr>
        <w:t xml:space="preserve">, </w:t>
      </w:r>
      <w:r w:rsidRPr="003F7FB3">
        <w:rPr>
          <w:i/>
        </w:rPr>
        <w:t>Order</w:t>
      </w:r>
      <w:r>
        <w:t>, 26 FCC Rcd 17589, 17603 ¶ 23, n.96 (2011) (</w:t>
      </w:r>
      <w:r>
        <w:rPr>
          <w:i/>
        </w:rPr>
        <w:t>“AT&amp;T-Qualcomm Order</w:t>
      </w:r>
      <w:r w:rsidRPr="00611145">
        <w:t>”)</w:t>
      </w:r>
      <w:r>
        <w:t xml:space="preserve">.  </w:t>
      </w:r>
      <w:r>
        <w:rPr>
          <w:i/>
        </w:rPr>
        <w:t xml:space="preserve">See also Alaska Wireless </w:t>
      </w:r>
      <w:r w:rsidRPr="00611145">
        <w:rPr>
          <w:i/>
        </w:rPr>
        <w:t>Order</w:t>
      </w:r>
      <w:r>
        <w:rPr>
          <w:i/>
        </w:rPr>
        <w:t xml:space="preserve">, </w:t>
      </w:r>
      <w:r>
        <w:t xml:space="preserve">28 FCC Rcd at 10442 ¶ 24; </w:t>
      </w:r>
      <w:r>
        <w:rPr>
          <w:i/>
        </w:rPr>
        <w:t>SoftBank-Sprint Order</w:t>
      </w:r>
      <w:r>
        <w:t>, 28 FCC Rcd at 9651 ¶ 24;</w:t>
      </w:r>
      <w:r w:rsidRPr="00611145">
        <w:t xml:space="preserve"> </w:t>
      </w:r>
      <w:r>
        <w:t>Applications of AT&amp;T Inc. and Centennial Communications Corp. For Consent to Transfer Control of Licenses, Authorizations, and Spectrum Leasing Arrangements,</w:t>
      </w:r>
      <w:r>
        <w:rPr>
          <w:i/>
        </w:rPr>
        <w:t xml:space="preserve"> </w:t>
      </w:r>
      <w:r>
        <w:t xml:space="preserve">WT Docket No. 08-246, </w:t>
      </w:r>
      <w:r>
        <w:rPr>
          <w:i/>
        </w:rPr>
        <w:t xml:space="preserve">Memorandum Opinion and Order, </w:t>
      </w:r>
      <w:r>
        <w:t>24 FCC Rcd 13915, 13928 ¶ 28 (2009) (“</w:t>
      </w:r>
      <w:r>
        <w:rPr>
          <w:i/>
        </w:rPr>
        <w:t>AT&amp;T-Centennial Order</w:t>
      </w:r>
      <w:r>
        <w:t xml:space="preserve">”). </w:t>
      </w:r>
    </w:p>
  </w:footnote>
  <w:footnote w:id="38">
    <w:p w:rsidR="00126C52" w:rsidRDefault="00126C52" w:rsidP="00243365">
      <w:pPr>
        <w:pStyle w:val="FootnoteText"/>
      </w:pPr>
      <w:r>
        <w:rPr>
          <w:rStyle w:val="FootnoteReference"/>
        </w:rPr>
        <w:footnoteRef/>
      </w:r>
      <w:r>
        <w:t xml:space="preserve"> </w:t>
      </w:r>
      <w:r>
        <w:rPr>
          <w:i/>
        </w:rPr>
        <w:t xml:space="preserve">See, e.g., Alaska Wireless </w:t>
      </w:r>
      <w:r w:rsidRPr="00611145">
        <w:rPr>
          <w:i/>
        </w:rPr>
        <w:t>Order</w:t>
      </w:r>
      <w:r>
        <w:rPr>
          <w:i/>
        </w:rPr>
        <w:t xml:space="preserve">, </w:t>
      </w:r>
      <w:r>
        <w:t xml:space="preserve">28 FCC Rcd at 10442 ¶ 24; </w:t>
      </w:r>
      <w:r>
        <w:rPr>
          <w:i/>
        </w:rPr>
        <w:t>SoftBank-Sprint Order</w:t>
      </w:r>
      <w:r>
        <w:t xml:space="preserve">, 28 FCC Rcd at 9651 ¶ 24; </w:t>
      </w:r>
      <w:r w:rsidRPr="00B864D4">
        <w:rPr>
          <w:i/>
        </w:rPr>
        <w:t>AT&amp;T-WCS Order</w:t>
      </w:r>
      <w:r>
        <w:t xml:space="preserve">, 27 FCC Rcd at 16464 ¶ 11; </w:t>
      </w:r>
      <w:r w:rsidRPr="00264B8A">
        <w:rPr>
          <w:i/>
          <w:color w:val="252525"/>
        </w:rPr>
        <w:t>Verizon Wireless-SpectrumCo Order</w:t>
      </w:r>
      <w:r w:rsidRPr="00526817">
        <w:rPr>
          <w:spacing w:val="-2"/>
        </w:rPr>
        <w:t xml:space="preserve">, </w:t>
      </w:r>
      <w:r>
        <w:rPr>
          <w:color w:val="252525"/>
        </w:rPr>
        <w:t xml:space="preserve">27 FCC Rcd at </w:t>
      </w:r>
      <w:r w:rsidRPr="006746F9">
        <w:rPr>
          <w:color w:val="252525"/>
        </w:rPr>
        <w:t>10752 ¶ 143</w:t>
      </w:r>
      <w:r>
        <w:t>.</w:t>
      </w:r>
    </w:p>
  </w:footnote>
  <w:footnote w:id="39">
    <w:p w:rsidR="00126C52" w:rsidRDefault="00126C52" w:rsidP="00243365">
      <w:pPr>
        <w:pStyle w:val="FootnoteText"/>
      </w:pPr>
      <w:r>
        <w:rPr>
          <w:rStyle w:val="FootnoteReference"/>
        </w:rPr>
        <w:footnoteRef/>
      </w:r>
      <w:r>
        <w:t xml:space="preserve"> </w:t>
      </w:r>
      <w:r>
        <w:rPr>
          <w:i/>
        </w:rPr>
        <w:t xml:space="preserve">See, e.g., Alaska Wireless </w:t>
      </w:r>
      <w:r w:rsidRPr="00611145">
        <w:rPr>
          <w:i/>
        </w:rPr>
        <w:t>Order</w:t>
      </w:r>
      <w:r>
        <w:rPr>
          <w:i/>
        </w:rPr>
        <w:t xml:space="preserve">, </w:t>
      </w:r>
      <w:r>
        <w:t xml:space="preserve">28 FCC Rcd at 10442-43 ¶ 24; </w:t>
      </w:r>
      <w:r>
        <w:rPr>
          <w:i/>
        </w:rPr>
        <w:t>SoftBank-Sprint Order</w:t>
      </w:r>
      <w:r>
        <w:t xml:space="preserve">, 28 FCC Rcd at 9651 ¶ 24; </w:t>
      </w:r>
      <w:r w:rsidRPr="00B864D4">
        <w:rPr>
          <w:i/>
        </w:rPr>
        <w:t>AT&amp;T-WCS Order</w:t>
      </w:r>
      <w:r>
        <w:t xml:space="preserve">, 27 FCC Rcd at 16464 ¶ 11; </w:t>
      </w:r>
      <w:r>
        <w:rPr>
          <w:i/>
        </w:rPr>
        <w:t>AT&amp;T-Qualcomm Order</w:t>
      </w:r>
      <w:r>
        <w:t>, 26 FCC Rcd at 17599 ¶ 24.</w:t>
      </w:r>
    </w:p>
  </w:footnote>
  <w:footnote w:id="40">
    <w:p w:rsidR="00126C52" w:rsidRDefault="00126C52" w:rsidP="00243365">
      <w:pPr>
        <w:pStyle w:val="FootnoteText"/>
      </w:pPr>
      <w:r>
        <w:rPr>
          <w:rStyle w:val="FootnoteReference"/>
        </w:rPr>
        <w:footnoteRef/>
      </w:r>
      <w:r>
        <w:rPr>
          <w:i/>
        </w:rPr>
        <w:t xml:space="preserve"> See, e.g.</w:t>
      </w:r>
      <w:r>
        <w:t xml:space="preserve">, </w:t>
      </w:r>
      <w:r>
        <w:rPr>
          <w:i/>
        </w:rPr>
        <w:t xml:space="preserve">Alaska Wireless </w:t>
      </w:r>
      <w:r w:rsidRPr="00611145">
        <w:rPr>
          <w:i/>
        </w:rPr>
        <w:t>Order</w:t>
      </w:r>
      <w:r>
        <w:rPr>
          <w:i/>
        </w:rPr>
        <w:t xml:space="preserve">, </w:t>
      </w:r>
      <w:r>
        <w:t xml:space="preserve">28 FCC Rcd at 10443 ¶ 25; </w:t>
      </w:r>
      <w:r>
        <w:rPr>
          <w:i/>
        </w:rPr>
        <w:t>SoftBank-Sprint Order</w:t>
      </w:r>
      <w:r>
        <w:t xml:space="preserve">, 28 FCC Rcd at 9651 ¶ 25; </w:t>
      </w:r>
      <w:r w:rsidRPr="003B7AB4">
        <w:rPr>
          <w:i/>
        </w:rPr>
        <w:t>AT&amp;T-WCS Order</w:t>
      </w:r>
      <w:r>
        <w:t xml:space="preserve">, 27 FCC Rcd at 16464-65 ¶ 12; </w:t>
      </w:r>
      <w:r>
        <w:rPr>
          <w:i/>
        </w:rPr>
        <w:t xml:space="preserve">AT&amp;T-Qualcomm Order, </w:t>
      </w:r>
      <w:r>
        <w:t xml:space="preserve">26 FCC Rcd at 17599 ¶ 25.  </w:t>
      </w:r>
    </w:p>
  </w:footnote>
  <w:footnote w:id="41">
    <w:p w:rsidR="00126C52" w:rsidRDefault="00126C52" w:rsidP="00243365">
      <w:pPr>
        <w:pStyle w:val="FootnoteText"/>
      </w:pPr>
      <w:r w:rsidRPr="00D83047">
        <w:rPr>
          <w:vertAlign w:val="superscript"/>
        </w:rPr>
        <w:footnoteRef/>
      </w:r>
      <w:r w:rsidRPr="00D83047">
        <w:t xml:space="preserve"> </w:t>
      </w:r>
      <w:r w:rsidRPr="00D83047">
        <w:rPr>
          <w:i/>
        </w:rPr>
        <w:t xml:space="preserve">See, e.g., </w:t>
      </w:r>
      <w:r>
        <w:rPr>
          <w:i/>
        </w:rPr>
        <w:t xml:space="preserve">Alaska Wireless </w:t>
      </w:r>
      <w:r w:rsidRPr="00611145">
        <w:rPr>
          <w:i/>
        </w:rPr>
        <w:t>Order</w:t>
      </w:r>
      <w:r>
        <w:rPr>
          <w:i/>
        </w:rPr>
        <w:t xml:space="preserve">, </w:t>
      </w:r>
      <w:r>
        <w:t xml:space="preserve">28 FCC Rcd at 10443 ¶ 25; </w:t>
      </w:r>
      <w:r>
        <w:rPr>
          <w:i/>
        </w:rPr>
        <w:t>SoftBank-Sprint Order</w:t>
      </w:r>
      <w:r>
        <w:t xml:space="preserve">, 28 FCC Rcd at 9651-52 ¶ 25; </w:t>
      </w:r>
      <w:r w:rsidRPr="00D83047">
        <w:rPr>
          <w:i/>
        </w:rPr>
        <w:t xml:space="preserve">AT&amp;T-Qualcomm Order, </w:t>
      </w:r>
      <w:r w:rsidRPr="00D83047">
        <w:t>26 FCC Rcd at 17599-17600 ¶ 25</w:t>
      </w:r>
      <w:r w:rsidRPr="00D83047">
        <w:rPr>
          <w:i/>
        </w:rPr>
        <w:t>; AT&amp;T-Verizon Wireless Order</w:t>
      </w:r>
      <w:r w:rsidRPr="00D83047">
        <w:t>, 25 FCC Rcd at 8717 ¶ 24.</w:t>
      </w:r>
      <w:r>
        <w:t xml:space="preserve"> </w:t>
      </w:r>
    </w:p>
  </w:footnote>
  <w:footnote w:id="42">
    <w:p w:rsidR="00126C52" w:rsidRDefault="00126C52" w:rsidP="00243365">
      <w:pPr>
        <w:pStyle w:val="FootnoteText"/>
      </w:pPr>
      <w:r>
        <w:rPr>
          <w:rStyle w:val="FootnoteReference"/>
        </w:rPr>
        <w:footnoteRef/>
      </w:r>
      <w:r>
        <w:t xml:space="preserve"> </w:t>
      </w:r>
      <w:r>
        <w:rPr>
          <w:i/>
        </w:rPr>
        <w:t xml:space="preserve">See, e.g, Alaska Wireless </w:t>
      </w:r>
      <w:r w:rsidRPr="00611145">
        <w:rPr>
          <w:i/>
        </w:rPr>
        <w:t>Order</w:t>
      </w:r>
      <w:r>
        <w:rPr>
          <w:i/>
        </w:rPr>
        <w:t xml:space="preserve">, </w:t>
      </w:r>
      <w:r>
        <w:t xml:space="preserve">28 FCC Rcd at 10443 ¶ 25; </w:t>
      </w:r>
      <w:r>
        <w:rPr>
          <w:i/>
        </w:rPr>
        <w:t>SoftBank-Sprint Order</w:t>
      </w:r>
      <w:r>
        <w:t xml:space="preserve">, 28 FCC Rcd at 9652 ¶ 25; </w:t>
      </w:r>
      <w:r w:rsidRPr="00D071B4">
        <w:rPr>
          <w:i/>
        </w:rPr>
        <w:t>AT&amp;T-Centennial Order</w:t>
      </w:r>
      <w:r>
        <w:t>, 24 FCC Rcd at 13929 ¶ 29</w:t>
      </w:r>
      <w:r w:rsidRPr="00D83047">
        <w:rPr>
          <w:iCs/>
        </w:rPr>
        <w:t>.</w:t>
      </w:r>
    </w:p>
  </w:footnote>
  <w:footnote w:id="43">
    <w:p w:rsidR="00126C52" w:rsidRDefault="00126C52" w:rsidP="00243365">
      <w:pPr>
        <w:pStyle w:val="FootnoteText"/>
      </w:pPr>
      <w:r>
        <w:rPr>
          <w:rStyle w:val="FootnoteReference"/>
        </w:rPr>
        <w:footnoteRef/>
      </w:r>
      <w:r>
        <w:t xml:space="preserve"> 15 U.S.C. § 18.</w:t>
      </w:r>
    </w:p>
  </w:footnote>
  <w:footnote w:id="44">
    <w:p w:rsidR="00126C52" w:rsidRDefault="00126C52" w:rsidP="00243365">
      <w:pPr>
        <w:pStyle w:val="FootnoteText"/>
      </w:pPr>
      <w:r>
        <w:rPr>
          <w:rStyle w:val="FootnoteReference"/>
        </w:rPr>
        <w:footnoteRef/>
      </w:r>
      <w:r>
        <w:t xml:space="preserve"> </w:t>
      </w:r>
      <w:r>
        <w:rPr>
          <w:i/>
        </w:rPr>
        <w:t>See, e.g.,</w:t>
      </w:r>
      <w:r w:rsidRPr="00FD75A9">
        <w:rPr>
          <w:i/>
        </w:rPr>
        <w:t xml:space="preserve"> </w:t>
      </w:r>
      <w:r>
        <w:rPr>
          <w:i/>
        </w:rPr>
        <w:t xml:space="preserve">Alaska Wireless </w:t>
      </w:r>
      <w:r w:rsidRPr="00611145">
        <w:rPr>
          <w:i/>
        </w:rPr>
        <w:t>Order</w:t>
      </w:r>
      <w:r>
        <w:rPr>
          <w:i/>
        </w:rPr>
        <w:t xml:space="preserve">, </w:t>
      </w:r>
      <w:r>
        <w:t xml:space="preserve">28 FCC Rcd at 10443 ¶ 25; </w:t>
      </w:r>
      <w:r>
        <w:rPr>
          <w:i/>
        </w:rPr>
        <w:t>SoftBank-Sprint Order</w:t>
      </w:r>
      <w:r>
        <w:t xml:space="preserve">, 28 FCC Rcd at 9652 ¶ 25; </w:t>
      </w:r>
      <w:r w:rsidRPr="00D071B4">
        <w:rPr>
          <w:i/>
        </w:rPr>
        <w:t>AT&amp;T-Centennial Order</w:t>
      </w:r>
      <w:r>
        <w:t>, 24 FCC Rcd at 13929 ¶ 29</w:t>
      </w:r>
      <w:r w:rsidRPr="00D83047">
        <w:rPr>
          <w:iCs/>
        </w:rPr>
        <w:t>.</w:t>
      </w:r>
      <w:r>
        <w:rPr>
          <w:color w:val="000000"/>
        </w:rPr>
        <w:t xml:space="preserve"> </w:t>
      </w:r>
    </w:p>
  </w:footnote>
  <w:footnote w:id="45">
    <w:p w:rsidR="00126C52" w:rsidRPr="00D83047" w:rsidRDefault="00126C52" w:rsidP="00243365">
      <w:pPr>
        <w:pStyle w:val="FootnoteText"/>
        <w:rPr>
          <w:iCs/>
        </w:rPr>
      </w:pPr>
      <w:r>
        <w:rPr>
          <w:vertAlign w:val="superscript"/>
        </w:rPr>
        <w:footnoteRef/>
      </w:r>
      <w:r>
        <w:t xml:space="preserve"> </w:t>
      </w:r>
      <w:r>
        <w:rPr>
          <w:i/>
        </w:rPr>
        <w:t xml:space="preserve">See, e.g., Alaska Wireless </w:t>
      </w:r>
      <w:r w:rsidRPr="00611145">
        <w:rPr>
          <w:i/>
        </w:rPr>
        <w:t>Order</w:t>
      </w:r>
      <w:r>
        <w:rPr>
          <w:i/>
        </w:rPr>
        <w:t xml:space="preserve">, </w:t>
      </w:r>
      <w:r>
        <w:t xml:space="preserve">28 FCC Rcd at 10443 ¶ 25; </w:t>
      </w:r>
      <w:r>
        <w:rPr>
          <w:i/>
        </w:rPr>
        <w:t>SoftBank-Sprint Order</w:t>
      </w:r>
      <w:r>
        <w:t xml:space="preserve">, 28 FCC Rcd at 9652 ¶ 25; </w:t>
      </w:r>
      <w:r>
        <w:rPr>
          <w:i/>
        </w:rPr>
        <w:t xml:space="preserve">AT&amp;T-Qualcomm Order, </w:t>
      </w:r>
      <w:r>
        <w:t>26 FCC Rcd at 17599 ¶ 25.</w:t>
      </w:r>
    </w:p>
  </w:footnote>
  <w:footnote w:id="46">
    <w:p w:rsidR="00126C52" w:rsidRDefault="00126C52" w:rsidP="00243365">
      <w:pPr>
        <w:pStyle w:val="FootnoteText"/>
      </w:pPr>
      <w:r>
        <w:rPr>
          <w:rStyle w:val="FootnoteReference"/>
        </w:rPr>
        <w:footnoteRef/>
      </w:r>
      <w:r>
        <w:t xml:space="preserve"> 47 U.S.C. § 309(e); </w:t>
      </w:r>
      <w:r>
        <w:rPr>
          <w:i/>
          <w:iCs/>
        </w:rPr>
        <w:t xml:space="preserve">see also AT&amp;T-WCS Order, </w:t>
      </w:r>
      <w:r>
        <w:t>27 FCC Rcd at 16464-65</w:t>
      </w:r>
      <w:r>
        <w:rPr>
          <w:i/>
          <w:iCs/>
        </w:rPr>
        <w:t xml:space="preserve"> </w:t>
      </w:r>
      <w:r>
        <w:t xml:space="preserve">¶ 12; </w:t>
      </w:r>
      <w:r>
        <w:rPr>
          <w:i/>
          <w:iCs/>
        </w:rPr>
        <w:t xml:space="preserve">AT&amp;T-Qualcomm </w:t>
      </w:r>
      <w:r w:rsidRPr="00720540">
        <w:rPr>
          <w:i/>
          <w:iCs/>
        </w:rPr>
        <w:t>Order</w:t>
      </w:r>
      <w:r>
        <w:rPr>
          <w:iCs/>
        </w:rPr>
        <w:t xml:space="preserve">, 26 FCC Rcd at 17599 </w:t>
      </w:r>
      <w:r>
        <w:t xml:space="preserve">¶ 25; </w:t>
      </w:r>
      <w:r w:rsidRPr="00720540">
        <w:t>Applications</w:t>
      </w:r>
      <w:r>
        <w:t xml:space="preserve"> for Consent to the Transfer of Control of Licenses, XM Satellite Radio Holdings Inc., Transferor, to </w:t>
      </w:r>
      <w:r>
        <w:rPr>
          <w:spacing w:val="-2"/>
        </w:rPr>
        <w:t xml:space="preserve">Sirius Satellite Radio Inc., </w:t>
      </w:r>
      <w:r>
        <w:t xml:space="preserve">Transferee, </w:t>
      </w:r>
      <w:r>
        <w:rPr>
          <w:i/>
        </w:rPr>
        <w:t>Memorandum Opinion and Order and Report and Order</w:t>
      </w:r>
      <w:r>
        <w:t xml:space="preserve">, 23 FCC Rcd 12348, 12364 ¶ 30 </w:t>
      </w:r>
      <w:r>
        <w:rPr>
          <w:szCs w:val="22"/>
        </w:rPr>
        <w:t>(2008)</w:t>
      </w:r>
      <w:r>
        <w:t xml:space="preserve">; </w:t>
      </w:r>
      <w:r>
        <w:rPr>
          <w:rStyle w:val="footnotetextchar2char1"/>
        </w:rPr>
        <w:t xml:space="preserve">News Corp. and DIRECTV Group, Inc. and Liberty Media Corp. for Authority to Transfer Control, </w:t>
      </w:r>
      <w:r>
        <w:rPr>
          <w:rStyle w:val="footnotetextchar2char1"/>
          <w:i/>
        </w:rPr>
        <w:t>Memorandum Opinion and Order</w:t>
      </w:r>
      <w:r>
        <w:rPr>
          <w:rStyle w:val="footnotetextchar2char1"/>
        </w:rPr>
        <w:t>, 23 FCC Rcd 3265, 3277 ¶ 22 (2008).</w:t>
      </w:r>
    </w:p>
  </w:footnote>
  <w:footnote w:id="47">
    <w:p w:rsidR="00126C52" w:rsidRPr="009C6C8A" w:rsidRDefault="00126C52" w:rsidP="00243365">
      <w:pPr>
        <w:pStyle w:val="FootnoteText"/>
        <w:rPr>
          <w:i/>
        </w:rPr>
      </w:pPr>
      <w:r>
        <w:rPr>
          <w:rStyle w:val="FootnoteReference"/>
        </w:rPr>
        <w:footnoteRef/>
      </w:r>
      <w:r>
        <w:t xml:space="preserve"> 47 U.S.C. §§ 214(c) (authorizing the Commission to impose “such terms and conditions in its judgment the public convenience may require”), 303(r) (authorizing the Commission to prescribe restrictions or conditions not inconsistent with law that may be necessary to carry out the provisions of the Communications Act); </w:t>
      </w:r>
      <w:r>
        <w:rPr>
          <w:i/>
        </w:rPr>
        <w:t>see</w:t>
      </w:r>
      <w:r>
        <w:t xml:space="preserve">, </w:t>
      </w:r>
      <w:r>
        <w:rPr>
          <w:i/>
        </w:rPr>
        <w:t>e.g.</w:t>
      </w:r>
      <w:r>
        <w:t xml:space="preserve">, </w:t>
      </w:r>
      <w:r>
        <w:rPr>
          <w:i/>
        </w:rPr>
        <w:t xml:space="preserve">Alaska Wireless </w:t>
      </w:r>
      <w:r w:rsidRPr="00611145">
        <w:rPr>
          <w:i/>
        </w:rPr>
        <w:t>Order</w:t>
      </w:r>
      <w:r>
        <w:rPr>
          <w:i/>
        </w:rPr>
        <w:t xml:space="preserve">, </w:t>
      </w:r>
      <w:r>
        <w:t xml:space="preserve">28 FCC Rcd at 10443 ¶ 26; </w:t>
      </w:r>
      <w:r>
        <w:rPr>
          <w:i/>
        </w:rPr>
        <w:t>SoftBank-Sprint Order</w:t>
      </w:r>
      <w:r>
        <w:t xml:space="preserve">, 28 FCC Rcd at 9652 ¶ 25; </w:t>
      </w:r>
      <w:r w:rsidRPr="00611145">
        <w:rPr>
          <w:i/>
        </w:rPr>
        <w:t>Verizon Wireless-SpectrumCo Order</w:t>
      </w:r>
      <w:r w:rsidRPr="00526817">
        <w:rPr>
          <w:spacing w:val="-2"/>
        </w:rPr>
        <w:t xml:space="preserve">, </w:t>
      </w:r>
      <w:r>
        <w:rPr>
          <w:color w:val="252525"/>
        </w:rPr>
        <w:t>27 FCC Rcd at 10711 ¶ 30.</w:t>
      </w:r>
    </w:p>
  </w:footnote>
  <w:footnote w:id="48">
    <w:p w:rsidR="00126C52" w:rsidRDefault="00126C52" w:rsidP="009B6419">
      <w:pPr>
        <w:pStyle w:val="FootnoteText"/>
      </w:pPr>
      <w:r>
        <w:rPr>
          <w:rStyle w:val="FootnoteReference"/>
        </w:rPr>
        <w:footnoteRef/>
      </w:r>
      <w:r>
        <w:t xml:space="preserve"> 47 U.S.C. § 310(d).</w:t>
      </w:r>
    </w:p>
  </w:footnote>
  <w:footnote w:id="49">
    <w:p w:rsidR="00126C52" w:rsidRDefault="00126C52" w:rsidP="009B6419">
      <w:pPr>
        <w:pStyle w:val="FootnoteText"/>
      </w:pPr>
      <w:r>
        <w:rPr>
          <w:rStyle w:val="FootnoteReference"/>
        </w:rPr>
        <w:footnoteRef/>
      </w:r>
      <w:r>
        <w:t xml:space="preserve"> </w:t>
      </w:r>
      <w:r>
        <w:rPr>
          <w:lang w:val="fr-FR"/>
        </w:rPr>
        <w:t>47 U.S.C.</w:t>
      </w:r>
      <w:r>
        <w:t xml:space="preserve"> §§ 308, 310(d); </w:t>
      </w:r>
      <w:r>
        <w:rPr>
          <w:i/>
        </w:rPr>
        <w:t>see also, e.g.</w:t>
      </w:r>
      <w:r>
        <w:t>,</w:t>
      </w:r>
      <w:r>
        <w:rPr>
          <w:i/>
        </w:rPr>
        <w:t xml:space="preserve"> Alaska Wireless </w:t>
      </w:r>
      <w:r w:rsidRPr="00611145">
        <w:rPr>
          <w:i/>
        </w:rPr>
        <w:t>Order</w:t>
      </w:r>
      <w:r>
        <w:rPr>
          <w:i/>
        </w:rPr>
        <w:t xml:space="preserve">, </w:t>
      </w:r>
      <w:r>
        <w:t xml:space="preserve">28 FCC Rcd at 10444 ¶ 28; </w:t>
      </w:r>
      <w:r>
        <w:rPr>
          <w:i/>
        </w:rPr>
        <w:t>SoftBank-Sprint Order</w:t>
      </w:r>
      <w:r>
        <w:t xml:space="preserve">, 28 FCC Rcd at 9652 ¶ 26; </w:t>
      </w:r>
      <w:r w:rsidRPr="00C85CCC">
        <w:rPr>
          <w:i/>
        </w:rPr>
        <w:t>Verizon Wireless-SpectrumCo Order</w:t>
      </w:r>
      <w:r>
        <w:t>, 27 FCC Rcd at 10712 ¶ 33</w:t>
      </w:r>
      <w:r w:rsidRPr="004100CB">
        <w:t>.</w:t>
      </w:r>
    </w:p>
  </w:footnote>
  <w:footnote w:id="50">
    <w:p w:rsidR="00126C52" w:rsidRDefault="00126C52" w:rsidP="009B6419">
      <w:pPr>
        <w:pStyle w:val="FootnoteText"/>
      </w:pPr>
      <w:r>
        <w:rPr>
          <w:rStyle w:val="FootnoteReference"/>
        </w:rPr>
        <w:footnoteRef/>
      </w:r>
      <w:r>
        <w:t xml:space="preserve"> </w:t>
      </w:r>
      <w:r>
        <w:rPr>
          <w:i/>
        </w:rPr>
        <w:t>See</w:t>
      </w:r>
      <w:r>
        <w:t xml:space="preserve"> 47 U.S.C. § 310(d); 47 C.F.R. § 1.948; </w:t>
      </w:r>
      <w:r>
        <w:rPr>
          <w:i/>
        </w:rPr>
        <w:t>see also, e.g.</w:t>
      </w:r>
      <w:r>
        <w:t>,</w:t>
      </w:r>
      <w:r>
        <w:rPr>
          <w:i/>
        </w:rPr>
        <w:t xml:space="preserve"> Alaska Wireless </w:t>
      </w:r>
      <w:r w:rsidRPr="00611145">
        <w:rPr>
          <w:i/>
        </w:rPr>
        <w:t>Order</w:t>
      </w:r>
      <w:r>
        <w:rPr>
          <w:i/>
        </w:rPr>
        <w:t xml:space="preserve">, </w:t>
      </w:r>
      <w:r>
        <w:t xml:space="preserve">28 FCC Rcd at 10444-45 ¶ 28; </w:t>
      </w:r>
      <w:r>
        <w:rPr>
          <w:i/>
        </w:rPr>
        <w:t>SoftBank-Sprint Order</w:t>
      </w:r>
      <w:r>
        <w:t xml:space="preserve">, 28 FCC Rcd at 9652-53 ¶ 26; </w:t>
      </w:r>
      <w:r w:rsidRPr="00C85CCC">
        <w:rPr>
          <w:i/>
        </w:rPr>
        <w:t>Verizon Wireless-SpectrumCo Order</w:t>
      </w:r>
      <w:r>
        <w:t>, 27 FCC Rcd at 10712 ¶ 33</w:t>
      </w:r>
      <w:r>
        <w:rPr>
          <w:color w:val="000000"/>
        </w:rPr>
        <w:t>.</w:t>
      </w:r>
    </w:p>
  </w:footnote>
  <w:footnote w:id="51">
    <w:p w:rsidR="00126C52" w:rsidRDefault="00126C52" w:rsidP="009B6419">
      <w:pPr>
        <w:pStyle w:val="FootnoteText"/>
      </w:pPr>
      <w:r>
        <w:rPr>
          <w:rStyle w:val="FootnoteReference"/>
        </w:rPr>
        <w:footnoteRef/>
      </w:r>
      <w:r>
        <w:t xml:space="preserve"> </w:t>
      </w:r>
      <w:r w:rsidRPr="00D845F2">
        <w:rPr>
          <w:i/>
          <w:iCs/>
        </w:rPr>
        <w:t>See</w:t>
      </w:r>
      <w:r>
        <w:rPr>
          <w:i/>
          <w:iCs/>
        </w:rPr>
        <w:t>, e.g., Alaska Wireless Order</w:t>
      </w:r>
      <w:r>
        <w:rPr>
          <w:iCs/>
        </w:rPr>
        <w:t xml:space="preserve">, </w:t>
      </w:r>
      <w:r>
        <w:t xml:space="preserve">28 FCC Rcd at 10445 ¶ 29; </w:t>
      </w:r>
      <w:r>
        <w:rPr>
          <w:i/>
        </w:rPr>
        <w:t>SoftBank-Sprint Order</w:t>
      </w:r>
      <w:r>
        <w:t xml:space="preserve">, 28 FCC Rcd at 9653 ¶ 27; </w:t>
      </w:r>
      <w:r>
        <w:rPr>
          <w:i/>
        </w:rPr>
        <w:t>AT&amp;T-WCS Order</w:t>
      </w:r>
      <w:r>
        <w:t>, 27 FCC Rcd at 16466 ¶ 18</w:t>
      </w:r>
      <w:r>
        <w:rPr>
          <w:sz w:val="24"/>
          <w:szCs w:val="24"/>
        </w:rPr>
        <w:t>.</w:t>
      </w:r>
    </w:p>
  </w:footnote>
  <w:footnote w:id="52">
    <w:p w:rsidR="00126C52" w:rsidRPr="00A6252E" w:rsidRDefault="00126C52" w:rsidP="009B6419">
      <w:pPr>
        <w:pStyle w:val="FootnoteText"/>
      </w:pPr>
      <w:r>
        <w:rPr>
          <w:rStyle w:val="FootnoteReference"/>
        </w:rPr>
        <w:footnoteRef/>
      </w:r>
      <w:r>
        <w:t xml:space="preserve"> </w:t>
      </w:r>
      <w:r>
        <w:rPr>
          <w:i/>
        </w:rPr>
        <w:t>See. e.g., AT&amp;T-WCS Order</w:t>
      </w:r>
      <w:r>
        <w:t xml:space="preserve">, 27 FCC Rcd at 16466 ¶ 16; </w:t>
      </w:r>
      <w:r w:rsidRPr="00316A29">
        <w:rPr>
          <w:i/>
        </w:rPr>
        <w:t>Verizon Wireless-SpectrumCo Order,</w:t>
      </w:r>
      <w:r>
        <w:t xml:space="preserve"> 27 FCC Rcd at 10714 ¶ 17. </w:t>
      </w:r>
    </w:p>
  </w:footnote>
  <w:footnote w:id="53">
    <w:p w:rsidR="00126C52" w:rsidRPr="00A6622D" w:rsidRDefault="00126C52" w:rsidP="009B6419">
      <w:pPr>
        <w:pStyle w:val="FootnoteText"/>
      </w:pPr>
      <w:r>
        <w:rPr>
          <w:rStyle w:val="FootnoteReference"/>
        </w:rPr>
        <w:footnoteRef/>
      </w:r>
      <w:r>
        <w:t xml:space="preserve"> </w:t>
      </w:r>
      <w:r>
        <w:rPr>
          <w:i/>
        </w:rPr>
        <w:t>See</w:t>
      </w:r>
      <w:r>
        <w:t xml:space="preserve"> Public Interest Statement at 5-6.</w:t>
      </w:r>
    </w:p>
  </w:footnote>
  <w:footnote w:id="54">
    <w:p w:rsidR="00126C52" w:rsidRPr="009423A2" w:rsidRDefault="00126C52" w:rsidP="009B6419">
      <w:pPr>
        <w:pStyle w:val="FootnoteText"/>
      </w:pPr>
      <w:r>
        <w:rPr>
          <w:rStyle w:val="FootnoteReference"/>
        </w:rPr>
        <w:footnoteRef/>
      </w:r>
      <w:r>
        <w:t xml:space="preserve"> </w:t>
      </w:r>
      <w:r>
        <w:rPr>
          <w:i/>
        </w:rPr>
        <w:t>See</w:t>
      </w:r>
      <w:r>
        <w:t xml:space="preserve"> Application of Grain Spectrum, LLC, ULS File No. 0005630442 (filed Feb. 6, 2013); Application of Grain Spectrum II, LLC, ULS File No. 0005630585 (filed Feb. 6, 2013).</w:t>
      </w:r>
    </w:p>
  </w:footnote>
  <w:footnote w:id="55">
    <w:p w:rsidR="00126C52" w:rsidRDefault="00126C52" w:rsidP="00156A9F">
      <w:pPr>
        <w:pStyle w:val="FootnoteText"/>
      </w:pPr>
      <w:r>
        <w:rPr>
          <w:rStyle w:val="FootnoteReference"/>
        </w:rPr>
        <w:footnoteRef/>
      </w:r>
      <w:r>
        <w:t xml:space="preserve"> </w:t>
      </w:r>
      <w:r w:rsidRPr="008A25F3">
        <w:rPr>
          <w:i/>
        </w:rPr>
        <w:t>See, e.g.,</w:t>
      </w:r>
      <w:r>
        <w:t xml:space="preserve"> </w:t>
      </w:r>
      <w:r w:rsidRPr="008A25F3">
        <w:rPr>
          <w:i/>
        </w:rPr>
        <w:t>SoftBank-Sprint Order</w:t>
      </w:r>
      <w:r>
        <w:t xml:space="preserve">, </w:t>
      </w:r>
      <w:r w:rsidRPr="00156A9F">
        <w:t xml:space="preserve">28 FCC Rcd at 9656 </w:t>
      </w:r>
      <w:r>
        <w:t xml:space="preserve"> ¶ 34; </w:t>
      </w:r>
      <w:r w:rsidRPr="00316A29">
        <w:rPr>
          <w:i/>
        </w:rPr>
        <w:t>Verizon Wireless-SpectrumCo Order,</w:t>
      </w:r>
      <w:r>
        <w:t xml:space="preserve"> 27 FCC Rcd at 10716 ¶¶ 47-48, 10734</w:t>
      </w:r>
      <w:r w:rsidRPr="00316A29">
        <w:t xml:space="preserve"> ¶ 95; </w:t>
      </w:r>
      <w:r w:rsidRPr="00316A29">
        <w:rPr>
          <w:i/>
        </w:rPr>
        <w:t>AT&amp;T-Qualcomm Order</w:t>
      </w:r>
      <w:r>
        <w:t>, 26 FCC Rcd at 17622-23</w:t>
      </w:r>
      <w:r w:rsidRPr="00316A29">
        <w:t xml:space="preserve"> ¶ 81</w:t>
      </w:r>
      <w:r>
        <w:t>.</w:t>
      </w:r>
    </w:p>
  </w:footnote>
  <w:footnote w:id="56">
    <w:p w:rsidR="00126C52" w:rsidRDefault="00126C52" w:rsidP="00723C80">
      <w:pPr>
        <w:widowControl/>
        <w:autoSpaceDE w:val="0"/>
        <w:autoSpaceDN w:val="0"/>
        <w:adjustRightInd w:val="0"/>
        <w:spacing w:after="120"/>
      </w:pPr>
      <w:r>
        <w:rPr>
          <w:rStyle w:val="FootnoteReference"/>
        </w:rPr>
        <w:footnoteRef/>
      </w:r>
      <w:r>
        <w:t xml:space="preserve"> </w:t>
      </w:r>
      <w:r>
        <w:rPr>
          <w:i/>
          <w:iCs/>
          <w:snapToGrid/>
          <w:kern w:val="0"/>
          <w:sz w:val="20"/>
        </w:rPr>
        <w:t>See, e.g., Verizon Wireless-SpectrumCo Order</w:t>
      </w:r>
      <w:r>
        <w:rPr>
          <w:snapToGrid/>
          <w:kern w:val="0"/>
          <w:sz w:val="20"/>
        </w:rPr>
        <w:t xml:space="preserve">, 27 FCC Rcd at 10716 ¶ 48; </w:t>
      </w:r>
      <w:r>
        <w:rPr>
          <w:i/>
          <w:iCs/>
          <w:snapToGrid/>
          <w:kern w:val="0"/>
          <w:sz w:val="20"/>
        </w:rPr>
        <w:t>AT&amp;T-Qualcomm Order</w:t>
      </w:r>
      <w:r>
        <w:rPr>
          <w:snapToGrid/>
          <w:kern w:val="0"/>
          <w:sz w:val="20"/>
        </w:rPr>
        <w:t xml:space="preserve">, 26 FCC Rcd at 17602 ¶ 31; </w:t>
      </w:r>
      <w:r>
        <w:rPr>
          <w:i/>
          <w:iCs/>
          <w:snapToGrid/>
          <w:kern w:val="0"/>
          <w:sz w:val="20"/>
        </w:rPr>
        <w:t xml:space="preserve">AT&amp;T-Centennial Order, </w:t>
      </w:r>
      <w:r>
        <w:rPr>
          <w:snapToGrid/>
          <w:kern w:val="0"/>
          <w:sz w:val="20"/>
        </w:rPr>
        <w:t>24 FCC Rcd at 13938 ¶ 50</w:t>
      </w:r>
      <w:r>
        <w:t>.</w:t>
      </w:r>
    </w:p>
  </w:footnote>
  <w:footnote w:id="57">
    <w:p w:rsidR="00126C52" w:rsidRDefault="00126C52" w:rsidP="00156A9F">
      <w:pPr>
        <w:pStyle w:val="FootnoteText"/>
      </w:pPr>
      <w:r>
        <w:rPr>
          <w:rStyle w:val="FootnoteReference"/>
        </w:rPr>
        <w:footnoteRef/>
      </w:r>
      <w:r>
        <w:t xml:space="preserve"> </w:t>
      </w:r>
      <w:r w:rsidRPr="005F1257">
        <w:rPr>
          <w:i/>
        </w:rPr>
        <w:t>See, e.g., SoftBank-Sprint Order</w:t>
      </w:r>
      <w:r>
        <w:t xml:space="preserve">, </w:t>
      </w:r>
      <w:r w:rsidRPr="00156A9F">
        <w:t>28 FCC Rcd at 9656 ¶ 34</w:t>
      </w:r>
      <w:r>
        <w:t>.</w:t>
      </w:r>
    </w:p>
  </w:footnote>
  <w:footnote w:id="58">
    <w:p w:rsidR="00126C52" w:rsidRDefault="00126C52" w:rsidP="00C21C77">
      <w:pPr>
        <w:pStyle w:val="FootnoteText"/>
      </w:pPr>
      <w:r>
        <w:rPr>
          <w:rStyle w:val="FootnoteReference"/>
        </w:rPr>
        <w:footnoteRef/>
      </w:r>
      <w:r>
        <w:t xml:space="preserve"> Because the proposed transactions do not result in the acquisition of wireless business units and customers or change in the number of firms in any market, an initial screen based on the size of the post-transaction Herfindahl-Hirschman Index (“HHI”) of market concentration and the change in the HHI would identify </w:t>
      </w:r>
      <w:r w:rsidRPr="00856F2D">
        <w:t>no changes in any markets</w:t>
      </w:r>
      <w:r>
        <w:t xml:space="preserve"> as a result of the proposed transactions.  </w:t>
      </w:r>
      <w:r w:rsidRPr="00F04518">
        <w:rPr>
          <w:i/>
        </w:rPr>
        <w:t>See, e.g.,</w:t>
      </w:r>
      <w:r>
        <w:t xml:space="preserve"> </w:t>
      </w:r>
      <w:r w:rsidRPr="003B7AB4">
        <w:rPr>
          <w:i/>
        </w:rPr>
        <w:t>AT&amp;T-WCS Order</w:t>
      </w:r>
      <w:r>
        <w:t xml:space="preserve">, 27 FCC Rcd at 16467 ¶ 22 n.64. </w:t>
      </w:r>
    </w:p>
  </w:footnote>
  <w:footnote w:id="59">
    <w:p w:rsidR="00126C52" w:rsidRPr="00857D4D" w:rsidRDefault="00126C52" w:rsidP="00C21C77">
      <w:pPr>
        <w:pStyle w:val="FootnoteText"/>
        <w:rPr>
          <w:b/>
        </w:rPr>
      </w:pPr>
      <w:r w:rsidRPr="00AA4CB1">
        <w:rPr>
          <w:rStyle w:val="FootnoteReference"/>
        </w:rPr>
        <w:footnoteRef/>
      </w:r>
      <w:r w:rsidRPr="00AA4CB1">
        <w:t xml:space="preserve"> </w:t>
      </w:r>
      <w:r>
        <w:t>W</w:t>
      </w:r>
      <w:r w:rsidRPr="00316A29">
        <w:t xml:space="preserve">hen a proposed transaction would increase the spectrum holdings in any local market post-transaction, the Commission undertakes a review of the competitive effects of the increase in spectrum holdings in those markets.  </w:t>
      </w:r>
      <w:r w:rsidRPr="004A32F1">
        <w:rPr>
          <w:i/>
          <w:iCs/>
        </w:rPr>
        <w:t>See, e.g., Verizon Wireless-SpectrumCo Order</w:t>
      </w:r>
      <w:r w:rsidRPr="004A32F1">
        <w:t xml:space="preserve">, 27 FCC Rcd at 10716 ¶ 48; </w:t>
      </w:r>
      <w:r w:rsidRPr="004A32F1">
        <w:rPr>
          <w:i/>
          <w:iCs/>
        </w:rPr>
        <w:t>AT&amp;T-Qualcomm Order</w:t>
      </w:r>
      <w:r w:rsidRPr="004A32F1">
        <w:t>, 26 FCC Rcd at 17602 ¶ 31.</w:t>
      </w:r>
      <w:r w:rsidRPr="00AA4CB1">
        <w:t xml:space="preserve"> </w:t>
      </w:r>
      <w:r>
        <w:t xml:space="preserve"> </w:t>
      </w:r>
    </w:p>
  </w:footnote>
  <w:footnote w:id="60">
    <w:p w:rsidR="00126C52" w:rsidRDefault="00126C52" w:rsidP="00D26062">
      <w:pPr>
        <w:pStyle w:val="FootnoteText"/>
      </w:pPr>
      <w:r>
        <w:rPr>
          <w:rStyle w:val="FootnoteReference"/>
        </w:rPr>
        <w:footnoteRef/>
      </w:r>
      <w:r>
        <w:t xml:space="preserve"> </w:t>
      </w:r>
      <w:r>
        <w:rPr>
          <w:i/>
          <w:iCs/>
        </w:rPr>
        <w:t xml:space="preserve">See, e.g., SoftBank-Sprint Order, </w:t>
      </w:r>
      <w:r w:rsidRPr="00D26062">
        <w:rPr>
          <w:iCs/>
        </w:rPr>
        <w:t>28 FCC Rcd at 9656 ¶ 35</w:t>
      </w:r>
      <w:r>
        <w:rPr>
          <w:iCs/>
        </w:rPr>
        <w:t xml:space="preserve">; </w:t>
      </w:r>
      <w:r w:rsidRPr="00316A29">
        <w:rPr>
          <w:i/>
        </w:rPr>
        <w:t>AT&amp;T-WCS Order</w:t>
      </w:r>
      <w:r w:rsidRPr="00316A29">
        <w:t>, 27 FCC Rcd</w:t>
      </w:r>
      <w:r>
        <w:t xml:space="preserve"> at 16467</w:t>
      </w:r>
      <w:r w:rsidRPr="00316A29">
        <w:t xml:space="preserve"> ¶ 21 (recognizing the proposition that the “Commission is not . . . limited in its consideration of potential competitive harms solely to markets identified by its initial screen” and, in addition to considering 10 local markets identified by the screen, analyzing the national market because the proposed acquisition would be in a substantial majority of local markets across the country); </w:t>
      </w:r>
      <w:r w:rsidRPr="00316A29">
        <w:rPr>
          <w:i/>
        </w:rPr>
        <w:t>Verizon Wireless-SpectrumCo Order</w:t>
      </w:r>
      <w:r>
        <w:t>, 27 FCC Rcd at 10716</w:t>
      </w:r>
      <w:r w:rsidRPr="00316A29">
        <w:t xml:space="preserve"> ¶ 48; </w:t>
      </w:r>
      <w:r w:rsidRPr="00316A29">
        <w:rPr>
          <w:i/>
        </w:rPr>
        <w:t>AT&amp;T-Qualcomm Order</w:t>
      </w:r>
      <w:r w:rsidRPr="00316A29">
        <w:t xml:space="preserve">, 26 FCC Rcd at 17609-10 ¶¶ 49-50 (recognizing that up to three markets could be triggered by the screen, but considering more broadly AT&amp;T’s post-transaction holdings under 1 GHz because, </w:t>
      </w:r>
      <w:r w:rsidRPr="00316A29">
        <w:rPr>
          <w:i/>
        </w:rPr>
        <w:t>inter alia</w:t>
      </w:r>
      <w:r w:rsidRPr="00316A29">
        <w:t>, of the record in that proceeding and the substantial holdings that the company would then have under 1 GHz).</w:t>
      </w:r>
    </w:p>
  </w:footnote>
  <w:footnote w:id="61">
    <w:p w:rsidR="00126C52" w:rsidRDefault="00126C52" w:rsidP="00C21C77">
      <w:pPr>
        <w:pStyle w:val="FootnoteText"/>
      </w:pPr>
      <w:r>
        <w:rPr>
          <w:rStyle w:val="FootnoteReference"/>
        </w:rPr>
        <w:footnoteRef/>
      </w:r>
      <w:r>
        <w:t xml:space="preserve"> </w:t>
      </w:r>
      <w:r>
        <w:rPr>
          <w:i/>
        </w:rPr>
        <w:t>See,</w:t>
      </w:r>
      <w:r>
        <w:t xml:space="preserve"> </w:t>
      </w:r>
      <w:r>
        <w:rPr>
          <w:i/>
        </w:rPr>
        <w:t>e.g.,</w:t>
      </w:r>
      <w:r>
        <w:t xml:space="preserve"> </w:t>
      </w:r>
      <w:r w:rsidRPr="003B7AB4">
        <w:rPr>
          <w:i/>
        </w:rPr>
        <w:t>AT&amp;T-WCS Order</w:t>
      </w:r>
      <w:r>
        <w:t xml:space="preserve">, 27 FCC Rcd at 16467 ¶ 20; </w:t>
      </w:r>
      <w:r w:rsidRPr="001F4FC2">
        <w:rPr>
          <w:i/>
        </w:rPr>
        <w:t>Verizon Wireless-SpectrumCo Order</w:t>
      </w:r>
      <w:r>
        <w:t xml:space="preserve">, 27 FCC Rcd at 10716 ¶ 47; </w:t>
      </w:r>
      <w:r>
        <w:rPr>
          <w:i/>
        </w:rPr>
        <w:t xml:space="preserve">AT&amp;T-Qualcomm Order, </w:t>
      </w:r>
      <w:r>
        <w:t xml:space="preserve">26 FCC Rcd at 17601-02 ¶ 30.  </w:t>
      </w:r>
    </w:p>
  </w:footnote>
  <w:footnote w:id="62">
    <w:p w:rsidR="00126C52" w:rsidRDefault="00126C52" w:rsidP="00610311">
      <w:pPr>
        <w:pStyle w:val="FootnoteText"/>
      </w:pPr>
      <w:r>
        <w:rPr>
          <w:rStyle w:val="FootnoteReference"/>
        </w:rPr>
        <w:footnoteRef/>
      </w:r>
      <w:r>
        <w:t xml:space="preserve"> 47 U.S.C. 310(d).  </w:t>
      </w:r>
      <w:r>
        <w:rPr>
          <w:i/>
          <w:iCs/>
        </w:rPr>
        <w:t>See, e.g.</w:t>
      </w:r>
      <w:r>
        <w:t>,</w:t>
      </w:r>
      <w:r w:rsidRPr="00A3645E">
        <w:rPr>
          <w:i/>
          <w:iCs/>
          <w:snapToGrid w:val="0"/>
          <w:color w:val="1F497D"/>
          <w:kern w:val="28"/>
          <w:sz w:val="22"/>
        </w:rPr>
        <w:t xml:space="preserve"> </w:t>
      </w:r>
      <w:r w:rsidRPr="00A3645E">
        <w:rPr>
          <w:i/>
          <w:iCs/>
        </w:rPr>
        <w:t xml:space="preserve">Verizon Wireless-SpectrumCo Order, </w:t>
      </w:r>
      <w:r w:rsidRPr="00A3645E">
        <w:t>27 FCC Rcd at 10716 ¶ 47</w:t>
      </w:r>
      <w:r>
        <w:t>;</w:t>
      </w:r>
      <w:r w:rsidRPr="00A3645E">
        <w:rPr>
          <w:i/>
          <w:iCs/>
        </w:rPr>
        <w:t xml:space="preserve"> AT&amp;T-Qualcomm Order, </w:t>
      </w:r>
      <w:r w:rsidRPr="00A3645E">
        <w:t>26 FCC Rcd at 17601-03 ¶¶ 30-33</w:t>
      </w:r>
      <w:r w:rsidRPr="00610311">
        <w:t>.</w:t>
      </w:r>
      <w:r>
        <w:t xml:space="preserve">  </w:t>
      </w:r>
    </w:p>
  </w:footnote>
  <w:footnote w:id="63">
    <w:p w:rsidR="00126C52" w:rsidRDefault="00126C52" w:rsidP="00C21C77">
      <w:pPr>
        <w:pStyle w:val="FootnoteText"/>
      </w:pPr>
      <w:r>
        <w:rPr>
          <w:rStyle w:val="FootnoteReference"/>
        </w:rPr>
        <w:footnoteRef/>
      </w:r>
      <w:r>
        <w:t xml:space="preserve"> </w:t>
      </w:r>
      <w:r w:rsidRPr="00EF71DB">
        <w:rPr>
          <w:i/>
        </w:rPr>
        <w:t>See, e.g.,</w:t>
      </w:r>
      <w:r>
        <w:t xml:space="preserve"> </w:t>
      </w:r>
      <w:r w:rsidRPr="001F4FC2">
        <w:rPr>
          <w:i/>
        </w:rPr>
        <w:t>Verizon Wireless-SpectrumCo Order</w:t>
      </w:r>
      <w:r>
        <w:t xml:space="preserve">, 27 FCC Rcd at 10716 ¶ 47; </w:t>
      </w:r>
      <w:r>
        <w:rPr>
          <w:i/>
        </w:rPr>
        <w:t xml:space="preserve">AT&amp;T-Qualcomm Order, </w:t>
      </w:r>
      <w:r>
        <w:t xml:space="preserve">26 FCC Rcd at 17601-02 ¶ 30; Application of </w:t>
      </w:r>
      <w:r w:rsidRPr="00723C80">
        <w:t>EchoStar</w:t>
      </w:r>
      <w:r>
        <w:t xml:space="preserve"> </w:t>
      </w:r>
      <w:r w:rsidRPr="00AB53C5">
        <w:t>Communications Corp.,</w:t>
      </w:r>
      <w:r>
        <w:t xml:space="preserve"> General Motors Corp., and Hughes Electronics Corp. (Transferors) and EchoStar Communications Corp. (Transferee), CS Docket No. 01-348, </w:t>
      </w:r>
      <w:r>
        <w:rPr>
          <w:i/>
        </w:rPr>
        <w:t>Hearing Designation Order</w:t>
      </w:r>
      <w:r>
        <w:t xml:space="preserve">, 17 FCC Rcd 20559, 20586 ¶ 56 (2002) (discussing the Commission’s general spectrum management policies).  </w:t>
      </w:r>
    </w:p>
  </w:footnote>
  <w:footnote w:id="64">
    <w:p w:rsidR="00126C52" w:rsidRDefault="00126C52" w:rsidP="00C21C77">
      <w:pPr>
        <w:pStyle w:val="FootnoteText"/>
      </w:pPr>
      <w:r>
        <w:rPr>
          <w:rStyle w:val="FootnoteReference"/>
        </w:rPr>
        <w:footnoteRef/>
      </w:r>
      <w:r>
        <w:t xml:space="preserve"> </w:t>
      </w:r>
      <w:r w:rsidRPr="00863FB9">
        <w:rPr>
          <w:i/>
        </w:rPr>
        <w:t>See</w:t>
      </w:r>
      <w:r>
        <w:rPr>
          <w:i/>
        </w:rPr>
        <w:t xml:space="preserve">, e.g., </w:t>
      </w:r>
      <w:r w:rsidRPr="00CF7D98">
        <w:rPr>
          <w:i/>
        </w:rPr>
        <w:t>AT&amp;T-WCS Order</w:t>
      </w:r>
      <w:r>
        <w:t>, 27 FCC Rcd at 16472</w:t>
      </w:r>
      <w:r>
        <w:rPr>
          <w:iCs/>
        </w:rPr>
        <w:t xml:space="preserve"> ¶ 34;</w:t>
      </w:r>
      <w:r>
        <w:t xml:space="preserve"> </w:t>
      </w:r>
      <w:r w:rsidRPr="00CF3D83">
        <w:rPr>
          <w:i/>
        </w:rPr>
        <w:t>Verizon Wireless-SpectrumCo Order</w:t>
      </w:r>
      <w:r>
        <w:t xml:space="preserve">, 27 FCC Rcd at 10725 ¶ 72; Applications of Comcast Corporation, General Electric Company and NBC Universal, Inc. for Consent To Assign Licenses and Transfer Control of Licenses, MB Docket No. 10-56, </w:t>
      </w:r>
      <w:r w:rsidRPr="00F8175B">
        <w:rPr>
          <w:i/>
        </w:rPr>
        <w:t>Memorandum Opinion and Order</w:t>
      </w:r>
      <w:r>
        <w:t xml:space="preserve">, 26 FCC Rcd 4238, 4252 </w:t>
      </w:r>
      <w:r w:rsidRPr="0055216B">
        <w:t>¶</w:t>
      </w:r>
      <w:r>
        <w:t xml:space="preserve"> 34 (2011).</w:t>
      </w:r>
    </w:p>
  </w:footnote>
  <w:footnote w:id="65">
    <w:p w:rsidR="00126C52" w:rsidRPr="00857D4D" w:rsidRDefault="00126C52" w:rsidP="00C21C77">
      <w:pPr>
        <w:pStyle w:val="FootnoteText"/>
        <w:rPr>
          <w:b/>
        </w:rPr>
      </w:pPr>
      <w:r>
        <w:rPr>
          <w:rStyle w:val="FootnoteReference"/>
        </w:rPr>
        <w:footnoteRef/>
      </w:r>
      <w:r>
        <w:t xml:space="preserve"> </w:t>
      </w:r>
      <w:r w:rsidRPr="00F8175B">
        <w:rPr>
          <w:i/>
        </w:rPr>
        <w:t>See, e.g.,</w:t>
      </w:r>
      <w:r>
        <w:t xml:space="preserve"> </w:t>
      </w:r>
      <w:r w:rsidRPr="00CF7D98">
        <w:rPr>
          <w:i/>
        </w:rPr>
        <w:t>AT&amp;T-WCS Order</w:t>
      </w:r>
      <w:r>
        <w:t>, 27 FCC Rcd at 16472</w:t>
      </w:r>
      <w:r>
        <w:rPr>
          <w:iCs/>
        </w:rPr>
        <w:t xml:space="preserve"> ¶ 34; </w:t>
      </w:r>
      <w:r>
        <w:rPr>
          <w:i/>
          <w:iCs/>
        </w:rPr>
        <w:t>Verizon Wireless-SpectrumCo Order</w:t>
      </w:r>
      <w:r>
        <w:t xml:space="preserve">, 27 FCC Rcd at </w:t>
      </w:r>
      <w:r w:rsidR="004F2394" w:rsidRPr="004F2394">
        <w:t>1072</w:t>
      </w:r>
      <w:r w:rsidR="004F2394">
        <w:t>6 ¶ 74 n.186.</w:t>
      </w:r>
    </w:p>
  </w:footnote>
  <w:footnote w:id="66">
    <w:p w:rsidR="00126C52" w:rsidRDefault="00126C52" w:rsidP="00C21C77">
      <w:pPr>
        <w:pStyle w:val="FootnoteText"/>
      </w:pPr>
      <w:r>
        <w:rPr>
          <w:rStyle w:val="FootnoteReference"/>
        </w:rPr>
        <w:footnoteRef/>
      </w:r>
      <w:r>
        <w:t xml:space="preserve"> </w:t>
      </w:r>
      <w:r w:rsidRPr="00B73594">
        <w:rPr>
          <w:i/>
        </w:rPr>
        <w:t>See, e.g.,</w:t>
      </w:r>
      <w:r>
        <w:t xml:space="preserve"> </w:t>
      </w:r>
      <w:r w:rsidRPr="00CF3D83">
        <w:rPr>
          <w:i/>
        </w:rPr>
        <w:t>Verizon Wireless-SpectrumCo Order</w:t>
      </w:r>
      <w:r>
        <w:t xml:space="preserve">, 27 FCC Rcd at 10724-25 </w:t>
      </w:r>
      <w:r w:rsidRPr="0055216B">
        <w:t>¶</w:t>
      </w:r>
      <w:r>
        <w:t xml:space="preserve"> 70; </w:t>
      </w:r>
      <w:r w:rsidRPr="00413F4F">
        <w:rPr>
          <w:i/>
        </w:rPr>
        <w:t>AT&amp;T-Qualcomm Order</w:t>
      </w:r>
      <w:r>
        <w:t>, 26 FCC Rcd at 17602 ¶ 31.</w:t>
      </w:r>
    </w:p>
  </w:footnote>
  <w:footnote w:id="67">
    <w:p w:rsidR="00126C52" w:rsidRDefault="00126C52" w:rsidP="00C21C77">
      <w:pPr>
        <w:pStyle w:val="FootnoteText"/>
      </w:pPr>
      <w:r>
        <w:rPr>
          <w:rStyle w:val="FootnoteReference"/>
        </w:rPr>
        <w:footnoteRef/>
      </w:r>
      <w:r>
        <w:t xml:space="preserve"> </w:t>
      </w:r>
      <w:r w:rsidRPr="00413F4F">
        <w:rPr>
          <w:i/>
        </w:rPr>
        <w:t>See, e.g.,</w:t>
      </w:r>
      <w:r>
        <w:t xml:space="preserve"> </w:t>
      </w:r>
      <w:r w:rsidRPr="00CF3D83">
        <w:rPr>
          <w:i/>
        </w:rPr>
        <w:t>Verizon Wireless-SpectrumCo Order</w:t>
      </w:r>
      <w:r>
        <w:t xml:space="preserve">, 27 FCC Rcd at 10724-25 </w:t>
      </w:r>
      <w:r w:rsidRPr="0055216B">
        <w:t>¶</w:t>
      </w:r>
      <w:r>
        <w:t xml:space="preserve"> 70.</w:t>
      </w:r>
    </w:p>
  </w:footnote>
  <w:footnote w:id="68">
    <w:p w:rsidR="00126C52" w:rsidRDefault="00126C52" w:rsidP="00C21C77">
      <w:pPr>
        <w:pStyle w:val="FootnoteText"/>
      </w:pPr>
      <w:r>
        <w:rPr>
          <w:rStyle w:val="FootnoteReference"/>
        </w:rPr>
        <w:footnoteRef/>
      </w:r>
      <w:r>
        <w:t xml:space="preserve"> </w:t>
      </w:r>
      <w:r w:rsidRPr="00CF7D98">
        <w:rPr>
          <w:i/>
        </w:rPr>
        <w:t>See</w:t>
      </w:r>
      <w:r>
        <w:rPr>
          <w:i/>
        </w:rPr>
        <w:t>,</w:t>
      </w:r>
      <w:r w:rsidRPr="00CF7D98">
        <w:rPr>
          <w:i/>
        </w:rPr>
        <w:t xml:space="preserve"> e.g.,</w:t>
      </w:r>
      <w:r>
        <w:t xml:space="preserve"> </w:t>
      </w:r>
      <w:r w:rsidRPr="00CF7D98">
        <w:rPr>
          <w:i/>
        </w:rPr>
        <w:t>AT&amp;T-WCS Order</w:t>
      </w:r>
      <w:r>
        <w:t>, 27 FCC Rcd at 16472</w:t>
      </w:r>
      <w:r>
        <w:rPr>
          <w:iCs/>
        </w:rPr>
        <w:t xml:space="preserve"> ¶ 34.  We derive market shares from our analysis of data compiled in our NRUF database.  We derive our measures of network coverage from Mosaik and U.S. Census data, and we obtain spectrum holdings from our licensing databases and the various applications.  </w:t>
      </w:r>
    </w:p>
  </w:footnote>
  <w:footnote w:id="69">
    <w:p w:rsidR="00126C52" w:rsidRDefault="00126C52" w:rsidP="006A04AE">
      <w:pPr>
        <w:pStyle w:val="FootnoteText"/>
      </w:pPr>
      <w:r>
        <w:rPr>
          <w:rStyle w:val="FootnoteReference"/>
        </w:rPr>
        <w:footnoteRef/>
      </w:r>
      <w:r>
        <w:t xml:space="preserve"> </w:t>
      </w:r>
      <w:r w:rsidRPr="0008082C">
        <w:rPr>
          <w:i/>
        </w:rPr>
        <w:t>See</w:t>
      </w:r>
      <w:r>
        <w:t xml:space="preserve"> </w:t>
      </w:r>
      <w:r w:rsidRPr="00413F4F">
        <w:rPr>
          <w:i/>
        </w:rPr>
        <w:t>AT&amp;T-Qualcomm Order</w:t>
      </w:r>
      <w:r>
        <w:t xml:space="preserve">, 26 FCC Rcd at 17608-11 </w:t>
      </w:r>
      <w:r w:rsidRPr="0055216B">
        <w:t>¶¶</w:t>
      </w:r>
      <w:r>
        <w:t xml:space="preserve"> 46-51. </w:t>
      </w:r>
    </w:p>
  </w:footnote>
  <w:footnote w:id="70">
    <w:p w:rsidR="00126C52" w:rsidRDefault="00126C52" w:rsidP="00696940">
      <w:pPr>
        <w:pStyle w:val="FootnoteText"/>
      </w:pPr>
      <w:r>
        <w:rPr>
          <w:rStyle w:val="FootnoteReference"/>
        </w:rPr>
        <w:footnoteRef/>
      </w:r>
      <w:r>
        <w:t xml:space="preserve"> </w:t>
      </w:r>
      <w:r w:rsidRPr="00B73594">
        <w:rPr>
          <w:i/>
        </w:rPr>
        <w:t>See, e.g.,</w:t>
      </w:r>
      <w:r>
        <w:t xml:space="preserve"> </w:t>
      </w:r>
      <w:r w:rsidRPr="00CF3D83">
        <w:rPr>
          <w:i/>
        </w:rPr>
        <w:t>Verizon Wireless-SpectrumCo Order</w:t>
      </w:r>
      <w:r>
        <w:t xml:space="preserve">, 27 FCC Rcd at 10724-27 </w:t>
      </w:r>
      <w:r w:rsidRPr="0055216B">
        <w:t>¶¶</w:t>
      </w:r>
      <w:r>
        <w:t xml:space="preserve"> 70-78. </w:t>
      </w:r>
    </w:p>
  </w:footnote>
  <w:footnote w:id="71">
    <w:p w:rsidR="00126C52" w:rsidRDefault="00126C52" w:rsidP="007312CD">
      <w:pPr>
        <w:pStyle w:val="FootnoteText"/>
      </w:pPr>
      <w:r>
        <w:rPr>
          <w:rStyle w:val="FootnoteReference"/>
        </w:rPr>
        <w:footnoteRef/>
      </w:r>
      <w:r>
        <w:t xml:space="preserve"> </w:t>
      </w:r>
      <w:r>
        <w:rPr>
          <w:i/>
          <w:iCs/>
        </w:rPr>
        <w:t>See, e.g.</w:t>
      </w:r>
      <w:r>
        <w:t xml:space="preserve">, Applications of AT&amp;T Inc. and Cellular South, Inc. For Consent To Assign Licenses Covering Parts of Alabama, Georgia, and Tennessee, ULS File Nos. 0005597386 and 0005597395, </w:t>
      </w:r>
      <w:r>
        <w:rPr>
          <w:i/>
        </w:rPr>
        <w:t>Memorandum Opinion and Order</w:t>
      </w:r>
      <w:r>
        <w:t>, DA 13-783, ¶ 7 (WTB rel. Aug. 20, 2013) (“</w:t>
      </w:r>
      <w:r>
        <w:rPr>
          <w:i/>
        </w:rPr>
        <w:t>AT&amp;T-CellSouth Order</w:t>
      </w:r>
      <w:r>
        <w:t xml:space="preserve">”); </w:t>
      </w:r>
      <w:r>
        <w:rPr>
          <w:i/>
        </w:rPr>
        <w:t xml:space="preserve">Alaska Wireless </w:t>
      </w:r>
      <w:r w:rsidRPr="006E2C3E">
        <w:rPr>
          <w:i/>
        </w:rPr>
        <w:t>Order</w:t>
      </w:r>
      <w:r>
        <w:t xml:space="preserve">, 28 FCC Rcd at 10446 ¶ 33; </w:t>
      </w:r>
      <w:r w:rsidRPr="00AA4CB1">
        <w:rPr>
          <w:i/>
        </w:rPr>
        <w:t>SoftBank-Sprint Order</w:t>
      </w:r>
      <w:r w:rsidRPr="00AA4CB1">
        <w:t xml:space="preserve">, </w:t>
      </w:r>
      <w:r w:rsidRPr="007312CD">
        <w:t>28 FCC Rcd at 9657 ¶ 36</w:t>
      </w:r>
      <w:r>
        <w:t xml:space="preserve">; </w:t>
      </w:r>
      <w:r w:rsidRPr="001F4FC2">
        <w:rPr>
          <w:i/>
        </w:rPr>
        <w:t>AT&amp;T-WCS Order</w:t>
      </w:r>
      <w:r>
        <w:t xml:space="preserve">, 27 FCC Rcd at 16468 </w:t>
      </w:r>
      <w:r w:rsidRPr="0055216B">
        <w:t>¶</w:t>
      </w:r>
      <w:r w:rsidRPr="004B6A33">
        <w:t xml:space="preserve"> </w:t>
      </w:r>
      <w:r>
        <w:t xml:space="preserve">23; </w:t>
      </w:r>
      <w:r>
        <w:rPr>
          <w:i/>
          <w:iCs/>
        </w:rPr>
        <w:t>Verizon Wireless-SpectrumCo Order</w:t>
      </w:r>
      <w:r>
        <w:t>, 27 FCC Rcd at 10718 ¶ 52.</w:t>
      </w:r>
    </w:p>
  </w:footnote>
  <w:footnote w:id="72">
    <w:p w:rsidR="00126C52" w:rsidRPr="00316A29" w:rsidRDefault="00126C52" w:rsidP="007312CD">
      <w:pPr>
        <w:pStyle w:val="FootnoteText"/>
      </w:pPr>
      <w:r w:rsidRPr="00316A29">
        <w:rPr>
          <w:rStyle w:val="FootnoteReference"/>
        </w:rPr>
        <w:footnoteRef/>
      </w:r>
      <w:r w:rsidRPr="00316A29">
        <w:t xml:space="preserve"> </w:t>
      </w:r>
      <w:r w:rsidRPr="00316A29">
        <w:rPr>
          <w:i/>
        </w:rPr>
        <w:t>See,</w:t>
      </w:r>
      <w:r w:rsidRPr="00316A29">
        <w:t xml:space="preserve"> </w:t>
      </w:r>
      <w:r w:rsidRPr="00316A29">
        <w:rPr>
          <w:i/>
        </w:rPr>
        <w:t>e.g.,</w:t>
      </w:r>
      <w:r w:rsidRPr="00316A29">
        <w:t xml:space="preserve"> </w:t>
      </w:r>
      <w:r>
        <w:rPr>
          <w:i/>
        </w:rPr>
        <w:t>AT&amp;T-CellSouth Order</w:t>
      </w:r>
      <w:r>
        <w:t>, DA 13-1783, at ¶ 8;</w:t>
      </w:r>
      <w:r>
        <w:rPr>
          <w:i/>
        </w:rPr>
        <w:t xml:space="preserve"> Alaska Wireless </w:t>
      </w:r>
      <w:r w:rsidRPr="006E2C3E">
        <w:rPr>
          <w:i/>
        </w:rPr>
        <w:t>Order</w:t>
      </w:r>
      <w:r>
        <w:t xml:space="preserve">, 28 FCC Rcd at 10447 ¶ 35; </w:t>
      </w:r>
      <w:r w:rsidRPr="00AA4CB1">
        <w:rPr>
          <w:i/>
        </w:rPr>
        <w:t>SoftBank-Sprint Order</w:t>
      </w:r>
      <w:r w:rsidRPr="00AA4CB1">
        <w:t xml:space="preserve">, </w:t>
      </w:r>
      <w:r w:rsidRPr="007312CD">
        <w:t>28 FCC Rcd at 9657 ¶ 37</w:t>
      </w:r>
      <w:r>
        <w:t xml:space="preserve">; </w:t>
      </w:r>
      <w:r w:rsidRPr="00316A29">
        <w:rPr>
          <w:i/>
          <w:iCs/>
        </w:rPr>
        <w:t>AT&amp;T-WCS Order</w:t>
      </w:r>
      <w:r w:rsidRPr="00316A29">
        <w:rPr>
          <w:iCs/>
        </w:rPr>
        <w:t xml:space="preserve">, </w:t>
      </w:r>
      <w:r>
        <w:t>27 FCC Rcd at 16468</w:t>
      </w:r>
      <w:r w:rsidRPr="00316A29">
        <w:rPr>
          <w:iCs/>
        </w:rPr>
        <w:t xml:space="preserve"> ¶ 24; </w:t>
      </w:r>
      <w:r w:rsidRPr="00316A29">
        <w:rPr>
          <w:i/>
          <w:iCs/>
        </w:rPr>
        <w:t>Verizon Wireless-SpectrumCo Order</w:t>
      </w:r>
      <w:r>
        <w:t>, 27 FCC Rcd at 10717</w:t>
      </w:r>
      <w:r w:rsidRPr="00316A29">
        <w:t xml:space="preserve"> ¶ 53</w:t>
      </w:r>
      <w:r>
        <w:t>.</w:t>
      </w:r>
      <w:r w:rsidRPr="00316A29">
        <w:t xml:space="preserve">  </w:t>
      </w:r>
    </w:p>
  </w:footnote>
  <w:footnote w:id="73">
    <w:p w:rsidR="00126C52" w:rsidRDefault="00126C52" w:rsidP="007C1D22">
      <w:pPr>
        <w:pStyle w:val="FootnoteText"/>
      </w:pPr>
      <w:r>
        <w:rPr>
          <w:rStyle w:val="FootnoteReference"/>
        </w:rPr>
        <w:footnoteRef/>
      </w:r>
      <w:r>
        <w:t xml:space="preserve"> </w:t>
      </w:r>
      <w:r w:rsidRPr="00316A29">
        <w:rPr>
          <w:i/>
        </w:rPr>
        <w:t>See,</w:t>
      </w:r>
      <w:r w:rsidRPr="00316A29">
        <w:t xml:space="preserve"> </w:t>
      </w:r>
      <w:r w:rsidRPr="00316A29">
        <w:rPr>
          <w:i/>
        </w:rPr>
        <w:t>e.g.,</w:t>
      </w:r>
      <w:r w:rsidRPr="00316A29">
        <w:t xml:space="preserve"> </w:t>
      </w:r>
      <w:r>
        <w:rPr>
          <w:i/>
        </w:rPr>
        <w:t>AT&amp;T-CellSouth Order</w:t>
      </w:r>
      <w:r>
        <w:t>, DA 13-1783, at ¶ 8;</w:t>
      </w:r>
      <w:r>
        <w:rPr>
          <w:i/>
        </w:rPr>
        <w:t xml:space="preserve"> Alaska Wireless </w:t>
      </w:r>
      <w:r w:rsidRPr="006E2C3E">
        <w:rPr>
          <w:i/>
        </w:rPr>
        <w:t>Order</w:t>
      </w:r>
      <w:r>
        <w:t xml:space="preserve">, 28 FCC Rcd at 10447-48 ¶ 36; </w:t>
      </w:r>
      <w:r w:rsidRPr="00AA4CB1">
        <w:rPr>
          <w:i/>
        </w:rPr>
        <w:t>SoftBank-Sprint Order</w:t>
      </w:r>
      <w:r w:rsidRPr="00AA4CB1">
        <w:t xml:space="preserve">, </w:t>
      </w:r>
      <w:r w:rsidRPr="007C1D22">
        <w:t>28 FCC Rcd at 9657 ¶ 38</w:t>
      </w:r>
      <w:r>
        <w:t xml:space="preserve">; </w:t>
      </w:r>
      <w:r w:rsidRPr="00316A29">
        <w:rPr>
          <w:i/>
          <w:iCs/>
        </w:rPr>
        <w:t>AT&amp;T-WCS Order</w:t>
      </w:r>
      <w:r w:rsidRPr="00316A29">
        <w:rPr>
          <w:iCs/>
        </w:rPr>
        <w:t xml:space="preserve">, </w:t>
      </w:r>
      <w:r>
        <w:t>27 FCC Rcd at 16468</w:t>
      </w:r>
      <w:r w:rsidRPr="00316A29">
        <w:rPr>
          <w:iCs/>
        </w:rPr>
        <w:t xml:space="preserve"> ¶ 24; </w:t>
      </w:r>
      <w:r w:rsidRPr="00316A29">
        <w:rPr>
          <w:i/>
          <w:iCs/>
        </w:rPr>
        <w:t>Verizon Wireless-SpectrumCo Order</w:t>
      </w:r>
      <w:r>
        <w:t>, 27 FCC Rcd at 10717 ¶ 54.</w:t>
      </w:r>
      <w:r w:rsidRPr="00316A29">
        <w:t xml:space="preserve">  </w:t>
      </w:r>
    </w:p>
  </w:footnote>
  <w:footnote w:id="74">
    <w:p w:rsidR="00126C52" w:rsidRDefault="00126C52" w:rsidP="00C21C77">
      <w:pPr>
        <w:pStyle w:val="FootnoteText"/>
      </w:pPr>
      <w:r>
        <w:rPr>
          <w:rStyle w:val="FootnoteReference"/>
        </w:rPr>
        <w:footnoteRef/>
      </w:r>
      <w:r>
        <w:t xml:space="preserve"> </w:t>
      </w:r>
      <w:r w:rsidRPr="00715E70">
        <w:rPr>
          <w:i/>
        </w:rPr>
        <w:t>See</w:t>
      </w:r>
      <w:r>
        <w:t xml:space="preserve"> Public Interest Statement at 17.  The Applicants also note that the Commission has stated that where competitive harms are unlikely in any local market involved in the transaction, the transaction is unlikely to result in an increase in prices that are set on a nationwide basis.  </w:t>
      </w:r>
      <w:r w:rsidRPr="00715E70">
        <w:rPr>
          <w:i/>
        </w:rPr>
        <w:t>Id.</w:t>
      </w:r>
    </w:p>
  </w:footnote>
  <w:footnote w:id="75">
    <w:p w:rsidR="00126C52" w:rsidRDefault="00126C52" w:rsidP="00C21C77">
      <w:pPr>
        <w:pStyle w:val="FootnoteText"/>
      </w:pPr>
      <w:r>
        <w:rPr>
          <w:rStyle w:val="FootnoteReference"/>
        </w:rPr>
        <w:footnoteRef/>
      </w:r>
      <w:r>
        <w:t xml:space="preserve"> </w:t>
      </w:r>
      <w:r w:rsidRPr="00715E70">
        <w:rPr>
          <w:i/>
        </w:rPr>
        <w:t>See</w:t>
      </w:r>
      <w:r>
        <w:t xml:space="preserve"> </w:t>
      </w:r>
      <w:r>
        <w:rPr>
          <w:i/>
        </w:rPr>
        <w:t>id.</w:t>
      </w:r>
      <w:r>
        <w:t xml:space="preserve"> at 18.</w:t>
      </w:r>
    </w:p>
  </w:footnote>
  <w:footnote w:id="76">
    <w:p w:rsidR="00126C52" w:rsidRPr="00316A29" w:rsidRDefault="00126C52" w:rsidP="00C56943">
      <w:pPr>
        <w:pStyle w:val="FootnoteText"/>
      </w:pPr>
      <w:r w:rsidRPr="00316A29">
        <w:rPr>
          <w:rStyle w:val="FootnoteReference"/>
        </w:rPr>
        <w:footnoteRef/>
      </w:r>
      <w:r w:rsidRPr="00316A29">
        <w:t xml:space="preserve"> </w:t>
      </w:r>
      <w:r w:rsidRPr="00316A29">
        <w:rPr>
          <w:i/>
        </w:rPr>
        <w:t xml:space="preserve">See, e.g., </w:t>
      </w:r>
      <w:r>
        <w:rPr>
          <w:i/>
        </w:rPr>
        <w:t xml:space="preserve">Alaska Wireless </w:t>
      </w:r>
      <w:r w:rsidRPr="006E2C3E">
        <w:rPr>
          <w:i/>
        </w:rPr>
        <w:t>Order</w:t>
      </w:r>
      <w:r>
        <w:t xml:space="preserve">, 28 FCC Rcd at 10447 ¶ 36; </w:t>
      </w:r>
      <w:r w:rsidRPr="00AA4CB1">
        <w:rPr>
          <w:i/>
        </w:rPr>
        <w:t>SoftBank-Sprint Order</w:t>
      </w:r>
      <w:r w:rsidRPr="00AA4CB1">
        <w:t xml:space="preserve">, </w:t>
      </w:r>
      <w:r w:rsidRPr="00C56943">
        <w:t>28 FCC Rcd at 9657 ¶ 38</w:t>
      </w:r>
      <w:r>
        <w:t xml:space="preserve">; </w:t>
      </w:r>
      <w:r w:rsidRPr="00316A29">
        <w:rPr>
          <w:i/>
          <w:iCs/>
        </w:rPr>
        <w:t>AT&amp;T-WCS Order</w:t>
      </w:r>
      <w:r w:rsidRPr="00316A29">
        <w:rPr>
          <w:iCs/>
        </w:rPr>
        <w:t xml:space="preserve">, </w:t>
      </w:r>
      <w:r>
        <w:t>27 FCC Rcd at 16468</w:t>
      </w:r>
      <w:r w:rsidRPr="00316A29">
        <w:rPr>
          <w:iCs/>
        </w:rPr>
        <w:t xml:space="preserve"> ¶ 25; </w:t>
      </w:r>
      <w:r w:rsidRPr="00316A29">
        <w:rPr>
          <w:i/>
          <w:iCs/>
        </w:rPr>
        <w:t>Verizon Wireless-SpectrumCo Order</w:t>
      </w:r>
      <w:r>
        <w:t>, 27 FCC Rcd at 10718</w:t>
      </w:r>
      <w:r w:rsidRPr="00316A29">
        <w:t xml:space="preserve"> ¶ 54.  </w:t>
      </w:r>
    </w:p>
  </w:footnote>
  <w:footnote w:id="77">
    <w:p w:rsidR="00126C52" w:rsidRPr="00316A29" w:rsidRDefault="00126C52" w:rsidP="00C56943">
      <w:pPr>
        <w:pStyle w:val="FootnoteText"/>
      </w:pPr>
      <w:r w:rsidRPr="00316A29">
        <w:rPr>
          <w:rStyle w:val="FootnoteReference"/>
        </w:rPr>
        <w:footnoteRef/>
      </w:r>
      <w:r w:rsidRPr="00316A29">
        <w:t xml:space="preserve"> </w:t>
      </w:r>
      <w:r w:rsidRPr="00316A29">
        <w:rPr>
          <w:i/>
          <w:iCs/>
        </w:rPr>
        <w:t>See, e.g.</w:t>
      </w:r>
      <w:r w:rsidRPr="00316A29">
        <w:t xml:space="preserve">, </w:t>
      </w:r>
      <w:r>
        <w:rPr>
          <w:i/>
        </w:rPr>
        <w:t xml:space="preserve">Alaska Wireless </w:t>
      </w:r>
      <w:r w:rsidRPr="006E2C3E">
        <w:rPr>
          <w:i/>
        </w:rPr>
        <w:t>Order</w:t>
      </w:r>
      <w:r>
        <w:t xml:space="preserve">, 28 FCC Rcd at 10448 ¶ 37; </w:t>
      </w:r>
      <w:r w:rsidRPr="00AA4CB1">
        <w:rPr>
          <w:i/>
        </w:rPr>
        <w:t>SoftBank-Sprint Order</w:t>
      </w:r>
      <w:r w:rsidRPr="00AA4CB1">
        <w:t xml:space="preserve">, </w:t>
      </w:r>
      <w:r w:rsidRPr="00C56943">
        <w:t>28 FCC Rcd at 9657 ¶ 38</w:t>
      </w:r>
      <w:r>
        <w:t xml:space="preserve">; </w:t>
      </w:r>
      <w:r w:rsidRPr="00316A29">
        <w:rPr>
          <w:i/>
          <w:iCs/>
        </w:rPr>
        <w:t>AT&amp;T-WCS Order</w:t>
      </w:r>
      <w:r w:rsidRPr="00316A29">
        <w:rPr>
          <w:iCs/>
        </w:rPr>
        <w:t xml:space="preserve">, </w:t>
      </w:r>
      <w:r w:rsidRPr="00316A29">
        <w:t>27 FCC Rcd at 16469</w:t>
      </w:r>
      <w:r w:rsidRPr="00316A29">
        <w:rPr>
          <w:iCs/>
        </w:rPr>
        <w:t xml:space="preserve"> ¶ 26; </w:t>
      </w:r>
      <w:r w:rsidRPr="00316A29">
        <w:rPr>
          <w:i/>
        </w:rPr>
        <w:t>Verizon Wireless-SpectrumCo Order</w:t>
      </w:r>
      <w:r>
        <w:t>, 27 FCC Rcd at 10718</w:t>
      </w:r>
      <w:r w:rsidRPr="00316A29">
        <w:t xml:space="preserve"> ¶ 56</w:t>
      </w:r>
      <w:r>
        <w:t xml:space="preserve">.  </w:t>
      </w:r>
      <w:r w:rsidRPr="00B7122F">
        <w:rPr>
          <w:i/>
        </w:rPr>
        <w:t>S</w:t>
      </w:r>
      <w:r w:rsidRPr="00316A29">
        <w:rPr>
          <w:i/>
          <w:iCs/>
        </w:rPr>
        <w:t xml:space="preserve">ee also </w:t>
      </w:r>
      <w:r w:rsidRPr="00316A29">
        <w:rPr>
          <w:i/>
        </w:rPr>
        <w:t xml:space="preserve">Sixteenth Annual </w:t>
      </w:r>
      <w:r>
        <w:rPr>
          <w:i/>
        </w:rPr>
        <w:t xml:space="preserve">Mobile Wireless </w:t>
      </w:r>
      <w:r w:rsidRPr="00316A29">
        <w:rPr>
          <w:i/>
        </w:rPr>
        <w:t xml:space="preserve">Competition Report, </w:t>
      </w:r>
      <w:r>
        <w:t>28 FCC Rcd at 3735</w:t>
      </w:r>
      <w:r w:rsidRPr="00316A29">
        <w:t xml:space="preserve"> ¶¶ 22-23.</w:t>
      </w:r>
    </w:p>
  </w:footnote>
  <w:footnote w:id="78">
    <w:p w:rsidR="00126C52" w:rsidRDefault="00126C52" w:rsidP="00C21C77">
      <w:pPr>
        <w:pStyle w:val="FootnoteText"/>
      </w:pPr>
      <w:r>
        <w:rPr>
          <w:rStyle w:val="FootnoteReference"/>
        </w:rPr>
        <w:footnoteRef/>
      </w:r>
      <w:r>
        <w:t xml:space="preserve"> </w:t>
      </w:r>
      <w:r w:rsidRPr="00FB11EA">
        <w:rPr>
          <w:i/>
        </w:rPr>
        <w:t>See, e.g.,</w:t>
      </w:r>
      <w:r>
        <w:t xml:space="preserve"> </w:t>
      </w:r>
      <w:r>
        <w:rPr>
          <w:i/>
        </w:rPr>
        <w:t xml:space="preserve">Alaska Wireless </w:t>
      </w:r>
      <w:r w:rsidRPr="006E2C3E">
        <w:rPr>
          <w:i/>
        </w:rPr>
        <w:t>Order</w:t>
      </w:r>
      <w:r>
        <w:t xml:space="preserve">, 28 FCC Rcd at 10448 ¶ 37; </w:t>
      </w:r>
      <w:r w:rsidRPr="00316A29">
        <w:rPr>
          <w:i/>
          <w:iCs/>
        </w:rPr>
        <w:t>AT&amp;T-WCS Order</w:t>
      </w:r>
      <w:r w:rsidRPr="00316A29">
        <w:rPr>
          <w:iCs/>
        </w:rPr>
        <w:t xml:space="preserve">, </w:t>
      </w:r>
      <w:r>
        <w:t>27 FCC Rcd at 16469</w:t>
      </w:r>
      <w:r w:rsidRPr="00316A29">
        <w:rPr>
          <w:iCs/>
        </w:rPr>
        <w:t xml:space="preserve"> ¶ 26; </w:t>
      </w:r>
      <w:r w:rsidRPr="00316A29">
        <w:rPr>
          <w:i/>
          <w:iCs/>
        </w:rPr>
        <w:t>Verizon Wireless-SpectrumCo Order</w:t>
      </w:r>
      <w:r>
        <w:t>, 27 FCC Rcd at 10718 ¶ 56.</w:t>
      </w:r>
    </w:p>
  </w:footnote>
  <w:footnote w:id="79">
    <w:p w:rsidR="00126C52" w:rsidRDefault="00126C52" w:rsidP="00C21C77">
      <w:pPr>
        <w:pStyle w:val="FootnoteText"/>
      </w:pPr>
      <w:r>
        <w:rPr>
          <w:rStyle w:val="FootnoteReference"/>
        </w:rPr>
        <w:footnoteRef/>
      </w:r>
      <w:r>
        <w:t xml:space="preserve"> </w:t>
      </w:r>
      <w:r w:rsidRPr="00FB11EA">
        <w:rPr>
          <w:i/>
        </w:rPr>
        <w:t>See, e.g.,</w:t>
      </w:r>
      <w:r>
        <w:t xml:space="preserve"> </w:t>
      </w:r>
      <w:r>
        <w:rPr>
          <w:i/>
        </w:rPr>
        <w:t xml:space="preserve">Alaska Wireless </w:t>
      </w:r>
      <w:r w:rsidRPr="006E2C3E">
        <w:rPr>
          <w:i/>
        </w:rPr>
        <w:t>Order</w:t>
      </w:r>
      <w:r>
        <w:t xml:space="preserve">, 28 FCC Rcd at 10448; </w:t>
      </w:r>
      <w:r w:rsidRPr="00316A29">
        <w:rPr>
          <w:i/>
          <w:iCs/>
        </w:rPr>
        <w:t>AT&amp;T-WCS Order</w:t>
      </w:r>
      <w:r w:rsidRPr="00316A29">
        <w:rPr>
          <w:iCs/>
        </w:rPr>
        <w:t xml:space="preserve">, </w:t>
      </w:r>
      <w:r>
        <w:t>27 FCC Rcd at 16469</w:t>
      </w:r>
      <w:r w:rsidRPr="00316A29">
        <w:rPr>
          <w:iCs/>
        </w:rPr>
        <w:t xml:space="preserve"> ¶ 26; </w:t>
      </w:r>
      <w:r w:rsidRPr="00316A29">
        <w:rPr>
          <w:i/>
          <w:iCs/>
        </w:rPr>
        <w:t>Verizon Wireless-SpectrumCo Order</w:t>
      </w:r>
      <w:r>
        <w:t>, 27 FCC Rcd at 10718 ¶ 56.</w:t>
      </w:r>
    </w:p>
  </w:footnote>
  <w:footnote w:id="80">
    <w:p w:rsidR="00126C52" w:rsidRDefault="00126C52" w:rsidP="00C21C77">
      <w:pPr>
        <w:pStyle w:val="FootnoteText"/>
      </w:pPr>
      <w:r>
        <w:rPr>
          <w:rStyle w:val="FootnoteReference"/>
        </w:rPr>
        <w:footnoteRef/>
      </w:r>
      <w:r>
        <w:t xml:space="preserve"> </w:t>
      </w:r>
      <w:r w:rsidRPr="00FB11EA">
        <w:rPr>
          <w:i/>
        </w:rPr>
        <w:t>See, e.g.,</w:t>
      </w:r>
      <w:r>
        <w:t xml:space="preserve"> </w:t>
      </w:r>
      <w:r w:rsidRPr="00316A29">
        <w:rPr>
          <w:i/>
          <w:iCs/>
        </w:rPr>
        <w:t>AT&amp;T-WCS Order</w:t>
      </w:r>
      <w:r w:rsidRPr="00316A29">
        <w:rPr>
          <w:iCs/>
        </w:rPr>
        <w:t xml:space="preserve">, </w:t>
      </w:r>
      <w:r>
        <w:t>27 FCC Rcd at 16469</w:t>
      </w:r>
      <w:r>
        <w:rPr>
          <w:iCs/>
        </w:rPr>
        <w:t xml:space="preserve"> ¶ 27</w:t>
      </w:r>
      <w:r w:rsidRPr="00316A29">
        <w:rPr>
          <w:iCs/>
        </w:rPr>
        <w:t xml:space="preserve">; </w:t>
      </w:r>
      <w:r w:rsidRPr="00316A29">
        <w:rPr>
          <w:i/>
          <w:iCs/>
        </w:rPr>
        <w:t>Verizon Wireless-SpectrumCo Order</w:t>
      </w:r>
      <w:r>
        <w:t xml:space="preserve">, 27 FCC Rcd at 10718-19 ¶ 57; </w:t>
      </w:r>
      <w:r w:rsidRPr="00525670">
        <w:rPr>
          <w:i/>
        </w:rPr>
        <w:t>AT&amp;T-Qualcomm Order</w:t>
      </w:r>
      <w:r>
        <w:t xml:space="preserve">, 26 FCC Rcd at 17604-05 ¶¶ 34-37.  </w:t>
      </w:r>
    </w:p>
  </w:footnote>
  <w:footnote w:id="81">
    <w:p w:rsidR="00126C52" w:rsidRDefault="00126C52" w:rsidP="00696940">
      <w:pPr>
        <w:pStyle w:val="FootnoteText"/>
      </w:pPr>
      <w:r>
        <w:rPr>
          <w:rStyle w:val="FootnoteReference"/>
        </w:rPr>
        <w:footnoteRef/>
      </w:r>
      <w:r>
        <w:t xml:space="preserve"> In total, there are 3248 counties and </w:t>
      </w:r>
      <w:r w:rsidR="00392819">
        <w:t xml:space="preserve">734 CMAs in the United States, </w:t>
      </w:r>
      <w:r>
        <w:t>including Puerto Rico and the U.S. Virgin Islands.</w:t>
      </w:r>
    </w:p>
  </w:footnote>
  <w:footnote w:id="82">
    <w:p w:rsidR="00126C52" w:rsidRPr="00316A29" w:rsidRDefault="00126C52" w:rsidP="00E40C8F">
      <w:pPr>
        <w:pStyle w:val="FootnoteText"/>
      </w:pPr>
      <w:r w:rsidRPr="00316A29">
        <w:rPr>
          <w:rStyle w:val="FootnoteReference"/>
        </w:rPr>
        <w:footnoteRef/>
      </w:r>
      <w:r w:rsidRPr="00316A29">
        <w:t xml:space="preserve"> </w:t>
      </w:r>
      <w:r w:rsidRPr="00316A29">
        <w:rPr>
          <w:i/>
        </w:rPr>
        <w:t xml:space="preserve">See, e.g., </w:t>
      </w:r>
      <w:r>
        <w:rPr>
          <w:i/>
        </w:rPr>
        <w:t>AT&amp;T-CellSouth Order</w:t>
      </w:r>
      <w:r>
        <w:t>, DA 13-1783, at ¶ 9;</w:t>
      </w:r>
      <w:r>
        <w:rPr>
          <w:i/>
        </w:rPr>
        <w:t xml:space="preserve"> Alaska Wireless </w:t>
      </w:r>
      <w:r w:rsidRPr="006E2C3E">
        <w:rPr>
          <w:i/>
        </w:rPr>
        <w:t>Order</w:t>
      </w:r>
      <w:r>
        <w:t xml:space="preserve">, 28 FCC Rcd at 10448-49 ¶ 38; </w:t>
      </w:r>
      <w:r w:rsidRPr="00AA4CB1">
        <w:rPr>
          <w:i/>
        </w:rPr>
        <w:t>SoftBank-Sprint Order</w:t>
      </w:r>
      <w:r w:rsidRPr="00AA4CB1">
        <w:t xml:space="preserve">, </w:t>
      </w:r>
      <w:r w:rsidRPr="00E40C8F">
        <w:t>28 FCC Rcd at 9657-58 ¶ 39</w:t>
      </w:r>
      <w:r>
        <w:t xml:space="preserve">; </w:t>
      </w:r>
      <w:r w:rsidRPr="00316A29">
        <w:rPr>
          <w:i/>
          <w:iCs/>
        </w:rPr>
        <w:t>AT&amp;T-WCS Order</w:t>
      </w:r>
      <w:r w:rsidRPr="00316A29">
        <w:rPr>
          <w:iCs/>
        </w:rPr>
        <w:t xml:space="preserve">, </w:t>
      </w:r>
      <w:r>
        <w:t>27 FCC Rcd at 16469-70</w:t>
      </w:r>
      <w:r w:rsidRPr="00316A29">
        <w:rPr>
          <w:iCs/>
        </w:rPr>
        <w:t xml:space="preserve"> ¶</w:t>
      </w:r>
      <w:r>
        <w:rPr>
          <w:iCs/>
        </w:rPr>
        <w:t> </w:t>
      </w:r>
      <w:r w:rsidRPr="00316A29">
        <w:rPr>
          <w:iCs/>
        </w:rPr>
        <w:t>29;</w:t>
      </w:r>
      <w:r w:rsidRPr="00316A29">
        <w:rPr>
          <w:i/>
        </w:rPr>
        <w:t xml:space="preserve"> </w:t>
      </w:r>
      <w:r w:rsidRPr="00316A29">
        <w:rPr>
          <w:i/>
          <w:iCs/>
        </w:rPr>
        <w:t xml:space="preserve">Verizon Wireless-SpectrumCo Order, </w:t>
      </w:r>
      <w:r>
        <w:rPr>
          <w:iCs/>
        </w:rPr>
        <w:t>27 FCC Rcd at 10719</w:t>
      </w:r>
      <w:r w:rsidRPr="00316A29">
        <w:rPr>
          <w:iCs/>
        </w:rPr>
        <w:t xml:space="preserve"> ¶ 59.</w:t>
      </w:r>
    </w:p>
  </w:footnote>
  <w:footnote w:id="83">
    <w:p w:rsidR="00126C52" w:rsidRPr="00316A29" w:rsidRDefault="00126C52" w:rsidP="0011781B">
      <w:pPr>
        <w:spacing w:after="120"/>
      </w:pPr>
      <w:r w:rsidRPr="00316A29">
        <w:rPr>
          <w:rStyle w:val="FootnoteReference"/>
        </w:rPr>
        <w:footnoteRef/>
      </w:r>
      <w:r w:rsidRPr="00316A29">
        <w:t xml:space="preserve"> </w:t>
      </w:r>
      <w:r w:rsidRPr="00316A29">
        <w:rPr>
          <w:i/>
          <w:kern w:val="0"/>
          <w:sz w:val="20"/>
        </w:rPr>
        <w:t>See, e.g.</w:t>
      </w:r>
      <w:r w:rsidRPr="00316A29">
        <w:rPr>
          <w:kern w:val="0"/>
          <w:sz w:val="20"/>
        </w:rPr>
        <w:t xml:space="preserve">, </w:t>
      </w:r>
      <w:r>
        <w:rPr>
          <w:i/>
          <w:sz w:val="20"/>
        </w:rPr>
        <w:t>Alaska Wireless Order</w:t>
      </w:r>
      <w:r>
        <w:rPr>
          <w:sz w:val="20"/>
        </w:rPr>
        <w:t xml:space="preserve">, 28 FCC Rcd at 10449 ¶ 38; </w:t>
      </w:r>
      <w:r>
        <w:rPr>
          <w:i/>
          <w:sz w:val="20"/>
        </w:rPr>
        <w:t>SoftBank-Sprint Order</w:t>
      </w:r>
      <w:r w:rsidR="00E979D5">
        <w:rPr>
          <w:sz w:val="20"/>
        </w:rPr>
        <w:t>, 28 FCC Rcd at 9657-58 ¶ </w:t>
      </w:r>
      <w:r>
        <w:rPr>
          <w:sz w:val="20"/>
        </w:rPr>
        <w:t xml:space="preserve">39; Sprint Nextel Corporation and Clearwire Corporation Applications for Consent To Transfer Control of Licenses, Leases, and Authorizations, WT Docket No. 08-94, </w:t>
      </w:r>
      <w:r>
        <w:rPr>
          <w:i/>
          <w:sz w:val="20"/>
        </w:rPr>
        <w:t>Memorandum Opinion and Order</w:t>
      </w:r>
      <w:r>
        <w:rPr>
          <w:sz w:val="20"/>
        </w:rPr>
        <w:t>, 23 FCC Rcd 17570, 17591-92 ¶ 53 (2008)</w:t>
      </w:r>
      <w:r w:rsidRPr="00316A29">
        <w:rPr>
          <w:kern w:val="0"/>
          <w:sz w:val="20"/>
        </w:rPr>
        <w:t>.</w:t>
      </w:r>
      <w:r w:rsidRPr="00316A29">
        <w:rPr>
          <w:color w:val="000000"/>
          <w:sz w:val="20"/>
        </w:rPr>
        <w:t xml:space="preserve">  </w:t>
      </w:r>
    </w:p>
  </w:footnote>
  <w:footnote w:id="84">
    <w:p w:rsidR="00126C52" w:rsidRPr="00316A29" w:rsidRDefault="00126C52" w:rsidP="00C84CA4">
      <w:pPr>
        <w:pStyle w:val="FootnoteText"/>
      </w:pPr>
      <w:r w:rsidRPr="00316A29">
        <w:rPr>
          <w:rStyle w:val="FootnoteReference"/>
        </w:rPr>
        <w:footnoteRef/>
      </w:r>
      <w:r w:rsidRPr="00316A29">
        <w:t xml:space="preserve"> </w:t>
      </w:r>
      <w:r>
        <w:rPr>
          <w:i/>
        </w:rPr>
        <w:t>See, e.g., AT&amp;T-CellSouth Order</w:t>
      </w:r>
      <w:r>
        <w:t>, DA 13-1783, at ¶ 9;</w:t>
      </w:r>
      <w:r>
        <w:rPr>
          <w:i/>
        </w:rPr>
        <w:t xml:space="preserve"> Alaska Wireless </w:t>
      </w:r>
      <w:r w:rsidRPr="006E2C3E">
        <w:rPr>
          <w:i/>
        </w:rPr>
        <w:t>Order</w:t>
      </w:r>
      <w:r>
        <w:t xml:space="preserve">, 28 FCC Rcd at 10449 ¶ 38; </w:t>
      </w:r>
      <w:r w:rsidRPr="00AA4CB1">
        <w:rPr>
          <w:i/>
        </w:rPr>
        <w:t>SoftBank-Sprint Order</w:t>
      </w:r>
      <w:r w:rsidRPr="00AA4CB1">
        <w:t xml:space="preserve"> </w:t>
      </w:r>
      <w:r w:rsidRPr="00C84CA4">
        <w:t>28 FCC Rcd, at 9658 ¶ 39</w:t>
      </w:r>
      <w:r>
        <w:t xml:space="preserve">; </w:t>
      </w:r>
      <w:r w:rsidRPr="00316A29">
        <w:rPr>
          <w:i/>
        </w:rPr>
        <w:t>AT&amp;T-WCS Order</w:t>
      </w:r>
      <w:r w:rsidRPr="00316A29">
        <w:t>, 27 FCC Rcd at 16470-71 ¶ 31.</w:t>
      </w:r>
    </w:p>
  </w:footnote>
  <w:footnote w:id="85">
    <w:p w:rsidR="00126C52" w:rsidRDefault="00126C52">
      <w:pPr>
        <w:pStyle w:val="FootnoteText"/>
      </w:pPr>
      <w:r>
        <w:rPr>
          <w:rStyle w:val="FootnoteReference"/>
        </w:rPr>
        <w:footnoteRef/>
      </w:r>
      <w:r>
        <w:t xml:space="preserve"> As discussed in the next section, certain parties did request changes to the screen other than which bands are included.</w:t>
      </w:r>
    </w:p>
  </w:footnote>
  <w:footnote w:id="86">
    <w:p w:rsidR="00126C52" w:rsidRDefault="00126C52" w:rsidP="0011781B">
      <w:pPr>
        <w:pStyle w:val="FootnoteText"/>
      </w:pPr>
      <w:r>
        <w:rPr>
          <w:rStyle w:val="FootnoteReference"/>
        </w:rPr>
        <w:footnoteRef/>
      </w:r>
      <w:r>
        <w:t xml:space="preserve"> </w:t>
      </w:r>
      <w:r w:rsidRPr="00E12BA9">
        <w:rPr>
          <w:i/>
        </w:rPr>
        <w:t>See generally</w:t>
      </w:r>
      <w:r>
        <w:t xml:space="preserve"> Policies Regarding Mobile Spectrum Holdings, WT Docket No. 12-269, </w:t>
      </w:r>
      <w:r w:rsidRPr="00E12BA9">
        <w:rPr>
          <w:i/>
        </w:rPr>
        <w:t>Notice of Proposed Rulemaking</w:t>
      </w:r>
      <w:r>
        <w:t>, 27 FCC Rcd 11710 (2012) (“</w:t>
      </w:r>
      <w:r w:rsidRPr="00E12BA9">
        <w:rPr>
          <w:i/>
        </w:rPr>
        <w:t>Mobile Spectrum Holdings NPRM</w:t>
      </w:r>
      <w:r>
        <w:t xml:space="preserve">”).  </w:t>
      </w:r>
      <w:r w:rsidRPr="00807FB6">
        <w:t xml:space="preserve">In the </w:t>
      </w:r>
      <w:r w:rsidRPr="00807FB6">
        <w:rPr>
          <w:i/>
        </w:rPr>
        <w:t>Mobile Spectrum Holdings NPRM</w:t>
      </w:r>
      <w:r w:rsidRPr="00807FB6">
        <w:t>, the Commission noted that during the pendency of the rulemaking proceeding, it would continue to apply its current case-by-case approach to evaluate mobile spectrum holdings in secondary market transactions and initial spectrum licensing after auctions.</w:t>
      </w:r>
      <w:r>
        <w:t xml:space="preserve">  </w:t>
      </w:r>
      <w:r w:rsidRPr="00807FB6">
        <w:rPr>
          <w:i/>
          <w:iCs/>
        </w:rPr>
        <w:t>See Mobile Spectrum Holdings NPRM</w:t>
      </w:r>
      <w:r>
        <w:t>, 27 FCC Rcd 11710, 11718</w:t>
      </w:r>
      <w:r w:rsidRPr="00807FB6">
        <w:t xml:space="preserve"> ¶ 16 n.59.  </w:t>
      </w:r>
      <w:r w:rsidRPr="00807FB6">
        <w:rPr>
          <w:i/>
        </w:rPr>
        <w:t>See also AT&amp;T-WCS Order</w:t>
      </w:r>
      <w:r w:rsidRPr="00807FB6">
        <w:t>, 27 FCC Rcd at 16470 ¶ 30.</w:t>
      </w:r>
    </w:p>
  </w:footnote>
  <w:footnote w:id="87">
    <w:p w:rsidR="00126C52" w:rsidRDefault="00126C52" w:rsidP="007C5B84">
      <w:pPr>
        <w:spacing w:after="120"/>
      </w:pPr>
      <w:r>
        <w:rPr>
          <w:rStyle w:val="FootnoteReference"/>
        </w:rPr>
        <w:footnoteRef/>
      </w:r>
      <w:r>
        <w:t xml:space="preserve"> </w:t>
      </w:r>
      <w:r w:rsidRPr="007C5B84">
        <w:rPr>
          <w:i/>
          <w:sz w:val="20"/>
        </w:rPr>
        <w:t>See, e.g., AT&amp;T-CellSouth Order</w:t>
      </w:r>
      <w:r w:rsidRPr="007C5B84">
        <w:rPr>
          <w:sz w:val="20"/>
        </w:rPr>
        <w:t>, DA 13-1783, at ¶ 8;</w:t>
      </w:r>
      <w:r w:rsidRPr="007C5B84">
        <w:rPr>
          <w:i/>
          <w:sz w:val="20"/>
        </w:rPr>
        <w:t xml:space="preserve"> Alaska Wireless Order</w:t>
      </w:r>
      <w:r w:rsidRPr="007C5B84">
        <w:rPr>
          <w:sz w:val="20"/>
        </w:rPr>
        <w:t xml:space="preserve">, 28 FCC Rcd at 10449-50 ¶ 41; </w:t>
      </w:r>
      <w:r w:rsidRPr="007C5B84">
        <w:rPr>
          <w:i/>
          <w:sz w:val="20"/>
        </w:rPr>
        <w:t>SoftBank-Sprint Order</w:t>
      </w:r>
      <w:r w:rsidRPr="007C5B84">
        <w:rPr>
          <w:sz w:val="20"/>
        </w:rPr>
        <w:t xml:space="preserve">, 28 FCC Rcd at 9660 ¶ 43; </w:t>
      </w:r>
      <w:r w:rsidR="00653B1E" w:rsidRPr="007C5B84">
        <w:rPr>
          <w:snapToGrid/>
          <w:kern w:val="0"/>
          <w:sz w:val="20"/>
        </w:rPr>
        <w:t>Applications of AT&amp;T Inc. and Cellco Partnership d/b/a Verizon Wireless For Consent To Assign or Transfer Control of Licenses and Authorizations and Modify a Spectrum Leasing Arrangement</w:t>
      </w:r>
      <w:r w:rsidRPr="007C5B84">
        <w:rPr>
          <w:sz w:val="20"/>
        </w:rPr>
        <w:t xml:space="preserve">, 25 FCC Rcd at </w:t>
      </w:r>
      <w:r w:rsidR="004F2394" w:rsidRPr="007C5B84">
        <w:rPr>
          <w:sz w:val="20"/>
        </w:rPr>
        <w:t xml:space="preserve">8704, </w:t>
      </w:r>
      <w:r w:rsidRPr="007C5B84">
        <w:rPr>
          <w:sz w:val="20"/>
        </w:rPr>
        <w:t xml:space="preserve">8722 ¶ 41 </w:t>
      </w:r>
      <w:r w:rsidR="007C5B84" w:rsidRPr="007C5B84">
        <w:rPr>
          <w:sz w:val="20"/>
        </w:rPr>
        <w:t>(2010) (“</w:t>
      </w:r>
      <w:r w:rsidR="007C5B84" w:rsidRPr="007C5B84">
        <w:rPr>
          <w:i/>
          <w:sz w:val="20"/>
        </w:rPr>
        <w:t>AT&amp;T-Verizon Wireless Order</w:t>
      </w:r>
      <w:r w:rsidR="007C5B84" w:rsidRPr="007C5B84">
        <w:rPr>
          <w:sz w:val="20"/>
        </w:rPr>
        <w:t>”)</w:t>
      </w:r>
      <w:r w:rsidRPr="007C5B84">
        <w:rPr>
          <w:sz w:val="20"/>
        </w:rPr>
        <w:t>.</w:t>
      </w:r>
    </w:p>
  </w:footnote>
  <w:footnote w:id="88">
    <w:p w:rsidR="00126C52" w:rsidRDefault="00126C52" w:rsidP="00C21C77">
      <w:pPr>
        <w:pStyle w:val="FootnoteText"/>
      </w:pPr>
      <w:r>
        <w:rPr>
          <w:rStyle w:val="FootnoteReference"/>
        </w:rPr>
        <w:footnoteRef/>
      </w:r>
      <w:r>
        <w:rPr>
          <w:i/>
        </w:rPr>
        <w:t xml:space="preserve"> </w:t>
      </w:r>
      <w:r w:rsidRPr="00157811">
        <w:rPr>
          <w:i/>
        </w:rPr>
        <w:t>See</w:t>
      </w:r>
      <w:r>
        <w:rPr>
          <w:i/>
        </w:rPr>
        <w:t>,</w:t>
      </w:r>
      <w:r w:rsidRPr="00157811">
        <w:rPr>
          <w:i/>
        </w:rPr>
        <w:t xml:space="preserve"> e.g.,</w:t>
      </w:r>
      <w:r w:rsidRPr="00707859">
        <w:rPr>
          <w:i/>
          <w:szCs w:val="22"/>
        </w:rPr>
        <w:t xml:space="preserve"> </w:t>
      </w:r>
      <w:r w:rsidRPr="00672A9C">
        <w:rPr>
          <w:i/>
          <w:szCs w:val="22"/>
        </w:rPr>
        <w:t>AT&amp;T-WCS Order</w:t>
      </w:r>
      <w:r>
        <w:rPr>
          <w:szCs w:val="22"/>
        </w:rPr>
        <w:t xml:space="preserve">, </w:t>
      </w:r>
      <w:r>
        <w:t>27 FCC Rcd at 16469</w:t>
      </w:r>
      <w:r w:rsidRPr="000F7438">
        <w:t xml:space="preserve"> </w:t>
      </w:r>
      <w:r>
        <w:t xml:space="preserve">¶ 29; </w:t>
      </w:r>
      <w:r w:rsidRPr="00316A29">
        <w:rPr>
          <w:i/>
          <w:iCs/>
        </w:rPr>
        <w:t>Verizon Wireless-SpectrumCo Order</w:t>
      </w:r>
      <w:r>
        <w:t xml:space="preserve">, 27 FCC Rcd at 10719 ¶ 59; </w:t>
      </w:r>
      <w:r w:rsidRPr="00525670">
        <w:rPr>
          <w:i/>
        </w:rPr>
        <w:t>AT&amp;T-Qualcomm Order</w:t>
      </w:r>
      <w:r>
        <w:t>, 26 FCC Rcd at 17602 ¶ 31.</w:t>
      </w:r>
      <w:r w:rsidRPr="00316A29">
        <w:rPr>
          <w:color w:val="000000"/>
        </w:rPr>
        <w:t xml:space="preserve">  </w:t>
      </w:r>
    </w:p>
  </w:footnote>
  <w:footnote w:id="89">
    <w:p w:rsidR="00126C52" w:rsidRDefault="00126C52" w:rsidP="00C21C77">
      <w:pPr>
        <w:pStyle w:val="FootnoteText"/>
      </w:pPr>
      <w:r>
        <w:rPr>
          <w:rStyle w:val="FootnoteReference"/>
        </w:rPr>
        <w:footnoteRef/>
      </w:r>
      <w:r>
        <w:t xml:space="preserve"> </w:t>
      </w:r>
      <w:r w:rsidRPr="00D92EAE">
        <w:rPr>
          <w:i/>
        </w:rPr>
        <w:t>See, e.g.,</w:t>
      </w:r>
      <w:r>
        <w:t xml:space="preserve"> </w:t>
      </w:r>
      <w:r>
        <w:rPr>
          <w:i/>
        </w:rPr>
        <w:t>AT&amp;T-CellSouth Order</w:t>
      </w:r>
      <w:r>
        <w:t>, DA 13-1783, at ¶ 10;</w:t>
      </w:r>
      <w:r>
        <w:rPr>
          <w:i/>
        </w:rPr>
        <w:t xml:space="preserve"> Alaska Wireless </w:t>
      </w:r>
      <w:r w:rsidRPr="006E2C3E">
        <w:rPr>
          <w:i/>
        </w:rPr>
        <w:t>Order</w:t>
      </w:r>
      <w:r>
        <w:t xml:space="preserve">, 28 FCC Rcd at 10450 ¶ 42; </w:t>
      </w:r>
      <w:r w:rsidRPr="00672A9C">
        <w:rPr>
          <w:i/>
          <w:szCs w:val="22"/>
        </w:rPr>
        <w:t>AT&amp;T-WCS Order</w:t>
      </w:r>
      <w:r>
        <w:rPr>
          <w:szCs w:val="22"/>
        </w:rPr>
        <w:t xml:space="preserve">, </w:t>
      </w:r>
      <w:r>
        <w:t>27 FCC Rcd at 16469</w:t>
      </w:r>
      <w:r w:rsidRPr="000F7438">
        <w:t xml:space="preserve"> </w:t>
      </w:r>
      <w:r>
        <w:t xml:space="preserve">¶ 29; </w:t>
      </w:r>
      <w:r w:rsidRPr="00316A29">
        <w:rPr>
          <w:i/>
          <w:iCs/>
        </w:rPr>
        <w:t>Verizon Wireless-SpectrumCo Order</w:t>
      </w:r>
      <w:r>
        <w:t xml:space="preserve">, 27 FCC Rcd at 10719 ¶ 59.  In particular, the spectrum screen is triggered where the Applicants would have, on a market-by-market basis, a 10 percent or greater interest in:  102 megahertz or more of cellular, PCS, SMR, 700 MHz, and WCS spectrum, where neither BRS nor AWS-1 spectrum is available; 121 megahertz or more of spectrum, where BRS spectrum is available, but AWS-1 spectrum is not available; 132 megahertz or more of spectrum, where AWS-1 spectrum is available, but BRS spectrum is not available; or 151 megahertz or more of spectrum where both AWS-1 and BRS spectrum are available.  </w:t>
      </w:r>
      <w:r w:rsidRPr="00140CF6">
        <w:rPr>
          <w:i/>
        </w:rPr>
        <w:t>See</w:t>
      </w:r>
      <w:r>
        <w:t xml:space="preserve"> </w:t>
      </w:r>
      <w:r w:rsidRPr="009B1344">
        <w:rPr>
          <w:i/>
        </w:rPr>
        <w:t>AT&amp;T-WCS Order</w:t>
      </w:r>
      <w:r>
        <w:t xml:space="preserve">, 27 FCC Rcd at 16471 </w:t>
      </w:r>
      <w:r w:rsidRPr="0055216B">
        <w:t>¶</w:t>
      </w:r>
      <w:r w:rsidRPr="000075AD">
        <w:t xml:space="preserve"> </w:t>
      </w:r>
      <w:r>
        <w:t>33 n.94.</w:t>
      </w:r>
    </w:p>
  </w:footnote>
  <w:footnote w:id="90">
    <w:p w:rsidR="00126C52" w:rsidRPr="00857D4D" w:rsidRDefault="00126C52" w:rsidP="00290D49">
      <w:pPr>
        <w:pStyle w:val="FootnoteText"/>
        <w:rPr>
          <w:b/>
        </w:rPr>
      </w:pPr>
      <w:r>
        <w:rPr>
          <w:rStyle w:val="FootnoteReference"/>
        </w:rPr>
        <w:footnoteRef/>
      </w:r>
      <w:r>
        <w:t xml:space="preserve"> </w:t>
      </w:r>
      <w:r w:rsidRPr="000814D9">
        <w:rPr>
          <w:i/>
        </w:rPr>
        <w:t>See</w:t>
      </w:r>
      <w:r>
        <w:rPr>
          <w:i/>
        </w:rPr>
        <w:t xml:space="preserve"> </w:t>
      </w:r>
      <w:r w:rsidRPr="006F4602">
        <w:rPr>
          <w:iCs/>
          <w:snapToGrid w:val="0"/>
        </w:rPr>
        <w:t xml:space="preserve">Applications of Deutsche Telekom AG, </w:t>
      </w:r>
      <w:r w:rsidRPr="006F4602">
        <w:t>T-Mobile</w:t>
      </w:r>
      <w:r w:rsidRPr="006F4602">
        <w:rPr>
          <w:iCs/>
          <w:snapToGrid w:val="0"/>
        </w:rPr>
        <w:t xml:space="preserve"> USA, Inc. and </w:t>
      </w:r>
      <w:r w:rsidRPr="006F4602">
        <w:t xml:space="preserve">MetroPCS </w:t>
      </w:r>
      <w:r w:rsidRPr="006F4602">
        <w:rPr>
          <w:iCs/>
          <w:snapToGrid w:val="0"/>
        </w:rPr>
        <w:t>Communications, Inc. for Consent to Transfer of Control of Licenses and Authorizations</w:t>
      </w:r>
      <w:r w:rsidRPr="006F4602">
        <w:rPr>
          <w:snapToGrid w:val="0"/>
        </w:rPr>
        <w:t>,</w:t>
      </w:r>
      <w:r w:rsidRPr="000D1C8A">
        <w:rPr>
          <w:snapToGrid w:val="0"/>
        </w:rPr>
        <w:t xml:space="preserve"> WT Docket No. 13-384, </w:t>
      </w:r>
      <w:r w:rsidRPr="006F4602">
        <w:rPr>
          <w:i/>
          <w:snapToGrid w:val="0"/>
        </w:rPr>
        <w:t xml:space="preserve">Memorandum Opinion and </w:t>
      </w:r>
      <w:r w:rsidRPr="006F4602">
        <w:rPr>
          <w:i/>
        </w:rPr>
        <w:t>Order</w:t>
      </w:r>
      <w:r w:rsidRPr="006F4602">
        <w:rPr>
          <w:i/>
          <w:snapToGrid w:val="0"/>
        </w:rPr>
        <w:t xml:space="preserve"> and Declaratory Ruling</w:t>
      </w:r>
      <w:r w:rsidRPr="000D1C8A">
        <w:rPr>
          <w:snapToGrid w:val="0"/>
        </w:rPr>
        <w:t>, DA 13-384</w:t>
      </w:r>
      <w:r w:rsidRPr="002B18EE">
        <w:t xml:space="preserve">, 28 FCC Rcd </w:t>
      </w:r>
      <w:r w:rsidRPr="000D1C8A">
        <w:rPr>
          <w:snapToGrid w:val="0"/>
        </w:rPr>
        <w:t xml:space="preserve">2322, </w:t>
      </w:r>
      <w:r>
        <w:rPr>
          <w:snapToGrid w:val="0"/>
        </w:rPr>
        <w:t>2336</w:t>
      </w:r>
      <w:r>
        <w:t xml:space="preserve"> ¶ 40</w:t>
      </w:r>
      <w:r w:rsidRPr="000D1C8A">
        <w:rPr>
          <w:snapToGrid w:val="0"/>
        </w:rPr>
        <w:t xml:space="preserve"> (WTB</w:t>
      </w:r>
      <w:r>
        <w:rPr>
          <w:snapToGrid w:val="0"/>
        </w:rPr>
        <w:t>/IB</w:t>
      </w:r>
      <w:r w:rsidRPr="000D1C8A">
        <w:rPr>
          <w:snapToGrid w:val="0"/>
        </w:rPr>
        <w:t xml:space="preserve"> 2013)</w:t>
      </w:r>
      <w:r>
        <w:rPr>
          <w:snapToGrid w:val="0"/>
        </w:rPr>
        <w:t xml:space="preserve"> </w:t>
      </w:r>
      <w:r w:rsidRPr="00290D49">
        <w:rPr>
          <w:snapToGrid w:val="0"/>
        </w:rPr>
        <w:t>(“</w:t>
      </w:r>
      <w:r w:rsidRPr="00290D49">
        <w:rPr>
          <w:i/>
          <w:snapToGrid w:val="0"/>
        </w:rPr>
        <w:t>T-Mobile-MetroPCS Order</w:t>
      </w:r>
      <w:r w:rsidRPr="00290D49">
        <w:rPr>
          <w:snapToGrid w:val="0"/>
        </w:rPr>
        <w:t>”)</w:t>
      </w:r>
      <w:r w:rsidRPr="000D1C8A">
        <w:rPr>
          <w:snapToGrid w:val="0"/>
        </w:rPr>
        <w:t>.</w:t>
      </w:r>
      <w:r w:rsidRPr="002B18EE">
        <w:t xml:space="preserve">  </w:t>
      </w:r>
    </w:p>
  </w:footnote>
  <w:footnote w:id="91">
    <w:p w:rsidR="00126C52" w:rsidRDefault="00126C52" w:rsidP="00685235">
      <w:pPr>
        <w:pStyle w:val="FootnoteText"/>
      </w:pPr>
      <w:r>
        <w:rPr>
          <w:rStyle w:val="FootnoteReference"/>
        </w:rPr>
        <w:footnoteRef/>
      </w:r>
      <w:r>
        <w:t xml:space="preserve"> </w:t>
      </w:r>
      <w:r w:rsidRPr="000B7DC9">
        <w:rPr>
          <w:i/>
        </w:rPr>
        <w:t xml:space="preserve">See </w:t>
      </w:r>
      <w:r>
        <w:t>DISH Network Corporation (“DISH”) Petition to Deny or Condition at 6; DISH Reply at 3-5; Public Knowledge and the Writers Guild of America, West (“Public Knowledge”) Petition to Deny at 2-3; Rural Telecommunications Group, Inc. (“RTG”) Comments at 1-7.</w:t>
      </w:r>
    </w:p>
  </w:footnote>
  <w:footnote w:id="92">
    <w:p w:rsidR="00126C52" w:rsidRDefault="00126C52">
      <w:pPr>
        <w:pStyle w:val="FootnoteText"/>
      </w:pPr>
      <w:r>
        <w:rPr>
          <w:rStyle w:val="FootnoteReference"/>
        </w:rPr>
        <w:footnoteRef/>
      </w:r>
      <w:r>
        <w:t xml:space="preserve"> </w:t>
      </w:r>
      <w:r w:rsidRPr="00AF389B">
        <w:rPr>
          <w:i/>
        </w:rPr>
        <w:t xml:space="preserve">See </w:t>
      </w:r>
      <w:r>
        <w:t>RTG Comments at 7.</w:t>
      </w:r>
    </w:p>
  </w:footnote>
  <w:footnote w:id="93">
    <w:p w:rsidR="00126C52" w:rsidRDefault="00126C52">
      <w:pPr>
        <w:pStyle w:val="FootnoteText"/>
      </w:pPr>
      <w:r>
        <w:rPr>
          <w:rStyle w:val="FootnoteReference"/>
        </w:rPr>
        <w:footnoteRef/>
      </w:r>
      <w:r>
        <w:t xml:space="preserve"> </w:t>
      </w:r>
      <w:r w:rsidRPr="000B7DC9">
        <w:rPr>
          <w:i/>
        </w:rPr>
        <w:t>See</w:t>
      </w:r>
      <w:r>
        <w:t xml:space="preserve"> DISH Petition to Deny or Condition at 2.  Public Knowledge also</w:t>
      </w:r>
      <w:r w:rsidRPr="000C3822">
        <w:t xml:space="preserve"> argue</w:t>
      </w:r>
      <w:r>
        <w:t>s</w:t>
      </w:r>
      <w:r w:rsidRPr="000C3822">
        <w:t xml:space="preserve"> that the spectrum screen should </w:t>
      </w:r>
      <w:r w:rsidRPr="000031B9">
        <w:t xml:space="preserve">take into account </w:t>
      </w:r>
      <w:r>
        <w:t>the “</w:t>
      </w:r>
      <w:r w:rsidRPr="000031B9">
        <w:t>differential value of spectrum bands, and the different value of spectrum in different geographic areas</w:t>
      </w:r>
      <w:r>
        <w:t>.</w:t>
      </w:r>
      <w:r w:rsidRPr="000031B9">
        <w:t>”</w:t>
      </w:r>
      <w:r>
        <w:t xml:space="preserve">  </w:t>
      </w:r>
      <w:r w:rsidRPr="002343A9">
        <w:rPr>
          <w:i/>
        </w:rPr>
        <w:t xml:space="preserve">See </w:t>
      </w:r>
      <w:r>
        <w:t>Public Knowledge Petition at 2.</w:t>
      </w:r>
    </w:p>
  </w:footnote>
  <w:footnote w:id="94">
    <w:p w:rsidR="00126C52" w:rsidRDefault="00126C52" w:rsidP="00C21C77">
      <w:pPr>
        <w:pStyle w:val="FootnoteText"/>
      </w:pPr>
      <w:r>
        <w:rPr>
          <w:rStyle w:val="FootnoteReference"/>
        </w:rPr>
        <w:footnoteRef/>
      </w:r>
      <w:r>
        <w:t xml:space="preserve"> </w:t>
      </w:r>
      <w:r w:rsidRPr="008217C2">
        <w:rPr>
          <w:i/>
        </w:rPr>
        <w:t>See</w:t>
      </w:r>
      <w:r>
        <w:t xml:space="preserve"> Joint Opposition at 4.</w:t>
      </w:r>
    </w:p>
  </w:footnote>
  <w:footnote w:id="95">
    <w:p w:rsidR="00126C52" w:rsidRDefault="00126C52" w:rsidP="00C21C77">
      <w:pPr>
        <w:pStyle w:val="FootnoteText"/>
      </w:pPr>
      <w:r>
        <w:rPr>
          <w:rStyle w:val="FootnoteReference"/>
        </w:rPr>
        <w:footnoteRef/>
      </w:r>
      <w:r>
        <w:t xml:space="preserve"> </w:t>
      </w:r>
      <w:r w:rsidRPr="008217C2">
        <w:rPr>
          <w:i/>
        </w:rPr>
        <w:t xml:space="preserve">See </w:t>
      </w:r>
      <w:r>
        <w:rPr>
          <w:i/>
        </w:rPr>
        <w:t>id</w:t>
      </w:r>
      <w:r>
        <w:t>.</w:t>
      </w:r>
    </w:p>
  </w:footnote>
  <w:footnote w:id="96">
    <w:p w:rsidR="00126C52" w:rsidRDefault="00126C52" w:rsidP="00C21C77">
      <w:pPr>
        <w:pStyle w:val="FootnoteText"/>
      </w:pPr>
      <w:r>
        <w:rPr>
          <w:rStyle w:val="FootnoteReference"/>
        </w:rPr>
        <w:footnoteRef/>
      </w:r>
      <w:r>
        <w:t xml:space="preserve"> </w:t>
      </w:r>
      <w:r w:rsidRPr="008217C2">
        <w:rPr>
          <w:i/>
        </w:rPr>
        <w:t>See</w:t>
      </w:r>
      <w:r>
        <w:t xml:space="preserve"> </w:t>
      </w:r>
      <w:r>
        <w:rPr>
          <w:i/>
        </w:rPr>
        <w:t>id.</w:t>
      </w:r>
      <w:r>
        <w:t xml:space="preserve"> at 4-5 (citing to the </w:t>
      </w:r>
      <w:r w:rsidRPr="00832CA3">
        <w:rPr>
          <w:i/>
        </w:rPr>
        <w:t>Mobile Spectrum Holdings NPRM</w:t>
      </w:r>
      <w:r>
        <w:t xml:space="preserve"> and the </w:t>
      </w:r>
      <w:r w:rsidRPr="00832CA3">
        <w:rPr>
          <w:i/>
        </w:rPr>
        <w:t>T-Mobile-MetroPCS Order</w:t>
      </w:r>
      <w:r>
        <w:t>).</w:t>
      </w:r>
    </w:p>
  </w:footnote>
  <w:footnote w:id="97">
    <w:p w:rsidR="00126C52" w:rsidRDefault="00126C52" w:rsidP="0011781B">
      <w:pPr>
        <w:pStyle w:val="FootnoteText"/>
      </w:pPr>
      <w:r>
        <w:rPr>
          <w:rStyle w:val="FootnoteReference"/>
        </w:rPr>
        <w:footnoteRef/>
      </w:r>
      <w:r>
        <w:t xml:space="preserve"> </w:t>
      </w:r>
      <w:r w:rsidRPr="00807FB6">
        <w:rPr>
          <w:i/>
          <w:iCs/>
        </w:rPr>
        <w:t>See Mobile Spectrum Holdings NPRM</w:t>
      </w:r>
      <w:r w:rsidRPr="00807FB6">
        <w:t xml:space="preserve">, 27 FCC Rcd </w:t>
      </w:r>
      <w:r>
        <w:t>at 11725-28</w:t>
      </w:r>
      <w:r w:rsidRPr="00B41727">
        <w:t xml:space="preserve"> ¶</w:t>
      </w:r>
      <w:r>
        <w:t>¶</w:t>
      </w:r>
      <w:r w:rsidRPr="00807FB6">
        <w:t xml:space="preserve"> </w:t>
      </w:r>
      <w:r>
        <w:t>33-38</w:t>
      </w:r>
      <w:r w:rsidRPr="00807FB6">
        <w:t xml:space="preserve">.  </w:t>
      </w:r>
    </w:p>
  </w:footnote>
  <w:footnote w:id="98">
    <w:p w:rsidR="00126C52" w:rsidRDefault="00126C52" w:rsidP="002C00EC">
      <w:pPr>
        <w:pStyle w:val="FootnoteText"/>
      </w:pPr>
      <w:r>
        <w:rPr>
          <w:rStyle w:val="FootnoteReference"/>
        </w:rPr>
        <w:footnoteRef/>
      </w:r>
      <w:r>
        <w:t xml:space="preserve"> </w:t>
      </w:r>
      <w:r w:rsidRPr="00CF3D83">
        <w:rPr>
          <w:i/>
        </w:rPr>
        <w:t>See, e.g., AT&amp;T-WCS Order</w:t>
      </w:r>
      <w:r>
        <w:t>, 27 FCC Rcd at 164</w:t>
      </w:r>
      <w:r w:rsidRPr="000F7438">
        <w:t>69</w:t>
      </w:r>
      <w:r>
        <w:t xml:space="preserve"> </w:t>
      </w:r>
      <w:r w:rsidRPr="0055216B">
        <w:t>¶</w:t>
      </w:r>
      <w:r>
        <w:t xml:space="preserve"> 29; </w:t>
      </w:r>
      <w:r w:rsidRPr="00CF3D83">
        <w:rPr>
          <w:i/>
        </w:rPr>
        <w:t>Verizon Wireless-SpectrumCo Order</w:t>
      </w:r>
      <w:r>
        <w:t xml:space="preserve">, 27 FCC Rcd at 10719 </w:t>
      </w:r>
      <w:r w:rsidRPr="0055216B">
        <w:t>¶</w:t>
      </w:r>
      <w:r>
        <w:t xml:space="preserve"> 59; </w:t>
      </w:r>
      <w:r w:rsidRPr="00CF3D83">
        <w:rPr>
          <w:i/>
        </w:rPr>
        <w:t>AT&amp;T-Qualcomm Order</w:t>
      </w:r>
      <w:r>
        <w:t xml:space="preserve">, 26 FCC Rcd at 17602 </w:t>
      </w:r>
      <w:r w:rsidRPr="0055216B">
        <w:t>¶</w:t>
      </w:r>
      <w:r>
        <w:t xml:space="preserve"> 31.</w:t>
      </w:r>
    </w:p>
  </w:footnote>
  <w:footnote w:id="99">
    <w:p w:rsidR="00126C52" w:rsidRPr="000B041A" w:rsidRDefault="00126C52" w:rsidP="002C00EC">
      <w:pPr>
        <w:pStyle w:val="FootnoteText"/>
      </w:pPr>
      <w:r>
        <w:rPr>
          <w:rStyle w:val="FootnoteReference"/>
        </w:rPr>
        <w:footnoteRef/>
      </w:r>
      <w:r>
        <w:t xml:space="preserve"> </w:t>
      </w:r>
      <w:r>
        <w:rPr>
          <w:i/>
        </w:rPr>
        <w:t xml:space="preserve">See, e.g., </w:t>
      </w:r>
      <w:r w:rsidRPr="00481B8E">
        <w:rPr>
          <w:i/>
        </w:rPr>
        <w:t xml:space="preserve">AT&amp;T-Qualcomm Order, </w:t>
      </w:r>
      <w:r w:rsidRPr="009169A3">
        <w:t>26 FCC Rcd at</w:t>
      </w:r>
      <w:r>
        <w:t xml:space="preserve"> 17601-02</w:t>
      </w:r>
      <w:r w:rsidRPr="009169A3">
        <w:t xml:space="preserve"> </w:t>
      </w:r>
      <w:r w:rsidRPr="00481B8E">
        <w:t>¶</w:t>
      </w:r>
      <w:r>
        <w:t xml:space="preserve"> </w:t>
      </w:r>
      <w:r w:rsidRPr="009169A3">
        <w:t>30</w:t>
      </w:r>
      <w:r>
        <w:t xml:space="preserve">; </w:t>
      </w:r>
      <w:r w:rsidRPr="00D15EDA">
        <w:rPr>
          <w:i/>
        </w:rPr>
        <w:t>Verizon Wireless-SpectrumCo Order</w:t>
      </w:r>
      <w:r>
        <w:t>, 27 FCC Rcd at 10726-27</w:t>
      </w:r>
      <w:r w:rsidRPr="00481B8E">
        <w:t xml:space="preserve"> ¶¶</w:t>
      </w:r>
      <w:r>
        <w:t xml:space="preserve"> 74-75.</w:t>
      </w:r>
    </w:p>
  </w:footnote>
  <w:footnote w:id="100">
    <w:p w:rsidR="00126C52" w:rsidRDefault="00126C52" w:rsidP="00F076C4">
      <w:pPr>
        <w:pStyle w:val="FootnoteText"/>
      </w:pPr>
      <w:r>
        <w:rPr>
          <w:rStyle w:val="FootnoteReference"/>
        </w:rPr>
        <w:footnoteRef/>
      </w:r>
      <w:r>
        <w:t xml:space="preserve"> </w:t>
      </w:r>
      <w:r w:rsidRPr="00DB583E">
        <w:rPr>
          <w:i/>
        </w:rPr>
        <w:t xml:space="preserve">See </w:t>
      </w:r>
      <w:r w:rsidRPr="00B80278">
        <w:t>Competitive Carriers Association (“CCA”)</w:t>
      </w:r>
      <w:r>
        <w:t xml:space="preserve"> Petition for Conditions at 1-6; CCA Reply at 2-3, 5-7; DISH Petition to Deny or Condition at 1-5; </w:t>
      </w:r>
      <w:r w:rsidRPr="00F076C4">
        <w:t xml:space="preserve">NTCA—The Rural Broadband Association (“NTCA”) </w:t>
      </w:r>
      <w:r>
        <w:t>Reply at 2; Public Knowledge Petition to Deny at 4, 7; RTG Comments at 2-7; RTG Reply at 1-4.</w:t>
      </w:r>
    </w:p>
  </w:footnote>
  <w:footnote w:id="101">
    <w:p w:rsidR="00126C52" w:rsidRDefault="00126C52" w:rsidP="007F748E">
      <w:pPr>
        <w:pStyle w:val="FootnoteText"/>
      </w:pPr>
      <w:r>
        <w:rPr>
          <w:rStyle w:val="FootnoteReference"/>
        </w:rPr>
        <w:footnoteRef/>
      </w:r>
      <w:r>
        <w:t xml:space="preserve"> </w:t>
      </w:r>
      <w:r w:rsidRPr="00DB583E">
        <w:rPr>
          <w:i/>
        </w:rPr>
        <w:t xml:space="preserve">See </w:t>
      </w:r>
      <w:r>
        <w:t>CCA Petition for Conditions at 1-2, 4-5, 13; CCA Reply at 3, 5, 7; DISH Petition to Deny or Condition at 2-5; DISH Reply at 5; NTCA Reply at 2; Public Knowledge Petition to Deny at 4; RTG Comments at 2, 5-7; RTG Reply at 3.  Certain parties</w:t>
      </w:r>
      <w:r w:rsidRPr="00EA3F21">
        <w:t xml:space="preserve"> assert that the propagation characteristics of below 1 GHz spectrum allow for more efficient use of spectrum and network resources, particularly in rural areas.</w:t>
      </w:r>
      <w:r>
        <w:t xml:space="preserve">  </w:t>
      </w:r>
      <w:r w:rsidRPr="00CB424B">
        <w:rPr>
          <w:i/>
        </w:rPr>
        <w:t>See</w:t>
      </w:r>
      <w:r w:rsidRPr="00CB424B">
        <w:t xml:space="preserve"> CCA Petition for Conditions at 4-5, 13; DISH Petition to Deny or Condition at 5-6; DISH Reply at 3-5.  </w:t>
      </w:r>
      <w:r w:rsidRPr="00CB424B">
        <w:rPr>
          <w:i/>
        </w:rPr>
        <w:t>See also</w:t>
      </w:r>
      <w:r w:rsidRPr="00CB424B">
        <w:t xml:space="preserve"> NTCA Reply at 2 (asserting that the Lower 700 MHz Band B Block is a particularly valuable spectrum band for the provision of wireless voice and data).</w:t>
      </w:r>
    </w:p>
  </w:footnote>
  <w:footnote w:id="102">
    <w:p w:rsidR="00126C52" w:rsidRDefault="00126C52" w:rsidP="007F748E">
      <w:pPr>
        <w:pStyle w:val="FootnoteText"/>
      </w:pPr>
      <w:r>
        <w:rPr>
          <w:rStyle w:val="FootnoteReference"/>
        </w:rPr>
        <w:footnoteRef/>
      </w:r>
      <w:r>
        <w:t xml:space="preserve"> </w:t>
      </w:r>
      <w:r w:rsidRPr="00DB583E">
        <w:rPr>
          <w:i/>
        </w:rPr>
        <w:t xml:space="preserve">See </w:t>
      </w:r>
      <w:r>
        <w:t>DISH Petition to Deny or Condition at 1-2.</w:t>
      </w:r>
    </w:p>
  </w:footnote>
  <w:footnote w:id="103">
    <w:p w:rsidR="00126C52" w:rsidRDefault="00126C52" w:rsidP="007F748E">
      <w:pPr>
        <w:pStyle w:val="FootnoteText"/>
      </w:pPr>
      <w:r>
        <w:rPr>
          <w:rStyle w:val="FootnoteReference"/>
        </w:rPr>
        <w:footnoteRef/>
      </w:r>
      <w:r>
        <w:t xml:space="preserve"> </w:t>
      </w:r>
      <w:r w:rsidRPr="00DB583E">
        <w:rPr>
          <w:i/>
        </w:rPr>
        <w:t>See</w:t>
      </w:r>
      <w:r>
        <w:t xml:space="preserve"> CCA Petition for Conditions at 1-2, 13; CCA Reply at 2; DISH Petition to Deny or Condition at 1-2, 7; DISH Reply at 5; NTCA Reply at 2-3; Public Knowledge Petition to Deny at 2, 4, 7; RTG Comments at 2-4, 6-7; RTG Reply at 1-3, 6.</w:t>
      </w:r>
    </w:p>
  </w:footnote>
  <w:footnote w:id="104">
    <w:p w:rsidR="00126C52" w:rsidRDefault="00126C52" w:rsidP="00F076C4">
      <w:pPr>
        <w:pStyle w:val="FootnoteText"/>
      </w:pPr>
      <w:r>
        <w:rPr>
          <w:rStyle w:val="FootnoteReference"/>
        </w:rPr>
        <w:footnoteRef/>
      </w:r>
      <w:r>
        <w:t xml:space="preserve"> </w:t>
      </w:r>
      <w:r w:rsidRPr="008E2F75">
        <w:rPr>
          <w:i/>
        </w:rPr>
        <w:t>See</w:t>
      </w:r>
      <w:r>
        <w:t xml:space="preserve"> </w:t>
      </w:r>
      <w:r>
        <w:rPr>
          <w:i/>
        </w:rPr>
        <w:t xml:space="preserve">, e.g., </w:t>
      </w:r>
      <w:r>
        <w:t xml:space="preserve">DISH Petition to Deny or Condition at 2 (arguing that the Commission should deny the applications and require Verizon Wireless to assign all of its remaining Lower 700 MHz Band A and B Block licenses to a provider other than AT&amp;T, or in the alternative, to require AT&amp;T (1) to divest 700 MHz spectrum in markets in which it would exceed post-transaction a spectrum screen modified to double weight spectrum below 1 GHz and (2) to divest any remaining Lower 700 MHz Band A Block licenses to a provider other than AT&amp;T); </w:t>
      </w:r>
      <w:r w:rsidRPr="00C97142">
        <w:t>NTCA</w:t>
      </w:r>
      <w:r>
        <w:t xml:space="preserve"> </w:t>
      </w:r>
      <w:r w:rsidRPr="00C97142">
        <w:t>Reply at 2-3 (</w:t>
      </w:r>
      <w:r>
        <w:t>stating</w:t>
      </w:r>
      <w:r w:rsidRPr="00C97142">
        <w:t xml:space="preserve"> that the Commission should </w:t>
      </w:r>
      <w:r>
        <w:t xml:space="preserve">require Verizon Wireless and AT&amp;T to </w:t>
      </w:r>
      <w:r w:rsidRPr="00C97142">
        <w:t xml:space="preserve">divest or lease spectrum where there would be “an excessive concentration, specifically looking at spectrum below 1 GHz”); </w:t>
      </w:r>
      <w:r>
        <w:t xml:space="preserve">RTG Comments at 9 (arguing that the Commission should require Verizon Wireless and AT&amp;T to divest spectrum in markets in which post-transaction spectrum holdings of either would exceed </w:t>
      </w:r>
      <w:r w:rsidRPr="00C97142">
        <w:t xml:space="preserve">25 percent </w:t>
      </w:r>
      <w:r>
        <w:t>of the total amount of spectrum included in the screen or would exceed</w:t>
      </w:r>
      <w:r w:rsidRPr="00C97142">
        <w:t xml:space="preserve"> 40 percent of below 1 GHz spectrum</w:t>
      </w:r>
      <w:r>
        <w:t xml:space="preserve"> included in the screen, or in the alternative require other conditions in lieu of divestiture).  </w:t>
      </w:r>
      <w:r w:rsidRPr="00EE6D40">
        <w:rPr>
          <w:i/>
        </w:rPr>
        <w:t>See also</w:t>
      </w:r>
      <w:r>
        <w:t xml:space="preserve"> Other Issues section </w:t>
      </w:r>
      <w:r w:rsidRPr="008E2F75">
        <w:rPr>
          <w:i/>
        </w:rPr>
        <w:t>infra</w:t>
      </w:r>
      <w:r>
        <w:t xml:space="preserve">.  </w:t>
      </w:r>
    </w:p>
  </w:footnote>
  <w:footnote w:id="105">
    <w:p w:rsidR="00126C52" w:rsidRDefault="00126C52" w:rsidP="00FF0641">
      <w:pPr>
        <w:pStyle w:val="FootnoteText"/>
      </w:pPr>
      <w:r>
        <w:rPr>
          <w:rStyle w:val="FootnoteReference"/>
        </w:rPr>
        <w:footnoteRef/>
      </w:r>
      <w:r>
        <w:t xml:space="preserve"> </w:t>
      </w:r>
      <w:r w:rsidRPr="00CB22EA">
        <w:rPr>
          <w:i/>
        </w:rPr>
        <w:t>See</w:t>
      </w:r>
      <w:r>
        <w:t xml:space="preserve"> Public Interest Statement at 2-3, 8, 14-18; Joint Opposition at 2-3.</w:t>
      </w:r>
    </w:p>
  </w:footnote>
  <w:footnote w:id="106">
    <w:p w:rsidR="00126C52" w:rsidRDefault="00126C52" w:rsidP="00FF0641">
      <w:pPr>
        <w:pStyle w:val="FootnoteText"/>
      </w:pPr>
      <w:r>
        <w:rPr>
          <w:rStyle w:val="FootnoteReference"/>
        </w:rPr>
        <w:footnoteRef/>
      </w:r>
      <w:r>
        <w:t xml:space="preserve"> </w:t>
      </w:r>
      <w:r w:rsidRPr="00CB22EA">
        <w:rPr>
          <w:i/>
        </w:rPr>
        <w:t>See</w:t>
      </w:r>
      <w:r>
        <w:t xml:space="preserve"> Public Interest Statement at 2, 15; Joint Opposition at 2.</w:t>
      </w:r>
    </w:p>
  </w:footnote>
  <w:footnote w:id="107">
    <w:p w:rsidR="00126C52" w:rsidRDefault="00126C52" w:rsidP="0032719D">
      <w:pPr>
        <w:pStyle w:val="FootnoteText"/>
      </w:pPr>
      <w:r>
        <w:rPr>
          <w:rStyle w:val="FootnoteReference"/>
        </w:rPr>
        <w:footnoteRef/>
      </w:r>
      <w:r>
        <w:t xml:space="preserve"> </w:t>
      </w:r>
      <w:r w:rsidRPr="00CB22EA">
        <w:rPr>
          <w:i/>
        </w:rPr>
        <w:t>See</w:t>
      </w:r>
      <w:r w:rsidRPr="00CB22EA">
        <w:t xml:space="preserve"> </w:t>
      </w:r>
      <w:r>
        <w:t>Public Interest Statement at 2-3, 15-17; Joint Opposition at 3.</w:t>
      </w:r>
    </w:p>
  </w:footnote>
  <w:footnote w:id="108">
    <w:p w:rsidR="00126C52" w:rsidRDefault="00126C52" w:rsidP="00FF0641">
      <w:pPr>
        <w:pStyle w:val="FootnoteText"/>
      </w:pPr>
      <w:r>
        <w:rPr>
          <w:rStyle w:val="FootnoteReference"/>
        </w:rPr>
        <w:footnoteRef/>
      </w:r>
      <w:r>
        <w:t xml:space="preserve"> </w:t>
      </w:r>
      <w:r w:rsidRPr="00CB22EA">
        <w:rPr>
          <w:i/>
        </w:rPr>
        <w:t>See</w:t>
      </w:r>
      <w:r>
        <w:rPr>
          <w:i/>
        </w:rPr>
        <w:t xml:space="preserve"> </w:t>
      </w:r>
      <w:r>
        <w:t>Public Interest Statement at 2.</w:t>
      </w:r>
    </w:p>
  </w:footnote>
  <w:footnote w:id="109">
    <w:p w:rsidR="00126C52" w:rsidRDefault="00126C52" w:rsidP="00FF0641">
      <w:pPr>
        <w:pStyle w:val="FootnoteText"/>
      </w:pPr>
      <w:r>
        <w:rPr>
          <w:rStyle w:val="FootnoteReference"/>
        </w:rPr>
        <w:footnoteRef/>
      </w:r>
      <w:r>
        <w:t xml:space="preserve"> </w:t>
      </w:r>
      <w:r w:rsidRPr="000A11EA">
        <w:rPr>
          <w:i/>
        </w:rPr>
        <w:t xml:space="preserve">See </w:t>
      </w:r>
      <w:r>
        <w:t xml:space="preserve">Joint Opposition at 1-2, 4.  The Applicants also urge the Commission to reject petitioners’ requests for conditions relating to data roaming, device interoperability, device exclusivity, early termination fees, and special access and backhaul because they are alleged harms unrelated to the proposed transactions.  </w:t>
      </w:r>
      <w:r w:rsidRPr="000A11EA">
        <w:rPr>
          <w:i/>
        </w:rPr>
        <w:t>See</w:t>
      </w:r>
      <w:r>
        <w:t xml:space="preserve"> Joint Opposition at 5-6.  </w:t>
      </w:r>
      <w:r w:rsidRPr="00392819">
        <w:rPr>
          <w:i/>
        </w:rPr>
        <w:t>See</w:t>
      </w:r>
      <w:r w:rsidRPr="00392819">
        <w:t xml:space="preserve"> ¶ 51 </w:t>
      </w:r>
      <w:r w:rsidRPr="00392819">
        <w:rPr>
          <w:i/>
        </w:rPr>
        <w:t>infra</w:t>
      </w:r>
      <w:r>
        <w:t>.</w:t>
      </w:r>
    </w:p>
  </w:footnote>
  <w:footnote w:id="110">
    <w:p w:rsidR="00126C52" w:rsidRPr="000B041A" w:rsidRDefault="00126C52" w:rsidP="009100D2">
      <w:pPr>
        <w:pStyle w:val="FootnoteText"/>
      </w:pPr>
      <w:r>
        <w:rPr>
          <w:rStyle w:val="FootnoteReference"/>
        </w:rPr>
        <w:footnoteRef/>
      </w:r>
      <w:r>
        <w:t xml:space="preserve"> </w:t>
      </w:r>
      <w:r>
        <w:rPr>
          <w:i/>
        </w:rPr>
        <w:t xml:space="preserve">See </w:t>
      </w:r>
      <w:r w:rsidRPr="00481B8E">
        <w:rPr>
          <w:i/>
        </w:rPr>
        <w:t xml:space="preserve">AT&amp;T-Qualcomm Order, </w:t>
      </w:r>
      <w:r w:rsidRPr="009169A3">
        <w:t>26 FCC Rcd at</w:t>
      </w:r>
      <w:r>
        <w:t xml:space="preserve"> 17601-02</w:t>
      </w:r>
      <w:r w:rsidRPr="009169A3">
        <w:t xml:space="preserve"> </w:t>
      </w:r>
      <w:r w:rsidRPr="00481B8E">
        <w:t>¶</w:t>
      </w:r>
      <w:r>
        <w:t xml:space="preserve"> </w:t>
      </w:r>
      <w:r w:rsidRPr="009169A3">
        <w:t>30</w:t>
      </w:r>
      <w:r>
        <w:t>.</w:t>
      </w:r>
    </w:p>
  </w:footnote>
  <w:footnote w:id="111">
    <w:p w:rsidR="00126C52" w:rsidRDefault="00126C52" w:rsidP="00C21C77">
      <w:pPr>
        <w:pStyle w:val="FootnoteText"/>
      </w:pPr>
      <w:r>
        <w:rPr>
          <w:rStyle w:val="FootnoteReference"/>
        </w:rPr>
        <w:footnoteRef/>
      </w:r>
      <w:r>
        <w:t xml:space="preserve"> </w:t>
      </w:r>
      <w:r w:rsidRPr="00922922">
        <w:rPr>
          <w:i/>
        </w:rPr>
        <w:t>See Mobile Spectrum Holdings NPRM,</w:t>
      </w:r>
      <w:r>
        <w:rPr>
          <w:i/>
        </w:rPr>
        <w:t xml:space="preserve"> </w:t>
      </w:r>
      <w:r w:rsidRPr="004F51DF">
        <w:t xml:space="preserve">27 </w:t>
      </w:r>
      <w:r w:rsidRPr="00E92AE2">
        <w:t>FCC Rcd at 11710 ¶</w:t>
      </w:r>
      <w:r w:rsidRPr="004F51DF">
        <w:t xml:space="preserve"> </w:t>
      </w:r>
      <w:r w:rsidRPr="00E92AE2">
        <w:t>35</w:t>
      </w:r>
      <w:r>
        <w:t xml:space="preserve">; </w:t>
      </w:r>
      <w:r w:rsidRPr="00416D91">
        <w:rPr>
          <w:i/>
        </w:rPr>
        <w:t>AT&amp;T-Qualcomm Order</w:t>
      </w:r>
      <w:r>
        <w:t>, 26 FCC Rcd at 17609-11</w:t>
      </w:r>
      <w:r w:rsidRPr="00D14EB8">
        <w:t xml:space="preserve"> ¶</w:t>
      </w:r>
      <w:r>
        <w:rPr>
          <w:i/>
        </w:rPr>
        <w:t xml:space="preserve"> </w:t>
      </w:r>
      <w:r>
        <w:t xml:space="preserve">49.  </w:t>
      </w:r>
    </w:p>
  </w:footnote>
  <w:footnote w:id="112">
    <w:p w:rsidR="00126C52" w:rsidRDefault="00126C52">
      <w:pPr>
        <w:pStyle w:val="FootnoteText"/>
      </w:pPr>
      <w:r>
        <w:rPr>
          <w:rStyle w:val="FootnoteReference"/>
        </w:rPr>
        <w:footnoteRef/>
      </w:r>
      <w:r>
        <w:t xml:space="preserve"> </w:t>
      </w:r>
      <w:r>
        <w:rPr>
          <w:i/>
        </w:rPr>
        <w:t>See AT&amp;T-Qualcomm Order</w:t>
      </w:r>
      <w:r>
        <w:t xml:space="preserve">, 26 FCC Rcd at 17609-11 ¶ 49.  </w:t>
      </w:r>
    </w:p>
  </w:footnote>
  <w:footnote w:id="113">
    <w:p w:rsidR="00126C52" w:rsidRDefault="00126C52" w:rsidP="00C21C77">
      <w:pPr>
        <w:pStyle w:val="FootnoteText"/>
      </w:pPr>
      <w:r>
        <w:rPr>
          <w:rStyle w:val="FootnoteReference"/>
        </w:rPr>
        <w:footnoteRef/>
      </w:r>
      <w:r>
        <w:t xml:space="preserve"> </w:t>
      </w:r>
      <w:r w:rsidRPr="00922922">
        <w:rPr>
          <w:i/>
        </w:rPr>
        <w:t>See Mobile Spectrum Holdings NPRM,</w:t>
      </w:r>
      <w:r>
        <w:rPr>
          <w:i/>
        </w:rPr>
        <w:t xml:space="preserve"> </w:t>
      </w:r>
      <w:r w:rsidRPr="004F51DF">
        <w:t xml:space="preserve">27 </w:t>
      </w:r>
      <w:r>
        <w:t>FCC Rcd at 11710</w:t>
      </w:r>
      <w:r w:rsidRPr="00D14EB8">
        <w:t xml:space="preserve"> ¶</w:t>
      </w:r>
      <w:r>
        <w:rPr>
          <w:i/>
        </w:rPr>
        <w:t xml:space="preserve"> </w:t>
      </w:r>
      <w:r>
        <w:t>35</w:t>
      </w:r>
      <w:r w:rsidRPr="002235D2">
        <w:t>;</w:t>
      </w:r>
      <w:r>
        <w:rPr>
          <w:i/>
        </w:rPr>
        <w:t xml:space="preserve"> </w:t>
      </w:r>
      <w:r w:rsidRPr="00DB06AC">
        <w:rPr>
          <w:i/>
        </w:rPr>
        <w:t>AT&amp;T-Qualcomm Order</w:t>
      </w:r>
      <w:r w:rsidRPr="00282594">
        <w:t>, 26 FCC Rcd at 17609-11 ¶ 49 n.140</w:t>
      </w:r>
      <w:r>
        <w:t>.</w:t>
      </w:r>
    </w:p>
  </w:footnote>
  <w:footnote w:id="114">
    <w:p w:rsidR="00126C52" w:rsidRPr="00E32E16" w:rsidRDefault="00126C52" w:rsidP="00C21C77">
      <w:pPr>
        <w:pStyle w:val="FootnoteText"/>
        <w:rPr>
          <w:i/>
        </w:rPr>
      </w:pPr>
      <w:r>
        <w:rPr>
          <w:rStyle w:val="FootnoteReference"/>
        </w:rPr>
        <w:footnoteRef/>
      </w:r>
      <w:r>
        <w:t xml:space="preserve"> </w:t>
      </w:r>
      <w:r w:rsidRPr="00AA72BD">
        <w:rPr>
          <w:i/>
        </w:rPr>
        <w:t xml:space="preserve">See Sixteenth </w:t>
      </w:r>
      <w:r>
        <w:rPr>
          <w:i/>
        </w:rPr>
        <w:t xml:space="preserve">Annual </w:t>
      </w:r>
      <w:r w:rsidRPr="00AA72BD">
        <w:rPr>
          <w:i/>
        </w:rPr>
        <w:t xml:space="preserve">Mobile Wireless Competition Report, </w:t>
      </w:r>
      <w:r w:rsidRPr="004F51DF">
        <w:t>28 FCC Rcd at 3700</w:t>
      </w:r>
      <w:r w:rsidRPr="00AA72BD">
        <w:rPr>
          <w:i/>
        </w:rPr>
        <w:t xml:space="preserve"> </w:t>
      </w:r>
      <w:r w:rsidRPr="004F51DF">
        <w:t>¶ 122.</w:t>
      </w:r>
    </w:p>
  </w:footnote>
  <w:footnote w:id="115">
    <w:p w:rsidR="00126C52" w:rsidRDefault="00126C52" w:rsidP="00C21C77">
      <w:pPr>
        <w:pStyle w:val="FootnoteText"/>
      </w:pPr>
      <w:r>
        <w:rPr>
          <w:rStyle w:val="FootnoteReference"/>
        </w:rPr>
        <w:footnoteRef/>
      </w:r>
      <w:r>
        <w:t xml:space="preserve"> </w:t>
      </w:r>
      <w:r w:rsidRPr="00FB5A64">
        <w:rPr>
          <w:i/>
        </w:rPr>
        <w:t>See</w:t>
      </w:r>
      <w:r>
        <w:t xml:space="preserve"> </w:t>
      </w:r>
      <w:r w:rsidRPr="00922922">
        <w:rPr>
          <w:i/>
        </w:rPr>
        <w:t>Mobile Spectrum Holdings NPRM,</w:t>
      </w:r>
      <w:r>
        <w:rPr>
          <w:i/>
        </w:rPr>
        <w:t xml:space="preserve"> </w:t>
      </w:r>
      <w:r w:rsidRPr="004F51DF">
        <w:t xml:space="preserve">27 </w:t>
      </w:r>
      <w:r>
        <w:t>FCC Rcd at 11710</w:t>
      </w:r>
      <w:r w:rsidRPr="00D14EB8">
        <w:t xml:space="preserve"> ¶</w:t>
      </w:r>
      <w:r>
        <w:rPr>
          <w:i/>
        </w:rPr>
        <w:t xml:space="preserve"> </w:t>
      </w:r>
      <w:r>
        <w:t>35</w:t>
      </w:r>
      <w:r w:rsidRPr="002235D2">
        <w:t xml:space="preserve">; </w:t>
      </w:r>
      <w:r w:rsidRPr="00C845FC">
        <w:rPr>
          <w:i/>
        </w:rPr>
        <w:t>AT&amp;T-Qualcomm Order</w:t>
      </w:r>
      <w:r>
        <w:t xml:space="preserve">, 26 FCC Rcd at 17611 ¶ 49. </w:t>
      </w:r>
    </w:p>
  </w:footnote>
  <w:footnote w:id="116">
    <w:p w:rsidR="00126C52" w:rsidRDefault="00126C52" w:rsidP="00B6275E">
      <w:pPr>
        <w:pStyle w:val="FootnoteText"/>
      </w:pPr>
      <w:r>
        <w:rPr>
          <w:rStyle w:val="FootnoteReference"/>
        </w:rPr>
        <w:footnoteRef/>
      </w:r>
      <w:r>
        <w:t xml:space="preserve"> </w:t>
      </w:r>
      <w:r w:rsidRPr="00CA0B70">
        <w:t xml:space="preserve">AT&amp;T would hold 80 megahertz, or approximately 51 percent, of </w:t>
      </w:r>
      <w:r>
        <w:t>below 1 GHz</w:t>
      </w:r>
      <w:r w:rsidRPr="00CA0B70">
        <w:t xml:space="preserve"> spectrum</w:t>
      </w:r>
      <w:r>
        <w:t xml:space="preserve"> in three markets post-transaction, and </w:t>
      </w:r>
      <w:r w:rsidRPr="00CA0B70">
        <w:t>68 megahertz, or approximately 43 percent, of such spectrum</w:t>
      </w:r>
      <w:r>
        <w:t xml:space="preserve"> in the fourth market</w:t>
      </w:r>
      <w:r w:rsidRPr="00CA0B70">
        <w:t>.</w:t>
      </w:r>
      <w:r>
        <w:t xml:space="preserve">  We note that we also evaluated the other markets in which AT&amp;T would be acquiring Lower 700 MHz Band spectrum from Verizon Wireless and Grain I, and we generally find the potential for competitive harm unlikely in those markets.</w:t>
      </w:r>
    </w:p>
  </w:footnote>
  <w:footnote w:id="117">
    <w:p w:rsidR="00126C52" w:rsidRDefault="00126C52" w:rsidP="00A67A95">
      <w:pPr>
        <w:pStyle w:val="FootnoteText"/>
      </w:pPr>
      <w:r>
        <w:rPr>
          <w:rStyle w:val="FootnoteReference"/>
        </w:rPr>
        <w:footnoteRef/>
      </w:r>
      <w:r>
        <w:t xml:space="preserve"> AT&amp;T would hold 130 megahertz of total spectrum in each of these CMAs post-transaction. </w:t>
      </w:r>
    </w:p>
  </w:footnote>
  <w:footnote w:id="118">
    <w:p w:rsidR="00126C52" w:rsidRDefault="00126C52" w:rsidP="00A67A95">
      <w:pPr>
        <w:pStyle w:val="FootnoteText"/>
      </w:pPr>
      <w:r>
        <w:rPr>
          <w:rStyle w:val="FootnoteReference"/>
        </w:rPr>
        <w:footnoteRef/>
      </w:r>
      <w:r>
        <w:t xml:space="preserve"> </w:t>
      </w:r>
      <w:r w:rsidRPr="0008082C">
        <w:rPr>
          <w:szCs w:val="22"/>
        </w:rPr>
        <w:t xml:space="preserve">Miami-Fort Lauderdale (CMA 12) </w:t>
      </w:r>
      <w:r>
        <w:rPr>
          <w:szCs w:val="22"/>
        </w:rPr>
        <w:t xml:space="preserve">has a population of 4.2 million and a population density of 1344 per square mile.  </w:t>
      </w:r>
      <w:r w:rsidRPr="0008082C">
        <w:rPr>
          <w:szCs w:val="22"/>
        </w:rPr>
        <w:t>West Palm Beach-Boca Raton (CMA 72)</w:t>
      </w:r>
      <w:r>
        <w:rPr>
          <w:szCs w:val="22"/>
        </w:rPr>
        <w:t xml:space="preserve"> has a population of 1.3 million and a population density of 669 per square mile.</w:t>
      </w:r>
    </w:p>
  </w:footnote>
  <w:footnote w:id="119">
    <w:p w:rsidR="00126C52" w:rsidRDefault="00126C52" w:rsidP="005949DF">
      <w:pPr>
        <w:pStyle w:val="FootnoteText"/>
      </w:pPr>
      <w:r>
        <w:rPr>
          <w:rStyle w:val="FootnoteReference"/>
        </w:rPr>
        <w:footnoteRef/>
      </w:r>
      <w:r>
        <w:t xml:space="preserve"> In both markets,</w:t>
      </w:r>
      <w:r w:rsidRPr="0024266C">
        <w:t xml:space="preserve"> Verizon Wireless holds 104 megahertz of total spectrum</w:t>
      </w:r>
      <w:r>
        <w:t xml:space="preserve">. </w:t>
      </w:r>
      <w:r w:rsidRPr="0024266C">
        <w:t xml:space="preserve"> Sprint holds </w:t>
      </w:r>
      <w:r>
        <w:t>80</w:t>
      </w:r>
      <w:r w:rsidRPr="0024266C">
        <w:t xml:space="preserve"> megahertz of total spectrum</w:t>
      </w:r>
      <w:r>
        <w:t xml:space="preserve"> in the Miami-Fort Lauderdale market, and 85.5% in the West Palm Beach-Boca Raton market.  </w:t>
      </w:r>
      <w:r w:rsidRPr="0024266C">
        <w:t>T-Mobile holds 90 megahertz of total spectrum</w:t>
      </w:r>
      <w:r>
        <w:t xml:space="preserve"> in both markets</w:t>
      </w:r>
      <w:r w:rsidRPr="0024266C">
        <w:t>, none of which is below 1 GHz spectrum</w:t>
      </w:r>
      <w:r>
        <w:t>.  In addition, Echostar holds 6 megahertz of spectrum in both markets.</w:t>
      </w:r>
      <w:r w:rsidRPr="0024266C">
        <w:t xml:space="preserve"> </w:t>
      </w:r>
    </w:p>
  </w:footnote>
  <w:footnote w:id="120">
    <w:p w:rsidR="00126C52" w:rsidRPr="00857D4D" w:rsidRDefault="00126C52" w:rsidP="005949DF">
      <w:pPr>
        <w:pStyle w:val="FootnoteText"/>
        <w:rPr>
          <w:rFonts w:eastAsiaTheme="minorHAnsi"/>
          <w:b/>
        </w:rPr>
      </w:pPr>
      <w:r>
        <w:rPr>
          <w:rStyle w:val="FootnoteReference"/>
        </w:rPr>
        <w:footnoteRef/>
      </w:r>
      <w:r>
        <w:t xml:space="preserve"> </w:t>
      </w:r>
      <w:r w:rsidRPr="0024266C">
        <w:t xml:space="preserve">Miami-Fort Lauderdale, FL (CMA 12):  AT&amp;T has a </w:t>
      </w:r>
      <w:r w:rsidR="00F02162">
        <w:rPr>
          <w:b/>
        </w:rPr>
        <w:t>[REDACTED]</w:t>
      </w:r>
      <w:r w:rsidRPr="0024266C">
        <w:t>%</w:t>
      </w:r>
      <w:r>
        <w:t xml:space="preserve"> market share; </w:t>
      </w:r>
      <w:r w:rsidRPr="00D937E8">
        <w:rPr>
          <w:rFonts w:eastAsiaTheme="minorHAnsi"/>
        </w:rPr>
        <w:t xml:space="preserve">Verizon Wireless has a </w:t>
      </w:r>
      <w:r w:rsidR="00F02162">
        <w:rPr>
          <w:b/>
        </w:rPr>
        <w:t>[REDACTED]</w:t>
      </w:r>
      <w:r w:rsidRPr="00D937E8">
        <w:rPr>
          <w:rFonts w:eastAsiaTheme="minorHAnsi"/>
        </w:rPr>
        <w:t xml:space="preserve">% market share; Sprint has a </w:t>
      </w:r>
      <w:r w:rsidR="00F02162">
        <w:rPr>
          <w:b/>
        </w:rPr>
        <w:t>[REDACTED]</w:t>
      </w:r>
      <w:r w:rsidRPr="00D937E8">
        <w:rPr>
          <w:rFonts w:eastAsiaTheme="minorHAnsi"/>
        </w:rPr>
        <w:t xml:space="preserve">% market share; and T-Mobile has a </w:t>
      </w:r>
      <w:r w:rsidR="00F02162">
        <w:rPr>
          <w:b/>
        </w:rPr>
        <w:t>[REDACTED]</w:t>
      </w:r>
      <w:r w:rsidRPr="00D937E8">
        <w:rPr>
          <w:rFonts w:eastAsiaTheme="minorHAnsi"/>
        </w:rPr>
        <w:t xml:space="preserve">% market share.  </w:t>
      </w:r>
      <w:r w:rsidRPr="007B1AA9">
        <w:t xml:space="preserve">In this </w:t>
      </w:r>
      <w:r>
        <w:t xml:space="preserve">Memorandum Opinion and </w:t>
      </w:r>
      <w:r w:rsidRPr="007B1AA9">
        <w:t xml:space="preserve">Order, </w:t>
      </w:r>
      <w:r>
        <w:t>“</w:t>
      </w:r>
      <w:r>
        <w:rPr>
          <w:b/>
        </w:rPr>
        <w:t>[REDACTED],”</w:t>
      </w:r>
      <w:r>
        <w:t xml:space="preserve"> </w:t>
      </w:r>
      <w:r w:rsidRPr="007B1AA9">
        <w:t>“</w:t>
      </w:r>
      <w:r w:rsidRPr="007B1AA9">
        <w:rPr>
          <w:b/>
        </w:rPr>
        <w:t>[BEGIN CONFIDENTIAL]</w:t>
      </w:r>
      <w:r w:rsidRPr="007B1AA9">
        <w:t>” and “</w:t>
      </w:r>
      <w:r w:rsidRPr="007B1AA9">
        <w:rPr>
          <w:b/>
        </w:rPr>
        <w:t>[END CONFIDENTIAL]</w:t>
      </w:r>
      <w:r>
        <w:rPr>
          <w:b/>
        </w:rPr>
        <w:t>,</w:t>
      </w:r>
      <w:r>
        <w:t xml:space="preserve">” and </w:t>
      </w:r>
      <w:r w:rsidRPr="007B1AA9">
        <w:t>“</w:t>
      </w:r>
      <w:r w:rsidRPr="007B1AA9">
        <w:rPr>
          <w:b/>
        </w:rPr>
        <w:t>[BEGIN HIGHLY CONFIDENTIAL]</w:t>
      </w:r>
      <w:r w:rsidRPr="007B1AA9">
        <w:t>” and “</w:t>
      </w:r>
      <w:r w:rsidRPr="007B1AA9">
        <w:rPr>
          <w:b/>
        </w:rPr>
        <w:t>[END HIGHLY CONFIDENTIAL]</w:t>
      </w:r>
      <w:r w:rsidRPr="007B1AA9">
        <w:t xml:space="preserve">” indicates confidential or proprietary information, or analysis based on such information, submitted pursuant to the </w:t>
      </w:r>
      <w:r w:rsidRPr="007B1AA9">
        <w:rPr>
          <w:i/>
          <w:iCs/>
        </w:rPr>
        <w:t>Protective Orders</w:t>
      </w:r>
      <w:r w:rsidRPr="007B1AA9">
        <w:t xml:space="preserve"> in this proceeding.  </w:t>
      </w:r>
    </w:p>
    <w:p w:rsidR="00126C52" w:rsidRPr="00A41A0E" w:rsidRDefault="00126C52" w:rsidP="005949DF">
      <w:pPr>
        <w:pStyle w:val="FootnoteText"/>
      </w:pPr>
      <w:r w:rsidRPr="0024266C">
        <w:t xml:space="preserve">West Palm Beach-Boca Raton, FL (CMA 72):  AT&amp;T has a </w:t>
      </w:r>
      <w:r w:rsidR="00F02162">
        <w:rPr>
          <w:b/>
        </w:rPr>
        <w:t>[REDACTED]</w:t>
      </w:r>
      <w:r w:rsidRPr="0024266C">
        <w:t>% market share</w:t>
      </w:r>
      <w:r>
        <w:t xml:space="preserve">.  </w:t>
      </w:r>
      <w:r w:rsidRPr="00D937E8">
        <w:rPr>
          <w:rFonts w:eastAsiaTheme="minorHAnsi"/>
        </w:rPr>
        <w:t xml:space="preserve">Verizon Wireless has a </w:t>
      </w:r>
      <w:r w:rsidR="00F02162">
        <w:rPr>
          <w:b/>
        </w:rPr>
        <w:t>[REDACTED]</w:t>
      </w:r>
      <w:r w:rsidRPr="00D937E8">
        <w:rPr>
          <w:rFonts w:eastAsiaTheme="minorHAnsi"/>
        </w:rPr>
        <w:t xml:space="preserve">% market share; Sprint has a </w:t>
      </w:r>
      <w:r w:rsidR="00F02162">
        <w:rPr>
          <w:b/>
        </w:rPr>
        <w:t>[REDACTED]</w:t>
      </w:r>
      <w:r w:rsidRPr="00D937E8">
        <w:rPr>
          <w:rFonts w:eastAsiaTheme="minorHAnsi"/>
        </w:rPr>
        <w:t xml:space="preserve">% market share; and T-Mobile has a </w:t>
      </w:r>
      <w:r w:rsidR="00F02162">
        <w:rPr>
          <w:b/>
        </w:rPr>
        <w:t>[REDACTED]</w:t>
      </w:r>
      <w:r w:rsidRPr="00A41A0E">
        <w:rPr>
          <w:rFonts w:eastAsiaTheme="minorHAnsi"/>
        </w:rPr>
        <w:t>% market share.</w:t>
      </w:r>
    </w:p>
  </w:footnote>
  <w:footnote w:id="121">
    <w:p w:rsidR="00126C52" w:rsidRPr="002235D2" w:rsidRDefault="00126C52" w:rsidP="005949DF">
      <w:pPr>
        <w:spacing w:after="120"/>
        <w:rPr>
          <w:sz w:val="20"/>
        </w:rPr>
      </w:pPr>
      <w:r w:rsidRPr="00A41A0E">
        <w:rPr>
          <w:rStyle w:val="FootnoteReference"/>
        </w:rPr>
        <w:footnoteRef/>
      </w:r>
      <w:r w:rsidRPr="002235D2">
        <w:rPr>
          <w:sz w:val="20"/>
        </w:rPr>
        <w:t xml:space="preserve">  The Commission has previously </w:t>
      </w:r>
      <w:r>
        <w:rPr>
          <w:sz w:val="20"/>
        </w:rPr>
        <w:t>found</w:t>
      </w:r>
      <w:r w:rsidRPr="002235D2">
        <w:rPr>
          <w:sz w:val="20"/>
        </w:rPr>
        <w:t xml:space="preserve"> coverage </w:t>
      </w:r>
      <w:r>
        <w:rPr>
          <w:sz w:val="20"/>
        </w:rPr>
        <w:t>of</w:t>
      </w:r>
      <w:r w:rsidRPr="002235D2">
        <w:rPr>
          <w:sz w:val="20"/>
        </w:rPr>
        <w:t xml:space="preserve"> 70% or more of the population and 50% or more of the land area</w:t>
      </w:r>
      <w:r>
        <w:rPr>
          <w:sz w:val="20"/>
        </w:rPr>
        <w:t xml:space="preserve"> as presumptively sufficient for a provider to have a </w:t>
      </w:r>
      <w:r w:rsidRPr="00857D4D">
        <w:rPr>
          <w:sz w:val="20"/>
        </w:rPr>
        <w:t>competitive presence</w:t>
      </w:r>
      <w:r>
        <w:rPr>
          <w:sz w:val="20"/>
        </w:rPr>
        <w:t xml:space="preserve"> in a market</w:t>
      </w:r>
      <w:r w:rsidRPr="002235D2">
        <w:rPr>
          <w:sz w:val="20"/>
        </w:rPr>
        <w:t>.</w:t>
      </w:r>
      <w:r>
        <w:rPr>
          <w:sz w:val="20"/>
        </w:rPr>
        <w:t xml:space="preserve">  In these two markets, each of the nationwide service providers has total coverage of at least 70% of the population and at least 50% of the land area.</w:t>
      </w:r>
      <w:r w:rsidRPr="002235D2">
        <w:rPr>
          <w:sz w:val="20"/>
        </w:rPr>
        <w:t xml:space="preserve">  </w:t>
      </w:r>
      <w:r w:rsidRPr="005A09A5">
        <w:rPr>
          <w:i/>
          <w:iCs/>
          <w:sz w:val="20"/>
        </w:rPr>
        <w:t>See</w:t>
      </w:r>
      <w:r w:rsidRPr="005A09A5">
        <w:rPr>
          <w:sz w:val="20"/>
        </w:rPr>
        <w:t xml:space="preserve"> </w:t>
      </w:r>
      <w:r w:rsidRPr="005A09A5">
        <w:rPr>
          <w:i/>
          <w:sz w:val="20"/>
        </w:rPr>
        <w:t>T-Mobile-MetroPCS Order</w:t>
      </w:r>
      <w:r w:rsidRPr="005A09A5">
        <w:rPr>
          <w:sz w:val="20"/>
        </w:rPr>
        <w:t>, 28 FCC Rcd at 2339 ¶ 50</w:t>
      </w:r>
      <w:r>
        <w:rPr>
          <w:sz w:val="20"/>
        </w:rPr>
        <w:t xml:space="preserve"> n.119; </w:t>
      </w:r>
      <w:r w:rsidRPr="005A09A5">
        <w:rPr>
          <w:i/>
          <w:iCs/>
          <w:sz w:val="20"/>
        </w:rPr>
        <w:t>AT&amp;T-Verizon Wireless Order</w:t>
      </w:r>
      <w:r w:rsidRPr="005A09A5">
        <w:rPr>
          <w:sz w:val="20"/>
        </w:rPr>
        <w:t>, 25 FCC Rcd at 8733 ¶ 65</w:t>
      </w:r>
      <w:r>
        <w:rPr>
          <w:sz w:val="20"/>
        </w:rPr>
        <w:t>.</w:t>
      </w:r>
      <w:r w:rsidRPr="005A09A5">
        <w:rPr>
          <w:sz w:val="20"/>
        </w:rPr>
        <w:t xml:space="preserve">  </w:t>
      </w:r>
      <w:r w:rsidRPr="002235D2">
        <w:rPr>
          <w:sz w:val="20"/>
        </w:rPr>
        <w:t xml:space="preserve">Population and land area coverage </w:t>
      </w:r>
      <w:r>
        <w:rPr>
          <w:sz w:val="20"/>
        </w:rPr>
        <w:t>are</w:t>
      </w:r>
      <w:r w:rsidRPr="002235D2">
        <w:rPr>
          <w:sz w:val="20"/>
        </w:rPr>
        <w:t xml:space="preserve"> derived from </w:t>
      </w:r>
      <w:r>
        <w:rPr>
          <w:sz w:val="20"/>
        </w:rPr>
        <w:t xml:space="preserve">the </w:t>
      </w:r>
      <w:r w:rsidRPr="002235D2">
        <w:rPr>
          <w:sz w:val="20"/>
        </w:rPr>
        <w:t xml:space="preserve">July 2013 Mosaik data and </w:t>
      </w:r>
      <w:r>
        <w:rPr>
          <w:sz w:val="20"/>
        </w:rPr>
        <w:t xml:space="preserve">the </w:t>
      </w:r>
      <w:r w:rsidRPr="002235D2">
        <w:rPr>
          <w:sz w:val="20"/>
        </w:rPr>
        <w:t>2010 Census</w:t>
      </w:r>
      <w:r>
        <w:rPr>
          <w:sz w:val="20"/>
        </w:rPr>
        <w:t xml:space="preserve"> data</w:t>
      </w:r>
      <w:r w:rsidRPr="002235D2">
        <w:rPr>
          <w:sz w:val="20"/>
        </w:rPr>
        <w:t>.</w:t>
      </w:r>
    </w:p>
  </w:footnote>
  <w:footnote w:id="122">
    <w:p w:rsidR="00126C52" w:rsidRPr="00A41A0E" w:rsidRDefault="00126C52" w:rsidP="005949DF">
      <w:pPr>
        <w:pStyle w:val="FootnoteText"/>
      </w:pPr>
      <w:r w:rsidRPr="00A41A0E">
        <w:rPr>
          <w:rStyle w:val="FootnoteReference"/>
        </w:rPr>
        <w:footnoteRef/>
      </w:r>
      <w:r w:rsidRPr="00A41A0E">
        <w:t xml:space="preserve"> Miami-Fort Lauderdale, FL (CMA 12):  AT&amp;T, Verizon Wireless, and T-Mobile </w:t>
      </w:r>
      <w:r>
        <w:t xml:space="preserve">each </w:t>
      </w:r>
      <w:r w:rsidRPr="00A41A0E">
        <w:t>cover 100% of the population with LTE</w:t>
      </w:r>
      <w:r>
        <w:t>, and each cover</w:t>
      </w:r>
      <w:r w:rsidRPr="00A41A0E">
        <w:t xml:space="preserve"> 5</w:t>
      </w:r>
      <w:r>
        <w:t>1</w:t>
      </w:r>
      <w:r w:rsidRPr="00A41A0E">
        <w:t>%</w:t>
      </w:r>
      <w:r>
        <w:t>, 60%, and 40% of the land area, respectively.</w:t>
      </w:r>
      <w:r w:rsidRPr="00A41A0E">
        <w:t xml:space="preserve"> </w:t>
      </w:r>
      <w:r>
        <w:t xml:space="preserve"> </w:t>
      </w:r>
      <w:r w:rsidRPr="00A41A0E">
        <w:t>Sprint covers 83% of the population and 21% of the land area with WiM</w:t>
      </w:r>
      <w:r>
        <w:t>AX</w:t>
      </w:r>
      <w:r w:rsidRPr="00A41A0E">
        <w:t>.</w:t>
      </w:r>
    </w:p>
    <w:p w:rsidR="00126C52" w:rsidRDefault="00126C52" w:rsidP="005949DF">
      <w:pPr>
        <w:pStyle w:val="FootnoteText"/>
      </w:pPr>
      <w:r w:rsidRPr="00673E50">
        <w:t>West Palm Beach-Boca Raton, FL (CMA 72):  AT&amp;T</w:t>
      </w:r>
      <w:r>
        <w:t xml:space="preserve"> and </w:t>
      </w:r>
      <w:r w:rsidRPr="00673E50">
        <w:t xml:space="preserve">Verizon Wireless, </w:t>
      </w:r>
      <w:r>
        <w:t xml:space="preserve">each </w:t>
      </w:r>
      <w:r w:rsidRPr="00830E5C">
        <w:t>cover 100% of the population with LTE</w:t>
      </w:r>
      <w:r>
        <w:t>, and each cover</w:t>
      </w:r>
      <w:r w:rsidRPr="00830E5C">
        <w:t xml:space="preserve"> 73%</w:t>
      </w:r>
      <w:r>
        <w:t xml:space="preserve"> and</w:t>
      </w:r>
      <w:r w:rsidRPr="00830E5C">
        <w:t xml:space="preserve"> 78</w:t>
      </w:r>
      <w:r>
        <w:t xml:space="preserve"> of the land area, respectively.  T-Mobile covers 99% of the population and 55% of the land area with LTE.  Sprint </w:t>
      </w:r>
      <w:r w:rsidRPr="00C21C77">
        <w:t xml:space="preserve">covers </w:t>
      </w:r>
      <w:r>
        <w:t>99%</w:t>
      </w:r>
      <w:r w:rsidRPr="00C21C77">
        <w:t xml:space="preserve"> of the population and </w:t>
      </w:r>
      <w:r>
        <w:t>58</w:t>
      </w:r>
      <w:r w:rsidRPr="00C21C77">
        <w:t>%</w:t>
      </w:r>
      <w:r>
        <w:t xml:space="preserve"> of the land area with WiMAX.</w:t>
      </w:r>
    </w:p>
  </w:footnote>
  <w:footnote w:id="123">
    <w:p w:rsidR="00126C52" w:rsidRDefault="00126C52" w:rsidP="005949DF">
      <w:pPr>
        <w:pStyle w:val="FootnoteText"/>
      </w:pPr>
      <w:r>
        <w:rPr>
          <w:rStyle w:val="FootnoteReference"/>
        </w:rPr>
        <w:footnoteRef/>
      </w:r>
      <w:r>
        <w:t xml:space="preserve"> </w:t>
      </w:r>
      <w:r>
        <w:rPr>
          <w:szCs w:val="22"/>
        </w:rPr>
        <w:t>The population</w:t>
      </w:r>
      <w:r w:rsidRPr="00B01B98">
        <w:rPr>
          <w:szCs w:val="22"/>
        </w:rPr>
        <w:t xml:space="preserve"> </w:t>
      </w:r>
      <w:r>
        <w:rPr>
          <w:szCs w:val="22"/>
        </w:rPr>
        <w:t>is</w:t>
      </w:r>
      <w:r w:rsidRPr="00B01B98">
        <w:rPr>
          <w:szCs w:val="22"/>
        </w:rPr>
        <w:t xml:space="preserve"> </w:t>
      </w:r>
      <w:r>
        <w:rPr>
          <w:szCs w:val="22"/>
        </w:rPr>
        <w:t xml:space="preserve">approximately </w:t>
      </w:r>
      <w:r w:rsidRPr="00B01B98">
        <w:rPr>
          <w:szCs w:val="22"/>
        </w:rPr>
        <w:t>193,000</w:t>
      </w:r>
      <w:r>
        <w:rPr>
          <w:szCs w:val="22"/>
        </w:rPr>
        <w:t>, with a population density of 181.  CMA 197 is a single county CMA comprised of Calcasieu Parish.</w:t>
      </w:r>
    </w:p>
  </w:footnote>
  <w:footnote w:id="124">
    <w:p w:rsidR="00126C52" w:rsidRDefault="00126C52" w:rsidP="005949DF">
      <w:pPr>
        <w:pStyle w:val="FootnoteText"/>
      </w:pPr>
      <w:r>
        <w:rPr>
          <w:rStyle w:val="FootnoteReference"/>
        </w:rPr>
        <w:footnoteRef/>
      </w:r>
      <w:r>
        <w:t xml:space="preserve"> AT&amp;T would hold a total of 150 megahertz in the Lake Charles, Louisiana CMA.</w:t>
      </w:r>
    </w:p>
  </w:footnote>
  <w:footnote w:id="125">
    <w:p w:rsidR="00126C52" w:rsidRPr="00857D4D" w:rsidRDefault="00126C52" w:rsidP="005949DF">
      <w:pPr>
        <w:pStyle w:val="FootnoteText"/>
        <w:rPr>
          <w:b/>
        </w:rPr>
      </w:pPr>
      <w:r w:rsidRPr="00817FBA">
        <w:rPr>
          <w:rStyle w:val="FootnoteReference"/>
        </w:rPr>
        <w:footnoteRef/>
      </w:r>
      <w:r w:rsidRPr="00817FBA">
        <w:t xml:space="preserve"> Verizon Wireless holds 72 megahertz of total spectrum.  Sprint holds 104 megahertz.  T-Mobile holds 50 megahertz, </w:t>
      </w:r>
      <w:r>
        <w:t xml:space="preserve">and Leap holds </w:t>
      </w:r>
      <w:r w:rsidRPr="00A67A95">
        <w:t>30</w:t>
      </w:r>
      <w:r>
        <w:t xml:space="preserve"> megahertz</w:t>
      </w:r>
      <w:r w:rsidRPr="00817FBA">
        <w:t xml:space="preserve">.  </w:t>
      </w:r>
      <w:r>
        <w:t xml:space="preserve">CenturyTel holds the Lower 700 MHz Band A Block license in this CMA.  </w:t>
      </w:r>
      <w:r w:rsidRPr="00126C52">
        <w:t>Echostar, Command Connect, Leap, and Stratos</w:t>
      </w:r>
      <w:r>
        <w:t xml:space="preserve"> each hold spectrum in this CMA.  </w:t>
      </w:r>
    </w:p>
  </w:footnote>
  <w:footnote w:id="126">
    <w:p w:rsidR="00126C52" w:rsidRDefault="00126C52" w:rsidP="005949DF">
      <w:pPr>
        <w:pStyle w:val="FootnoteText"/>
      </w:pPr>
      <w:r>
        <w:rPr>
          <w:rStyle w:val="FootnoteReference"/>
        </w:rPr>
        <w:footnoteRef/>
      </w:r>
      <w:r>
        <w:t xml:space="preserve"> AT&amp;T, Verizon Wireless, and Sprint cover 100%, 100%, and </w:t>
      </w:r>
      <w:r w:rsidRPr="00A67A95">
        <w:t>99</w:t>
      </w:r>
      <w:r>
        <w:t xml:space="preserve">% of the population, respectively, and 100%, 99% and </w:t>
      </w:r>
      <w:r w:rsidRPr="00A67A95">
        <w:t>94</w:t>
      </w:r>
      <w:r>
        <w:t>% of the land area, respectively.  Also, T-Mobile and Leap each cover 95% of the population, and 80% and 76% of the land area, respectively.</w:t>
      </w:r>
    </w:p>
  </w:footnote>
  <w:footnote w:id="127">
    <w:p w:rsidR="00126C52" w:rsidRDefault="00126C52" w:rsidP="005949DF">
      <w:pPr>
        <w:pStyle w:val="FootnoteText"/>
      </w:pPr>
      <w:r>
        <w:rPr>
          <w:rStyle w:val="FootnoteReference"/>
        </w:rPr>
        <w:footnoteRef/>
      </w:r>
      <w:r>
        <w:t xml:space="preserve"> Verizon Wireless covers 100% of the population and 97% of the land area with LTE.  AT&amp;T covers approximately 100 % of the population and 96% of the land area with HSPA+, and 3% of the population and 16% of the land area with LTE.  T-Mobile has no HSPA+ or LTE coverage.  Also, Sprint and Leap do not have any LTE coverage in this CMA.</w:t>
      </w:r>
    </w:p>
  </w:footnote>
  <w:footnote w:id="128">
    <w:p w:rsidR="00126C52" w:rsidRDefault="00126C52" w:rsidP="00F579B2">
      <w:pPr>
        <w:pStyle w:val="FootnoteText"/>
      </w:pPr>
      <w:r>
        <w:rPr>
          <w:rStyle w:val="FootnoteReference"/>
        </w:rPr>
        <w:footnoteRef/>
      </w:r>
      <w:r>
        <w:t xml:space="preserve"> Lake </w:t>
      </w:r>
      <w:r w:rsidRPr="00817FBA">
        <w:t xml:space="preserve">Charles, LA (CMA 197):  AT&amp;T has a </w:t>
      </w:r>
      <w:r w:rsidR="00F02162">
        <w:rPr>
          <w:b/>
        </w:rPr>
        <w:t>[REDACTED]</w:t>
      </w:r>
      <w:r w:rsidRPr="00817FBA">
        <w:t xml:space="preserve">% market share; Verizon Wireless has a </w:t>
      </w:r>
      <w:r w:rsidR="00F02162">
        <w:rPr>
          <w:b/>
        </w:rPr>
        <w:t>[REDACTED]</w:t>
      </w:r>
      <w:r w:rsidRPr="00817FBA">
        <w:t xml:space="preserve">% market share; Sprint has a </w:t>
      </w:r>
      <w:r w:rsidR="00F02162">
        <w:rPr>
          <w:b/>
        </w:rPr>
        <w:t>[REDACTED]</w:t>
      </w:r>
      <w:r>
        <w:t xml:space="preserve">% market share.  Also, </w:t>
      </w:r>
      <w:r w:rsidRPr="00817FBA">
        <w:t xml:space="preserve">T-Mobile has a </w:t>
      </w:r>
      <w:r w:rsidR="00F02162">
        <w:rPr>
          <w:b/>
        </w:rPr>
        <w:t>[REDACTED]</w:t>
      </w:r>
      <w:r>
        <w:t xml:space="preserve">% market share and </w:t>
      </w:r>
      <w:r w:rsidRPr="00817FBA">
        <w:t xml:space="preserve">Leap has a </w:t>
      </w:r>
      <w:r w:rsidR="00F02162">
        <w:rPr>
          <w:b/>
        </w:rPr>
        <w:t>[REDACTED]</w:t>
      </w:r>
      <w:r w:rsidRPr="00817FBA">
        <w:t>% market share.</w:t>
      </w:r>
    </w:p>
  </w:footnote>
  <w:footnote w:id="129">
    <w:p w:rsidR="00126C52" w:rsidRDefault="00126C52" w:rsidP="005949DF">
      <w:pPr>
        <w:pStyle w:val="FootnoteText"/>
      </w:pPr>
      <w:r>
        <w:rPr>
          <w:rStyle w:val="FootnoteReference"/>
        </w:rPr>
        <w:footnoteRef/>
      </w:r>
      <w:r>
        <w:t xml:space="preserve"> </w:t>
      </w:r>
      <w:r>
        <w:rPr>
          <w:szCs w:val="22"/>
        </w:rPr>
        <w:t>This is a rural CMA with a population</w:t>
      </w:r>
      <w:r w:rsidRPr="00B01B98">
        <w:rPr>
          <w:szCs w:val="22"/>
        </w:rPr>
        <w:t xml:space="preserve"> </w:t>
      </w:r>
      <w:r>
        <w:rPr>
          <w:szCs w:val="22"/>
        </w:rPr>
        <w:t>of</w:t>
      </w:r>
      <w:r w:rsidRPr="00B01B98">
        <w:rPr>
          <w:szCs w:val="22"/>
        </w:rPr>
        <w:t xml:space="preserve"> </w:t>
      </w:r>
      <w:r>
        <w:rPr>
          <w:szCs w:val="22"/>
        </w:rPr>
        <w:t>approximately 251</w:t>
      </w:r>
      <w:r w:rsidRPr="00B01B98">
        <w:rPr>
          <w:szCs w:val="22"/>
        </w:rPr>
        <w:t>,000</w:t>
      </w:r>
      <w:r>
        <w:rPr>
          <w:szCs w:val="22"/>
        </w:rPr>
        <w:t>, and a population density of 14.</w:t>
      </w:r>
    </w:p>
  </w:footnote>
  <w:footnote w:id="130">
    <w:p w:rsidR="00126C52" w:rsidRDefault="00126C52" w:rsidP="005949DF">
      <w:pPr>
        <w:pStyle w:val="FootnoteText"/>
      </w:pPr>
      <w:r>
        <w:rPr>
          <w:rStyle w:val="FootnoteReference"/>
        </w:rPr>
        <w:footnoteRef/>
      </w:r>
      <w:r>
        <w:t xml:space="preserve"> AT&amp;T would hold 103-118 megahertz of total spectrum in the Texas 18 – Edwards CMA.</w:t>
      </w:r>
    </w:p>
  </w:footnote>
  <w:footnote w:id="131">
    <w:p w:rsidR="00126C52" w:rsidRPr="00924A7B" w:rsidRDefault="00126C52" w:rsidP="005949DF">
      <w:pPr>
        <w:pStyle w:val="FootnoteText"/>
      </w:pPr>
      <w:r>
        <w:rPr>
          <w:rStyle w:val="FootnoteReference"/>
        </w:rPr>
        <w:footnoteRef/>
      </w:r>
      <w:r>
        <w:t xml:space="preserve"> </w:t>
      </w:r>
      <w:r w:rsidRPr="00924A7B">
        <w:t>Verizon Wireless holds 57-</w:t>
      </w:r>
      <w:r>
        <w:t>89</w:t>
      </w:r>
      <w:r w:rsidRPr="00924A7B">
        <w:t xml:space="preserve"> megahertz of </w:t>
      </w:r>
      <w:r>
        <w:t xml:space="preserve">total </w:t>
      </w:r>
      <w:r w:rsidRPr="00924A7B">
        <w:t xml:space="preserve">spectrum (22 </w:t>
      </w:r>
      <w:r>
        <w:t xml:space="preserve">megahertz </w:t>
      </w:r>
      <w:r w:rsidRPr="00924A7B">
        <w:t>of below 1 GHz</w:t>
      </w:r>
      <w:r>
        <w:t xml:space="preserve"> spectrum</w:t>
      </w:r>
      <w:r w:rsidRPr="00924A7B">
        <w:t xml:space="preserve">).  Sprint holds 56-113.75 megahertz of </w:t>
      </w:r>
      <w:r>
        <w:t xml:space="preserve">total </w:t>
      </w:r>
      <w:r w:rsidRPr="00924A7B">
        <w:t xml:space="preserve">spectrum (15.5-18.25 </w:t>
      </w:r>
      <w:r>
        <w:t>megahertz of</w:t>
      </w:r>
      <w:r w:rsidRPr="00924A7B">
        <w:t xml:space="preserve"> below 1 GHz</w:t>
      </w:r>
      <w:r>
        <w:t xml:space="preserve"> spectrum</w:t>
      </w:r>
      <w:r w:rsidRPr="00924A7B">
        <w:t xml:space="preserve">).  T-Mobile holds 30-60 megahertz of </w:t>
      </w:r>
      <w:r>
        <w:t xml:space="preserve">total </w:t>
      </w:r>
      <w:r w:rsidRPr="00924A7B">
        <w:t xml:space="preserve">spectrum, </w:t>
      </w:r>
      <w:r>
        <w:t>none</w:t>
      </w:r>
      <w:r w:rsidRPr="00924A7B">
        <w:t xml:space="preserve"> of which is below 1 GHz</w:t>
      </w:r>
      <w:r>
        <w:t xml:space="preserve"> spectrum</w:t>
      </w:r>
      <w:r w:rsidRPr="00924A7B">
        <w:t xml:space="preserve">. </w:t>
      </w:r>
      <w:r>
        <w:t xml:space="preserve"> Central Texas Telephone Co-op holds 0-12 megahertz of below 1 GHz spectrum in this CMA.  Texas Energy Network holds the Lower 700 MHz Band A Block license in this market; Southwest Texas Telephone</w:t>
      </w:r>
      <w:r w:rsidDel="00306AEF">
        <w:t xml:space="preserve"> </w:t>
      </w:r>
      <w:r>
        <w:t>and Valley Telephone Cooperative</w:t>
      </w:r>
      <w:r w:rsidDel="00306AEF">
        <w:t xml:space="preserve"> </w:t>
      </w:r>
      <w:r>
        <w:t xml:space="preserve">hold the Lower 700 MHz Band C Block license in different portions of this market.  As for unpaired spectrum, AT&amp;T holds the Lower 700 MHz D Block license, and DISH holds the Lower 700 MHz E Block license. </w:t>
      </w:r>
    </w:p>
  </w:footnote>
  <w:footnote w:id="132">
    <w:p w:rsidR="00126C52" w:rsidRPr="00306AEF" w:rsidRDefault="00126C52" w:rsidP="005949DF">
      <w:pPr>
        <w:pStyle w:val="FootnoteText"/>
      </w:pPr>
      <w:r>
        <w:rPr>
          <w:rStyle w:val="FootnoteReference"/>
        </w:rPr>
        <w:footnoteRef/>
      </w:r>
      <w:r>
        <w:t xml:space="preserve"> </w:t>
      </w:r>
      <w:r w:rsidRPr="00817FBA">
        <w:t xml:space="preserve">Texas 18 – Edwards (CMA 669):  AT&amp;T has a </w:t>
      </w:r>
      <w:r w:rsidR="00F02162">
        <w:rPr>
          <w:b/>
        </w:rPr>
        <w:t>[REDACTED]</w:t>
      </w:r>
      <w:r w:rsidRPr="00817FBA">
        <w:t xml:space="preserve">% market share; Sprint has a </w:t>
      </w:r>
      <w:r w:rsidR="00F02162">
        <w:rPr>
          <w:b/>
        </w:rPr>
        <w:t>[REDACTED]</w:t>
      </w:r>
      <w:r w:rsidRPr="00817FBA">
        <w:t xml:space="preserve">% market share; and T-Mobile has a </w:t>
      </w:r>
      <w:r w:rsidR="004E4F65">
        <w:rPr>
          <w:b/>
        </w:rPr>
        <w:t>[REDACTED]</w:t>
      </w:r>
      <w:r w:rsidRPr="00817FBA">
        <w:t xml:space="preserve">% market share.  Leap has a </w:t>
      </w:r>
      <w:r w:rsidR="004E4F65">
        <w:rPr>
          <w:b/>
        </w:rPr>
        <w:t>[REDACTED]</w:t>
      </w:r>
      <w:r w:rsidR="004E4F65">
        <w:t>% market share.</w:t>
      </w:r>
      <w:r>
        <w:t xml:space="preserve">  </w:t>
      </w:r>
      <w:r w:rsidRPr="00817FBA">
        <w:t xml:space="preserve">Verizon Wireless has a </w:t>
      </w:r>
      <w:r w:rsidR="004E4F65">
        <w:rPr>
          <w:b/>
        </w:rPr>
        <w:t>[REDACTED]</w:t>
      </w:r>
      <w:r w:rsidRPr="00817FBA">
        <w:t>% market share</w:t>
      </w:r>
      <w:r>
        <w:t>.</w:t>
      </w:r>
    </w:p>
  </w:footnote>
  <w:footnote w:id="133">
    <w:p w:rsidR="00126C52" w:rsidRDefault="00126C52" w:rsidP="00E44EE1">
      <w:pPr>
        <w:pStyle w:val="FootnoteText"/>
      </w:pPr>
      <w:r>
        <w:rPr>
          <w:rStyle w:val="FootnoteReference"/>
        </w:rPr>
        <w:footnoteRef/>
      </w:r>
      <w:r>
        <w:t xml:space="preserve"> </w:t>
      </w:r>
      <w:r w:rsidRPr="00817FBA">
        <w:t xml:space="preserve">Texas 18 – Edwards (CMA 669):  </w:t>
      </w:r>
      <w:r>
        <w:t>AT&amp;T covers 100% of the population and 99% of the land area.  .  Verizon Wireless covers 52% of the population and 22% of the land area; Sprint covers 94% of the population and 41% of the land area; T-Mobile covers 95% of the population and 44% of the land area; and Leap covers 37.9% of the population and 40% of the area.</w:t>
      </w:r>
      <w:r>
        <w:rPr>
          <w:b/>
        </w:rPr>
        <w:t xml:space="preserve">  </w:t>
      </w:r>
      <w:r>
        <w:t xml:space="preserve">Further, AT&amp;T covers 97% of the population and 63 % of the land area with HSPA+, and T-Mobile covers 38% of the population and 1.9% of the land area with HSPA+.  </w:t>
      </w:r>
    </w:p>
  </w:footnote>
  <w:footnote w:id="134">
    <w:p w:rsidR="00126C52" w:rsidRDefault="00126C52" w:rsidP="005949DF">
      <w:pPr>
        <w:pStyle w:val="FootnoteText"/>
      </w:pPr>
      <w:r>
        <w:rPr>
          <w:rStyle w:val="FootnoteReference"/>
        </w:rPr>
        <w:footnoteRef/>
      </w:r>
      <w:r>
        <w:t xml:space="preserve"> </w:t>
      </w:r>
      <w:r w:rsidRPr="00817FBA">
        <w:t xml:space="preserve">Texas 18 – Edwards (CMA 669):  </w:t>
      </w:r>
      <w:r>
        <w:t>AT&amp;T covers 2% of the population and less than 1% of the land area with LTE; Sprint covers 23 % of the population and 6% of the land area with LTE; and Leap covers 40% of the population and 2% of the land area with LTE.  T-Mobile has no LTE coverage in this CMA.</w:t>
      </w:r>
    </w:p>
  </w:footnote>
  <w:footnote w:id="135">
    <w:p w:rsidR="00126C52" w:rsidRDefault="00126C52" w:rsidP="005949DF">
      <w:pPr>
        <w:pStyle w:val="FootnoteText"/>
      </w:pPr>
      <w:r>
        <w:rPr>
          <w:rStyle w:val="FootnoteReference"/>
        </w:rPr>
        <w:footnoteRef/>
      </w:r>
      <w:r>
        <w:t xml:space="preserve"> A licensee wanting to provide equivalent service coverage using primarily higher frequency bands must construct more cell sites at additional cost, compared to a licensee with primary holdings at a lower frequency.  </w:t>
      </w:r>
      <w:r w:rsidRPr="00AA72BD">
        <w:rPr>
          <w:i/>
        </w:rPr>
        <w:t xml:space="preserve">See Sixteenth </w:t>
      </w:r>
      <w:r>
        <w:rPr>
          <w:i/>
        </w:rPr>
        <w:t xml:space="preserve">Annual </w:t>
      </w:r>
      <w:r w:rsidRPr="00AA72BD">
        <w:rPr>
          <w:i/>
        </w:rPr>
        <w:t xml:space="preserve">Mobile Wireless Competition Report, </w:t>
      </w:r>
      <w:r w:rsidRPr="004F51DF">
        <w:t>28 FCC Rcd at 3700</w:t>
      </w:r>
      <w:r w:rsidRPr="00AA72BD">
        <w:rPr>
          <w:i/>
        </w:rPr>
        <w:t xml:space="preserve"> </w:t>
      </w:r>
      <w:r w:rsidRPr="004F51DF">
        <w:t>¶ 122.</w:t>
      </w:r>
    </w:p>
  </w:footnote>
  <w:footnote w:id="136">
    <w:p w:rsidR="007C5B84" w:rsidRDefault="007C5B84">
      <w:pPr>
        <w:pStyle w:val="FootnoteText"/>
      </w:pPr>
      <w:r>
        <w:rPr>
          <w:rStyle w:val="FootnoteReference"/>
        </w:rPr>
        <w:footnoteRef/>
      </w:r>
      <w:r>
        <w:t xml:space="preserve"> </w:t>
      </w:r>
      <w:r w:rsidR="00392819" w:rsidRPr="00392819">
        <w:t xml:space="preserve">In ¶ 67 </w:t>
      </w:r>
      <w:r w:rsidR="00392819" w:rsidRPr="00392819">
        <w:rPr>
          <w:i/>
        </w:rPr>
        <w:t>infra</w:t>
      </w:r>
      <w:r w:rsidR="00392819" w:rsidRPr="00392819">
        <w:t>, we weigh this concern against the potential countervailing public interest benefits from AT&amp;T’s acquisition and leasing of spectrum in the proposed transactions.</w:t>
      </w:r>
    </w:p>
  </w:footnote>
  <w:footnote w:id="137">
    <w:p w:rsidR="00126C52" w:rsidRDefault="00126C52" w:rsidP="00C21C77">
      <w:pPr>
        <w:pStyle w:val="FootnoteText"/>
      </w:pPr>
      <w:r>
        <w:rPr>
          <w:rStyle w:val="FootnoteReference"/>
        </w:rPr>
        <w:footnoteRef/>
      </w:r>
      <w:r>
        <w:t xml:space="preserve">  The six counties in Texas 7 – Fannin that were triggered are Camp, Franklin, Morris, Red River, Titus, and Cass.  The screen was exceeded by 13 megahertz in Cass County and by 3 megahertz in the remaining counties.  These six counties combined reflect approximately 26 percent of the population of CMA 658, and Cass County alone reflects approximately </w:t>
      </w:r>
      <w:r w:rsidRPr="00A71D2D">
        <w:t>7 percent</w:t>
      </w:r>
      <w:r>
        <w:t xml:space="preserve">.  Post-transaction, Verizon Wireless would hold 30 megahertz of AWS-1 spectrum throughout the CMA.  </w:t>
      </w:r>
    </w:p>
  </w:footnote>
  <w:footnote w:id="138">
    <w:p w:rsidR="00126C52" w:rsidRDefault="00126C52">
      <w:pPr>
        <w:pStyle w:val="FootnoteText"/>
      </w:pPr>
      <w:r>
        <w:rPr>
          <w:rStyle w:val="FootnoteReference"/>
        </w:rPr>
        <w:footnoteRef/>
      </w:r>
      <w:r>
        <w:t xml:space="preserve"> The Texas 7 – Fannin market has a population of approximately 424,560, with a population density of 49.</w:t>
      </w:r>
    </w:p>
  </w:footnote>
  <w:footnote w:id="139">
    <w:p w:rsidR="00126C52" w:rsidRDefault="00126C52" w:rsidP="00C21C77">
      <w:pPr>
        <w:pStyle w:val="FootnoteText"/>
      </w:pPr>
      <w:r>
        <w:rPr>
          <w:rStyle w:val="FootnoteReference"/>
        </w:rPr>
        <w:footnoteRef/>
      </w:r>
      <w:r>
        <w:t xml:space="preserve"> AT&amp;T</w:t>
      </w:r>
      <w:r w:rsidRPr="00924A7B">
        <w:t xml:space="preserve"> </w:t>
      </w:r>
      <w:r>
        <w:t xml:space="preserve">would </w:t>
      </w:r>
      <w:r w:rsidRPr="00924A7B">
        <w:t xml:space="preserve">hold </w:t>
      </w:r>
      <w:r>
        <w:t>38-93</w:t>
      </w:r>
      <w:r w:rsidRPr="00924A7B">
        <w:t xml:space="preserve"> megahertz of </w:t>
      </w:r>
      <w:r>
        <w:t xml:space="preserve">total </w:t>
      </w:r>
      <w:r w:rsidRPr="00924A7B">
        <w:t xml:space="preserve">spectrum.  Sprint holds </w:t>
      </w:r>
      <w:r>
        <w:t>117-153.125</w:t>
      </w:r>
      <w:r w:rsidRPr="00924A7B">
        <w:t xml:space="preserve"> megahertz of </w:t>
      </w:r>
      <w:r>
        <w:t>total spectrum</w:t>
      </w:r>
      <w:r w:rsidRPr="00924A7B">
        <w:t xml:space="preserve">.  T-Mobile holds </w:t>
      </w:r>
      <w:r>
        <w:t>40-5</w:t>
      </w:r>
      <w:r w:rsidRPr="00924A7B">
        <w:t xml:space="preserve">0 megahertz of </w:t>
      </w:r>
      <w:r>
        <w:t xml:space="preserve">total </w:t>
      </w:r>
      <w:r w:rsidRPr="00924A7B">
        <w:t xml:space="preserve">spectrum.  </w:t>
      </w:r>
    </w:p>
  </w:footnote>
  <w:footnote w:id="140">
    <w:p w:rsidR="00126C52" w:rsidRDefault="00126C52">
      <w:pPr>
        <w:pStyle w:val="FootnoteText"/>
      </w:pPr>
      <w:r>
        <w:rPr>
          <w:rStyle w:val="FootnoteReference"/>
        </w:rPr>
        <w:footnoteRef/>
      </w:r>
      <w:r>
        <w:t xml:space="preserve"> Aloha, Choice Wireless, Echostar, ETEX Communications, Leap, and Peoples Wireless hold 20 megahertz, 0-10 megahertz, 6 megahertz, 0-25 megahertz, 10 megahertz, and 12-37 megahertz of spectrum, respectively.</w:t>
      </w:r>
    </w:p>
  </w:footnote>
  <w:footnote w:id="141">
    <w:p w:rsidR="00126C52" w:rsidRDefault="00126C52" w:rsidP="00C21C77">
      <w:pPr>
        <w:pStyle w:val="FootnoteText"/>
      </w:pPr>
      <w:r>
        <w:rPr>
          <w:rStyle w:val="FootnoteReference"/>
        </w:rPr>
        <w:footnoteRef/>
      </w:r>
      <w:r>
        <w:t xml:space="preserve"> Verizon Wireless has a </w:t>
      </w:r>
      <w:r w:rsidR="004E4F65">
        <w:rPr>
          <w:b/>
        </w:rPr>
        <w:t>[REDACTED]</w:t>
      </w:r>
      <w:r w:rsidRPr="00817FBA">
        <w:t>% market share</w:t>
      </w:r>
      <w:r>
        <w:t xml:space="preserve">.  AT&amp;T has a </w:t>
      </w:r>
      <w:r w:rsidR="004E4F65">
        <w:rPr>
          <w:b/>
        </w:rPr>
        <w:t>[REDACTED]</w:t>
      </w:r>
      <w:r>
        <w:t xml:space="preserve">% market share; Sprint has a </w:t>
      </w:r>
      <w:r w:rsidR="004E4F65">
        <w:rPr>
          <w:b/>
        </w:rPr>
        <w:t>[REDACTED]</w:t>
      </w:r>
      <w:r w:rsidRPr="00817FBA">
        <w:t>% mar</w:t>
      </w:r>
      <w:r>
        <w:t>ket share; and T-Mobile has</w:t>
      </w:r>
      <w:r w:rsidRPr="00234EBD">
        <w:t xml:space="preserve"> </w:t>
      </w:r>
      <w:r>
        <w:t xml:space="preserve">a </w:t>
      </w:r>
      <w:r w:rsidR="004E4F65">
        <w:rPr>
          <w:b/>
        </w:rPr>
        <w:t>[REDACTED]</w:t>
      </w:r>
      <w:r>
        <w:t>% market share.</w:t>
      </w:r>
    </w:p>
  </w:footnote>
  <w:footnote w:id="142">
    <w:p w:rsidR="00126C52" w:rsidRPr="00857D4D" w:rsidRDefault="00126C52" w:rsidP="00C21C77">
      <w:pPr>
        <w:pStyle w:val="FootnoteText"/>
        <w:rPr>
          <w:b/>
        </w:rPr>
      </w:pPr>
      <w:r>
        <w:rPr>
          <w:rStyle w:val="FootnoteReference"/>
        </w:rPr>
        <w:footnoteRef/>
      </w:r>
      <w:r>
        <w:t xml:space="preserve"> Verizon Wireless covers 99% of the population and 95% of the land area.  AT&amp;T covers 94% of the population and 90% of the land area.  Sprint covers 80% of the population and 69% of the land area.  Also, T-Mobile covers 64% of the population and 39% of the land area.  Several smaller providers provide very limited coverage.  ETEX Communications and Peoples Wireless cover 12% and 19% of the population, respectively.  </w:t>
      </w:r>
    </w:p>
  </w:footnote>
  <w:footnote w:id="143">
    <w:p w:rsidR="00126C52" w:rsidRDefault="00126C52" w:rsidP="00C21C77">
      <w:pPr>
        <w:pStyle w:val="FootnoteText"/>
      </w:pPr>
      <w:r>
        <w:rPr>
          <w:rStyle w:val="FootnoteReference"/>
        </w:rPr>
        <w:footnoteRef/>
      </w:r>
      <w:r>
        <w:t xml:space="preserve"> In this Texas market, Verizon Wireless covers 97% of the population and 88% of the area with LTE.  AT&amp;T covers 49% of the population and 35% of the land area with LTE, and T-Mobile covers 59% of the population and 32% of the land area with LTE.  Other providers such as Peoples Wireless and Sprint have limited LTE coverage.  Mosaik, July 2013 data.</w:t>
      </w:r>
    </w:p>
  </w:footnote>
  <w:footnote w:id="144">
    <w:p w:rsidR="00126C52" w:rsidRDefault="00126C52">
      <w:pPr>
        <w:pStyle w:val="FootnoteText"/>
      </w:pPr>
      <w:r>
        <w:rPr>
          <w:rStyle w:val="FootnoteReference"/>
        </w:rPr>
        <w:footnoteRef/>
      </w:r>
      <w:r>
        <w:t xml:space="preserve"> In the 36 CMAs in which Verizon Wireless is acquiring spectrum from AT&amp;T and Grain, it would hold post-transaction 50 megahertz of AWS-1 in one CMA, 40 megahertz of AWS-1 spectrum in five CMAs, and 30 megahertz of AWS-1 spectrum in 30 CMAs.   </w:t>
      </w:r>
    </w:p>
  </w:footnote>
  <w:footnote w:id="145">
    <w:p w:rsidR="00126C52" w:rsidRDefault="00126C52" w:rsidP="002C1EA1">
      <w:pPr>
        <w:pStyle w:val="FootnoteText"/>
      </w:pPr>
      <w:r>
        <w:rPr>
          <w:rStyle w:val="FootnoteReference"/>
        </w:rPr>
        <w:footnoteRef/>
      </w:r>
      <w:r>
        <w:t xml:space="preserve"> </w:t>
      </w:r>
      <w:r>
        <w:rPr>
          <w:i/>
        </w:rPr>
        <w:t xml:space="preserve">See </w:t>
      </w:r>
      <w:r w:rsidRPr="00D15EDA">
        <w:rPr>
          <w:i/>
        </w:rPr>
        <w:t>Verizon Wireless-SpectrumCo Order</w:t>
      </w:r>
      <w:r>
        <w:t>, 27 FCC Rcd at 10726-27</w:t>
      </w:r>
      <w:r w:rsidRPr="00481B8E">
        <w:t xml:space="preserve"> ¶¶</w:t>
      </w:r>
      <w:r>
        <w:t xml:space="preserve"> 74-75.  </w:t>
      </w:r>
      <w:r w:rsidRPr="00EB0007">
        <w:t xml:space="preserve">DISH alleges that the </w:t>
      </w:r>
      <w:r>
        <w:t xml:space="preserve">proposed </w:t>
      </w:r>
      <w:r w:rsidRPr="00EB0007">
        <w:t xml:space="preserve">assignment of Verizon Wireless’s Lower 700 MHz Band B Block licenses to AT&amp;T in exchange for AWS-1 spectrum does not fulfill the plan Verizon Wireless presented to the Commission in the Verizon Wireless/SpectrumCo proceeding to assign its Lower 700 MHz </w:t>
      </w:r>
      <w:r>
        <w:t xml:space="preserve">Band </w:t>
      </w:r>
      <w:r w:rsidRPr="00EB0007">
        <w:t xml:space="preserve">licenses to address competitive concerns raised in that proceeding.  </w:t>
      </w:r>
      <w:r w:rsidRPr="00EB0007">
        <w:rPr>
          <w:i/>
        </w:rPr>
        <w:t xml:space="preserve">See </w:t>
      </w:r>
      <w:r w:rsidRPr="00EB0007">
        <w:t xml:space="preserve">DISH Petition to Deny or Condition at 2-5 (citing Letter from Adam D. Krinsky, Wilkinson Barker Knauer, LLP, Counsel for Verizon Wireless, to Marlene H. Dortch, Secretary, FCC, WT Docket No. 12-45 (May 2, 2012); Letter from Kathleen Grillo, Counsel for Verizon Wireless, to Marlene H. Dortch, Secretary, FCC, WT Docket No. 12-4 (May 22, 2012)); DISH Reply at 1-3.  We note that in the Verizon Wireless/SpectrumCo proceeding the Commission did not impose a condition on Verizon Wireless to sell its Lower 700 MHz </w:t>
      </w:r>
      <w:r>
        <w:t xml:space="preserve">Band </w:t>
      </w:r>
      <w:r w:rsidRPr="00EB0007">
        <w:t xml:space="preserve">licenses. </w:t>
      </w:r>
      <w:r w:rsidRPr="00EB0007" w:rsidDel="00B512DB">
        <w:t xml:space="preserve"> </w:t>
      </w:r>
    </w:p>
  </w:footnote>
  <w:footnote w:id="146">
    <w:p w:rsidR="00126C52" w:rsidRDefault="00126C52" w:rsidP="005A7244">
      <w:pPr>
        <w:pStyle w:val="FootnoteText"/>
      </w:pPr>
      <w:r>
        <w:rPr>
          <w:rStyle w:val="FootnoteReference"/>
        </w:rPr>
        <w:footnoteRef/>
      </w:r>
      <w:r>
        <w:t xml:space="preserve"> </w:t>
      </w:r>
      <w:r w:rsidRPr="002235D2">
        <w:rPr>
          <w:i/>
        </w:rPr>
        <w:t>See</w:t>
      </w:r>
      <w:r>
        <w:t xml:space="preserve"> </w:t>
      </w:r>
      <w:r w:rsidRPr="00316A29">
        <w:rPr>
          <w:i/>
          <w:iCs/>
        </w:rPr>
        <w:t xml:space="preserve">Verizon Wireless-SpectrumCo Order, </w:t>
      </w:r>
      <w:r>
        <w:rPr>
          <w:iCs/>
        </w:rPr>
        <w:t>27 FCC Rcd at 10724-27 ¶</w:t>
      </w:r>
      <w:r w:rsidRPr="00EB7761">
        <w:rPr>
          <w:iCs/>
        </w:rPr>
        <w:t xml:space="preserve">¶ </w:t>
      </w:r>
      <w:r>
        <w:rPr>
          <w:iCs/>
        </w:rPr>
        <w:t>70, 74-75</w:t>
      </w:r>
      <w:r w:rsidRPr="00316A29">
        <w:rPr>
          <w:iCs/>
        </w:rPr>
        <w:t>.</w:t>
      </w:r>
      <w:r>
        <w:rPr>
          <w:iCs/>
        </w:rPr>
        <w:t xml:space="preserve">  </w:t>
      </w:r>
    </w:p>
  </w:footnote>
  <w:footnote w:id="147">
    <w:p w:rsidR="00126C52" w:rsidRDefault="00126C52" w:rsidP="00C21C77">
      <w:pPr>
        <w:pStyle w:val="FootnoteText"/>
      </w:pPr>
      <w:r>
        <w:rPr>
          <w:rStyle w:val="FootnoteReference"/>
        </w:rPr>
        <w:footnoteRef/>
      </w:r>
      <w:r>
        <w:t xml:space="preserve"> </w:t>
      </w:r>
      <w:r w:rsidRPr="002235D2">
        <w:rPr>
          <w:i/>
        </w:rPr>
        <w:t>See</w:t>
      </w:r>
      <w:r>
        <w:t xml:space="preserve"> </w:t>
      </w:r>
      <w:r w:rsidRPr="00316A29">
        <w:rPr>
          <w:i/>
          <w:iCs/>
        </w:rPr>
        <w:t xml:space="preserve">Verizon Wireless-SpectrumCo Order, </w:t>
      </w:r>
      <w:r>
        <w:rPr>
          <w:iCs/>
        </w:rPr>
        <w:t>27 FCC Rcd at 10743 ¶ 121.</w:t>
      </w:r>
    </w:p>
  </w:footnote>
  <w:footnote w:id="148">
    <w:p w:rsidR="00126C52" w:rsidRDefault="00126C52" w:rsidP="00C65C77">
      <w:pPr>
        <w:autoSpaceDE w:val="0"/>
        <w:autoSpaceDN w:val="0"/>
        <w:spacing w:after="120"/>
      </w:pPr>
      <w:r>
        <w:rPr>
          <w:rStyle w:val="FootnoteReference"/>
        </w:rPr>
        <w:footnoteRef/>
      </w:r>
      <w:r>
        <w:t xml:space="preserve"> </w:t>
      </w:r>
      <w:r w:rsidRPr="0008082C">
        <w:rPr>
          <w:sz w:val="20"/>
        </w:rPr>
        <w:t>Greensboro-Winston-Salem-High Point (CMA 47); Charlotte-Gastonia (CMA 61); Raleigh-Durham (CMA 71).</w:t>
      </w:r>
    </w:p>
  </w:footnote>
  <w:footnote w:id="149">
    <w:p w:rsidR="00126C52" w:rsidRDefault="00126C52" w:rsidP="00C65C77">
      <w:pPr>
        <w:pStyle w:val="FootnoteText"/>
      </w:pPr>
      <w:r>
        <w:rPr>
          <w:rStyle w:val="FootnoteReference"/>
        </w:rPr>
        <w:footnoteRef/>
      </w:r>
      <w:r>
        <w:t xml:space="preserve"> Dallas-Fort Worth, TX (CMA 9); </w:t>
      </w:r>
      <w:r w:rsidRPr="00CD07FC">
        <w:t>Killeen-Temple, TX</w:t>
      </w:r>
      <w:r>
        <w:rPr>
          <w:b/>
        </w:rPr>
        <w:t xml:space="preserve"> </w:t>
      </w:r>
      <w:r>
        <w:t>(CMA 160); Waco, TX (CMA 194); Longview-Marshall, TX (CMA 206); Wichita Falls, TX (CMA 233); Tyler, TX (CMA 237); Texarkana, TX (CMA 240); Sherman-Denison, TX (CMA 292); Arkansas 9 - Polk (CMA 332); Oklahoma 8 - Jackson (CMA 603); Oklahoma 9 - Garvin (CMA 604); Oklahoma 10 - Haskell (CMA 605); Texas 5 - Hardeman (CMA 656); Texas 6 - Jack (CMA 657); Texas 7 - Fannin (CMA 658); Texas 9 - Runnels (CMA 660); Texas 10 – Navarro (CMA 661); Texas 11- Cherokee (CMA 662); Texas 15 - Concho (CMA 666).</w:t>
      </w:r>
    </w:p>
  </w:footnote>
  <w:footnote w:id="150">
    <w:p w:rsidR="00126C52" w:rsidRDefault="00126C52" w:rsidP="00A51E21">
      <w:pPr>
        <w:pStyle w:val="FootnoteText"/>
      </w:pPr>
      <w:r>
        <w:rPr>
          <w:rStyle w:val="FootnoteReference"/>
        </w:rPr>
        <w:footnoteRef/>
      </w:r>
      <w:r>
        <w:t xml:space="preserve"> RTG Comments at 8.</w:t>
      </w:r>
    </w:p>
  </w:footnote>
  <w:footnote w:id="151">
    <w:p w:rsidR="00126C52" w:rsidRDefault="00126C52" w:rsidP="00A51E21">
      <w:pPr>
        <w:pStyle w:val="FootnoteText"/>
      </w:pPr>
      <w:r>
        <w:rPr>
          <w:rStyle w:val="FootnoteReference"/>
        </w:rPr>
        <w:footnoteRef/>
      </w:r>
      <w:r>
        <w:t xml:space="preserve"> </w:t>
      </w:r>
      <w:r w:rsidRPr="00B61CF4">
        <w:rPr>
          <w:i/>
        </w:rPr>
        <w:t>See</w:t>
      </w:r>
      <w:r>
        <w:t xml:space="preserve"> NTCA Reply at 3.</w:t>
      </w:r>
    </w:p>
  </w:footnote>
  <w:footnote w:id="152">
    <w:p w:rsidR="00126C52" w:rsidRDefault="00126C52" w:rsidP="00A51E21">
      <w:pPr>
        <w:pStyle w:val="FootnoteText"/>
      </w:pPr>
      <w:r>
        <w:rPr>
          <w:rStyle w:val="FootnoteReference"/>
        </w:rPr>
        <w:footnoteRef/>
      </w:r>
      <w:r>
        <w:t xml:space="preserve"> </w:t>
      </w:r>
      <w:r w:rsidRPr="00B61CF4">
        <w:rPr>
          <w:i/>
        </w:rPr>
        <w:t>See</w:t>
      </w:r>
      <w:r>
        <w:rPr>
          <w:i/>
        </w:rPr>
        <w:t xml:space="preserve"> </w:t>
      </w:r>
      <w:r>
        <w:t xml:space="preserve">CCA Petition at 12; NTCA Petition at 1-2; NTCA Reply at 2; Public Knowledge Petition at 4-6; RTG Comments at 7; RTG Reply Comments at 5.  </w:t>
      </w:r>
    </w:p>
  </w:footnote>
  <w:footnote w:id="153">
    <w:p w:rsidR="00126C52" w:rsidRPr="00BF2828" w:rsidRDefault="00126C52" w:rsidP="00A51E21">
      <w:pPr>
        <w:pStyle w:val="FootnoteText"/>
      </w:pPr>
      <w:r>
        <w:rPr>
          <w:rStyle w:val="FootnoteReference"/>
        </w:rPr>
        <w:footnoteRef/>
      </w:r>
      <w:r>
        <w:t xml:space="preserve"> </w:t>
      </w:r>
      <w:r w:rsidRPr="00B61CF4">
        <w:rPr>
          <w:i/>
        </w:rPr>
        <w:t>See</w:t>
      </w:r>
      <w:r>
        <w:t xml:space="preserve"> CCA Petition at 6-12; NTCA Reply at 3; Public Knowledge Petition at 4-5; RTG Comments at 8-9.</w:t>
      </w:r>
    </w:p>
  </w:footnote>
  <w:footnote w:id="154">
    <w:p w:rsidR="00126C52" w:rsidRDefault="00126C52" w:rsidP="00A51E21">
      <w:pPr>
        <w:pStyle w:val="FootnoteText"/>
      </w:pPr>
      <w:r>
        <w:rPr>
          <w:rStyle w:val="FootnoteReference"/>
        </w:rPr>
        <w:footnoteRef/>
      </w:r>
      <w:r>
        <w:t xml:space="preserve"> </w:t>
      </w:r>
      <w:r>
        <w:rPr>
          <w:i/>
        </w:rPr>
        <w:t>See</w:t>
      </w:r>
      <w:r>
        <w:t xml:space="preserve"> Public Knowledge Petition at 5; RTG Comments at 9.</w:t>
      </w:r>
    </w:p>
  </w:footnote>
  <w:footnote w:id="155">
    <w:p w:rsidR="00126C52" w:rsidRDefault="00126C52" w:rsidP="00A51E21">
      <w:pPr>
        <w:pStyle w:val="FootnoteText"/>
      </w:pPr>
      <w:r>
        <w:rPr>
          <w:rStyle w:val="FootnoteReference"/>
        </w:rPr>
        <w:footnoteRef/>
      </w:r>
      <w:r>
        <w:t xml:space="preserve"> </w:t>
      </w:r>
      <w:r>
        <w:rPr>
          <w:i/>
        </w:rPr>
        <w:t>See</w:t>
      </w:r>
      <w:r>
        <w:t xml:space="preserve"> Public Knowledge Petition at 5-6.</w:t>
      </w:r>
    </w:p>
  </w:footnote>
  <w:footnote w:id="156">
    <w:p w:rsidR="00126C52" w:rsidRDefault="00126C52" w:rsidP="00A51E21">
      <w:pPr>
        <w:pStyle w:val="FootnoteText"/>
      </w:pPr>
      <w:r>
        <w:rPr>
          <w:rStyle w:val="FootnoteReference"/>
        </w:rPr>
        <w:footnoteRef/>
      </w:r>
      <w:r>
        <w:t xml:space="preserve"> </w:t>
      </w:r>
      <w:r w:rsidRPr="002235D2">
        <w:rPr>
          <w:i/>
        </w:rPr>
        <w:t>See</w:t>
      </w:r>
      <w:r>
        <w:t xml:space="preserve"> </w:t>
      </w:r>
      <w:r>
        <w:rPr>
          <w:i/>
        </w:rPr>
        <w:t>id.</w:t>
      </w:r>
      <w:r>
        <w:t xml:space="preserve"> at 6.</w:t>
      </w:r>
    </w:p>
  </w:footnote>
  <w:footnote w:id="157">
    <w:p w:rsidR="00126C52" w:rsidRDefault="00126C52" w:rsidP="00A51E21">
      <w:pPr>
        <w:pStyle w:val="FootnoteText"/>
      </w:pPr>
      <w:r>
        <w:rPr>
          <w:rStyle w:val="FootnoteReference"/>
        </w:rPr>
        <w:footnoteRef/>
      </w:r>
      <w:r>
        <w:t xml:space="preserve"> </w:t>
      </w:r>
      <w:r w:rsidRPr="003B621D">
        <w:rPr>
          <w:i/>
        </w:rPr>
        <w:t xml:space="preserve">See </w:t>
      </w:r>
      <w:r>
        <w:t>Joint Opposition at 5.</w:t>
      </w:r>
    </w:p>
  </w:footnote>
  <w:footnote w:id="158">
    <w:p w:rsidR="00126C52" w:rsidRDefault="00126C52" w:rsidP="00A51E21">
      <w:pPr>
        <w:pStyle w:val="FootnoteText"/>
      </w:pPr>
      <w:r>
        <w:rPr>
          <w:rStyle w:val="FootnoteReference"/>
        </w:rPr>
        <w:footnoteRef/>
      </w:r>
      <w:r>
        <w:t xml:space="preserve"> </w:t>
      </w:r>
      <w:r w:rsidRPr="002235D2">
        <w:rPr>
          <w:i/>
        </w:rPr>
        <w:t xml:space="preserve">See </w:t>
      </w:r>
      <w:r>
        <w:rPr>
          <w:i/>
        </w:rPr>
        <w:t>id.</w:t>
      </w:r>
      <w:r>
        <w:t xml:space="preserve"> at 5-6.</w:t>
      </w:r>
    </w:p>
  </w:footnote>
  <w:footnote w:id="159">
    <w:p w:rsidR="00126C52" w:rsidRPr="00EF6CDC" w:rsidRDefault="00126C52" w:rsidP="00A51E21">
      <w:pPr>
        <w:pStyle w:val="FootnoteText"/>
      </w:pPr>
      <w:r>
        <w:rPr>
          <w:rStyle w:val="FootnoteReference"/>
        </w:rPr>
        <w:footnoteRef/>
      </w:r>
      <w:r>
        <w:t xml:space="preserve"> </w:t>
      </w:r>
      <w:r>
        <w:rPr>
          <w:i/>
        </w:rPr>
        <w:t>See, e.g., AT&amp;T-WCS Order</w:t>
      </w:r>
      <w:r>
        <w:t xml:space="preserve">, 27 FCC Rcd at 16474 ¶ 39; </w:t>
      </w:r>
      <w:r>
        <w:rPr>
          <w:i/>
        </w:rPr>
        <w:t>Verizon Wireless-SpectrumCo Order</w:t>
      </w:r>
      <w:r>
        <w:t xml:space="preserve">, 27 FCC Rcd at 10734 ¶ 94; </w:t>
      </w:r>
      <w:r>
        <w:rPr>
          <w:i/>
        </w:rPr>
        <w:t>AT&amp;T-Qualcomm Order</w:t>
      </w:r>
      <w:r>
        <w:t xml:space="preserve">, 26 FCC Rcd at 17622 ¶ 79.  </w:t>
      </w:r>
      <w:r>
        <w:rPr>
          <w:i/>
        </w:rPr>
        <w:t>See also AT&amp;T-CellSouth Order</w:t>
      </w:r>
      <w:r>
        <w:t>, DA 13-1783, at ¶ 15.</w:t>
      </w:r>
    </w:p>
  </w:footnote>
  <w:footnote w:id="160">
    <w:p w:rsidR="00126C52" w:rsidRPr="007043D2" w:rsidRDefault="00126C52" w:rsidP="00A51E21">
      <w:pPr>
        <w:pStyle w:val="FootnoteText"/>
        <w:rPr>
          <w:i/>
        </w:rPr>
      </w:pPr>
      <w:r>
        <w:rPr>
          <w:rStyle w:val="FootnoteReference"/>
        </w:rPr>
        <w:footnoteRef/>
      </w:r>
      <w:r>
        <w:t xml:space="preserve"> </w:t>
      </w:r>
      <w:r>
        <w:rPr>
          <w:i/>
        </w:rPr>
        <w:t xml:space="preserve">See generally </w:t>
      </w:r>
      <w:r>
        <w:t xml:space="preserve">Promoting Interoperability in the 700 MHz Commercial Spectrum, WT Docket No. 12-69, </w:t>
      </w:r>
      <w:r>
        <w:rPr>
          <w:i/>
        </w:rPr>
        <w:t>Notice of Proposed Rulemaking</w:t>
      </w:r>
      <w:r>
        <w:t>, 27 FCC Rcd 3521 (2012)</w:t>
      </w:r>
      <w:r>
        <w:rPr>
          <w:i/>
        </w:rPr>
        <w:t>.</w:t>
      </w:r>
    </w:p>
  </w:footnote>
  <w:footnote w:id="161">
    <w:p w:rsidR="00126C52" w:rsidRPr="00316A29" w:rsidRDefault="00126C52" w:rsidP="00061E03">
      <w:pPr>
        <w:pStyle w:val="FootnoteText"/>
      </w:pPr>
      <w:r w:rsidRPr="00316A29">
        <w:rPr>
          <w:rStyle w:val="FootnoteReference"/>
        </w:rPr>
        <w:footnoteRef/>
      </w:r>
      <w:r w:rsidRPr="00316A29">
        <w:t xml:space="preserve"> </w:t>
      </w:r>
      <w:r w:rsidRPr="00316A29">
        <w:rPr>
          <w:i/>
          <w:iCs/>
        </w:rPr>
        <w:t>See, e.g</w:t>
      </w:r>
      <w:r w:rsidRPr="00316A29">
        <w:t xml:space="preserve">., </w:t>
      </w:r>
      <w:r>
        <w:rPr>
          <w:i/>
        </w:rPr>
        <w:t>AT&amp;T-CellSouth Order</w:t>
      </w:r>
      <w:r>
        <w:t>, DA 13-1783, at ¶ 16;</w:t>
      </w:r>
      <w:r>
        <w:rPr>
          <w:i/>
        </w:rPr>
        <w:t xml:space="preserve"> Alaska Wireless </w:t>
      </w:r>
      <w:r w:rsidRPr="000C2578">
        <w:rPr>
          <w:i/>
        </w:rPr>
        <w:t>Order</w:t>
      </w:r>
      <w:r>
        <w:t xml:space="preserve">, 28 FCC Rcd at 10467 ¶ 85; </w:t>
      </w:r>
      <w:r w:rsidRPr="00CB1766">
        <w:rPr>
          <w:i/>
        </w:rPr>
        <w:t>SoftBank-Sprint Order</w:t>
      </w:r>
      <w:r>
        <w:t xml:space="preserve">, </w:t>
      </w:r>
      <w:r w:rsidRPr="00061E03">
        <w:t>28 FCC Rcd at 9677-78 ¶ 91</w:t>
      </w:r>
      <w:r>
        <w:t xml:space="preserve">; </w:t>
      </w:r>
      <w:r w:rsidRPr="00316A29">
        <w:rPr>
          <w:i/>
        </w:rPr>
        <w:t>AT&amp;T-WCS Order</w:t>
      </w:r>
      <w:r>
        <w:t>, 27 FCC Rcd at 16459</w:t>
      </w:r>
      <w:r w:rsidRPr="00316A29">
        <w:t xml:space="preserve"> ¶ 40;</w:t>
      </w:r>
      <w:r w:rsidRPr="00316A29">
        <w:rPr>
          <w:i/>
          <w:color w:val="252525"/>
        </w:rPr>
        <w:t xml:space="preserve"> </w:t>
      </w:r>
      <w:r w:rsidRPr="00316A29">
        <w:rPr>
          <w:i/>
          <w:iCs/>
        </w:rPr>
        <w:t>Verizon Wireless-SpectrumCo Order</w:t>
      </w:r>
      <w:r>
        <w:t>, 27 FCC Rcd at 10734</w:t>
      </w:r>
      <w:r w:rsidRPr="00316A29">
        <w:t xml:space="preserve"> ¶ 95</w:t>
      </w:r>
      <w:r>
        <w:t>.</w:t>
      </w:r>
    </w:p>
  </w:footnote>
  <w:footnote w:id="162">
    <w:p w:rsidR="00126C52" w:rsidRPr="00316A29" w:rsidRDefault="00126C52" w:rsidP="00061E03">
      <w:pPr>
        <w:spacing w:after="120"/>
      </w:pPr>
      <w:r w:rsidRPr="00316A29">
        <w:rPr>
          <w:rStyle w:val="FootnoteReference"/>
        </w:rPr>
        <w:footnoteRef/>
      </w:r>
      <w:r w:rsidRPr="00316A29">
        <w:t xml:space="preserve"> </w:t>
      </w:r>
      <w:r w:rsidRPr="00316A29">
        <w:rPr>
          <w:i/>
          <w:iCs/>
          <w:sz w:val="20"/>
        </w:rPr>
        <w:t>See, e.g.,</w:t>
      </w:r>
      <w:r w:rsidRPr="00316A29">
        <w:rPr>
          <w:i/>
          <w:iCs/>
        </w:rPr>
        <w:t xml:space="preserve"> </w:t>
      </w:r>
      <w:r w:rsidRPr="0008082C">
        <w:rPr>
          <w:i/>
          <w:sz w:val="20"/>
        </w:rPr>
        <w:t>SoftBank-Sprint Order</w:t>
      </w:r>
      <w:r w:rsidRPr="0008082C">
        <w:rPr>
          <w:sz w:val="20"/>
        </w:rPr>
        <w:t xml:space="preserve">, </w:t>
      </w:r>
      <w:r w:rsidRPr="00061E03">
        <w:rPr>
          <w:sz w:val="20"/>
        </w:rPr>
        <w:t>28 FCC Rcd at 9678 ¶ 91</w:t>
      </w:r>
      <w:r w:rsidRPr="0008082C">
        <w:rPr>
          <w:sz w:val="20"/>
        </w:rPr>
        <w:t>;</w:t>
      </w:r>
      <w:r>
        <w:t xml:space="preserve"> </w:t>
      </w:r>
      <w:r w:rsidRPr="00316A29">
        <w:rPr>
          <w:i/>
          <w:sz w:val="20"/>
        </w:rPr>
        <w:t>AT&amp;T-WCS Order</w:t>
      </w:r>
      <w:r w:rsidRPr="00316A29">
        <w:rPr>
          <w:sz w:val="20"/>
        </w:rPr>
        <w:t>, 27 FCC Rcd at 16459</w:t>
      </w:r>
      <w:r w:rsidRPr="00316A29">
        <w:t xml:space="preserve"> </w:t>
      </w:r>
      <w:r w:rsidRPr="00316A29">
        <w:rPr>
          <w:sz w:val="20"/>
        </w:rPr>
        <w:t>¶ 40;</w:t>
      </w:r>
      <w:r w:rsidRPr="00316A29">
        <w:rPr>
          <w:i/>
          <w:color w:val="252525"/>
          <w:sz w:val="20"/>
        </w:rPr>
        <w:t xml:space="preserve"> </w:t>
      </w:r>
      <w:r w:rsidRPr="00316A29">
        <w:rPr>
          <w:i/>
          <w:sz w:val="20"/>
        </w:rPr>
        <w:t>AT&amp;T-Qualcomm Order</w:t>
      </w:r>
      <w:r>
        <w:rPr>
          <w:sz w:val="20"/>
        </w:rPr>
        <w:t>, 26 FCC Rcd at 17623</w:t>
      </w:r>
      <w:r w:rsidRPr="00316A29">
        <w:rPr>
          <w:sz w:val="20"/>
        </w:rPr>
        <w:t xml:space="preserve"> ¶ 82</w:t>
      </w:r>
      <w:r>
        <w:rPr>
          <w:sz w:val="20"/>
        </w:rPr>
        <w:t>.</w:t>
      </w:r>
    </w:p>
  </w:footnote>
  <w:footnote w:id="163">
    <w:p w:rsidR="00126C52" w:rsidRPr="00316A29" w:rsidRDefault="00126C52" w:rsidP="00061E03">
      <w:pPr>
        <w:pStyle w:val="FootnoteText"/>
      </w:pPr>
      <w:r w:rsidRPr="00316A29">
        <w:rPr>
          <w:rStyle w:val="FootnoteReference"/>
        </w:rPr>
        <w:footnoteRef/>
      </w:r>
      <w:r w:rsidRPr="00316A29">
        <w:t xml:space="preserve"> </w:t>
      </w:r>
      <w:r w:rsidRPr="00316A29">
        <w:rPr>
          <w:i/>
          <w:iCs/>
        </w:rPr>
        <w:t xml:space="preserve">See, e.g., </w:t>
      </w:r>
      <w:r>
        <w:rPr>
          <w:i/>
        </w:rPr>
        <w:t xml:space="preserve">Alaska Wireless </w:t>
      </w:r>
      <w:r w:rsidRPr="000C2578">
        <w:rPr>
          <w:i/>
        </w:rPr>
        <w:t>Order</w:t>
      </w:r>
      <w:r>
        <w:t xml:space="preserve">, 28 FCC Rcd at 10468 ¶ 86; </w:t>
      </w:r>
      <w:r w:rsidRPr="00CB1766">
        <w:rPr>
          <w:i/>
        </w:rPr>
        <w:t>SoftBank-Sprint Order</w:t>
      </w:r>
      <w:r>
        <w:t xml:space="preserve">, </w:t>
      </w:r>
      <w:r w:rsidRPr="00061E03">
        <w:t>28 FCC Rcd at 9678 ¶ 92</w:t>
      </w:r>
      <w:r>
        <w:t xml:space="preserve">; </w:t>
      </w:r>
      <w:r w:rsidRPr="00316A29">
        <w:rPr>
          <w:i/>
        </w:rPr>
        <w:t>AT&amp;T-WCS Order</w:t>
      </w:r>
      <w:r>
        <w:t>, 27 FCC Rcd at 16459</w:t>
      </w:r>
      <w:r w:rsidRPr="00316A29">
        <w:t xml:space="preserve"> ¶ 41;</w:t>
      </w:r>
      <w:r w:rsidRPr="00316A29">
        <w:rPr>
          <w:i/>
          <w:color w:val="252525"/>
        </w:rPr>
        <w:t xml:space="preserve"> </w:t>
      </w:r>
      <w:r w:rsidRPr="00316A29">
        <w:rPr>
          <w:i/>
        </w:rPr>
        <w:t>Verizon Wireless-SpectrumCo Order</w:t>
      </w:r>
      <w:r>
        <w:t>, 27 FCC Rcd at 10734</w:t>
      </w:r>
      <w:r w:rsidRPr="00316A29">
        <w:t xml:space="preserve"> ¶ 96</w:t>
      </w:r>
      <w:r>
        <w:t>.</w:t>
      </w:r>
      <w:r w:rsidRPr="00316A29">
        <w:t xml:space="preserve">  </w:t>
      </w:r>
    </w:p>
  </w:footnote>
  <w:footnote w:id="164">
    <w:p w:rsidR="00126C52" w:rsidRPr="00316A29" w:rsidRDefault="00126C52" w:rsidP="00061E03">
      <w:pPr>
        <w:pStyle w:val="FootnoteText"/>
      </w:pPr>
      <w:r w:rsidRPr="00316A29">
        <w:rPr>
          <w:rStyle w:val="FootnoteReference"/>
        </w:rPr>
        <w:footnoteRef/>
      </w:r>
      <w:r w:rsidRPr="00316A29">
        <w:t xml:space="preserve"> </w:t>
      </w:r>
      <w:r w:rsidRPr="00316A29">
        <w:rPr>
          <w:i/>
        </w:rPr>
        <w:t>See, e.g</w:t>
      </w:r>
      <w:r w:rsidRPr="00316A29">
        <w:t xml:space="preserve">., </w:t>
      </w:r>
      <w:r>
        <w:rPr>
          <w:i/>
        </w:rPr>
        <w:t xml:space="preserve">Alaska Wireless </w:t>
      </w:r>
      <w:r w:rsidRPr="000C2578">
        <w:rPr>
          <w:i/>
        </w:rPr>
        <w:t>Order</w:t>
      </w:r>
      <w:r>
        <w:t xml:space="preserve">, 28 FCC Rcd at 10468 ¶ 86; </w:t>
      </w:r>
      <w:r w:rsidRPr="00CB1766">
        <w:rPr>
          <w:i/>
        </w:rPr>
        <w:t>SoftBank-Sprint Order</w:t>
      </w:r>
      <w:r>
        <w:t xml:space="preserve">, </w:t>
      </w:r>
      <w:r w:rsidRPr="00061E03">
        <w:t>28 FCC Rcd at 9678 ¶ 92</w:t>
      </w:r>
      <w:r>
        <w:t xml:space="preserve">; </w:t>
      </w:r>
      <w:r w:rsidRPr="00316A29">
        <w:rPr>
          <w:i/>
        </w:rPr>
        <w:t>AT&amp;T-WCS Order</w:t>
      </w:r>
      <w:r>
        <w:t>, 27 FCC Rcd at 16459</w:t>
      </w:r>
      <w:r w:rsidRPr="00316A29">
        <w:t xml:space="preserve"> ¶ 42; </w:t>
      </w:r>
      <w:r w:rsidRPr="00316A29">
        <w:rPr>
          <w:i/>
        </w:rPr>
        <w:t>Verizon Wireless-SpectrumCo Order</w:t>
      </w:r>
      <w:r>
        <w:t>, 27 FCC Rcd at 10734</w:t>
      </w:r>
      <w:r w:rsidRPr="00316A29">
        <w:t xml:space="preserve"> ¶ 96</w:t>
      </w:r>
      <w:r>
        <w:t>.</w:t>
      </w:r>
    </w:p>
  </w:footnote>
  <w:footnote w:id="165">
    <w:p w:rsidR="00126C52" w:rsidRPr="00316A29" w:rsidRDefault="00126C52" w:rsidP="00061E03">
      <w:pPr>
        <w:pStyle w:val="FootnoteText"/>
      </w:pPr>
      <w:r w:rsidRPr="00316A29">
        <w:rPr>
          <w:rStyle w:val="FootnoteReference"/>
        </w:rPr>
        <w:footnoteRef/>
      </w:r>
      <w:r w:rsidRPr="00316A29">
        <w:t xml:space="preserve"> </w:t>
      </w:r>
      <w:r w:rsidRPr="00316A29">
        <w:rPr>
          <w:i/>
          <w:iCs/>
        </w:rPr>
        <w:t>See, e.g</w:t>
      </w:r>
      <w:r w:rsidRPr="00316A29">
        <w:t xml:space="preserve">., </w:t>
      </w:r>
      <w:r>
        <w:rPr>
          <w:i/>
        </w:rPr>
        <w:t xml:space="preserve">Alaska Wireless </w:t>
      </w:r>
      <w:r w:rsidRPr="000C2578">
        <w:rPr>
          <w:i/>
        </w:rPr>
        <w:t>Order</w:t>
      </w:r>
      <w:r>
        <w:t xml:space="preserve">, 28 FCC Rcd at 10468 ¶ 87; </w:t>
      </w:r>
      <w:r w:rsidRPr="00CB1766">
        <w:rPr>
          <w:i/>
        </w:rPr>
        <w:t>SoftBank-Sprint Order</w:t>
      </w:r>
      <w:r>
        <w:t xml:space="preserve">, </w:t>
      </w:r>
      <w:r w:rsidRPr="00061E03">
        <w:t>28 FCC Rcd at 9678 ¶ 93</w:t>
      </w:r>
      <w:r>
        <w:t xml:space="preserve">; </w:t>
      </w:r>
      <w:r w:rsidRPr="00316A29">
        <w:rPr>
          <w:i/>
        </w:rPr>
        <w:t>AT&amp;T-WCS Order</w:t>
      </w:r>
      <w:r>
        <w:t>, 27 FCC Rcd at 16459</w:t>
      </w:r>
      <w:r w:rsidRPr="00316A29">
        <w:t xml:space="preserve"> ¶ 42; </w:t>
      </w:r>
      <w:r w:rsidRPr="00316A29">
        <w:rPr>
          <w:i/>
          <w:iCs/>
        </w:rPr>
        <w:t>Verizon Wireless-SpectrumCo Order</w:t>
      </w:r>
      <w:r>
        <w:t>, 27 FCC Rcd at 10734</w:t>
      </w:r>
      <w:r w:rsidRPr="00316A29">
        <w:t xml:space="preserve"> ¶ 97</w:t>
      </w:r>
      <w:r>
        <w:t>.</w:t>
      </w:r>
    </w:p>
  </w:footnote>
  <w:footnote w:id="166">
    <w:p w:rsidR="00126C52" w:rsidRPr="00316A29" w:rsidRDefault="00126C52" w:rsidP="00061E03">
      <w:pPr>
        <w:pStyle w:val="FootnoteText"/>
      </w:pPr>
      <w:r w:rsidRPr="00316A29">
        <w:rPr>
          <w:rStyle w:val="FootnoteReference"/>
        </w:rPr>
        <w:footnoteRef/>
      </w:r>
      <w:r w:rsidRPr="00316A29">
        <w:t xml:space="preserve"> </w:t>
      </w:r>
      <w:r w:rsidRPr="00316A29">
        <w:rPr>
          <w:i/>
          <w:iCs/>
        </w:rPr>
        <w:t>See, e.g</w:t>
      </w:r>
      <w:r w:rsidRPr="00316A29">
        <w:t xml:space="preserve">., </w:t>
      </w:r>
      <w:r>
        <w:rPr>
          <w:i/>
        </w:rPr>
        <w:t xml:space="preserve">Alaska Wireless </w:t>
      </w:r>
      <w:r w:rsidRPr="000C2578">
        <w:rPr>
          <w:i/>
        </w:rPr>
        <w:t>Order</w:t>
      </w:r>
      <w:r>
        <w:t xml:space="preserve">, 28 FCC Rcd at 10468 ¶ 87; </w:t>
      </w:r>
      <w:r w:rsidRPr="00CB1766">
        <w:rPr>
          <w:i/>
        </w:rPr>
        <w:t>SoftBank-Sprint Order</w:t>
      </w:r>
      <w:r>
        <w:t xml:space="preserve">, </w:t>
      </w:r>
      <w:r w:rsidRPr="00061E03">
        <w:t>28 FCC Rcd at 9678 ¶ 93</w:t>
      </w:r>
      <w:r>
        <w:t xml:space="preserve">; </w:t>
      </w:r>
      <w:r w:rsidRPr="00316A29">
        <w:rPr>
          <w:i/>
        </w:rPr>
        <w:t>AT&amp;T-WCS Order</w:t>
      </w:r>
      <w:r>
        <w:t>, 27 FCC Rcd at 16475</w:t>
      </w:r>
      <w:r w:rsidRPr="00316A29">
        <w:t xml:space="preserve"> ¶ 42; </w:t>
      </w:r>
      <w:r w:rsidRPr="00316A29">
        <w:rPr>
          <w:i/>
          <w:iCs/>
        </w:rPr>
        <w:t>Verizon Wireless-SpectrumCo Order</w:t>
      </w:r>
      <w:r w:rsidRPr="00316A29">
        <w:t>, 27 FCC Rcd at 10735 ¶ 97</w:t>
      </w:r>
      <w:r>
        <w:t>.</w:t>
      </w:r>
    </w:p>
  </w:footnote>
  <w:footnote w:id="167">
    <w:p w:rsidR="00126C52" w:rsidRPr="00316A29" w:rsidRDefault="00126C52" w:rsidP="00061E03">
      <w:pPr>
        <w:pStyle w:val="FootnoteText"/>
      </w:pPr>
      <w:r w:rsidRPr="00316A29">
        <w:rPr>
          <w:rStyle w:val="FootnoteReference"/>
        </w:rPr>
        <w:footnoteRef/>
      </w:r>
      <w:r w:rsidRPr="00316A29">
        <w:t xml:space="preserve"> </w:t>
      </w:r>
      <w:r w:rsidRPr="00316A29">
        <w:rPr>
          <w:i/>
          <w:iCs/>
        </w:rPr>
        <w:t>See, e.g</w:t>
      </w:r>
      <w:r w:rsidRPr="00316A29">
        <w:t xml:space="preserve">., </w:t>
      </w:r>
      <w:r>
        <w:rPr>
          <w:i/>
        </w:rPr>
        <w:t xml:space="preserve">Alaska Wireless </w:t>
      </w:r>
      <w:r w:rsidRPr="000C2578">
        <w:rPr>
          <w:i/>
        </w:rPr>
        <w:t>Order</w:t>
      </w:r>
      <w:r>
        <w:t xml:space="preserve">, 28 FCC Rcd at 10468 ¶ 88; </w:t>
      </w:r>
      <w:r w:rsidRPr="00CB1766">
        <w:rPr>
          <w:i/>
        </w:rPr>
        <w:t>SoftBank-Sprint Order</w:t>
      </w:r>
      <w:r>
        <w:t xml:space="preserve">, </w:t>
      </w:r>
      <w:r w:rsidRPr="00061E03">
        <w:t>28 FCC Rcd at 9678 ¶ 93</w:t>
      </w:r>
      <w:r>
        <w:t xml:space="preserve">; </w:t>
      </w:r>
      <w:r w:rsidRPr="00316A29">
        <w:rPr>
          <w:i/>
        </w:rPr>
        <w:t>AT&amp;T-WCS Order</w:t>
      </w:r>
      <w:r>
        <w:t>, 27 FCC Rcd at 16459</w:t>
      </w:r>
      <w:r w:rsidRPr="00316A29">
        <w:t xml:space="preserve"> ¶ 42; </w:t>
      </w:r>
      <w:r w:rsidRPr="00316A29">
        <w:rPr>
          <w:i/>
          <w:iCs/>
        </w:rPr>
        <w:t>Verizon Wireless-SpectrumCo Order</w:t>
      </w:r>
      <w:r>
        <w:t>, 27 FCC Rcd at 10735</w:t>
      </w:r>
      <w:r w:rsidRPr="00316A29">
        <w:t xml:space="preserve"> ¶ 98</w:t>
      </w:r>
      <w:r>
        <w:t>.</w:t>
      </w:r>
      <w:r w:rsidRPr="00316A29">
        <w:t xml:space="preserve">  </w:t>
      </w:r>
    </w:p>
  </w:footnote>
  <w:footnote w:id="168">
    <w:p w:rsidR="00126C52" w:rsidRPr="00316A29" w:rsidRDefault="00126C52" w:rsidP="00061E03">
      <w:pPr>
        <w:pStyle w:val="FootnoteText"/>
      </w:pPr>
      <w:r w:rsidRPr="00316A29">
        <w:rPr>
          <w:rStyle w:val="FootnoteReference"/>
        </w:rPr>
        <w:footnoteRef/>
      </w:r>
      <w:r w:rsidRPr="00316A29">
        <w:t xml:space="preserve"> </w:t>
      </w:r>
      <w:r w:rsidRPr="00316A29">
        <w:rPr>
          <w:i/>
          <w:iCs/>
        </w:rPr>
        <w:t>See, e.g.</w:t>
      </w:r>
      <w:r w:rsidRPr="00316A29">
        <w:t xml:space="preserve">, </w:t>
      </w:r>
      <w:r>
        <w:rPr>
          <w:i/>
        </w:rPr>
        <w:t xml:space="preserve">Alaska Wireless </w:t>
      </w:r>
      <w:r w:rsidRPr="000C2578">
        <w:rPr>
          <w:i/>
        </w:rPr>
        <w:t>Order</w:t>
      </w:r>
      <w:r>
        <w:t xml:space="preserve">, 28 FCC Rcd at 10468 ¶ 88; </w:t>
      </w:r>
      <w:r w:rsidRPr="00CB1766">
        <w:rPr>
          <w:i/>
        </w:rPr>
        <w:t>SoftBank-Sprint Order</w:t>
      </w:r>
      <w:r>
        <w:t xml:space="preserve">, 28 FCC Rcd at 9678-79 </w:t>
      </w:r>
      <w:r w:rsidRPr="00061E03">
        <w:t>¶</w:t>
      </w:r>
      <w:r>
        <w:t> </w:t>
      </w:r>
      <w:r w:rsidRPr="00061E03">
        <w:t>93</w:t>
      </w:r>
      <w:r>
        <w:t xml:space="preserve">; </w:t>
      </w:r>
      <w:r w:rsidRPr="00316A29">
        <w:rPr>
          <w:i/>
        </w:rPr>
        <w:t>AT&amp;T-WCS Order</w:t>
      </w:r>
      <w:r>
        <w:t>, 27 FCC Rcd at 16459</w:t>
      </w:r>
      <w:r w:rsidRPr="00316A29">
        <w:t xml:space="preserve"> ¶ 42; </w:t>
      </w:r>
      <w:r w:rsidRPr="00316A29">
        <w:rPr>
          <w:i/>
          <w:iCs/>
        </w:rPr>
        <w:t>Verizon Wireless-SpectrumCo Order</w:t>
      </w:r>
      <w:r>
        <w:t>, 27 FCC Rcd at 10735</w:t>
      </w:r>
      <w:r w:rsidRPr="00316A29">
        <w:t xml:space="preserve"> ¶</w:t>
      </w:r>
      <w:r>
        <w:t> </w:t>
      </w:r>
      <w:r w:rsidRPr="00316A29">
        <w:t xml:space="preserve">98; </w:t>
      </w:r>
      <w:r w:rsidRPr="00316A29">
        <w:rPr>
          <w:i/>
          <w:iCs/>
        </w:rPr>
        <w:t xml:space="preserve">cf. 2010 DOJ/FTC Horizontal Merger Guidelines </w:t>
      </w:r>
      <w:r w:rsidRPr="00316A29">
        <w:t xml:space="preserve">at § 10, p. 31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  </w:t>
      </w:r>
    </w:p>
  </w:footnote>
  <w:footnote w:id="169">
    <w:p w:rsidR="00126C52" w:rsidRDefault="00126C52" w:rsidP="00B31FCD">
      <w:pPr>
        <w:pStyle w:val="FootnoteText"/>
      </w:pPr>
      <w:r>
        <w:rPr>
          <w:rStyle w:val="FootnoteReference"/>
        </w:rPr>
        <w:footnoteRef/>
      </w:r>
      <w:r>
        <w:t xml:space="preserve"> </w:t>
      </w:r>
      <w:r w:rsidRPr="00C14599">
        <w:rPr>
          <w:i/>
        </w:rPr>
        <w:t>See</w:t>
      </w:r>
      <w:r>
        <w:t xml:space="preserve"> Public Interest Statement at 1, 8.  </w:t>
      </w:r>
      <w:r w:rsidRPr="005D11DA">
        <w:rPr>
          <w:i/>
        </w:rPr>
        <w:t>See also</w:t>
      </w:r>
      <w:r>
        <w:t xml:space="preserve"> Joint Opposition at 2.  We note that no party in the record has put forth arguments disputing the Applicants’ alleged public interest benefits of the proposed transactions.</w:t>
      </w:r>
    </w:p>
  </w:footnote>
  <w:footnote w:id="170">
    <w:p w:rsidR="00126C52" w:rsidRDefault="00126C52" w:rsidP="00B31FCD">
      <w:pPr>
        <w:pStyle w:val="FootnoteText"/>
      </w:pPr>
      <w:r>
        <w:rPr>
          <w:rStyle w:val="FootnoteReference"/>
        </w:rPr>
        <w:footnoteRef/>
      </w:r>
      <w:r>
        <w:t xml:space="preserve"> Public Interest Statement at 2.  </w:t>
      </w:r>
      <w:r w:rsidRPr="005D11DA">
        <w:rPr>
          <w:i/>
        </w:rPr>
        <w:t xml:space="preserve">See also </w:t>
      </w:r>
      <w:r>
        <w:rPr>
          <w:i/>
        </w:rPr>
        <w:t>id.</w:t>
      </w:r>
      <w:r>
        <w:t xml:space="preserve"> at 11-14; Joint Opposition at 2, 9.  The assignments to AT&amp;T and Grain I complete Verizon Wireless’s sale of its Lower 700 MHz Band B Block licenses that, according to Verizon Wireless, is part of its efforts to rationalize its spectrum holdings.  </w:t>
      </w:r>
      <w:r w:rsidRPr="003A7D2B">
        <w:rPr>
          <w:i/>
        </w:rPr>
        <w:t>See</w:t>
      </w:r>
      <w:r>
        <w:t xml:space="preserve"> Public Interest Statement at 11-12.  </w:t>
      </w:r>
      <w:r w:rsidRPr="002C780C">
        <w:rPr>
          <w:i/>
        </w:rPr>
        <w:t>See also</w:t>
      </w:r>
      <w:r>
        <w:t xml:space="preserve"> Verizon Wireless Information Request Response at 10.</w:t>
      </w:r>
    </w:p>
  </w:footnote>
  <w:footnote w:id="171">
    <w:p w:rsidR="00126C52" w:rsidRDefault="00126C52">
      <w:pPr>
        <w:pStyle w:val="FootnoteText"/>
      </w:pPr>
      <w:r>
        <w:rPr>
          <w:rStyle w:val="FootnoteReference"/>
        </w:rPr>
        <w:footnoteRef/>
      </w:r>
      <w:r>
        <w:t xml:space="preserve"> </w:t>
      </w:r>
      <w:r w:rsidRPr="00756B76">
        <w:rPr>
          <w:i/>
        </w:rPr>
        <w:t>See</w:t>
      </w:r>
      <w:r>
        <w:t xml:space="preserve"> Public Interest Statement at 12; AT&amp;T Information Request Response at 10-12.</w:t>
      </w:r>
    </w:p>
  </w:footnote>
  <w:footnote w:id="172">
    <w:p w:rsidR="00126C52" w:rsidRDefault="00126C52" w:rsidP="00A70D0D">
      <w:pPr>
        <w:pStyle w:val="FootnoteText"/>
      </w:pPr>
      <w:r>
        <w:rPr>
          <w:rStyle w:val="FootnoteReference"/>
        </w:rPr>
        <w:footnoteRef/>
      </w:r>
      <w:r>
        <w:t xml:space="preserve"> </w:t>
      </w:r>
      <w:r w:rsidRPr="009D0B01">
        <w:rPr>
          <w:i/>
        </w:rPr>
        <w:t xml:space="preserve">See </w:t>
      </w:r>
      <w:r>
        <w:t xml:space="preserve">Public Interest Statement at 12-13.  </w:t>
      </w:r>
    </w:p>
  </w:footnote>
  <w:footnote w:id="173">
    <w:p w:rsidR="00126C52" w:rsidRDefault="00126C52" w:rsidP="00956A6E">
      <w:pPr>
        <w:pStyle w:val="FootnoteText"/>
      </w:pPr>
      <w:r>
        <w:rPr>
          <w:rStyle w:val="FootnoteReference"/>
        </w:rPr>
        <w:footnoteRef/>
      </w:r>
      <w:r>
        <w:t xml:space="preserve"> </w:t>
      </w:r>
      <w:r w:rsidRPr="009D0B01">
        <w:rPr>
          <w:i/>
        </w:rPr>
        <w:t xml:space="preserve">See </w:t>
      </w:r>
      <w:r>
        <w:t xml:space="preserve">AT&amp;T Information Request Response at 7.  </w:t>
      </w:r>
      <w:r w:rsidRPr="007310ED">
        <w:rPr>
          <w:i/>
        </w:rPr>
        <w:t>See also</w:t>
      </w:r>
      <w:r>
        <w:t xml:space="preserve"> Public Interest Statement at 12; Declaration of William Hogg at ¶ 5.</w:t>
      </w:r>
    </w:p>
  </w:footnote>
  <w:footnote w:id="174">
    <w:p w:rsidR="00126C52" w:rsidRPr="00857D4D" w:rsidRDefault="00126C52" w:rsidP="00956A6E">
      <w:pPr>
        <w:pStyle w:val="FootnoteText"/>
        <w:rPr>
          <w:b/>
        </w:rPr>
      </w:pPr>
      <w:r>
        <w:rPr>
          <w:rStyle w:val="FootnoteReference"/>
        </w:rPr>
        <w:footnoteRef/>
      </w:r>
      <w:r>
        <w:t xml:space="preserve"> </w:t>
      </w:r>
      <w:r w:rsidRPr="00396693">
        <w:rPr>
          <w:i/>
        </w:rPr>
        <w:t xml:space="preserve">See </w:t>
      </w:r>
      <w:r w:rsidRPr="00396693">
        <w:t>AT&amp;T Information Request Response at 4, 7</w:t>
      </w:r>
      <w:r w:rsidR="00396693" w:rsidRPr="00396693">
        <w:t xml:space="preserve">; </w:t>
      </w:r>
      <w:r w:rsidR="00396693" w:rsidRPr="00396693">
        <w:rPr>
          <w:i/>
        </w:rPr>
        <w:t>s</w:t>
      </w:r>
      <w:r w:rsidRPr="00396693">
        <w:rPr>
          <w:i/>
        </w:rPr>
        <w:t>ee also</w:t>
      </w:r>
      <w:r w:rsidRPr="00396693">
        <w:t xml:space="preserve"> Public Interest Statement at 12-14.</w:t>
      </w:r>
    </w:p>
  </w:footnote>
  <w:footnote w:id="175">
    <w:p w:rsidR="00126C52" w:rsidRDefault="00126C52" w:rsidP="00956A6E">
      <w:pPr>
        <w:pStyle w:val="FootnoteText"/>
      </w:pPr>
      <w:r>
        <w:rPr>
          <w:rStyle w:val="FootnoteReference"/>
        </w:rPr>
        <w:footnoteRef/>
      </w:r>
      <w:r>
        <w:t xml:space="preserve"> </w:t>
      </w:r>
      <w:r w:rsidRPr="00016C38">
        <w:rPr>
          <w:i/>
        </w:rPr>
        <w:t xml:space="preserve">See </w:t>
      </w:r>
      <w:r>
        <w:t xml:space="preserve">Public Interest Statement at 1, 13.  </w:t>
      </w:r>
      <w:r w:rsidRPr="00A428D9">
        <w:rPr>
          <w:i/>
        </w:rPr>
        <w:t>See also</w:t>
      </w:r>
      <w:r>
        <w:t xml:space="preserve"> Declaration of William Hogg at ¶¶ 3-4.</w:t>
      </w:r>
    </w:p>
  </w:footnote>
  <w:footnote w:id="176">
    <w:p w:rsidR="00126C52" w:rsidRDefault="00126C52" w:rsidP="00956A6E">
      <w:pPr>
        <w:pStyle w:val="FootnoteText"/>
      </w:pPr>
      <w:r>
        <w:rPr>
          <w:rStyle w:val="FootnoteReference"/>
        </w:rPr>
        <w:footnoteRef/>
      </w:r>
      <w:r>
        <w:t xml:space="preserve"> </w:t>
      </w:r>
      <w:r w:rsidRPr="009D0B01">
        <w:rPr>
          <w:i/>
        </w:rPr>
        <w:t xml:space="preserve">See </w:t>
      </w:r>
      <w:r>
        <w:t xml:space="preserve">AT&amp;T Information Request Response at 7.  </w:t>
      </w:r>
      <w:r w:rsidRPr="007310ED">
        <w:rPr>
          <w:i/>
        </w:rPr>
        <w:t>See also</w:t>
      </w:r>
      <w:r>
        <w:t xml:space="preserve"> Public Interest Statement at 12; Declaration of William Hogg at ¶ 5.</w:t>
      </w:r>
    </w:p>
  </w:footnote>
  <w:footnote w:id="177">
    <w:p w:rsidR="00126C52" w:rsidRPr="00857D4D" w:rsidRDefault="00126C52" w:rsidP="00956A6E">
      <w:pPr>
        <w:pStyle w:val="FootnoteText"/>
        <w:rPr>
          <w:b/>
        </w:rPr>
      </w:pPr>
      <w:r>
        <w:rPr>
          <w:rStyle w:val="FootnoteReference"/>
        </w:rPr>
        <w:footnoteRef/>
      </w:r>
      <w:r>
        <w:t xml:space="preserve"> </w:t>
      </w:r>
      <w:r w:rsidRPr="009D0B01">
        <w:rPr>
          <w:i/>
        </w:rPr>
        <w:t xml:space="preserve">See </w:t>
      </w:r>
      <w:r>
        <w:t xml:space="preserve">AT&amp;T Information Request Response at 10-12.  </w:t>
      </w:r>
      <w:r w:rsidRPr="0062062E">
        <w:rPr>
          <w:i/>
        </w:rPr>
        <w:t>See also</w:t>
      </w:r>
      <w:r>
        <w:t xml:space="preserve"> </w:t>
      </w:r>
      <w:r w:rsidRPr="0019353A">
        <w:t>ATT-VZWG00000339 (undated)</w:t>
      </w:r>
      <w:r>
        <w:t xml:space="preserve"> Performance of Various Channel Bandwidth for LTE in 700 MHz Band, AT&amp;T Labs (presentation with an analysis of the system capacity of an LTE network as a function of channel bandwidth, considering 5 megahertz, 10 megahertz, and 15 megahertz); Speed Claims, Load, and Capacity, Simulation and Analysis, Radio Technology and Strategy, Austin, TX.  </w:t>
      </w:r>
      <w:r w:rsidRPr="00DC239B">
        <w:rPr>
          <w:szCs w:val="22"/>
        </w:rPr>
        <w:t>AT&amp;T contends that this particular deployment would have wider bandwidth, providing greater trunking efficiencies resulting in noticeably better performance for users, in particular a doubling of the peak data rate.</w:t>
      </w:r>
      <w:r>
        <w:rPr>
          <w:szCs w:val="22"/>
        </w:rPr>
        <w:t xml:space="preserve">  </w:t>
      </w:r>
      <w:r w:rsidRPr="00DD02B8">
        <w:rPr>
          <w:i/>
        </w:rPr>
        <w:t xml:space="preserve">See </w:t>
      </w:r>
      <w:r w:rsidRPr="009B0C0D">
        <w:t>AT&amp;T Information Request Response at 1</w:t>
      </w:r>
      <w:r w:rsidRPr="00857D4D">
        <w:t>0</w:t>
      </w:r>
      <w:r w:rsidRPr="009B0C0D">
        <w:t>-12.</w:t>
      </w:r>
    </w:p>
  </w:footnote>
  <w:footnote w:id="178">
    <w:p w:rsidR="00126C52" w:rsidRDefault="00126C52" w:rsidP="00A70D0D">
      <w:pPr>
        <w:pStyle w:val="FootnoteText"/>
      </w:pPr>
      <w:r>
        <w:rPr>
          <w:rStyle w:val="FootnoteReference"/>
        </w:rPr>
        <w:footnoteRef/>
      </w:r>
      <w:r>
        <w:t xml:space="preserve"> </w:t>
      </w:r>
      <w:r w:rsidRPr="009D0B01">
        <w:rPr>
          <w:i/>
        </w:rPr>
        <w:t xml:space="preserve">See </w:t>
      </w:r>
      <w:r>
        <w:t xml:space="preserve">AT&amp;T Information Request Response at 7. </w:t>
      </w:r>
    </w:p>
  </w:footnote>
  <w:footnote w:id="179">
    <w:p w:rsidR="00126C52" w:rsidRDefault="00126C52">
      <w:pPr>
        <w:pStyle w:val="FootnoteText"/>
      </w:pPr>
      <w:r>
        <w:rPr>
          <w:rStyle w:val="FootnoteReference"/>
        </w:rPr>
        <w:footnoteRef/>
      </w:r>
      <w:r>
        <w:t xml:space="preserve"> </w:t>
      </w:r>
      <w:r w:rsidRPr="005771D1">
        <w:rPr>
          <w:i/>
        </w:rPr>
        <w:t xml:space="preserve">See </w:t>
      </w:r>
      <w:r w:rsidRPr="005771D1">
        <w:t>AT&amp;T Information Request Response at 12-13.</w:t>
      </w:r>
    </w:p>
  </w:footnote>
  <w:footnote w:id="180">
    <w:p w:rsidR="00126C52" w:rsidRDefault="00126C52" w:rsidP="00641199">
      <w:pPr>
        <w:pStyle w:val="FootnoteText"/>
      </w:pPr>
      <w:r>
        <w:rPr>
          <w:rStyle w:val="FootnoteReference"/>
        </w:rPr>
        <w:footnoteRef/>
      </w:r>
      <w:r>
        <w:t xml:space="preserve"> </w:t>
      </w:r>
      <w:r w:rsidRPr="00723C80">
        <w:rPr>
          <w:i/>
        </w:rPr>
        <w:t>See</w:t>
      </w:r>
      <w:r w:rsidRPr="002A125F">
        <w:t xml:space="preserve"> 47 C.F.R. </w:t>
      </w:r>
      <w:r>
        <w:t>§</w:t>
      </w:r>
      <w:r w:rsidRPr="002A125F">
        <w:t xml:space="preserve"> 27.14(g).</w:t>
      </w:r>
    </w:p>
  </w:footnote>
  <w:footnote w:id="181">
    <w:p w:rsidR="00126C52" w:rsidRDefault="00126C52" w:rsidP="00822E76">
      <w:pPr>
        <w:pStyle w:val="FootnoteText"/>
      </w:pPr>
      <w:r>
        <w:rPr>
          <w:rStyle w:val="FootnoteReference"/>
        </w:rPr>
        <w:footnoteRef/>
      </w:r>
      <w:r>
        <w:t xml:space="preserve"> In the Miami, FL CMA, AT&amp;T covers 100 percent of the population and 50 percent of the land area with LTE.  </w:t>
      </w:r>
      <w:r w:rsidRPr="000845EF">
        <w:t xml:space="preserve">In the West </w:t>
      </w:r>
      <w:r>
        <w:t>Palm Beach-Boca Raton, FL CMA market, AT&amp;T covers 100 percent</w:t>
      </w:r>
      <w:r w:rsidRPr="000845EF">
        <w:t xml:space="preserve"> of the population </w:t>
      </w:r>
      <w:r>
        <w:t xml:space="preserve">and </w:t>
      </w:r>
      <w:r w:rsidRPr="000845EF">
        <w:t>7</w:t>
      </w:r>
      <w:r>
        <w:t xml:space="preserve">3 percent </w:t>
      </w:r>
      <w:r w:rsidRPr="000845EF">
        <w:t xml:space="preserve">of </w:t>
      </w:r>
      <w:r>
        <w:t xml:space="preserve">the land </w:t>
      </w:r>
      <w:r w:rsidRPr="000845EF">
        <w:t>area</w:t>
      </w:r>
      <w:r>
        <w:t xml:space="preserve"> with LTE.  Mosaik, July 2013 data.</w:t>
      </w:r>
    </w:p>
  </w:footnote>
  <w:footnote w:id="182">
    <w:p w:rsidR="00126C52" w:rsidRDefault="00126C52" w:rsidP="00822E76">
      <w:pPr>
        <w:pStyle w:val="FootnoteText"/>
      </w:pPr>
      <w:r>
        <w:rPr>
          <w:rStyle w:val="FootnoteReference"/>
        </w:rPr>
        <w:footnoteRef/>
      </w:r>
      <w:r>
        <w:t xml:space="preserve"> In these two CMAs, AT&amp;T has entered into a short-term spectrum manager lease with Verizon Wireless, pursuant to which it has deployed LTE on the Lower 700 MHz Band B Block.  </w:t>
      </w:r>
      <w:r w:rsidRPr="008B6823">
        <w:rPr>
          <w:i/>
        </w:rPr>
        <w:t>See</w:t>
      </w:r>
      <w:r w:rsidRPr="008B6823">
        <w:t xml:space="preserve"> AT&amp;T Information Request Response at </w:t>
      </w:r>
      <w:r w:rsidRPr="00A05053">
        <w:t>4, 7, 14-15 n.16</w:t>
      </w:r>
      <w:r w:rsidRPr="008B6823">
        <w:t xml:space="preserve">.  </w:t>
      </w:r>
      <w:r w:rsidRPr="003B03DE">
        <w:rPr>
          <w:i/>
        </w:rPr>
        <w:t>See also</w:t>
      </w:r>
      <w:r w:rsidRPr="003B03DE">
        <w:t xml:space="preserve"> </w:t>
      </w:r>
      <w:r w:rsidRPr="00AE0B58">
        <w:rPr>
          <w:color w:val="000000"/>
        </w:rPr>
        <w:t>Declaration of W</w:t>
      </w:r>
      <w:r w:rsidRPr="00E0216E">
        <w:rPr>
          <w:color w:val="000000"/>
        </w:rPr>
        <w:t xml:space="preserve">illiam Hogg at ¶¶ 3, 5.  </w:t>
      </w:r>
      <w:r>
        <w:rPr>
          <w:szCs w:val="22"/>
        </w:rPr>
        <w:t>AT&amp;T’s long-term deployment of LTE using this spectrum is, of course,</w:t>
      </w:r>
      <w:r w:rsidRPr="0008082C">
        <w:rPr>
          <w:szCs w:val="22"/>
        </w:rPr>
        <w:t xml:space="preserve"> subject to the Commission’s approval of the proposed transactions</w:t>
      </w:r>
    </w:p>
  </w:footnote>
  <w:footnote w:id="183">
    <w:p w:rsidR="00653B1E" w:rsidRPr="00857D4D" w:rsidRDefault="00653B1E" w:rsidP="00653B1E">
      <w:pPr>
        <w:pStyle w:val="FootnoteText"/>
        <w:rPr>
          <w:b/>
        </w:rPr>
      </w:pPr>
      <w:r>
        <w:rPr>
          <w:rStyle w:val="FootnoteReference"/>
        </w:rPr>
        <w:footnoteRef/>
      </w:r>
      <w:r>
        <w:t xml:space="preserve"> </w:t>
      </w:r>
      <w:r w:rsidRPr="00FA76FB">
        <w:t>ATT-VZWG00000067</w:t>
      </w:r>
      <w:r>
        <w:t xml:space="preserve"> shows AT&amp;T’s LTE deployment plans.  Project LTE deployment is projected </w:t>
      </w:r>
      <w:r w:rsidR="004E4F65">
        <w:rPr>
          <w:b/>
        </w:rPr>
        <w:t>[REDACTED]</w:t>
      </w:r>
      <w:r>
        <w:t>.</w:t>
      </w:r>
    </w:p>
  </w:footnote>
  <w:footnote w:id="184">
    <w:p w:rsidR="00126C52" w:rsidRDefault="00126C52">
      <w:pPr>
        <w:pStyle w:val="FootnoteText"/>
      </w:pPr>
      <w:r>
        <w:rPr>
          <w:rStyle w:val="FootnoteReference"/>
        </w:rPr>
        <w:footnoteRef/>
      </w:r>
      <w:r>
        <w:t xml:space="preserve"> </w:t>
      </w:r>
      <w:r w:rsidRPr="005619DE">
        <w:rPr>
          <w:i/>
        </w:rPr>
        <w:t>See</w:t>
      </w:r>
      <w:r>
        <w:t xml:space="preserve"> Verizon Wireless Information Request Response at 2.</w:t>
      </w:r>
    </w:p>
  </w:footnote>
  <w:footnote w:id="185">
    <w:p w:rsidR="00126C52" w:rsidRPr="00857D4D" w:rsidRDefault="00126C52" w:rsidP="009506CC">
      <w:pPr>
        <w:pStyle w:val="FootnoteText"/>
        <w:rPr>
          <w:b/>
        </w:rPr>
      </w:pPr>
      <w:r>
        <w:rPr>
          <w:rStyle w:val="FootnoteReference"/>
        </w:rPr>
        <w:footnoteRef/>
      </w:r>
      <w:r>
        <w:t xml:space="preserve"> </w:t>
      </w:r>
      <w:r>
        <w:rPr>
          <w:szCs w:val="22"/>
        </w:rPr>
        <w:t xml:space="preserve">Verizon Wireless is predicting a </w:t>
      </w:r>
      <w:r w:rsidR="004E4F65">
        <w:rPr>
          <w:b/>
        </w:rPr>
        <w:t>[REDACTED]</w:t>
      </w:r>
      <w:r>
        <w:rPr>
          <w:szCs w:val="22"/>
        </w:rPr>
        <w:t xml:space="preserve">% increase in wireless data use by 2017.  </w:t>
      </w:r>
      <w:r w:rsidRPr="00104423">
        <w:rPr>
          <w:i/>
          <w:szCs w:val="22"/>
        </w:rPr>
        <w:t>See</w:t>
      </w:r>
      <w:r>
        <w:rPr>
          <w:szCs w:val="22"/>
        </w:rPr>
        <w:t xml:space="preserve"> </w:t>
      </w:r>
      <w:r w:rsidRPr="00901FFD">
        <w:rPr>
          <w:szCs w:val="22"/>
        </w:rPr>
        <w:t>VZW-000137</w:t>
      </w:r>
      <w:r>
        <w:rPr>
          <w:szCs w:val="22"/>
        </w:rPr>
        <w:t xml:space="preserve"> Technology Evolution November 2012, Verizon Wireless Data Growth – Total Usage Forecast.  </w:t>
      </w:r>
    </w:p>
  </w:footnote>
  <w:footnote w:id="186">
    <w:p w:rsidR="00126C52" w:rsidRDefault="00126C52">
      <w:pPr>
        <w:pStyle w:val="FootnoteText"/>
      </w:pPr>
      <w:r>
        <w:rPr>
          <w:rStyle w:val="FootnoteReference"/>
        </w:rPr>
        <w:footnoteRef/>
      </w:r>
      <w:r>
        <w:t xml:space="preserve"> </w:t>
      </w:r>
      <w:r w:rsidRPr="005619DE">
        <w:rPr>
          <w:i/>
        </w:rPr>
        <w:t>See</w:t>
      </w:r>
      <w:r>
        <w:t xml:space="preserve"> Verizon Wireless Information Request Response at 2.</w:t>
      </w:r>
    </w:p>
  </w:footnote>
  <w:footnote w:id="187">
    <w:p w:rsidR="00126C52" w:rsidRDefault="00126C52" w:rsidP="009506CC">
      <w:pPr>
        <w:pStyle w:val="FootnoteText"/>
      </w:pPr>
      <w:r>
        <w:rPr>
          <w:rStyle w:val="FootnoteReference"/>
        </w:rPr>
        <w:footnoteRef/>
      </w:r>
      <w:r>
        <w:t xml:space="preserve"> </w:t>
      </w:r>
      <w:r w:rsidRPr="00C61114">
        <w:rPr>
          <w:i/>
        </w:rPr>
        <w:t xml:space="preserve">See </w:t>
      </w:r>
      <w:r>
        <w:rPr>
          <w:i/>
        </w:rPr>
        <w:t>id.</w:t>
      </w:r>
      <w:r>
        <w:t xml:space="preserve"> at 10-11.</w:t>
      </w:r>
    </w:p>
  </w:footnote>
  <w:footnote w:id="188">
    <w:p w:rsidR="00126C52" w:rsidRDefault="00126C52" w:rsidP="00891372">
      <w:pPr>
        <w:pStyle w:val="FootnoteText"/>
      </w:pPr>
      <w:r>
        <w:rPr>
          <w:rStyle w:val="FootnoteReference"/>
        </w:rPr>
        <w:footnoteRef/>
      </w:r>
      <w:r>
        <w:t xml:space="preserve"> </w:t>
      </w:r>
      <w:r w:rsidRPr="00467E77">
        <w:rPr>
          <w:i/>
        </w:rPr>
        <w:t xml:space="preserve">See </w:t>
      </w:r>
      <w:r>
        <w:t xml:space="preserve">Public Interest Statement at 2, 11-12; Verizon Wireless Information Request Response at 10-11.  Verizon Wireless claims that a base of customers already will be using AWS-1-capable LTE devices, and therefore consumers will receive immediate benefits from Verizon Wireless’s AWS-1 deployment.  Verizon Wireless asserts that after LTE device activation of AWS-1 capability, Verizon Wireless will be able to manage the traffic levels on its LTE network by moving multi-band LTE device data traffic from a more congested band to a less congested band, leading to efficiency and a better user experience in terms of latency and speed of data transfers.  </w:t>
      </w:r>
      <w:r w:rsidRPr="007875EE">
        <w:rPr>
          <w:i/>
        </w:rPr>
        <w:t xml:space="preserve">See </w:t>
      </w:r>
      <w:r>
        <w:t>Verizon Wireless Information Request Response at 5.</w:t>
      </w:r>
    </w:p>
  </w:footnote>
  <w:footnote w:id="189">
    <w:p w:rsidR="00126C52" w:rsidRDefault="00126C52">
      <w:pPr>
        <w:pStyle w:val="FootnoteText"/>
      </w:pPr>
      <w:r>
        <w:rPr>
          <w:rStyle w:val="FootnoteReference"/>
        </w:rPr>
        <w:footnoteRef/>
      </w:r>
      <w:r>
        <w:t xml:space="preserve"> </w:t>
      </w:r>
      <w:r w:rsidRPr="005D11DA">
        <w:rPr>
          <w:i/>
        </w:rPr>
        <w:t xml:space="preserve">See </w:t>
      </w:r>
      <w:r>
        <w:t xml:space="preserve">Verizon Wireless Information Request Response at 2, 6-10 (describing Verizon Wireless’s specific spectrum deployment plans for each of the six metropolitan areas and surrounding areas that are encompassed by the AWS-1 licenses it is acquiring or leasing).  The six metropolitan areas are Albuquerque, NM, Dallas, TX (leasing from Grain II), Fresno, CA, Los Angeles, CA, Phoenix, AZ, and Portland, OR.  </w:t>
      </w:r>
      <w:r w:rsidRPr="005D11DA">
        <w:rPr>
          <w:i/>
        </w:rPr>
        <w:t xml:space="preserve">See </w:t>
      </w:r>
      <w:r>
        <w:t xml:space="preserve">Verizon Wireless Information Request Response at 2.  </w:t>
      </w:r>
    </w:p>
  </w:footnote>
  <w:footnote w:id="190">
    <w:p w:rsidR="00126C52" w:rsidRPr="00FB7675" w:rsidRDefault="00126C52" w:rsidP="009506CC">
      <w:pPr>
        <w:pStyle w:val="FootnoteText"/>
      </w:pPr>
      <w:r>
        <w:rPr>
          <w:rStyle w:val="FootnoteReference"/>
        </w:rPr>
        <w:footnoteRef/>
      </w:r>
      <w:r>
        <w:t xml:space="preserve"> </w:t>
      </w:r>
      <w:r w:rsidRPr="006A7CBC">
        <w:rPr>
          <w:i/>
        </w:rPr>
        <w:t xml:space="preserve">See </w:t>
      </w:r>
      <w:r>
        <w:t>Public Interest Statement at 12;</w:t>
      </w:r>
      <w:r w:rsidRPr="005D11DA">
        <w:rPr>
          <w:i/>
        </w:rPr>
        <w:t xml:space="preserve"> </w:t>
      </w:r>
      <w:r>
        <w:t xml:space="preserve">Verizon Wireless Information Request Response at 12.  Verizon Wireless claims that this would occur if the existing AWS-1 spectrum is cleared.  </w:t>
      </w:r>
      <w:r>
        <w:rPr>
          <w:i/>
        </w:rPr>
        <w:t>See</w:t>
      </w:r>
      <w:r>
        <w:t xml:space="preserve"> Verizon Wireless Information Request Response at 12.</w:t>
      </w:r>
    </w:p>
  </w:footnote>
  <w:footnote w:id="191">
    <w:p w:rsidR="00126C52" w:rsidRDefault="00126C52" w:rsidP="009907C0">
      <w:pPr>
        <w:pStyle w:val="FootnoteText"/>
      </w:pPr>
      <w:r>
        <w:rPr>
          <w:rStyle w:val="FootnoteReference"/>
        </w:rPr>
        <w:footnoteRef/>
      </w:r>
      <w:r>
        <w:t xml:space="preserve"> </w:t>
      </w:r>
      <w:r w:rsidRPr="006B668F">
        <w:rPr>
          <w:szCs w:val="22"/>
        </w:rPr>
        <w:t>These 26 markets include the six CMAs where, post-transaction, Verizon Wireless would hold 40 megahertz or more of AWS-1 spectrum.</w:t>
      </w:r>
      <w:r>
        <w:rPr>
          <w:szCs w:val="22"/>
        </w:rPr>
        <w:t xml:space="preserve">  </w:t>
      </w:r>
      <w:r w:rsidRPr="005D11DA">
        <w:rPr>
          <w:i/>
        </w:rPr>
        <w:t xml:space="preserve">See </w:t>
      </w:r>
      <w:r>
        <w:t xml:space="preserve">Verizon Wireless Information Request Response at 13-14; </w:t>
      </w:r>
      <w:r w:rsidRPr="004E4F65">
        <w:rPr>
          <w:i/>
        </w:rPr>
        <w:t>see also</w:t>
      </w:r>
      <w:r w:rsidR="00392819" w:rsidRPr="004E4F65">
        <w:t xml:space="preserve"> n.143</w:t>
      </w:r>
      <w:r w:rsidRPr="004E4F65">
        <w:t xml:space="preserve"> </w:t>
      </w:r>
      <w:r w:rsidRPr="004E4F65">
        <w:rPr>
          <w:i/>
        </w:rPr>
        <w:t>supra</w:t>
      </w:r>
      <w:r>
        <w:t>.</w:t>
      </w:r>
    </w:p>
  </w:footnote>
  <w:footnote w:id="192">
    <w:p w:rsidR="00126C52" w:rsidRDefault="00126C52">
      <w:pPr>
        <w:pStyle w:val="FootnoteText"/>
      </w:pPr>
      <w:r>
        <w:rPr>
          <w:rStyle w:val="FootnoteReference"/>
        </w:rPr>
        <w:footnoteRef/>
      </w:r>
      <w:r>
        <w:t xml:space="preserve"> </w:t>
      </w:r>
      <w:r w:rsidRPr="005D11DA">
        <w:rPr>
          <w:i/>
        </w:rPr>
        <w:t xml:space="preserve">See </w:t>
      </w:r>
      <w:r>
        <w:t xml:space="preserve">Verizon Wireless Information Request Response at 12.  Verizon Wireless asserts that this will occur </w:t>
      </w:r>
      <w:r w:rsidRPr="00967A60">
        <w:rPr>
          <w:szCs w:val="22"/>
        </w:rPr>
        <w:t>when the next generation of hardware that is capable of operating on two non-contiguous blocks is developed and tested</w:t>
      </w:r>
      <w:r>
        <w:rPr>
          <w:szCs w:val="22"/>
        </w:rPr>
        <w:t xml:space="preserve">.  </w:t>
      </w:r>
      <w:r>
        <w:t xml:space="preserve">Verizon Wireless projects the timeframe for the use of the non-adjacent AWS-1 spectrum at issue will be </w:t>
      </w:r>
      <w:r w:rsidR="004E4F65">
        <w:rPr>
          <w:b/>
        </w:rPr>
        <w:t>[REDACTED]</w:t>
      </w:r>
      <w:r>
        <w:t xml:space="preserve">.  </w:t>
      </w:r>
      <w:r w:rsidRPr="003278E1">
        <w:rPr>
          <w:i/>
        </w:rPr>
        <w:t>Id.</w:t>
      </w:r>
    </w:p>
  </w:footnote>
  <w:footnote w:id="193">
    <w:p w:rsidR="00126C52" w:rsidRDefault="00126C52" w:rsidP="00891372">
      <w:pPr>
        <w:pStyle w:val="FootnoteText"/>
      </w:pPr>
      <w:r>
        <w:rPr>
          <w:rStyle w:val="FootnoteReference"/>
        </w:rPr>
        <w:footnoteRef/>
      </w:r>
      <w:r>
        <w:t xml:space="preserve"> </w:t>
      </w:r>
      <w:r w:rsidRPr="00016C38">
        <w:rPr>
          <w:i/>
        </w:rPr>
        <w:t xml:space="preserve">See </w:t>
      </w:r>
      <w:r>
        <w:t xml:space="preserve">Public Interest Statement at 2, 12; Verizon Wireless Information Request Response at 6-10.  </w:t>
      </w:r>
    </w:p>
  </w:footnote>
  <w:footnote w:id="194">
    <w:p w:rsidR="00126C52" w:rsidRDefault="00126C52" w:rsidP="00B946D5">
      <w:pPr>
        <w:pStyle w:val="FootnoteText"/>
      </w:pPr>
      <w:r>
        <w:rPr>
          <w:rStyle w:val="FootnoteReference"/>
        </w:rPr>
        <w:footnoteRef/>
      </w:r>
      <w:r>
        <w:t xml:space="preserve"> </w:t>
      </w:r>
      <w:r>
        <w:rPr>
          <w:i/>
        </w:rPr>
        <w:t xml:space="preserve">See Verizon Wireless-SpectrumCo Order, </w:t>
      </w:r>
      <w:r w:rsidRPr="00723C80">
        <w:t xml:space="preserve">27 FCC Rcd at </w:t>
      </w:r>
      <w:r>
        <w:t>10743</w:t>
      </w:r>
      <w:r w:rsidRPr="00723C80">
        <w:t xml:space="preserve"> ¶ 121.</w:t>
      </w:r>
    </w:p>
  </w:footnote>
  <w:footnote w:id="195">
    <w:p w:rsidR="00126C52" w:rsidRDefault="00126C52" w:rsidP="00BD692F">
      <w:pPr>
        <w:pStyle w:val="FootnoteText"/>
      </w:pPr>
      <w:r>
        <w:rPr>
          <w:rStyle w:val="FootnoteReference"/>
        </w:rPr>
        <w:footnoteRef/>
      </w:r>
      <w:r>
        <w:t xml:space="preserve"> </w:t>
      </w:r>
      <w:r>
        <w:rPr>
          <w:i/>
        </w:rPr>
        <w:t xml:space="preserve">See Verizon Wireless-SpectrumCo Order, </w:t>
      </w:r>
      <w:r>
        <w:t>27 FCC Rcd at 10742 ¶ 119.</w:t>
      </w:r>
    </w:p>
  </w:footnote>
  <w:footnote w:id="196">
    <w:p w:rsidR="00126C52" w:rsidRDefault="00126C52">
      <w:pPr>
        <w:pStyle w:val="FootnoteText"/>
      </w:pPr>
      <w:r>
        <w:rPr>
          <w:rStyle w:val="FootnoteReference"/>
        </w:rPr>
        <w:footnoteRef/>
      </w:r>
      <w:r>
        <w:t xml:space="preserve"> These buildout conditions are applicable only to Verizon Wireless and do not alter or otherwise affect the buildout obligations imposed on Grain II as a licensee pursuant to section 27.14(a) of the Commission’s rules, 47 C.F.R. § 27.14(a).</w:t>
      </w:r>
    </w:p>
  </w:footnote>
  <w:footnote w:id="197">
    <w:p w:rsidR="00126C52" w:rsidRDefault="00126C52" w:rsidP="00BD692F">
      <w:pPr>
        <w:pStyle w:val="FootnoteText"/>
      </w:pPr>
      <w:r>
        <w:rPr>
          <w:rStyle w:val="FootnoteReference"/>
        </w:rPr>
        <w:footnoteRef/>
      </w:r>
      <w:r>
        <w:t xml:space="preserve"> </w:t>
      </w:r>
      <w:r>
        <w:rPr>
          <w:i/>
        </w:rPr>
        <w:t>See</w:t>
      </w:r>
      <w:r>
        <w:t xml:space="preserve"> 47 U.S.C. §§ 303(r), 312, 316, 503.</w:t>
      </w:r>
    </w:p>
  </w:footnote>
  <w:footnote w:id="198">
    <w:p w:rsidR="00126C52" w:rsidRDefault="00126C52" w:rsidP="005D0F06">
      <w:pPr>
        <w:pStyle w:val="FootnoteText"/>
      </w:pPr>
      <w:r>
        <w:rPr>
          <w:rStyle w:val="FootnoteReference"/>
        </w:rPr>
        <w:footnoteRef/>
      </w:r>
      <w:r>
        <w:t xml:space="preserve"> </w:t>
      </w:r>
      <w:r w:rsidRPr="00850026">
        <w:rPr>
          <w:i/>
        </w:rPr>
        <w:t xml:space="preserve">See </w:t>
      </w:r>
      <w:r>
        <w:t xml:space="preserve">Public Interest Statement at 2, 5-6, 14.  </w:t>
      </w:r>
      <w:r w:rsidRPr="00D96C43">
        <w:rPr>
          <w:i/>
        </w:rPr>
        <w:t>See also</w:t>
      </w:r>
      <w:r>
        <w:t xml:space="preserve"> Joint Opposition at 2.</w:t>
      </w:r>
    </w:p>
  </w:footnote>
  <w:footnote w:id="199">
    <w:p w:rsidR="00126C52" w:rsidRDefault="00126C52" w:rsidP="005D0F06">
      <w:pPr>
        <w:pStyle w:val="FootnoteText"/>
      </w:pPr>
      <w:r>
        <w:rPr>
          <w:rStyle w:val="FootnoteReference"/>
        </w:rPr>
        <w:footnoteRef/>
      </w:r>
      <w:r>
        <w:t xml:space="preserve"> </w:t>
      </w:r>
      <w:r w:rsidRPr="00850026">
        <w:rPr>
          <w:i/>
        </w:rPr>
        <w:t xml:space="preserve">See </w:t>
      </w:r>
      <w:r>
        <w:t>Public Interest Statement at 5-6, 14.</w:t>
      </w:r>
    </w:p>
  </w:footnote>
  <w:footnote w:id="200">
    <w:p w:rsidR="00126C52" w:rsidRDefault="00126C52" w:rsidP="005D0F06">
      <w:pPr>
        <w:pStyle w:val="FootnoteText"/>
      </w:pPr>
      <w:r>
        <w:rPr>
          <w:rStyle w:val="FootnoteReference"/>
        </w:rPr>
        <w:footnoteRef/>
      </w:r>
      <w:r>
        <w:t xml:space="preserve"> </w:t>
      </w:r>
      <w:r w:rsidRPr="00850026">
        <w:rPr>
          <w:i/>
        </w:rPr>
        <w:t xml:space="preserve">See </w:t>
      </w:r>
      <w:r>
        <w:rPr>
          <w:i/>
        </w:rPr>
        <w:t>id.</w:t>
      </w:r>
      <w:r>
        <w:t xml:space="preserve"> at 14.</w:t>
      </w:r>
    </w:p>
  </w:footnote>
  <w:footnote w:id="201">
    <w:p w:rsidR="00126C52" w:rsidRDefault="00126C52" w:rsidP="005D0F06">
      <w:pPr>
        <w:pStyle w:val="FootnoteText"/>
      </w:pPr>
      <w:r>
        <w:rPr>
          <w:rStyle w:val="FootnoteReference"/>
        </w:rPr>
        <w:footnoteRef/>
      </w:r>
      <w:r>
        <w:t xml:space="preserve"> </w:t>
      </w:r>
      <w:r w:rsidRPr="00850026">
        <w:rPr>
          <w:i/>
        </w:rPr>
        <w:t xml:space="preserve">See </w:t>
      </w:r>
      <w:r>
        <w:rPr>
          <w:i/>
        </w:rPr>
        <w:t>id</w:t>
      </w:r>
      <w:r>
        <w:t>.</w:t>
      </w:r>
    </w:p>
  </w:footnote>
  <w:footnote w:id="202">
    <w:p w:rsidR="00126C52" w:rsidRDefault="00126C52">
      <w:pPr>
        <w:pStyle w:val="FootnoteText"/>
      </w:pPr>
      <w:r>
        <w:rPr>
          <w:rStyle w:val="FootnoteReference"/>
        </w:rPr>
        <w:footnoteRef/>
      </w:r>
      <w:r>
        <w:t xml:space="preserve"> </w:t>
      </w:r>
      <w:r w:rsidRPr="009A58D1">
        <w:t xml:space="preserve">Section 257 Triennial Report to Congress Identifying and Eliminating Market Entry Barriers for Entrepreneurs and Other Small Businesses, </w:t>
      </w:r>
      <w:r w:rsidRPr="009A58D1">
        <w:rPr>
          <w:i/>
        </w:rPr>
        <w:t>Report</w:t>
      </w:r>
      <w:r w:rsidRPr="009A58D1">
        <w:t>, 26 FCC Rcd 2909, 2912 ¶ 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FB" w:rsidRDefault="00B37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2" w:rsidRDefault="00126C52" w:rsidP="008D3EB8">
    <w:pPr>
      <w:pStyle w:val="Header"/>
    </w:pPr>
    <w:r>
      <w:tab/>
    </w:r>
    <w:r w:rsidRPr="008D3EB8">
      <w:t>Federal Communications Commission</w:t>
    </w:r>
    <w:r w:rsidRPr="008D3EB8">
      <w:tab/>
    </w:r>
    <w:r>
      <w:t>DA</w:t>
    </w:r>
    <w:r w:rsidRPr="008D3EB8">
      <w:t xml:space="preserve"> 1</w:t>
    </w:r>
    <w:r>
      <w:t>3</w:t>
    </w:r>
    <w:r w:rsidRPr="008D3EB8">
      <w:t>-</w:t>
    </w:r>
    <w:r>
      <w:t>1854</w:t>
    </w:r>
  </w:p>
  <w:p w:rsidR="00126C52" w:rsidRDefault="00126C5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53445F23" wp14:editId="0102B38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126C52" w:rsidRDefault="00126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126C52" w:rsidRDefault="00126C52"/>
                </w:txbxContent>
              </v:textbox>
              <w10:wrap anchorx="margin"/>
            </v:rect>
          </w:pict>
        </mc:Fallback>
      </mc:AlternateContent>
    </w:r>
  </w:p>
  <w:p w:rsidR="00126C52" w:rsidRDefault="00126C5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2" w:rsidRDefault="00F02162" w:rsidP="00F02162">
    <w:pPr>
      <w:jc w:val="right"/>
      <w:rPr>
        <w:b/>
        <w:bCs/>
      </w:rPr>
    </w:pPr>
    <w:r>
      <w:rPr>
        <w:b/>
        <w:bCs/>
      </w:rPr>
      <w:t>REDACTED</w:t>
    </w:r>
  </w:p>
  <w:p w:rsidR="00126C52" w:rsidRDefault="00126C52" w:rsidP="00E37746">
    <w:pPr>
      <w:pStyle w:val="Header"/>
    </w:pPr>
    <w:r>
      <w:tab/>
    </w:r>
    <w:r w:rsidRPr="008D3EB8">
      <w:t>Federal Communications Commission</w:t>
    </w:r>
    <w:r w:rsidRPr="008D3EB8">
      <w:tab/>
    </w:r>
    <w:r>
      <w:t>DA 13-1854</w:t>
    </w:r>
  </w:p>
  <w:p w:rsidR="00126C52" w:rsidRDefault="00126C52" w:rsidP="005B687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8A62DB5" wp14:editId="0A344CFA">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126C52" w:rsidRDefault="00126C52" w:rsidP="005B6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126C52" w:rsidRDefault="00126C52" w:rsidP="005B6872"/>
                </w:txbxContent>
              </v:textbox>
              <w10:wrap anchorx="margin"/>
            </v:rect>
          </w:pict>
        </mc:Fallback>
      </mc:AlternateContent>
    </w:r>
  </w:p>
  <w:p w:rsidR="00126C52" w:rsidRDefault="00126C52" w:rsidP="005B687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176169"/>
    <w:multiLevelType w:val="hybridMultilevel"/>
    <w:tmpl w:val="9ECA4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E0F0C3B"/>
    <w:multiLevelType w:val="hybridMultilevel"/>
    <w:tmpl w:val="A5DA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318CB"/>
    <w:multiLevelType w:val="hybridMultilevel"/>
    <w:tmpl w:val="B980D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785AEF"/>
    <w:multiLevelType w:val="hybridMultilevel"/>
    <w:tmpl w:val="981A9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90F6A"/>
    <w:multiLevelType w:val="hybridMultilevel"/>
    <w:tmpl w:val="F3AA516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952F47"/>
    <w:multiLevelType w:val="hybridMultilevel"/>
    <w:tmpl w:val="7E04D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F672C7A"/>
    <w:multiLevelType w:val="hybridMultilevel"/>
    <w:tmpl w:val="CF0A5090"/>
    <w:lvl w:ilvl="0" w:tplc="B2A04162">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55341"/>
    <w:multiLevelType w:val="hybridMultilevel"/>
    <w:tmpl w:val="6E1821AC"/>
    <w:lvl w:ilvl="0" w:tplc="72627ECC">
      <w:start w:val="74"/>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FBC40DB"/>
    <w:multiLevelType w:val="hybridMultilevel"/>
    <w:tmpl w:val="8C52CDB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8A7771"/>
    <w:multiLevelType w:val="hybridMultilevel"/>
    <w:tmpl w:val="EFD432D6"/>
    <w:lvl w:ilvl="0" w:tplc="E6304D9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A7867"/>
    <w:multiLevelType w:val="hybridMultilevel"/>
    <w:tmpl w:val="D1EA8D2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8D52CF"/>
    <w:multiLevelType w:val="hybridMultilevel"/>
    <w:tmpl w:val="0E34286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7E4F7C88"/>
    <w:multiLevelType w:val="hybridMultilevel"/>
    <w:tmpl w:val="653409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9"/>
  </w:num>
  <w:num w:numId="3">
    <w:abstractNumId w:val="6"/>
  </w:num>
  <w:num w:numId="4">
    <w:abstractNumId w:val="10"/>
  </w:num>
  <w:num w:numId="5">
    <w:abstractNumId w:val="7"/>
  </w:num>
  <w:num w:numId="6">
    <w:abstractNumId w:val="0"/>
  </w:num>
  <w:num w:numId="7">
    <w:abstractNumId w:val="13"/>
  </w:num>
  <w:num w:numId="8">
    <w:abstractNumId w:val="9"/>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2"/>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6"/>
  </w:num>
  <w:num w:numId="20">
    <w:abstractNumId w:val="18"/>
  </w:num>
  <w:num w:numId="21">
    <w:abstractNumId w:val="5"/>
  </w:num>
  <w:num w:numId="22">
    <w:abstractNumId w:val="8"/>
  </w:num>
  <w:num w:numId="23">
    <w:abstractNumId w:val="13"/>
    <w:lvlOverride w:ilvl="0">
      <w:startOverride w:val="2"/>
    </w:lvlOverride>
  </w:num>
  <w:num w:numId="24">
    <w:abstractNumId w:val="4"/>
  </w:num>
  <w:num w:numId="25">
    <w:abstractNumId w:val="14"/>
  </w:num>
  <w:num w:numId="26">
    <w:abstractNumId w:val="13"/>
    <w:lvlOverride w:ilvl="0">
      <w:startOverride w:val="29"/>
    </w:lvlOverride>
  </w:num>
  <w:num w:numId="27">
    <w:abstractNumId w:val="13"/>
    <w:lvlOverride w:ilvl="0">
      <w:startOverride w:val="1"/>
    </w:lvlOverride>
  </w:num>
  <w:num w:numId="2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2"/>
  </w:num>
  <w:num w:numId="32">
    <w:abstractNumId w:val="3"/>
  </w:num>
  <w:num w:numId="33">
    <w:abstractNumId w:val="15"/>
  </w:num>
  <w:num w:numId="34">
    <w:abstractNumId w:val="13"/>
  </w:num>
  <w:num w:numId="35">
    <w:abstractNumId w:val="13"/>
  </w:num>
  <w:num w:numId="36">
    <w:abstractNumId w:val="13"/>
  </w:num>
  <w:num w:numId="37">
    <w:abstractNumId w:val="13"/>
  </w:num>
  <w:num w:numId="38">
    <w:abstractNumId w:val="9"/>
  </w:num>
  <w:num w:numId="39">
    <w:abstractNumId w:val="9"/>
  </w:num>
  <w:num w:numId="40">
    <w:abstractNumId w:val="13"/>
  </w:num>
  <w:num w:numId="41">
    <w:abstractNumId w:val="13"/>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8"/>
    <w:rsid w:val="0000067B"/>
    <w:rsid w:val="00000930"/>
    <w:rsid w:val="00002204"/>
    <w:rsid w:val="00003075"/>
    <w:rsid w:val="000031B9"/>
    <w:rsid w:val="000037D8"/>
    <w:rsid w:val="00003826"/>
    <w:rsid w:val="00003C98"/>
    <w:rsid w:val="000047F9"/>
    <w:rsid w:val="00004D19"/>
    <w:rsid w:val="000052A1"/>
    <w:rsid w:val="00006B7A"/>
    <w:rsid w:val="00006BDC"/>
    <w:rsid w:val="00006D50"/>
    <w:rsid w:val="000075AD"/>
    <w:rsid w:val="000101EF"/>
    <w:rsid w:val="00010618"/>
    <w:rsid w:val="00011317"/>
    <w:rsid w:val="000114BC"/>
    <w:rsid w:val="00011D25"/>
    <w:rsid w:val="000130D6"/>
    <w:rsid w:val="00013781"/>
    <w:rsid w:val="00013B07"/>
    <w:rsid w:val="00013B6F"/>
    <w:rsid w:val="00013EC8"/>
    <w:rsid w:val="00013FA9"/>
    <w:rsid w:val="000140C4"/>
    <w:rsid w:val="00014EF2"/>
    <w:rsid w:val="00015507"/>
    <w:rsid w:val="00015896"/>
    <w:rsid w:val="00015BCC"/>
    <w:rsid w:val="00015BD1"/>
    <w:rsid w:val="00015C70"/>
    <w:rsid w:val="00016291"/>
    <w:rsid w:val="000166E1"/>
    <w:rsid w:val="00016A85"/>
    <w:rsid w:val="00016C38"/>
    <w:rsid w:val="00017264"/>
    <w:rsid w:val="00017A41"/>
    <w:rsid w:val="00017B79"/>
    <w:rsid w:val="00020C76"/>
    <w:rsid w:val="000210A1"/>
    <w:rsid w:val="00021E07"/>
    <w:rsid w:val="00022014"/>
    <w:rsid w:val="0002248E"/>
    <w:rsid w:val="00022663"/>
    <w:rsid w:val="0002276B"/>
    <w:rsid w:val="00022A29"/>
    <w:rsid w:val="00023173"/>
    <w:rsid w:val="00023454"/>
    <w:rsid w:val="00023B0E"/>
    <w:rsid w:val="000240CF"/>
    <w:rsid w:val="00024748"/>
    <w:rsid w:val="000249EE"/>
    <w:rsid w:val="00024F9E"/>
    <w:rsid w:val="0002543E"/>
    <w:rsid w:val="00025A7C"/>
    <w:rsid w:val="00025AB6"/>
    <w:rsid w:val="000260C4"/>
    <w:rsid w:val="00026911"/>
    <w:rsid w:val="000302F8"/>
    <w:rsid w:val="00030606"/>
    <w:rsid w:val="000311C7"/>
    <w:rsid w:val="000313DB"/>
    <w:rsid w:val="00031E10"/>
    <w:rsid w:val="00032A99"/>
    <w:rsid w:val="00032B29"/>
    <w:rsid w:val="00032EF3"/>
    <w:rsid w:val="0003319E"/>
    <w:rsid w:val="0003342E"/>
    <w:rsid w:val="00033EA9"/>
    <w:rsid w:val="0003432A"/>
    <w:rsid w:val="0003474D"/>
    <w:rsid w:val="00034ACF"/>
    <w:rsid w:val="0003511F"/>
    <w:rsid w:val="000361B0"/>
    <w:rsid w:val="000362F6"/>
    <w:rsid w:val="00036315"/>
    <w:rsid w:val="00036378"/>
    <w:rsid w:val="00036D1C"/>
    <w:rsid w:val="0003757E"/>
    <w:rsid w:val="00040F1B"/>
    <w:rsid w:val="00041320"/>
    <w:rsid w:val="00041B09"/>
    <w:rsid w:val="00042442"/>
    <w:rsid w:val="000424C7"/>
    <w:rsid w:val="00042D6B"/>
    <w:rsid w:val="00043724"/>
    <w:rsid w:val="0004374A"/>
    <w:rsid w:val="0004383A"/>
    <w:rsid w:val="0004388F"/>
    <w:rsid w:val="00043B2D"/>
    <w:rsid w:val="00043C7F"/>
    <w:rsid w:val="000465FE"/>
    <w:rsid w:val="00047276"/>
    <w:rsid w:val="00047316"/>
    <w:rsid w:val="00047678"/>
    <w:rsid w:val="0004775B"/>
    <w:rsid w:val="00047B50"/>
    <w:rsid w:val="00047C02"/>
    <w:rsid w:val="00047D81"/>
    <w:rsid w:val="000500DF"/>
    <w:rsid w:val="000505FE"/>
    <w:rsid w:val="00050B55"/>
    <w:rsid w:val="0005171A"/>
    <w:rsid w:val="00051D23"/>
    <w:rsid w:val="00052472"/>
    <w:rsid w:val="00052C14"/>
    <w:rsid w:val="00052F68"/>
    <w:rsid w:val="000536BA"/>
    <w:rsid w:val="00053876"/>
    <w:rsid w:val="00053AF8"/>
    <w:rsid w:val="000541BD"/>
    <w:rsid w:val="00054397"/>
    <w:rsid w:val="0005442B"/>
    <w:rsid w:val="000555FD"/>
    <w:rsid w:val="00055FCD"/>
    <w:rsid w:val="00057065"/>
    <w:rsid w:val="0005773D"/>
    <w:rsid w:val="000577B1"/>
    <w:rsid w:val="00057912"/>
    <w:rsid w:val="0005798C"/>
    <w:rsid w:val="00060183"/>
    <w:rsid w:val="0006020C"/>
    <w:rsid w:val="000605EF"/>
    <w:rsid w:val="00060829"/>
    <w:rsid w:val="000608CA"/>
    <w:rsid w:val="00061BBF"/>
    <w:rsid w:val="00061E03"/>
    <w:rsid w:val="0006261D"/>
    <w:rsid w:val="0006291D"/>
    <w:rsid w:val="00062D14"/>
    <w:rsid w:val="00063E0F"/>
    <w:rsid w:val="000641CD"/>
    <w:rsid w:val="00064615"/>
    <w:rsid w:val="00064D8F"/>
    <w:rsid w:val="00065542"/>
    <w:rsid w:val="000655E1"/>
    <w:rsid w:val="0006602B"/>
    <w:rsid w:val="00067494"/>
    <w:rsid w:val="00067DBA"/>
    <w:rsid w:val="000707D6"/>
    <w:rsid w:val="000717E8"/>
    <w:rsid w:val="000727C3"/>
    <w:rsid w:val="00072D74"/>
    <w:rsid w:val="00073849"/>
    <w:rsid w:val="00073E96"/>
    <w:rsid w:val="00074205"/>
    <w:rsid w:val="00074BED"/>
    <w:rsid w:val="00074D0D"/>
    <w:rsid w:val="000757CD"/>
    <w:rsid w:val="000758E5"/>
    <w:rsid w:val="00075AB0"/>
    <w:rsid w:val="00075BC8"/>
    <w:rsid w:val="00076EDD"/>
    <w:rsid w:val="0007757E"/>
    <w:rsid w:val="00077A4D"/>
    <w:rsid w:val="00080088"/>
    <w:rsid w:val="0008082C"/>
    <w:rsid w:val="00080959"/>
    <w:rsid w:val="0008136E"/>
    <w:rsid w:val="000814D9"/>
    <w:rsid w:val="00081E46"/>
    <w:rsid w:val="00082E7B"/>
    <w:rsid w:val="00083130"/>
    <w:rsid w:val="000835F2"/>
    <w:rsid w:val="00083B29"/>
    <w:rsid w:val="00083E90"/>
    <w:rsid w:val="00083F66"/>
    <w:rsid w:val="000840A9"/>
    <w:rsid w:val="0008495C"/>
    <w:rsid w:val="0008511D"/>
    <w:rsid w:val="0008529F"/>
    <w:rsid w:val="000860EA"/>
    <w:rsid w:val="00086151"/>
    <w:rsid w:val="0008656B"/>
    <w:rsid w:val="00086899"/>
    <w:rsid w:val="00086A8A"/>
    <w:rsid w:val="000874BA"/>
    <w:rsid w:val="0008760F"/>
    <w:rsid w:val="000903E5"/>
    <w:rsid w:val="00090A82"/>
    <w:rsid w:val="000915B6"/>
    <w:rsid w:val="00091810"/>
    <w:rsid w:val="000919BF"/>
    <w:rsid w:val="000936BA"/>
    <w:rsid w:val="00093803"/>
    <w:rsid w:val="00093999"/>
    <w:rsid w:val="00094EE6"/>
    <w:rsid w:val="00095375"/>
    <w:rsid w:val="00095A8B"/>
    <w:rsid w:val="00095AE3"/>
    <w:rsid w:val="00095E9E"/>
    <w:rsid w:val="0009695B"/>
    <w:rsid w:val="00096AD1"/>
    <w:rsid w:val="000973C2"/>
    <w:rsid w:val="00097E49"/>
    <w:rsid w:val="000A02BC"/>
    <w:rsid w:val="000A0BDA"/>
    <w:rsid w:val="000A11EA"/>
    <w:rsid w:val="000A1646"/>
    <w:rsid w:val="000A186D"/>
    <w:rsid w:val="000A2562"/>
    <w:rsid w:val="000A277E"/>
    <w:rsid w:val="000A2E88"/>
    <w:rsid w:val="000A3092"/>
    <w:rsid w:val="000A30E3"/>
    <w:rsid w:val="000A38D5"/>
    <w:rsid w:val="000A3CDA"/>
    <w:rsid w:val="000A4751"/>
    <w:rsid w:val="000A47AD"/>
    <w:rsid w:val="000A48CA"/>
    <w:rsid w:val="000A56CC"/>
    <w:rsid w:val="000A5B15"/>
    <w:rsid w:val="000A6216"/>
    <w:rsid w:val="000A703A"/>
    <w:rsid w:val="000A717E"/>
    <w:rsid w:val="000A7B6B"/>
    <w:rsid w:val="000A7CB5"/>
    <w:rsid w:val="000A7DDF"/>
    <w:rsid w:val="000B0496"/>
    <w:rsid w:val="000B0B13"/>
    <w:rsid w:val="000B0CAD"/>
    <w:rsid w:val="000B0E0E"/>
    <w:rsid w:val="000B0F45"/>
    <w:rsid w:val="000B0FAB"/>
    <w:rsid w:val="000B1442"/>
    <w:rsid w:val="000B1A71"/>
    <w:rsid w:val="000B1C00"/>
    <w:rsid w:val="000B2565"/>
    <w:rsid w:val="000B334A"/>
    <w:rsid w:val="000B3E13"/>
    <w:rsid w:val="000B3EC1"/>
    <w:rsid w:val="000B473A"/>
    <w:rsid w:val="000B4CA2"/>
    <w:rsid w:val="000B4DB8"/>
    <w:rsid w:val="000B4FBB"/>
    <w:rsid w:val="000B5D93"/>
    <w:rsid w:val="000B5DA2"/>
    <w:rsid w:val="000B66AC"/>
    <w:rsid w:val="000B71F1"/>
    <w:rsid w:val="000B7DC9"/>
    <w:rsid w:val="000C01FA"/>
    <w:rsid w:val="000C029A"/>
    <w:rsid w:val="000C0545"/>
    <w:rsid w:val="000C0854"/>
    <w:rsid w:val="000C1A54"/>
    <w:rsid w:val="000C1AA6"/>
    <w:rsid w:val="000C1BDF"/>
    <w:rsid w:val="000C1E07"/>
    <w:rsid w:val="000C1FDA"/>
    <w:rsid w:val="000C2145"/>
    <w:rsid w:val="000C375C"/>
    <w:rsid w:val="000C3B82"/>
    <w:rsid w:val="000C50B8"/>
    <w:rsid w:val="000C53C0"/>
    <w:rsid w:val="000C540E"/>
    <w:rsid w:val="000C584F"/>
    <w:rsid w:val="000C5988"/>
    <w:rsid w:val="000C6264"/>
    <w:rsid w:val="000C6417"/>
    <w:rsid w:val="000C6D8D"/>
    <w:rsid w:val="000C78E0"/>
    <w:rsid w:val="000C7D13"/>
    <w:rsid w:val="000C7EB6"/>
    <w:rsid w:val="000D083D"/>
    <w:rsid w:val="000D1B77"/>
    <w:rsid w:val="000D1D9A"/>
    <w:rsid w:val="000D2683"/>
    <w:rsid w:val="000D2BBC"/>
    <w:rsid w:val="000D38F6"/>
    <w:rsid w:val="000D4023"/>
    <w:rsid w:val="000D49A7"/>
    <w:rsid w:val="000D49D3"/>
    <w:rsid w:val="000D4A1E"/>
    <w:rsid w:val="000D4F46"/>
    <w:rsid w:val="000D532A"/>
    <w:rsid w:val="000D53CA"/>
    <w:rsid w:val="000D5AEC"/>
    <w:rsid w:val="000D60E0"/>
    <w:rsid w:val="000D622F"/>
    <w:rsid w:val="000D6A85"/>
    <w:rsid w:val="000D77EE"/>
    <w:rsid w:val="000E0129"/>
    <w:rsid w:val="000E0735"/>
    <w:rsid w:val="000E19F0"/>
    <w:rsid w:val="000E1BD5"/>
    <w:rsid w:val="000E209C"/>
    <w:rsid w:val="000E2335"/>
    <w:rsid w:val="000E247C"/>
    <w:rsid w:val="000E2B71"/>
    <w:rsid w:val="000E2EE3"/>
    <w:rsid w:val="000E3CA3"/>
    <w:rsid w:val="000E3CF6"/>
    <w:rsid w:val="000E5E6A"/>
    <w:rsid w:val="000E5F57"/>
    <w:rsid w:val="000E7190"/>
    <w:rsid w:val="000E74E7"/>
    <w:rsid w:val="000E7CFC"/>
    <w:rsid w:val="000F0332"/>
    <w:rsid w:val="000F0842"/>
    <w:rsid w:val="000F106A"/>
    <w:rsid w:val="000F10D3"/>
    <w:rsid w:val="000F15AD"/>
    <w:rsid w:val="000F2040"/>
    <w:rsid w:val="000F23AD"/>
    <w:rsid w:val="000F3FB1"/>
    <w:rsid w:val="000F412E"/>
    <w:rsid w:val="000F41B5"/>
    <w:rsid w:val="000F49FF"/>
    <w:rsid w:val="000F6056"/>
    <w:rsid w:val="000F6E19"/>
    <w:rsid w:val="000F700F"/>
    <w:rsid w:val="000F7438"/>
    <w:rsid w:val="000F74AE"/>
    <w:rsid w:val="00100277"/>
    <w:rsid w:val="00100AF8"/>
    <w:rsid w:val="00100D58"/>
    <w:rsid w:val="0010135C"/>
    <w:rsid w:val="00101518"/>
    <w:rsid w:val="001015E3"/>
    <w:rsid w:val="00101B8E"/>
    <w:rsid w:val="00102607"/>
    <w:rsid w:val="00102635"/>
    <w:rsid w:val="0010269F"/>
    <w:rsid w:val="001028DF"/>
    <w:rsid w:val="001032AB"/>
    <w:rsid w:val="00103364"/>
    <w:rsid w:val="0010349B"/>
    <w:rsid w:val="0010400E"/>
    <w:rsid w:val="00104069"/>
    <w:rsid w:val="00104423"/>
    <w:rsid w:val="0010499D"/>
    <w:rsid w:val="0010575D"/>
    <w:rsid w:val="001059B6"/>
    <w:rsid w:val="00106F83"/>
    <w:rsid w:val="0011004F"/>
    <w:rsid w:val="001102E5"/>
    <w:rsid w:val="00110ACD"/>
    <w:rsid w:val="001111E6"/>
    <w:rsid w:val="00112192"/>
    <w:rsid w:val="001125C7"/>
    <w:rsid w:val="00113619"/>
    <w:rsid w:val="001137FD"/>
    <w:rsid w:val="00113989"/>
    <w:rsid w:val="00113DD8"/>
    <w:rsid w:val="001149C8"/>
    <w:rsid w:val="0011532F"/>
    <w:rsid w:val="00116482"/>
    <w:rsid w:val="0011674A"/>
    <w:rsid w:val="001169AA"/>
    <w:rsid w:val="00116B90"/>
    <w:rsid w:val="00116CC8"/>
    <w:rsid w:val="00116D87"/>
    <w:rsid w:val="001170F1"/>
    <w:rsid w:val="001172C8"/>
    <w:rsid w:val="001173A6"/>
    <w:rsid w:val="00117447"/>
    <w:rsid w:val="0011781B"/>
    <w:rsid w:val="00117879"/>
    <w:rsid w:val="00117ACD"/>
    <w:rsid w:val="00120296"/>
    <w:rsid w:val="0012035C"/>
    <w:rsid w:val="00120CD7"/>
    <w:rsid w:val="001214D7"/>
    <w:rsid w:val="00121D66"/>
    <w:rsid w:val="00122482"/>
    <w:rsid w:val="001225F4"/>
    <w:rsid w:val="0012398C"/>
    <w:rsid w:val="00123B63"/>
    <w:rsid w:val="00123E4C"/>
    <w:rsid w:val="001255E1"/>
    <w:rsid w:val="00125B9B"/>
    <w:rsid w:val="00126A67"/>
    <w:rsid w:val="00126C52"/>
    <w:rsid w:val="00126D1A"/>
    <w:rsid w:val="00127944"/>
    <w:rsid w:val="00130441"/>
    <w:rsid w:val="00130C2A"/>
    <w:rsid w:val="00131762"/>
    <w:rsid w:val="0013202F"/>
    <w:rsid w:val="00132382"/>
    <w:rsid w:val="00132A06"/>
    <w:rsid w:val="00133844"/>
    <w:rsid w:val="00133DC3"/>
    <w:rsid w:val="00134172"/>
    <w:rsid w:val="00134BFD"/>
    <w:rsid w:val="00134CAE"/>
    <w:rsid w:val="001354C7"/>
    <w:rsid w:val="00135537"/>
    <w:rsid w:val="001359BF"/>
    <w:rsid w:val="00136838"/>
    <w:rsid w:val="00136881"/>
    <w:rsid w:val="00136D76"/>
    <w:rsid w:val="00136E49"/>
    <w:rsid w:val="001373A8"/>
    <w:rsid w:val="001377CD"/>
    <w:rsid w:val="00137FBC"/>
    <w:rsid w:val="001409C6"/>
    <w:rsid w:val="00140CF6"/>
    <w:rsid w:val="001413E8"/>
    <w:rsid w:val="001419BA"/>
    <w:rsid w:val="00141CFC"/>
    <w:rsid w:val="00142B48"/>
    <w:rsid w:val="001436F6"/>
    <w:rsid w:val="00143951"/>
    <w:rsid w:val="0014576D"/>
    <w:rsid w:val="00145D11"/>
    <w:rsid w:val="00146C6A"/>
    <w:rsid w:val="00146ED8"/>
    <w:rsid w:val="0014750C"/>
    <w:rsid w:val="00147BAF"/>
    <w:rsid w:val="001506D1"/>
    <w:rsid w:val="00151EC7"/>
    <w:rsid w:val="00151F83"/>
    <w:rsid w:val="001521CC"/>
    <w:rsid w:val="00152372"/>
    <w:rsid w:val="00152A76"/>
    <w:rsid w:val="00152F54"/>
    <w:rsid w:val="001538AC"/>
    <w:rsid w:val="00154490"/>
    <w:rsid w:val="00154EB1"/>
    <w:rsid w:val="00155775"/>
    <w:rsid w:val="001560DF"/>
    <w:rsid w:val="00156370"/>
    <w:rsid w:val="00156923"/>
    <w:rsid w:val="00156A9F"/>
    <w:rsid w:val="00157811"/>
    <w:rsid w:val="0015794D"/>
    <w:rsid w:val="00161267"/>
    <w:rsid w:val="00161331"/>
    <w:rsid w:val="001622A5"/>
    <w:rsid w:val="001636B7"/>
    <w:rsid w:val="00163836"/>
    <w:rsid w:val="00163C8C"/>
    <w:rsid w:val="00164427"/>
    <w:rsid w:val="00164850"/>
    <w:rsid w:val="00164979"/>
    <w:rsid w:val="001652D8"/>
    <w:rsid w:val="00165F4E"/>
    <w:rsid w:val="00165F9D"/>
    <w:rsid w:val="00166730"/>
    <w:rsid w:val="001667CC"/>
    <w:rsid w:val="00166BF4"/>
    <w:rsid w:val="0016720F"/>
    <w:rsid w:val="00167D24"/>
    <w:rsid w:val="00167E99"/>
    <w:rsid w:val="0017094E"/>
    <w:rsid w:val="00171B24"/>
    <w:rsid w:val="00171BAD"/>
    <w:rsid w:val="00171CFE"/>
    <w:rsid w:val="0017219C"/>
    <w:rsid w:val="001723BE"/>
    <w:rsid w:val="0017339A"/>
    <w:rsid w:val="0017347D"/>
    <w:rsid w:val="0017357D"/>
    <w:rsid w:val="001736EA"/>
    <w:rsid w:val="001739AB"/>
    <w:rsid w:val="001739D7"/>
    <w:rsid w:val="00173CDE"/>
    <w:rsid w:val="00174ACB"/>
    <w:rsid w:val="00175C37"/>
    <w:rsid w:val="0017605B"/>
    <w:rsid w:val="00176A6D"/>
    <w:rsid w:val="0017753D"/>
    <w:rsid w:val="00177993"/>
    <w:rsid w:val="001779BE"/>
    <w:rsid w:val="00177A50"/>
    <w:rsid w:val="0018030A"/>
    <w:rsid w:val="00180343"/>
    <w:rsid w:val="001808B9"/>
    <w:rsid w:val="00180F8E"/>
    <w:rsid w:val="00181246"/>
    <w:rsid w:val="001814D8"/>
    <w:rsid w:val="00181C6D"/>
    <w:rsid w:val="00181CB6"/>
    <w:rsid w:val="00182ACB"/>
    <w:rsid w:val="00183E5B"/>
    <w:rsid w:val="00184209"/>
    <w:rsid w:val="00184FE5"/>
    <w:rsid w:val="001855AA"/>
    <w:rsid w:val="0018560E"/>
    <w:rsid w:val="00185CFA"/>
    <w:rsid w:val="00185F85"/>
    <w:rsid w:val="001863C7"/>
    <w:rsid w:val="001873DA"/>
    <w:rsid w:val="001878C2"/>
    <w:rsid w:val="00190237"/>
    <w:rsid w:val="001905B3"/>
    <w:rsid w:val="00190A40"/>
    <w:rsid w:val="00190FED"/>
    <w:rsid w:val="001912B6"/>
    <w:rsid w:val="00191C2D"/>
    <w:rsid w:val="00192342"/>
    <w:rsid w:val="00192569"/>
    <w:rsid w:val="001925A9"/>
    <w:rsid w:val="00192E72"/>
    <w:rsid w:val="00193431"/>
    <w:rsid w:val="0019353A"/>
    <w:rsid w:val="00193A06"/>
    <w:rsid w:val="001942DD"/>
    <w:rsid w:val="001947AF"/>
    <w:rsid w:val="00194929"/>
    <w:rsid w:val="00194A42"/>
    <w:rsid w:val="00194C1D"/>
    <w:rsid w:val="00195176"/>
    <w:rsid w:val="001952B2"/>
    <w:rsid w:val="00195304"/>
    <w:rsid w:val="0019543D"/>
    <w:rsid w:val="0019585A"/>
    <w:rsid w:val="00196437"/>
    <w:rsid w:val="00196682"/>
    <w:rsid w:val="0019671D"/>
    <w:rsid w:val="001967FE"/>
    <w:rsid w:val="00196811"/>
    <w:rsid w:val="0019738B"/>
    <w:rsid w:val="00197517"/>
    <w:rsid w:val="00197707"/>
    <w:rsid w:val="00197B4E"/>
    <w:rsid w:val="001A0E7A"/>
    <w:rsid w:val="001A0FF1"/>
    <w:rsid w:val="001A1473"/>
    <w:rsid w:val="001A15C0"/>
    <w:rsid w:val="001A271D"/>
    <w:rsid w:val="001A27E4"/>
    <w:rsid w:val="001A2DBF"/>
    <w:rsid w:val="001A3CD1"/>
    <w:rsid w:val="001A3D34"/>
    <w:rsid w:val="001A4399"/>
    <w:rsid w:val="001A45B1"/>
    <w:rsid w:val="001A4B17"/>
    <w:rsid w:val="001A4BED"/>
    <w:rsid w:val="001A4D68"/>
    <w:rsid w:val="001A4E15"/>
    <w:rsid w:val="001A6CE5"/>
    <w:rsid w:val="001A6DC5"/>
    <w:rsid w:val="001A70D4"/>
    <w:rsid w:val="001A73DA"/>
    <w:rsid w:val="001A74D0"/>
    <w:rsid w:val="001A7BE3"/>
    <w:rsid w:val="001A7D66"/>
    <w:rsid w:val="001A7E8F"/>
    <w:rsid w:val="001B04AF"/>
    <w:rsid w:val="001B073E"/>
    <w:rsid w:val="001B0B93"/>
    <w:rsid w:val="001B0C00"/>
    <w:rsid w:val="001B100C"/>
    <w:rsid w:val="001B1425"/>
    <w:rsid w:val="001B1BCB"/>
    <w:rsid w:val="001B28CB"/>
    <w:rsid w:val="001B28ED"/>
    <w:rsid w:val="001B2B18"/>
    <w:rsid w:val="001B34C4"/>
    <w:rsid w:val="001B3B02"/>
    <w:rsid w:val="001B3CA9"/>
    <w:rsid w:val="001B3FE2"/>
    <w:rsid w:val="001B64BC"/>
    <w:rsid w:val="001C0539"/>
    <w:rsid w:val="001C055A"/>
    <w:rsid w:val="001C0D7F"/>
    <w:rsid w:val="001C18E4"/>
    <w:rsid w:val="001C2915"/>
    <w:rsid w:val="001C2CCA"/>
    <w:rsid w:val="001C2CCD"/>
    <w:rsid w:val="001C2FC2"/>
    <w:rsid w:val="001C34A9"/>
    <w:rsid w:val="001C404E"/>
    <w:rsid w:val="001C474F"/>
    <w:rsid w:val="001C5610"/>
    <w:rsid w:val="001C5AF5"/>
    <w:rsid w:val="001C5FCB"/>
    <w:rsid w:val="001C6FBD"/>
    <w:rsid w:val="001C704B"/>
    <w:rsid w:val="001C7998"/>
    <w:rsid w:val="001D10B4"/>
    <w:rsid w:val="001D16E2"/>
    <w:rsid w:val="001D1BAE"/>
    <w:rsid w:val="001D23FB"/>
    <w:rsid w:val="001D299B"/>
    <w:rsid w:val="001D2D81"/>
    <w:rsid w:val="001D32D8"/>
    <w:rsid w:val="001D3612"/>
    <w:rsid w:val="001D3B08"/>
    <w:rsid w:val="001D48F3"/>
    <w:rsid w:val="001D49B8"/>
    <w:rsid w:val="001D4FA4"/>
    <w:rsid w:val="001D58CD"/>
    <w:rsid w:val="001D60B3"/>
    <w:rsid w:val="001D6789"/>
    <w:rsid w:val="001D6CA0"/>
    <w:rsid w:val="001D795B"/>
    <w:rsid w:val="001D79D5"/>
    <w:rsid w:val="001E057B"/>
    <w:rsid w:val="001E06CA"/>
    <w:rsid w:val="001E081E"/>
    <w:rsid w:val="001E08C6"/>
    <w:rsid w:val="001E1089"/>
    <w:rsid w:val="001E1A56"/>
    <w:rsid w:val="001E2785"/>
    <w:rsid w:val="001E28DB"/>
    <w:rsid w:val="001E2A61"/>
    <w:rsid w:val="001E2FB3"/>
    <w:rsid w:val="001E3079"/>
    <w:rsid w:val="001E308D"/>
    <w:rsid w:val="001E31ED"/>
    <w:rsid w:val="001E367A"/>
    <w:rsid w:val="001E36B2"/>
    <w:rsid w:val="001E3CD8"/>
    <w:rsid w:val="001E520D"/>
    <w:rsid w:val="001E55BC"/>
    <w:rsid w:val="001E5852"/>
    <w:rsid w:val="001E5F34"/>
    <w:rsid w:val="001E6D0D"/>
    <w:rsid w:val="001E73BB"/>
    <w:rsid w:val="001E79B7"/>
    <w:rsid w:val="001E7F8F"/>
    <w:rsid w:val="001F02A2"/>
    <w:rsid w:val="001F07E4"/>
    <w:rsid w:val="001F0879"/>
    <w:rsid w:val="001F0F32"/>
    <w:rsid w:val="001F11C2"/>
    <w:rsid w:val="001F141A"/>
    <w:rsid w:val="001F164B"/>
    <w:rsid w:val="001F1737"/>
    <w:rsid w:val="001F2F32"/>
    <w:rsid w:val="001F3582"/>
    <w:rsid w:val="001F3C57"/>
    <w:rsid w:val="001F3E41"/>
    <w:rsid w:val="001F4274"/>
    <w:rsid w:val="001F4478"/>
    <w:rsid w:val="001F46CB"/>
    <w:rsid w:val="001F4A50"/>
    <w:rsid w:val="001F4FC2"/>
    <w:rsid w:val="001F5500"/>
    <w:rsid w:val="001F61A4"/>
    <w:rsid w:val="001F628C"/>
    <w:rsid w:val="001F7C70"/>
    <w:rsid w:val="00200600"/>
    <w:rsid w:val="00200D22"/>
    <w:rsid w:val="00201032"/>
    <w:rsid w:val="00201189"/>
    <w:rsid w:val="00201549"/>
    <w:rsid w:val="002025F2"/>
    <w:rsid w:val="0020270D"/>
    <w:rsid w:val="00202A6C"/>
    <w:rsid w:val="00202CE5"/>
    <w:rsid w:val="0020309E"/>
    <w:rsid w:val="0020369C"/>
    <w:rsid w:val="002038E1"/>
    <w:rsid w:val="00203B79"/>
    <w:rsid w:val="00203C2D"/>
    <w:rsid w:val="00204033"/>
    <w:rsid w:val="002042DF"/>
    <w:rsid w:val="0020501A"/>
    <w:rsid w:val="0020506F"/>
    <w:rsid w:val="00206388"/>
    <w:rsid w:val="002064FB"/>
    <w:rsid w:val="00206F28"/>
    <w:rsid w:val="002071BE"/>
    <w:rsid w:val="00207C24"/>
    <w:rsid w:val="00207DDF"/>
    <w:rsid w:val="0021077A"/>
    <w:rsid w:val="002114BF"/>
    <w:rsid w:val="00212820"/>
    <w:rsid w:val="002128DF"/>
    <w:rsid w:val="00214649"/>
    <w:rsid w:val="0021481B"/>
    <w:rsid w:val="00214BD5"/>
    <w:rsid w:val="002150E5"/>
    <w:rsid w:val="002157D0"/>
    <w:rsid w:val="00215BC4"/>
    <w:rsid w:val="00215E84"/>
    <w:rsid w:val="0021611F"/>
    <w:rsid w:val="00216632"/>
    <w:rsid w:val="00216BBC"/>
    <w:rsid w:val="00216D13"/>
    <w:rsid w:val="00216DD3"/>
    <w:rsid w:val="00216FEE"/>
    <w:rsid w:val="00217045"/>
    <w:rsid w:val="00217138"/>
    <w:rsid w:val="002172F0"/>
    <w:rsid w:val="00217762"/>
    <w:rsid w:val="002177AD"/>
    <w:rsid w:val="002205C4"/>
    <w:rsid w:val="00220A72"/>
    <w:rsid w:val="00221007"/>
    <w:rsid w:val="0022160D"/>
    <w:rsid w:val="00221C53"/>
    <w:rsid w:val="00221D77"/>
    <w:rsid w:val="00222073"/>
    <w:rsid w:val="00222404"/>
    <w:rsid w:val="00222922"/>
    <w:rsid w:val="00222F68"/>
    <w:rsid w:val="002235D2"/>
    <w:rsid w:val="002236D2"/>
    <w:rsid w:val="002239F6"/>
    <w:rsid w:val="002246F1"/>
    <w:rsid w:val="002252D9"/>
    <w:rsid w:val="00225386"/>
    <w:rsid w:val="00225565"/>
    <w:rsid w:val="0022561B"/>
    <w:rsid w:val="00225768"/>
    <w:rsid w:val="00226573"/>
    <w:rsid w:val="00226991"/>
    <w:rsid w:val="00226C48"/>
    <w:rsid w:val="00227D47"/>
    <w:rsid w:val="00230888"/>
    <w:rsid w:val="00230A0D"/>
    <w:rsid w:val="00230F80"/>
    <w:rsid w:val="00231003"/>
    <w:rsid w:val="002315CD"/>
    <w:rsid w:val="002316CA"/>
    <w:rsid w:val="00231A56"/>
    <w:rsid w:val="00232014"/>
    <w:rsid w:val="002326F8"/>
    <w:rsid w:val="002328C4"/>
    <w:rsid w:val="00232B65"/>
    <w:rsid w:val="00232C08"/>
    <w:rsid w:val="002343A9"/>
    <w:rsid w:val="00234654"/>
    <w:rsid w:val="002348E6"/>
    <w:rsid w:val="002349FA"/>
    <w:rsid w:val="00234F05"/>
    <w:rsid w:val="00236E3B"/>
    <w:rsid w:val="002373CC"/>
    <w:rsid w:val="00237413"/>
    <w:rsid w:val="00237B3B"/>
    <w:rsid w:val="00240128"/>
    <w:rsid w:val="0024068B"/>
    <w:rsid w:val="00240A28"/>
    <w:rsid w:val="00241029"/>
    <w:rsid w:val="002413B2"/>
    <w:rsid w:val="002417C1"/>
    <w:rsid w:val="00241811"/>
    <w:rsid w:val="00242A3E"/>
    <w:rsid w:val="00242E3A"/>
    <w:rsid w:val="00243365"/>
    <w:rsid w:val="0024350B"/>
    <w:rsid w:val="00243A98"/>
    <w:rsid w:val="00243D28"/>
    <w:rsid w:val="00243F69"/>
    <w:rsid w:val="0024448F"/>
    <w:rsid w:val="002448E6"/>
    <w:rsid w:val="00244B8B"/>
    <w:rsid w:val="002453DC"/>
    <w:rsid w:val="0024632C"/>
    <w:rsid w:val="00246C17"/>
    <w:rsid w:val="00246D41"/>
    <w:rsid w:val="002470B1"/>
    <w:rsid w:val="00247864"/>
    <w:rsid w:val="00250CA6"/>
    <w:rsid w:val="00251123"/>
    <w:rsid w:val="00251E8A"/>
    <w:rsid w:val="00252157"/>
    <w:rsid w:val="00252175"/>
    <w:rsid w:val="00252820"/>
    <w:rsid w:val="00253B24"/>
    <w:rsid w:val="00253FBD"/>
    <w:rsid w:val="0025471E"/>
    <w:rsid w:val="00254C8A"/>
    <w:rsid w:val="00255277"/>
    <w:rsid w:val="00255573"/>
    <w:rsid w:val="00255752"/>
    <w:rsid w:val="00255D6F"/>
    <w:rsid w:val="0025626C"/>
    <w:rsid w:val="00256278"/>
    <w:rsid w:val="00256418"/>
    <w:rsid w:val="00257D48"/>
    <w:rsid w:val="0026028F"/>
    <w:rsid w:val="002603B9"/>
    <w:rsid w:val="0026043E"/>
    <w:rsid w:val="0026253A"/>
    <w:rsid w:val="00262746"/>
    <w:rsid w:val="002631EA"/>
    <w:rsid w:val="0026371B"/>
    <w:rsid w:val="002639DD"/>
    <w:rsid w:val="002644D8"/>
    <w:rsid w:val="002645D6"/>
    <w:rsid w:val="002645F2"/>
    <w:rsid w:val="00264B8A"/>
    <w:rsid w:val="002666D2"/>
    <w:rsid w:val="00266A19"/>
    <w:rsid w:val="00266EEB"/>
    <w:rsid w:val="00267469"/>
    <w:rsid w:val="002674A8"/>
    <w:rsid w:val="002703DC"/>
    <w:rsid w:val="00270AAA"/>
    <w:rsid w:val="00271246"/>
    <w:rsid w:val="002712BC"/>
    <w:rsid w:val="00271730"/>
    <w:rsid w:val="00271778"/>
    <w:rsid w:val="002718DA"/>
    <w:rsid w:val="00271CE9"/>
    <w:rsid w:val="00272D41"/>
    <w:rsid w:val="00273379"/>
    <w:rsid w:val="00273502"/>
    <w:rsid w:val="00273E79"/>
    <w:rsid w:val="00274104"/>
    <w:rsid w:val="0027427E"/>
    <w:rsid w:val="002742F4"/>
    <w:rsid w:val="002743EF"/>
    <w:rsid w:val="00274756"/>
    <w:rsid w:val="002749BC"/>
    <w:rsid w:val="00274A36"/>
    <w:rsid w:val="0027560C"/>
    <w:rsid w:val="00276080"/>
    <w:rsid w:val="002769A3"/>
    <w:rsid w:val="00276F85"/>
    <w:rsid w:val="00277328"/>
    <w:rsid w:val="00277628"/>
    <w:rsid w:val="00277D95"/>
    <w:rsid w:val="00277E76"/>
    <w:rsid w:val="00280B3D"/>
    <w:rsid w:val="00281234"/>
    <w:rsid w:val="0028147D"/>
    <w:rsid w:val="00281949"/>
    <w:rsid w:val="0028224B"/>
    <w:rsid w:val="00282E02"/>
    <w:rsid w:val="0028387E"/>
    <w:rsid w:val="00283B75"/>
    <w:rsid w:val="00283D8A"/>
    <w:rsid w:val="00284406"/>
    <w:rsid w:val="0028465B"/>
    <w:rsid w:val="00284C89"/>
    <w:rsid w:val="00285068"/>
    <w:rsid w:val="002855BF"/>
    <w:rsid w:val="002857D2"/>
    <w:rsid w:val="002863BB"/>
    <w:rsid w:val="00287AF5"/>
    <w:rsid w:val="00287ECB"/>
    <w:rsid w:val="00290B61"/>
    <w:rsid w:val="00290D49"/>
    <w:rsid w:val="00290EC4"/>
    <w:rsid w:val="00290F48"/>
    <w:rsid w:val="0029218B"/>
    <w:rsid w:val="00292213"/>
    <w:rsid w:val="00292388"/>
    <w:rsid w:val="00292B0B"/>
    <w:rsid w:val="00292C13"/>
    <w:rsid w:val="00292FC9"/>
    <w:rsid w:val="00293445"/>
    <w:rsid w:val="00293540"/>
    <w:rsid w:val="002935F6"/>
    <w:rsid w:val="00293AC0"/>
    <w:rsid w:val="00293EC4"/>
    <w:rsid w:val="00294966"/>
    <w:rsid w:val="00294AA8"/>
    <w:rsid w:val="002958FD"/>
    <w:rsid w:val="00295B40"/>
    <w:rsid w:val="0029650B"/>
    <w:rsid w:val="00296FBB"/>
    <w:rsid w:val="002970D5"/>
    <w:rsid w:val="002971F4"/>
    <w:rsid w:val="002974C5"/>
    <w:rsid w:val="002A030F"/>
    <w:rsid w:val="002A04AF"/>
    <w:rsid w:val="002A1116"/>
    <w:rsid w:val="002A125F"/>
    <w:rsid w:val="002A1DB5"/>
    <w:rsid w:val="002A1EE4"/>
    <w:rsid w:val="002A228E"/>
    <w:rsid w:val="002A2382"/>
    <w:rsid w:val="002A2EA9"/>
    <w:rsid w:val="002A3601"/>
    <w:rsid w:val="002A3EC2"/>
    <w:rsid w:val="002A3EE5"/>
    <w:rsid w:val="002A45D5"/>
    <w:rsid w:val="002A48E4"/>
    <w:rsid w:val="002A597A"/>
    <w:rsid w:val="002A59BE"/>
    <w:rsid w:val="002A5A1E"/>
    <w:rsid w:val="002A5F53"/>
    <w:rsid w:val="002A5F6D"/>
    <w:rsid w:val="002A681B"/>
    <w:rsid w:val="002A6BD9"/>
    <w:rsid w:val="002A75A5"/>
    <w:rsid w:val="002A78EF"/>
    <w:rsid w:val="002A7C40"/>
    <w:rsid w:val="002A7E09"/>
    <w:rsid w:val="002B0298"/>
    <w:rsid w:val="002B031C"/>
    <w:rsid w:val="002B032B"/>
    <w:rsid w:val="002B0AFC"/>
    <w:rsid w:val="002B0B61"/>
    <w:rsid w:val="002B2020"/>
    <w:rsid w:val="002B2813"/>
    <w:rsid w:val="002B2B89"/>
    <w:rsid w:val="002B2C8F"/>
    <w:rsid w:val="002B2E6B"/>
    <w:rsid w:val="002B3055"/>
    <w:rsid w:val="002B34B3"/>
    <w:rsid w:val="002B3F0A"/>
    <w:rsid w:val="002B421E"/>
    <w:rsid w:val="002B469D"/>
    <w:rsid w:val="002B51DD"/>
    <w:rsid w:val="002B545C"/>
    <w:rsid w:val="002B591A"/>
    <w:rsid w:val="002B598E"/>
    <w:rsid w:val="002B59A6"/>
    <w:rsid w:val="002B6098"/>
    <w:rsid w:val="002B651C"/>
    <w:rsid w:val="002B677D"/>
    <w:rsid w:val="002B7BFA"/>
    <w:rsid w:val="002B7E62"/>
    <w:rsid w:val="002C00EC"/>
    <w:rsid w:val="002C08D7"/>
    <w:rsid w:val="002C1188"/>
    <w:rsid w:val="002C11F4"/>
    <w:rsid w:val="002C1591"/>
    <w:rsid w:val="002C180D"/>
    <w:rsid w:val="002C1959"/>
    <w:rsid w:val="002C1D97"/>
    <w:rsid w:val="002C1EA1"/>
    <w:rsid w:val="002C2BE9"/>
    <w:rsid w:val="002C34CC"/>
    <w:rsid w:val="002C34E2"/>
    <w:rsid w:val="002C3596"/>
    <w:rsid w:val="002C3C7A"/>
    <w:rsid w:val="002C41EA"/>
    <w:rsid w:val="002C422C"/>
    <w:rsid w:val="002C4EE0"/>
    <w:rsid w:val="002C4F39"/>
    <w:rsid w:val="002C51EA"/>
    <w:rsid w:val="002C5E2D"/>
    <w:rsid w:val="002C5EE7"/>
    <w:rsid w:val="002C6829"/>
    <w:rsid w:val="002C6834"/>
    <w:rsid w:val="002C6E6A"/>
    <w:rsid w:val="002C6FF4"/>
    <w:rsid w:val="002C703C"/>
    <w:rsid w:val="002C743B"/>
    <w:rsid w:val="002C780C"/>
    <w:rsid w:val="002C79EE"/>
    <w:rsid w:val="002C7B77"/>
    <w:rsid w:val="002D0160"/>
    <w:rsid w:val="002D0515"/>
    <w:rsid w:val="002D08BC"/>
    <w:rsid w:val="002D1915"/>
    <w:rsid w:val="002D25ED"/>
    <w:rsid w:val="002D2946"/>
    <w:rsid w:val="002D2DB5"/>
    <w:rsid w:val="002D372E"/>
    <w:rsid w:val="002D3790"/>
    <w:rsid w:val="002D383E"/>
    <w:rsid w:val="002D388D"/>
    <w:rsid w:val="002D3C6E"/>
    <w:rsid w:val="002D435A"/>
    <w:rsid w:val="002D5243"/>
    <w:rsid w:val="002D5612"/>
    <w:rsid w:val="002D56F2"/>
    <w:rsid w:val="002D5989"/>
    <w:rsid w:val="002D6638"/>
    <w:rsid w:val="002D6EBE"/>
    <w:rsid w:val="002D6EC0"/>
    <w:rsid w:val="002D6FB6"/>
    <w:rsid w:val="002D732D"/>
    <w:rsid w:val="002D7707"/>
    <w:rsid w:val="002E00DC"/>
    <w:rsid w:val="002E09CD"/>
    <w:rsid w:val="002E0FBA"/>
    <w:rsid w:val="002E0FBC"/>
    <w:rsid w:val="002E1D96"/>
    <w:rsid w:val="002E21D9"/>
    <w:rsid w:val="002E2575"/>
    <w:rsid w:val="002E294F"/>
    <w:rsid w:val="002E34E7"/>
    <w:rsid w:val="002E3543"/>
    <w:rsid w:val="002E3B97"/>
    <w:rsid w:val="002E3E37"/>
    <w:rsid w:val="002E3FBE"/>
    <w:rsid w:val="002E5251"/>
    <w:rsid w:val="002E6DE3"/>
    <w:rsid w:val="002E76B1"/>
    <w:rsid w:val="002E7FEE"/>
    <w:rsid w:val="002F05A8"/>
    <w:rsid w:val="002F05E3"/>
    <w:rsid w:val="002F0830"/>
    <w:rsid w:val="002F0926"/>
    <w:rsid w:val="002F0A8F"/>
    <w:rsid w:val="002F1342"/>
    <w:rsid w:val="002F18B7"/>
    <w:rsid w:val="002F18E3"/>
    <w:rsid w:val="002F1961"/>
    <w:rsid w:val="002F1A83"/>
    <w:rsid w:val="002F1CBF"/>
    <w:rsid w:val="002F2BE7"/>
    <w:rsid w:val="002F2BED"/>
    <w:rsid w:val="002F2EFF"/>
    <w:rsid w:val="002F30C9"/>
    <w:rsid w:val="002F3146"/>
    <w:rsid w:val="002F3478"/>
    <w:rsid w:val="002F3B39"/>
    <w:rsid w:val="002F457A"/>
    <w:rsid w:val="002F5483"/>
    <w:rsid w:val="002F59CB"/>
    <w:rsid w:val="002F5FE4"/>
    <w:rsid w:val="002F6070"/>
    <w:rsid w:val="002F66CA"/>
    <w:rsid w:val="002F6ADE"/>
    <w:rsid w:val="002F75AE"/>
    <w:rsid w:val="002F768F"/>
    <w:rsid w:val="002F7F40"/>
    <w:rsid w:val="00300252"/>
    <w:rsid w:val="003005AA"/>
    <w:rsid w:val="003007A4"/>
    <w:rsid w:val="00300C2C"/>
    <w:rsid w:val="00300DDC"/>
    <w:rsid w:val="003014EB"/>
    <w:rsid w:val="0030174B"/>
    <w:rsid w:val="00301DA0"/>
    <w:rsid w:val="00302252"/>
    <w:rsid w:val="00302331"/>
    <w:rsid w:val="003024B8"/>
    <w:rsid w:val="00302DD5"/>
    <w:rsid w:val="0030387B"/>
    <w:rsid w:val="003040BE"/>
    <w:rsid w:val="00305027"/>
    <w:rsid w:val="003051D1"/>
    <w:rsid w:val="00305864"/>
    <w:rsid w:val="00307296"/>
    <w:rsid w:val="00307BE0"/>
    <w:rsid w:val="00307EF3"/>
    <w:rsid w:val="00310545"/>
    <w:rsid w:val="0031068F"/>
    <w:rsid w:val="003112B4"/>
    <w:rsid w:val="00311365"/>
    <w:rsid w:val="003113DB"/>
    <w:rsid w:val="00311FF3"/>
    <w:rsid w:val="00312143"/>
    <w:rsid w:val="00312583"/>
    <w:rsid w:val="0031476B"/>
    <w:rsid w:val="00314CCB"/>
    <w:rsid w:val="00314FF4"/>
    <w:rsid w:val="00316A4C"/>
    <w:rsid w:val="00316F92"/>
    <w:rsid w:val="00317193"/>
    <w:rsid w:val="00317376"/>
    <w:rsid w:val="0031776A"/>
    <w:rsid w:val="00317B9D"/>
    <w:rsid w:val="00320231"/>
    <w:rsid w:val="003205D6"/>
    <w:rsid w:val="00320691"/>
    <w:rsid w:val="00320CD0"/>
    <w:rsid w:val="00320ECA"/>
    <w:rsid w:val="0032121E"/>
    <w:rsid w:val="0032194A"/>
    <w:rsid w:val="0032245A"/>
    <w:rsid w:val="0032280C"/>
    <w:rsid w:val="00323779"/>
    <w:rsid w:val="00323821"/>
    <w:rsid w:val="00324081"/>
    <w:rsid w:val="003249E7"/>
    <w:rsid w:val="00325200"/>
    <w:rsid w:val="0032623F"/>
    <w:rsid w:val="0032719D"/>
    <w:rsid w:val="00327566"/>
    <w:rsid w:val="003278E1"/>
    <w:rsid w:val="00327AB7"/>
    <w:rsid w:val="00330B2E"/>
    <w:rsid w:val="003318F5"/>
    <w:rsid w:val="00331A53"/>
    <w:rsid w:val="00331D16"/>
    <w:rsid w:val="00333CA8"/>
    <w:rsid w:val="00334F4C"/>
    <w:rsid w:val="00334FBF"/>
    <w:rsid w:val="0033507A"/>
    <w:rsid w:val="003350F3"/>
    <w:rsid w:val="00335221"/>
    <w:rsid w:val="003354C9"/>
    <w:rsid w:val="003356EE"/>
    <w:rsid w:val="0033618D"/>
    <w:rsid w:val="00336D61"/>
    <w:rsid w:val="00336E51"/>
    <w:rsid w:val="00337083"/>
    <w:rsid w:val="003379B4"/>
    <w:rsid w:val="00337F69"/>
    <w:rsid w:val="0034016E"/>
    <w:rsid w:val="00340329"/>
    <w:rsid w:val="00341142"/>
    <w:rsid w:val="00341180"/>
    <w:rsid w:val="00341220"/>
    <w:rsid w:val="00341239"/>
    <w:rsid w:val="00341E74"/>
    <w:rsid w:val="0034223D"/>
    <w:rsid w:val="00342900"/>
    <w:rsid w:val="00342EFB"/>
    <w:rsid w:val="00343A09"/>
    <w:rsid w:val="00343F80"/>
    <w:rsid w:val="0034406D"/>
    <w:rsid w:val="00344ABA"/>
    <w:rsid w:val="00344CD7"/>
    <w:rsid w:val="00344CE4"/>
    <w:rsid w:val="00344FA1"/>
    <w:rsid w:val="003450F1"/>
    <w:rsid w:val="003451DA"/>
    <w:rsid w:val="00345260"/>
    <w:rsid w:val="0034532F"/>
    <w:rsid w:val="00345DD3"/>
    <w:rsid w:val="00345ECE"/>
    <w:rsid w:val="00345F6B"/>
    <w:rsid w:val="003462A5"/>
    <w:rsid w:val="003469E9"/>
    <w:rsid w:val="00347268"/>
    <w:rsid w:val="003476B7"/>
    <w:rsid w:val="00347AB3"/>
    <w:rsid w:val="00350306"/>
    <w:rsid w:val="00350B07"/>
    <w:rsid w:val="003511D8"/>
    <w:rsid w:val="003511E2"/>
    <w:rsid w:val="00351593"/>
    <w:rsid w:val="00352A3F"/>
    <w:rsid w:val="0035390D"/>
    <w:rsid w:val="0035394B"/>
    <w:rsid w:val="003540BA"/>
    <w:rsid w:val="003546AE"/>
    <w:rsid w:val="00354C50"/>
    <w:rsid w:val="00354D53"/>
    <w:rsid w:val="00354E34"/>
    <w:rsid w:val="00355558"/>
    <w:rsid w:val="00355BCB"/>
    <w:rsid w:val="003569DE"/>
    <w:rsid w:val="003569F4"/>
    <w:rsid w:val="00356ECB"/>
    <w:rsid w:val="003572EC"/>
    <w:rsid w:val="0035785E"/>
    <w:rsid w:val="00357991"/>
    <w:rsid w:val="00360733"/>
    <w:rsid w:val="00360DC0"/>
    <w:rsid w:val="0036104F"/>
    <w:rsid w:val="003616A6"/>
    <w:rsid w:val="00361877"/>
    <w:rsid w:val="003622F8"/>
    <w:rsid w:val="0036255B"/>
    <w:rsid w:val="00362AD8"/>
    <w:rsid w:val="00362E10"/>
    <w:rsid w:val="00363533"/>
    <w:rsid w:val="00363DA5"/>
    <w:rsid w:val="00363FDA"/>
    <w:rsid w:val="00364432"/>
    <w:rsid w:val="00364740"/>
    <w:rsid w:val="00364785"/>
    <w:rsid w:val="0036488E"/>
    <w:rsid w:val="00364B93"/>
    <w:rsid w:val="0036573C"/>
    <w:rsid w:val="00365833"/>
    <w:rsid w:val="0036590A"/>
    <w:rsid w:val="00365CE9"/>
    <w:rsid w:val="00365D3E"/>
    <w:rsid w:val="0036629E"/>
    <w:rsid w:val="003664F2"/>
    <w:rsid w:val="003665D2"/>
    <w:rsid w:val="00370091"/>
    <w:rsid w:val="00370840"/>
    <w:rsid w:val="00371749"/>
    <w:rsid w:val="003721FC"/>
    <w:rsid w:val="00372934"/>
    <w:rsid w:val="00372CA4"/>
    <w:rsid w:val="00372D3C"/>
    <w:rsid w:val="00373209"/>
    <w:rsid w:val="00373C3B"/>
    <w:rsid w:val="00374C09"/>
    <w:rsid w:val="003753D0"/>
    <w:rsid w:val="00376106"/>
    <w:rsid w:val="00376568"/>
    <w:rsid w:val="003767AA"/>
    <w:rsid w:val="00376E49"/>
    <w:rsid w:val="00377B4F"/>
    <w:rsid w:val="00377CDD"/>
    <w:rsid w:val="003808AD"/>
    <w:rsid w:val="0038102C"/>
    <w:rsid w:val="00381402"/>
    <w:rsid w:val="00381490"/>
    <w:rsid w:val="00381EE0"/>
    <w:rsid w:val="003829C1"/>
    <w:rsid w:val="00382B6D"/>
    <w:rsid w:val="00383150"/>
    <w:rsid w:val="0038343B"/>
    <w:rsid w:val="00383ED6"/>
    <w:rsid w:val="00384A6C"/>
    <w:rsid w:val="00384B75"/>
    <w:rsid w:val="00384C51"/>
    <w:rsid w:val="003856B7"/>
    <w:rsid w:val="00385808"/>
    <w:rsid w:val="003858F2"/>
    <w:rsid w:val="00385C65"/>
    <w:rsid w:val="00385CF3"/>
    <w:rsid w:val="003860EF"/>
    <w:rsid w:val="00387504"/>
    <w:rsid w:val="00387DCF"/>
    <w:rsid w:val="00387DFD"/>
    <w:rsid w:val="003907FD"/>
    <w:rsid w:val="00391B79"/>
    <w:rsid w:val="00391E73"/>
    <w:rsid w:val="0039270F"/>
    <w:rsid w:val="00392802"/>
    <w:rsid w:val="00392819"/>
    <w:rsid w:val="00393457"/>
    <w:rsid w:val="00393539"/>
    <w:rsid w:val="003937BE"/>
    <w:rsid w:val="0039464A"/>
    <w:rsid w:val="003947DE"/>
    <w:rsid w:val="003947F3"/>
    <w:rsid w:val="00395076"/>
    <w:rsid w:val="003951A7"/>
    <w:rsid w:val="00395E25"/>
    <w:rsid w:val="00396330"/>
    <w:rsid w:val="00396677"/>
    <w:rsid w:val="00396693"/>
    <w:rsid w:val="003969AA"/>
    <w:rsid w:val="00396B07"/>
    <w:rsid w:val="00396C78"/>
    <w:rsid w:val="00396FAA"/>
    <w:rsid w:val="003A0440"/>
    <w:rsid w:val="003A1257"/>
    <w:rsid w:val="003A1736"/>
    <w:rsid w:val="003A1765"/>
    <w:rsid w:val="003A1F59"/>
    <w:rsid w:val="003A2715"/>
    <w:rsid w:val="003A312B"/>
    <w:rsid w:val="003A3269"/>
    <w:rsid w:val="003A379C"/>
    <w:rsid w:val="003A39D3"/>
    <w:rsid w:val="003A3FB8"/>
    <w:rsid w:val="003A5E20"/>
    <w:rsid w:val="003A6438"/>
    <w:rsid w:val="003A648C"/>
    <w:rsid w:val="003A6FC2"/>
    <w:rsid w:val="003A7D2B"/>
    <w:rsid w:val="003B0137"/>
    <w:rsid w:val="003B0269"/>
    <w:rsid w:val="003B02D7"/>
    <w:rsid w:val="003B03DE"/>
    <w:rsid w:val="003B0582"/>
    <w:rsid w:val="003B07DC"/>
    <w:rsid w:val="003B147B"/>
    <w:rsid w:val="003B1B21"/>
    <w:rsid w:val="003B210C"/>
    <w:rsid w:val="003B252D"/>
    <w:rsid w:val="003B28B2"/>
    <w:rsid w:val="003B29CE"/>
    <w:rsid w:val="003B2C75"/>
    <w:rsid w:val="003B2F3B"/>
    <w:rsid w:val="003B30BC"/>
    <w:rsid w:val="003B34D1"/>
    <w:rsid w:val="003B3772"/>
    <w:rsid w:val="003B3C08"/>
    <w:rsid w:val="003B3C43"/>
    <w:rsid w:val="003B4627"/>
    <w:rsid w:val="003B4760"/>
    <w:rsid w:val="003B4A92"/>
    <w:rsid w:val="003B4EB1"/>
    <w:rsid w:val="003B4F78"/>
    <w:rsid w:val="003B5D15"/>
    <w:rsid w:val="003B5D48"/>
    <w:rsid w:val="003B615C"/>
    <w:rsid w:val="003B641E"/>
    <w:rsid w:val="003B69FA"/>
    <w:rsid w:val="003B6ED7"/>
    <w:rsid w:val="003B7347"/>
    <w:rsid w:val="003B7AB4"/>
    <w:rsid w:val="003C033C"/>
    <w:rsid w:val="003C0BE4"/>
    <w:rsid w:val="003C0E89"/>
    <w:rsid w:val="003C1A32"/>
    <w:rsid w:val="003C1C8B"/>
    <w:rsid w:val="003C1F19"/>
    <w:rsid w:val="003C1FD7"/>
    <w:rsid w:val="003C23DD"/>
    <w:rsid w:val="003C3156"/>
    <w:rsid w:val="003C3AC4"/>
    <w:rsid w:val="003C3DE1"/>
    <w:rsid w:val="003C47B0"/>
    <w:rsid w:val="003C4893"/>
    <w:rsid w:val="003C48B7"/>
    <w:rsid w:val="003C4E11"/>
    <w:rsid w:val="003C5F19"/>
    <w:rsid w:val="003C611E"/>
    <w:rsid w:val="003C717E"/>
    <w:rsid w:val="003C742B"/>
    <w:rsid w:val="003C7508"/>
    <w:rsid w:val="003C7FC7"/>
    <w:rsid w:val="003D020C"/>
    <w:rsid w:val="003D04F3"/>
    <w:rsid w:val="003D1139"/>
    <w:rsid w:val="003D2567"/>
    <w:rsid w:val="003D2831"/>
    <w:rsid w:val="003D283A"/>
    <w:rsid w:val="003D2CDA"/>
    <w:rsid w:val="003D3C22"/>
    <w:rsid w:val="003D3CB7"/>
    <w:rsid w:val="003D4C91"/>
    <w:rsid w:val="003D4DB8"/>
    <w:rsid w:val="003D502A"/>
    <w:rsid w:val="003D5878"/>
    <w:rsid w:val="003D58B1"/>
    <w:rsid w:val="003D58CE"/>
    <w:rsid w:val="003D6577"/>
    <w:rsid w:val="003D7F79"/>
    <w:rsid w:val="003E0D9F"/>
    <w:rsid w:val="003E11B9"/>
    <w:rsid w:val="003E18F3"/>
    <w:rsid w:val="003E19A6"/>
    <w:rsid w:val="003E2418"/>
    <w:rsid w:val="003E2876"/>
    <w:rsid w:val="003E2B59"/>
    <w:rsid w:val="003E2C63"/>
    <w:rsid w:val="003E3735"/>
    <w:rsid w:val="003E3B40"/>
    <w:rsid w:val="003E4422"/>
    <w:rsid w:val="003E4AC1"/>
    <w:rsid w:val="003E7F65"/>
    <w:rsid w:val="003E7FA2"/>
    <w:rsid w:val="003F05FF"/>
    <w:rsid w:val="003F0BCE"/>
    <w:rsid w:val="003F0BE6"/>
    <w:rsid w:val="003F14F1"/>
    <w:rsid w:val="003F1F8D"/>
    <w:rsid w:val="003F222B"/>
    <w:rsid w:val="003F265D"/>
    <w:rsid w:val="003F2B0B"/>
    <w:rsid w:val="003F34CB"/>
    <w:rsid w:val="003F36E4"/>
    <w:rsid w:val="003F38CD"/>
    <w:rsid w:val="003F3D55"/>
    <w:rsid w:val="003F41E4"/>
    <w:rsid w:val="003F4248"/>
    <w:rsid w:val="003F5020"/>
    <w:rsid w:val="003F570F"/>
    <w:rsid w:val="003F6686"/>
    <w:rsid w:val="003F7432"/>
    <w:rsid w:val="003F7433"/>
    <w:rsid w:val="003F7BE4"/>
    <w:rsid w:val="003F7D12"/>
    <w:rsid w:val="003F7FB3"/>
    <w:rsid w:val="00400210"/>
    <w:rsid w:val="00400367"/>
    <w:rsid w:val="004007AA"/>
    <w:rsid w:val="00400CA6"/>
    <w:rsid w:val="004032C3"/>
    <w:rsid w:val="00403318"/>
    <w:rsid w:val="004036E2"/>
    <w:rsid w:val="00403772"/>
    <w:rsid w:val="00403F05"/>
    <w:rsid w:val="004040B7"/>
    <w:rsid w:val="00404878"/>
    <w:rsid w:val="00404A5E"/>
    <w:rsid w:val="00404CAD"/>
    <w:rsid w:val="0040502B"/>
    <w:rsid w:val="004056B4"/>
    <w:rsid w:val="00405796"/>
    <w:rsid w:val="00405B89"/>
    <w:rsid w:val="00405C34"/>
    <w:rsid w:val="004060CE"/>
    <w:rsid w:val="004065E3"/>
    <w:rsid w:val="00407812"/>
    <w:rsid w:val="0040789F"/>
    <w:rsid w:val="00407A6A"/>
    <w:rsid w:val="0041046D"/>
    <w:rsid w:val="00410752"/>
    <w:rsid w:val="0041076C"/>
    <w:rsid w:val="00410D69"/>
    <w:rsid w:val="00410DF6"/>
    <w:rsid w:val="00410F12"/>
    <w:rsid w:val="00412EB8"/>
    <w:rsid w:val="00412F80"/>
    <w:rsid w:val="004132E9"/>
    <w:rsid w:val="0041353F"/>
    <w:rsid w:val="00413C88"/>
    <w:rsid w:val="00413F4F"/>
    <w:rsid w:val="00414AA9"/>
    <w:rsid w:val="00414E46"/>
    <w:rsid w:val="00415115"/>
    <w:rsid w:val="004170F5"/>
    <w:rsid w:val="00417898"/>
    <w:rsid w:val="00417F65"/>
    <w:rsid w:val="0042084A"/>
    <w:rsid w:val="00420BA0"/>
    <w:rsid w:val="00420D11"/>
    <w:rsid w:val="00421322"/>
    <w:rsid w:val="0042164B"/>
    <w:rsid w:val="0042172B"/>
    <w:rsid w:val="0042212E"/>
    <w:rsid w:val="004221C8"/>
    <w:rsid w:val="004232A7"/>
    <w:rsid w:val="00423DA2"/>
    <w:rsid w:val="00424A61"/>
    <w:rsid w:val="00424BE9"/>
    <w:rsid w:val="00424FD9"/>
    <w:rsid w:val="00425442"/>
    <w:rsid w:val="00425548"/>
    <w:rsid w:val="0042582E"/>
    <w:rsid w:val="004258CA"/>
    <w:rsid w:val="00425E3D"/>
    <w:rsid w:val="00426341"/>
    <w:rsid w:val="00426CEB"/>
    <w:rsid w:val="0042724E"/>
    <w:rsid w:val="004306F9"/>
    <w:rsid w:val="00430A3E"/>
    <w:rsid w:val="00431273"/>
    <w:rsid w:val="0043179D"/>
    <w:rsid w:val="00431881"/>
    <w:rsid w:val="00431D07"/>
    <w:rsid w:val="0043235D"/>
    <w:rsid w:val="004324A1"/>
    <w:rsid w:val="004333C7"/>
    <w:rsid w:val="004343DC"/>
    <w:rsid w:val="00434E89"/>
    <w:rsid w:val="004351D7"/>
    <w:rsid w:val="00435D3A"/>
    <w:rsid w:val="00435DAC"/>
    <w:rsid w:val="004364B5"/>
    <w:rsid w:val="004370B5"/>
    <w:rsid w:val="00437929"/>
    <w:rsid w:val="00437E59"/>
    <w:rsid w:val="004404B6"/>
    <w:rsid w:val="004406F3"/>
    <w:rsid w:val="00440BEF"/>
    <w:rsid w:val="0044168B"/>
    <w:rsid w:val="004419E7"/>
    <w:rsid w:val="00441AF2"/>
    <w:rsid w:val="00441D57"/>
    <w:rsid w:val="004422A7"/>
    <w:rsid w:val="00442B70"/>
    <w:rsid w:val="0044317D"/>
    <w:rsid w:val="004432CC"/>
    <w:rsid w:val="004436EB"/>
    <w:rsid w:val="0044397D"/>
    <w:rsid w:val="00443B43"/>
    <w:rsid w:val="00443CE7"/>
    <w:rsid w:val="00443D49"/>
    <w:rsid w:val="0044465B"/>
    <w:rsid w:val="004455EA"/>
    <w:rsid w:val="00445B37"/>
    <w:rsid w:val="00446664"/>
    <w:rsid w:val="00446A71"/>
    <w:rsid w:val="00447381"/>
    <w:rsid w:val="004473C3"/>
    <w:rsid w:val="004477FE"/>
    <w:rsid w:val="00447954"/>
    <w:rsid w:val="00447ABD"/>
    <w:rsid w:val="00447BF5"/>
    <w:rsid w:val="004500C7"/>
    <w:rsid w:val="0045052E"/>
    <w:rsid w:val="00450B29"/>
    <w:rsid w:val="0045144A"/>
    <w:rsid w:val="004518D1"/>
    <w:rsid w:val="004525EB"/>
    <w:rsid w:val="00452B3B"/>
    <w:rsid w:val="0045319D"/>
    <w:rsid w:val="004535EF"/>
    <w:rsid w:val="0045453E"/>
    <w:rsid w:val="00455881"/>
    <w:rsid w:val="00456EF6"/>
    <w:rsid w:val="0045723F"/>
    <w:rsid w:val="00457628"/>
    <w:rsid w:val="0046086A"/>
    <w:rsid w:val="004617F0"/>
    <w:rsid w:val="00461982"/>
    <w:rsid w:val="0046245C"/>
    <w:rsid w:val="004626FD"/>
    <w:rsid w:val="0046293F"/>
    <w:rsid w:val="00462AFE"/>
    <w:rsid w:val="00462FFF"/>
    <w:rsid w:val="00464212"/>
    <w:rsid w:val="00464393"/>
    <w:rsid w:val="0046484A"/>
    <w:rsid w:val="004652D5"/>
    <w:rsid w:val="00465875"/>
    <w:rsid w:val="00465C1B"/>
    <w:rsid w:val="00465F6D"/>
    <w:rsid w:val="004666F5"/>
    <w:rsid w:val="0046681E"/>
    <w:rsid w:val="0046692C"/>
    <w:rsid w:val="00466E8F"/>
    <w:rsid w:val="00467372"/>
    <w:rsid w:val="0046755B"/>
    <w:rsid w:val="00467E77"/>
    <w:rsid w:val="0047179D"/>
    <w:rsid w:val="00472840"/>
    <w:rsid w:val="00472935"/>
    <w:rsid w:val="0047334C"/>
    <w:rsid w:val="00473AF3"/>
    <w:rsid w:val="00473CBB"/>
    <w:rsid w:val="00474151"/>
    <w:rsid w:val="004744D8"/>
    <w:rsid w:val="00474AB9"/>
    <w:rsid w:val="00474F24"/>
    <w:rsid w:val="00475318"/>
    <w:rsid w:val="00475515"/>
    <w:rsid w:val="004755C5"/>
    <w:rsid w:val="00475609"/>
    <w:rsid w:val="004756D9"/>
    <w:rsid w:val="004759AC"/>
    <w:rsid w:val="00475F32"/>
    <w:rsid w:val="0047633D"/>
    <w:rsid w:val="00476438"/>
    <w:rsid w:val="0047684B"/>
    <w:rsid w:val="00476A76"/>
    <w:rsid w:val="00476D35"/>
    <w:rsid w:val="00477107"/>
    <w:rsid w:val="004772F2"/>
    <w:rsid w:val="004772F9"/>
    <w:rsid w:val="00477A6B"/>
    <w:rsid w:val="00477AEF"/>
    <w:rsid w:val="00477CEB"/>
    <w:rsid w:val="004808AE"/>
    <w:rsid w:val="00481547"/>
    <w:rsid w:val="0048186C"/>
    <w:rsid w:val="00481B8E"/>
    <w:rsid w:val="00483286"/>
    <w:rsid w:val="0048377C"/>
    <w:rsid w:val="00485352"/>
    <w:rsid w:val="00485502"/>
    <w:rsid w:val="004862B4"/>
    <w:rsid w:val="00486333"/>
    <w:rsid w:val="00486ED1"/>
    <w:rsid w:val="0049036F"/>
    <w:rsid w:val="00490D97"/>
    <w:rsid w:val="00490E0D"/>
    <w:rsid w:val="004924E7"/>
    <w:rsid w:val="004924EF"/>
    <w:rsid w:val="004925FE"/>
    <w:rsid w:val="00492724"/>
    <w:rsid w:val="00494F6C"/>
    <w:rsid w:val="004959B9"/>
    <w:rsid w:val="00495F6E"/>
    <w:rsid w:val="0049635B"/>
    <w:rsid w:val="00496B86"/>
    <w:rsid w:val="00496F8B"/>
    <w:rsid w:val="00497500"/>
    <w:rsid w:val="0049759F"/>
    <w:rsid w:val="00497713"/>
    <w:rsid w:val="00497C50"/>
    <w:rsid w:val="00497E7D"/>
    <w:rsid w:val="004A0BA7"/>
    <w:rsid w:val="004A1065"/>
    <w:rsid w:val="004A1432"/>
    <w:rsid w:val="004A1E2B"/>
    <w:rsid w:val="004A2DD4"/>
    <w:rsid w:val="004A2F28"/>
    <w:rsid w:val="004A32F1"/>
    <w:rsid w:val="004A3770"/>
    <w:rsid w:val="004A37C1"/>
    <w:rsid w:val="004A419B"/>
    <w:rsid w:val="004A46C8"/>
    <w:rsid w:val="004A4BAD"/>
    <w:rsid w:val="004A4BF7"/>
    <w:rsid w:val="004A4DEB"/>
    <w:rsid w:val="004A567A"/>
    <w:rsid w:val="004A58B7"/>
    <w:rsid w:val="004A5C44"/>
    <w:rsid w:val="004A606B"/>
    <w:rsid w:val="004A6174"/>
    <w:rsid w:val="004A6D15"/>
    <w:rsid w:val="004A7157"/>
    <w:rsid w:val="004A7926"/>
    <w:rsid w:val="004B0422"/>
    <w:rsid w:val="004B0502"/>
    <w:rsid w:val="004B26CB"/>
    <w:rsid w:val="004B29A0"/>
    <w:rsid w:val="004B2B3F"/>
    <w:rsid w:val="004B2BD1"/>
    <w:rsid w:val="004B33FA"/>
    <w:rsid w:val="004B3880"/>
    <w:rsid w:val="004B49E1"/>
    <w:rsid w:val="004B4ADB"/>
    <w:rsid w:val="004B5252"/>
    <w:rsid w:val="004B53E7"/>
    <w:rsid w:val="004B55D7"/>
    <w:rsid w:val="004B5706"/>
    <w:rsid w:val="004B606D"/>
    <w:rsid w:val="004B69BE"/>
    <w:rsid w:val="004B6A33"/>
    <w:rsid w:val="004B6CF9"/>
    <w:rsid w:val="004B784E"/>
    <w:rsid w:val="004B7B63"/>
    <w:rsid w:val="004B7BB1"/>
    <w:rsid w:val="004C0249"/>
    <w:rsid w:val="004C09C9"/>
    <w:rsid w:val="004C0FFA"/>
    <w:rsid w:val="004C113A"/>
    <w:rsid w:val="004C135F"/>
    <w:rsid w:val="004C1F9B"/>
    <w:rsid w:val="004C1FD3"/>
    <w:rsid w:val="004C2807"/>
    <w:rsid w:val="004C30B2"/>
    <w:rsid w:val="004C390F"/>
    <w:rsid w:val="004C3E8A"/>
    <w:rsid w:val="004C4BDF"/>
    <w:rsid w:val="004C4D2A"/>
    <w:rsid w:val="004C4FD6"/>
    <w:rsid w:val="004C50BF"/>
    <w:rsid w:val="004C5F46"/>
    <w:rsid w:val="004C720E"/>
    <w:rsid w:val="004C72E5"/>
    <w:rsid w:val="004C7746"/>
    <w:rsid w:val="004C7904"/>
    <w:rsid w:val="004D015B"/>
    <w:rsid w:val="004D02DF"/>
    <w:rsid w:val="004D08B6"/>
    <w:rsid w:val="004D10C0"/>
    <w:rsid w:val="004D11AA"/>
    <w:rsid w:val="004D15B7"/>
    <w:rsid w:val="004D18B6"/>
    <w:rsid w:val="004D3026"/>
    <w:rsid w:val="004D36BD"/>
    <w:rsid w:val="004D36F3"/>
    <w:rsid w:val="004D3A23"/>
    <w:rsid w:val="004D43DF"/>
    <w:rsid w:val="004D4406"/>
    <w:rsid w:val="004D44BF"/>
    <w:rsid w:val="004D5329"/>
    <w:rsid w:val="004D54C2"/>
    <w:rsid w:val="004D615B"/>
    <w:rsid w:val="004D62B8"/>
    <w:rsid w:val="004D6537"/>
    <w:rsid w:val="004E04EC"/>
    <w:rsid w:val="004E07BE"/>
    <w:rsid w:val="004E0FC7"/>
    <w:rsid w:val="004E10C9"/>
    <w:rsid w:val="004E10CB"/>
    <w:rsid w:val="004E119C"/>
    <w:rsid w:val="004E1703"/>
    <w:rsid w:val="004E2325"/>
    <w:rsid w:val="004E29C0"/>
    <w:rsid w:val="004E3CBC"/>
    <w:rsid w:val="004E3F53"/>
    <w:rsid w:val="004E451D"/>
    <w:rsid w:val="004E45BB"/>
    <w:rsid w:val="004E463C"/>
    <w:rsid w:val="004E4D67"/>
    <w:rsid w:val="004E4E9C"/>
    <w:rsid w:val="004E4EE4"/>
    <w:rsid w:val="004E4F65"/>
    <w:rsid w:val="004E5169"/>
    <w:rsid w:val="004E5356"/>
    <w:rsid w:val="004E58FB"/>
    <w:rsid w:val="004E5980"/>
    <w:rsid w:val="004E660C"/>
    <w:rsid w:val="004E6C3F"/>
    <w:rsid w:val="004E6E0B"/>
    <w:rsid w:val="004E7263"/>
    <w:rsid w:val="004E754E"/>
    <w:rsid w:val="004F0563"/>
    <w:rsid w:val="004F0810"/>
    <w:rsid w:val="004F0ABC"/>
    <w:rsid w:val="004F12ED"/>
    <w:rsid w:val="004F1494"/>
    <w:rsid w:val="004F1721"/>
    <w:rsid w:val="004F1DDB"/>
    <w:rsid w:val="004F20A9"/>
    <w:rsid w:val="004F20D6"/>
    <w:rsid w:val="004F2394"/>
    <w:rsid w:val="004F31FF"/>
    <w:rsid w:val="004F324F"/>
    <w:rsid w:val="004F3451"/>
    <w:rsid w:val="004F361A"/>
    <w:rsid w:val="004F3A08"/>
    <w:rsid w:val="004F3EE9"/>
    <w:rsid w:val="004F4046"/>
    <w:rsid w:val="004F40CF"/>
    <w:rsid w:val="004F4276"/>
    <w:rsid w:val="004F5059"/>
    <w:rsid w:val="004F51DF"/>
    <w:rsid w:val="004F57AF"/>
    <w:rsid w:val="004F5B47"/>
    <w:rsid w:val="004F5C4B"/>
    <w:rsid w:val="004F5EA5"/>
    <w:rsid w:val="004F6368"/>
    <w:rsid w:val="0050098A"/>
    <w:rsid w:val="00500BCA"/>
    <w:rsid w:val="005010D6"/>
    <w:rsid w:val="0050129E"/>
    <w:rsid w:val="005014C3"/>
    <w:rsid w:val="00501C02"/>
    <w:rsid w:val="005022FF"/>
    <w:rsid w:val="005023D3"/>
    <w:rsid w:val="00502EB5"/>
    <w:rsid w:val="005034AD"/>
    <w:rsid w:val="0050400E"/>
    <w:rsid w:val="00504384"/>
    <w:rsid w:val="0050529F"/>
    <w:rsid w:val="00505470"/>
    <w:rsid w:val="0050548B"/>
    <w:rsid w:val="0050550B"/>
    <w:rsid w:val="00505EA4"/>
    <w:rsid w:val="0050659D"/>
    <w:rsid w:val="005068EE"/>
    <w:rsid w:val="00506CB0"/>
    <w:rsid w:val="00506E62"/>
    <w:rsid w:val="005070B2"/>
    <w:rsid w:val="00507A93"/>
    <w:rsid w:val="00507C83"/>
    <w:rsid w:val="00507E17"/>
    <w:rsid w:val="00510241"/>
    <w:rsid w:val="005105DF"/>
    <w:rsid w:val="005105E2"/>
    <w:rsid w:val="00510A58"/>
    <w:rsid w:val="00511803"/>
    <w:rsid w:val="005119E0"/>
    <w:rsid w:val="00511B3D"/>
    <w:rsid w:val="0051237D"/>
    <w:rsid w:val="005123B9"/>
    <w:rsid w:val="00513283"/>
    <w:rsid w:val="0051334D"/>
    <w:rsid w:val="005136FA"/>
    <w:rsid w:val="00513ABF"/>
    <w:rsid w:val="00513BD4"/>
    <w:rsid w:val="00514658"/>
    <w:rsid w:val="00514866"/>
    <w:rsid w:val="00514DC5"/>
    <w:rsid w:val="00514E7F"/>
    <w:rsid w:val="00514FD6"/>
    <w:rsid w:val="00515AB1"/>
    <w:rsid w:val="00515DE4"/>
    <w:rsid w:val="0051744B"/>
    <w:rsid w:val="00517D45"/>
    <w:rsid w:val="00517F4F"/>
    <w:rsid w:val="0052152E"/>
    <w:rsid w:val="005216D6"/>
    <w:rsid w:val="005218A9"/>
    <w:rsid w:val="00521A45"/>
    <w:rsid w:val="00521E32"/>
    <w:rsid w:val="00523258"/>
    <w:rsid w:val="005232D4"/>
    <w:rsid w:val="00523D7F"/>
    <w:rsid w:val="00523F41"/>
    <w:rsid w:val="0052426C"/>
    <w:rsid w:val="00524309"/>
    <w:rsid w:val="0052504C"/>
    <w:rsid w:val="005252F5"/>
    <w:rsid w:val="00525670"/>
    <w:rsid w:val="005260FC"/>
    <w:rsid w:val="005264DD"/>
    <w:rsid w:val="00526977"/>
    <w:rsid w:val="0052798B"/>
    <w:rsid w:val="005279BF"/>
    <w:rsid w:val="00527AAD"/>
    <w:rsid w:val="00527B3D"/>
    <w:rsid w:val="00530000"/>
    <w:rsid w:val="005302F8"/>
    <w:rsid w:val="005306A5"/>
    <w:rsid w:val="00530EDF"/>
    <w:rsid w:val="00530FE1"/>
    <w:rsid w:val="005311CA"/>
    <w:rsid w:val="005314B4"/>
    <w:rsid w:val="005322C9"/>
    <w:rsid w:val="005323B3"/>
    <w:rsid w:val="005329B7"/>
    <w:rsid w:val="00532C3A"/>
    <w:rsid w:val="00532E9A"/>
    <w:rsid w:val="00532FBA"/>
    <w:rsid w:val="00533E14"/>
    <w:rsid w:val="0053463A"/>
    <w:rsid w:val="00535A05"/>
    <w:rsid w:val="0053659A"/>
    <w:rsid w:val="00536A0C"/>
    <w:rsid w:val="00537FB8"/>
    <w:rsid w:val="0054001A"/>
    <w:rsid w:val="00540BCD"/>
    <w:rsid w:val="005413CC"/>
    <w:rsid w:val="005417B9"/>
    <w:rsid w:val="00541B76"/>
    <w:rsid w:val="00541DA6"/>
    <w:rsid w:val="00542305"/>
    <w:rsid w:val="00542C91"/>
    <w:rsid w:val="005433FC"/>
    <w:rsid w:val="00543447"/>
    <w:rsid w:val="00544022"/>
    <w:rsid w:val="00544BC2"/>
    <w:rsid w:val="005452B1"/>
    <w:rsid w:val="005456F8"/>
    <w:rsid w:val="00545927"/>
    <w:rsid w:val="0054714F"/>
    <w:rsid w:val="00547ACD"/>
    <w:rsid w:val="005506B8"/>
    <w:rsid w:val="005506B9"/>
    <w:rsid w:val="00550771"/>
    <w:rsid w:val="00550876"/>
    <w:rsid w:val="005510D9"/>
    <w:rsid w:val="0055216B"/>
    <w:rsid w:val="00552778"/>
    <w:rsid w:val="00552C82"/>
    <w:rsid w:val="00552DF4"/>
    <w:rsid w:val="005540E8"/>
    <w:rsid w:val="0055429D"/>
    <w:rsid w:val="005542D5"/>
    <w:rsid w:val="0055490B"/>
    <w:rsid w:val="00554C43"/>
    <w:rsid w:val="0055534F"/>
    <w:rsid w:val="005554A4"/>
    <w:rsid w:val="005554FB"/>
    <w:rsid w:val="0055570D"/>
    <w:rsid w:val="005558F0"/>
    <w:rsid w:val="00556736"/>
    <w:rsid w:val="00556D3E"/>
    <w:rsid w:val="0055740E"/>
    <w:rsid w:val="00557721"/>
    <w:rsid w:val="00557C4D"/>
    <w:rsid w:val="00557E72"/>
    <w:rsid w:val="00560086"/>
    <w:rsid w:val="00560A3C"/>
    <w:rsid w:val="00560AB3"/>
    <w:rsid w:val="005610F2"/>
    <w:rsid w:val="00561147"/>
    <w:rsid w:val="005619DE"/>
    <w:rsid w:val="00562269"/>
    <w:rsid w:val="00562634"/>
    <w:rsid w:val="00562B83"/>
    <w:rsid w:val="00563050"/>
    <w:rsid w:val="0056329E"/>
    <w:rsid w:val="00563B04"/>
    <w:rsid w:val="0056480E"/>
    <w:rsid w:val="00564900"/>
    <w:rsid w:val="00564A36"/>
    <w:rsid w:val="00564FF4"/>
    <w:rsid w:val="00565B96"/>
    <w:rsid w:val="00566DF8"/>
    <w:rsid w:val="00567342"/>
    <w:rsid w:val="00567525"/>
    <w:rsid w:val="00567776"/>
    <w:rsid w:val="00567843"/>
    <w:rsid w:val="00567C8D"/>
    <w:rsid w:val="00567FA5"/>
    <w:rsid w:val="00570141"/>
    <w:rsid w:val="005702BC"/>
    <w:rsid w:val="005707D2"/>
    <w:rsid w:val="00570992"/>
    <w:rsid w:val="00570A17"/>
    <w:rsid w:val="005717AE"/>
    <w:rsid w:val="00572D03"/>
    <w:rsid w:val="00572DF7"/>
    <w:rsid w:val="005741E0"/>
    <w:rsid w:val="00575104"/>
    <w:rsid w:val="005761D2"/>
    <w:rsid w:val="00576B4D"/>
    <w:rsid w:val="005772AA"/>
    <w:rsid w:val="0057745E"/>
    <w:rsid w:val="0057773C"/>
    <w:rsid w:val="00580DBB"/>
    <w:rsid w:val="00580E73"/>
    <w:rsid w:val="00580FD6"/>
    <w:rsid w:val="0058106B"/>
    <w:rsid w:val="005815F5"/>
    <w:rsid w:val="00581749"/>
    <w:rsid w:val="005817A7"/>
    <w:rsid w:val="00581DDA"/>
    <w:rsid w:val="0058226D"/>
    <w:rsid w:val="00582FD5"/>
    <w:rsid w:val="0058352B"/>
    <w:rsid w:val="00583ABA"/>
    <w:rsid w:val="005840A3"/>
    <w:rsid w:val="0058464D"/>
    <w:rsid w:val="00584B1B"/>
    <w:rsid w:val="00584F98"/>
    <w:rsid w:val="00585A06"/>
    <w:rsid w:val="00585BEA"/>
    <w:rsid w:val="00586A98"/>
    <w:rsid w:val="00586ADC"/>
    <w:rsid w:val="00587097"/>
    <w:rsid w:val="00590089"/>
    <w:rsid w:val="005901B2"/>
    <w:rsid w:val="005905D8"/>
    <w:rsid w:val="005907F5"/>
    <w:rsid w:val="005908D3"/>
    <w:rsid w:val="00593E27"/>
    <w:rsid w:val="00593EEF"/>
    <w:rsid w:val="00594469"/>
    <w:rsid w:val="005944EE"/>
    <w:rsid w:val="00594577"/>
    <w:rsid w:val="005945BB"/>
    <w:rsid w:val="005949DF"/>
    <w:rsid w:val="005949F6"/>
    <w:rsid w:val="00594C65"/>
    <w:rsid w:val="00596331"/>
    <w:rsid w:val="00596442"/>
    <w:rsid w:val="00596C85"/>
    <w:rsid w:val="00596E1D"/>
    <w:rsid w:val="00596E67"/>
    <w:rsid w:val="0059748D"/>
    <w:rsid w:val="005974F8"/>
    <w:rsid w:val="0059779D"/>
    <w:rsid w:val="005A0927"/>
    <w:rsid w:val="005A09A5"/>
    <w:rsid w:val="005A1525"/>
    <w:rsid w:val="005A18A2"/>
    <w:rsid w:val="005A1C6F"/>
    <w:rsid w:val="005A1EAB"/>
    <w:rsid w:val="005A2267"/>
    <w:rsid w:val="005A22B7"/>
    <w:rsid w:val="005A255D"/>
    <w:rsid w:val="005A25CD"/>
    <w:rsid w:val="005A2A6F"/>
    <w:rsid w:val="005A2AB2"/>
    <w:rsid w:val="005A2CD9"/>
    <w:rsid w:val="005A326D"/>
    <w:rsid w:val="005A3440"/>
    <w:rsid w:val="005A3D66"/>
    <w:rsid w:val="005A4497"/>
    <w:rsid w:val="005A4AAA"/>
    <w:rsid w:val="005A4B1C"/>
    <w:rsid w:val="005A4DC3"/>
    <w:rsid w:val="005A5112"/>
    <w:rsid w:val="005A57A2"/>
    <w:rsid w:val="005A6055"/>
    <w:rsid w:val="005A66A3"/>
    <w:rsid w:val="005A6B0B"/>
    <w:rsid w:val="005A7244"/>
    <w:rsid w:val="005A772C"/>
    <w:rsid w:val="005A7A23"/>
    <w:rsid w:val="005A7BEE"/>
    <w:rsid w:val="005A7C83"/>
    <w:rsid w:val="005A7F5D"/>
    <w:rsid w:val="005B0387"/>
    <w:rsid w:val="005B0B7F"/>
    <w:rsid w:val="005B0D37"/>
    <w:rsid w:val="005B0E09"/>
    <w:rsid w:val="005B126D"/>
    <w:rsid w:val="005B17D3"/>
    <w:rsid w:val="005B28B6"/>
    <w:rsid w:val="005B2B58"/>
    <w:rsid w:val="005B30BD"/>
    <w:rsid w:val="005B3350"/>
    <w:rsid w:val="005B3361"/>
    <w:rsid w:val="005B3840"/>
    <w:rsid w:val="005B3910"/>
    <w:rsid w:val="005B43D1"/>
    <w:rsid w:val="005B4640"/>
    <w:rsid w:val="005B4B20"/>
    <w:rsid w:val="005B4FBF"/>
    <w:rsid w:val="005B5B77"/>
    <w:rsid w:val="005B5E88"/>
    <w:rsid w:val="005B6872"/>
    <w:rsid w:val="005B6ED7"/>
    <w:rsid w:val="005B7137"/>
    <w:rsid w:val="005B73EE"/>
    <w:rsid w:val="005B747D"/>
    <w:rsid w:val="005B7985"/>
    <w:rsid w:val="005B7A0F"/>
    <w:rsid w:val="005B7B33"/>
    <w:rsid w:val="005C0545"/>
    <w:rsid w:val="005C0734"/>
    <w:rsid w:val="005C07B2"/>
    <w:rsid w:val="005C07CF"/>
    <w:rsid w:val="005C0C0B"/>
    <w:rsid w:val="005C0F80"/>
    <w:rsid w:val="005C16FF"/>
    <w:rsid w:val="005C217C"/>
    <w:rsid w:val="005C2282"/>
    <w:rsid w:val="005C22D4"/>
    <w:rsid w:val="005C2AE9"/>
    <w:rsid w:val="005C2FF0"/>
    <w:rsid w:val="005C39E7"/>
    <w:rsid w:val="005C43C1"/>
    <w:rsid w:val="005C48F1"/>
    <w:rsid w:val="005C4E5B"/>
    <w:rsid w:val="005C5048"/>
    <w:rsid w:val="005C5F01"/>
    <w:rsid w:val="005C6741"/>
    <w:rsid w:val="005C69A6"/>
    <w:rsid w:val="005D001E"/>
    <w:rsid w:val="005D0F06"/>
    <w:rsid w:val="005D11DA"/>
    <w:rsid w:val="005D146D"/>
    <w:rsid w:val="005D165D"/>
    <w:rsid w:val="005D278F"/>
    <w:rsid w:val="005D3B61"/>
    <w:rsid w:val="005D3D46"/>
    <w:rsid w:val="005D3F86"/>
    <w:rsid w:val="005D43D8"/>
    <w:rsid w:val="005D48D8"/>
    <w:rsid w:val="005D4DA4"/>
    <w:rsid w:val="005D5096"/>
    <w:rsid w:val="005D60B7"/>
    <w:rsid w:val="005D6285"/>
    <w:rsid w:val="005D66EA"/>
    <w:rsid w:val="005D6C14"/>
    <w:rsid w:val="005D7C25"/>
    <w:rsid w:val="005D7C51"/>
    <w:rsid w:val="005D7F04"/>
    <w:rsid w:val="005E045D"/>
    <w:rsid w:val="005E0E84"/>
    <w:rsid w:val="005E1159"/>
    <w:rsid w:val="005E11EF"/>
    <w:rsid w:val="005E1790"/>
    <w:rsid w:val="005E1BC7"/>
    <w:rsid w:val="005E3291"/>
    <w:rsid w:val="005E3E70"/>
    <w:rsid w:val="005E3FF8"/>
    <w:rsid w:val="005E4841"/>
    <w:rsid w:val="005E4A61"/>
    <w:rsid w:val="005E514E"/>
    <w:rsid w:val="005E638D"/>
    <w:rsid w:val="005E668E"/>
    <w:rsid w:val="005E6D84"/>
    <w:rsid w:val="005E6EB3"/>
    <w:rsid w:val="005E769F"/>
    <w:rsid w:val="005E76CA"/>
    <w:rsid w:val="005F0295"/>
    <w:rsid w:val="005F04BB"/>
    <w:rsid w:val="005F07F9"/>
    <w:rsid w:val="005F0BFC"/>
    <w:rsid w:val="005F10F9"/>
    <w:rsid w:val="005F11B0"/>
    <w:rsid w:val="005F1257"/>
    <w:rsid w:val="005F1548"/>
    <w:rsid w:val="005F1639"/>
    <w:rsid w:val="005F1C71"/>
    <w:rsid w:val="005F28DF"/>
    <w:rsid w:val="005F2B5F"/>
    <w:rsid w:val="005F30B9"/>
    <w:rsid w:val="005F3574"/>
    <w:rsid w:val="005F3914"/>
    <w:rsid w:val="005F42D2"/>
    <w:rsid w:val="005F46FE"/>
    <w:rsid w:val="005F4861"/>
    <w:rsid w:val="005F4D00"/>
    <w:rsid w:val="005F51BD"/>
    <w:rsid w:val="005F5AB4"/>
    <w:rsid w:val="005F5ADB"/>
    <w:rsid w:val="005F6745"/>
    <w:rsid w:val="005F6D25"/>
    <w:rsid w:val="005F6EE0"/>
    <w:rsid w:val="005F72D5"/>
    <w:rsid w:val="005F79EC"/>
    <w:rsid w:val="005F7A16"/>
    <w:rsid w:val="005F7A7C"/>
    <w:rsid w:val="005F7C4B"/>
    <w:rsid w:val="005F7DF9"/>
    <w:rsid w:val="0060005F"/>
    <w:rsid w:val="006005D3"/>
    <w:rsid w:val="00600646"/>
    <w:rsid w:val="006014BA"/>
    <w:rsid w:val="0060173F"/>
    <w:rsid w:val="00601AED"/>
    <w:rsid w:val="00601D38"/>
    <w:rsid w:val="00601EAE"/>
    <w:rsid w:val="006031BB"/>
    <w:rsid w:val="0060358F"/>
    <w:rsid w:val="00604765"/>
    <w:rsid w:val="00604C97"/>
    <w:rsid w:val="00606002"/>
    <w:rsid w:val="00606CC8"/>
    <w:rsid w:val="00607953"/>
    <w:rsid w:val="00607B1E"/>
    <w:rsid w:val="00610311"/>
    <w:rsid w:val="006103F1"/>
    <w:rsid w:val="006106E5"/>
    <w:rsid w:val="00610A75"/>
    <w:rsid w:val="00611F23"/>
    <w:rsid w:val="0061200E"/>
    <w:rsid w:val="00612509"/>
    <w:rsid w:val="006125E9"/>
    <w:rsid w:val="00612669"/>
    <w:rsid w:val="00612DCB"/>
    <w:rsid w:val="00613FB6"/>
    <w:rsid w:val="006150CF"/>
    <w:rsid w:val="00615419"/>
    <w:rsid w:val="006161AF"/>
    <w:rsid w:val="006169A3"/>
    <w:rsid w:val="00616B60"/>
    <w:rsid w:val="0061726D"/>
    <w:rsid w:val="00617700"/>
    <w:rsid w:val="00617AB3"/>
    <w:rsid w:val="00617BB6"/>
    <w:rsid w:val="00617E04"/>
    <w:rsid w:val="00620190"/>
    <w:rsid w:val="0062062E"/>
    <w:rsid w:val="006206F6"/>
    <w:rsid w:val="006207FE"/>
    <w:rsid w:val="00620B2D"/>
    <w:rsid w:val="00620FDA"/>
    <w:rsid w:val="00621820"/>
    <w:rsid w:val="00622327"/>
    <w:rsid w:val="006228EF"/>
    <w:rsid w:val="0062290B"/>
    <w:rsid w:val="00622DA6"/>
    <w:rsid w:val="00623769"/>
    <w:rsid w:val="00623B2C"/>
    <w:rsid w:val="006244C5"/>
    <w:rsid w:val="00624732"/>
    <w:rsid w:val="0062495B"/>
    <w:rsid w:val="00624EBA"/>
    <w:rsid w:val="00624F20"/>
    <w:rsid w:val="0062514E"/>
    <w:rsid w:val="0062560C"/>
    <w:rsid w:val="00625681"/>
    <w:rsid w:val="00625EB1"/>
    <w:rsid w:val="00625F80"/>
    <w:rsid w:val="00626A47"/>
    <w:rsid w:val="006270E3"/>
    <w:rsid w:val="00627467"/>
    <w:rsid w:val="00627FB7"/>
    <w:rsid w:val="00630319"/>
    <w:rsid w:val="00630863"/>
    <w:rsid w:val="006308A2"/>
    <w:rsid w:val="00630908"/>
    <w:rsid w:val="00630940"/>
    <w:rsid w:val="006309CF"/>
    <w:rsid w:val="0063107A"/>
    <w:rsid w:val="00631424"/>
    <w:rsid w:val="006316E2"/>
    <w:rsid w:val="00631B21"/>
    <w:rsid w:val="00631CD2"/>
    <w:rsid w:val="00632B92"/>
    <w:rsid w:val="00633043"/>
    <w:rsid w:val="00633A2F"/>
    <w:rsid w:val="00633FD6"/>
    <w:rsid w:val="0063426B"/>
    <w:rsid w:val="00635ADD"/>
    <w:rsid w:val="00635DA7"/>
    <w:rsid w:val="00635F51"/>
    <w:rsid w:val="00636396"/>
    <w:rsid w:val="006368DA"/>
    <w:rsid w:val="00637225"/>
    <w:rsid w:val="00637425"/>
    <w:rsid w:val="00637964"/>
    <w:rsid w:val="00637B4C"/>
    <w:rsid w:val="00637B94"/>
    <w:rsid w:val="006401A1"/>
    <w:rsid w:val="006403BE"/>
    <w:rsid w:val="00640625"/>
    <w:rsid w:val="006409CE"/>
    <w:rsid w:val="00640A3A"/>
    <w:rsid w:val="00640B73"/>
    <w:rsid w:val="00641048"/>
    <w:rsid w:val="00641195"/>
    <w:rsid w:val="00641199"/>
    <w:rsid w:val="006413DC"/>
    <w:rsid w:val="00641476"/>
    <w:rsid w:val="0064192A"/>
    <w:rsid w:val="006428E2"/>
    <w:rsid w:val="0064328E"/>
    <w:rsid w:val="0064391B"/>
    <w:rsid w:val="006450C7"/>
    <w:rsid w:val="00645D68"/>
    <w:rsid w:val="00645EE4"/>
    <w:rsid w:val="0064608F"/>
    <w:rsid w:val="006464EB"/>
    <w:rsid w:val="00646D05"/>
    <w:rsid w:val="00647040"/>
    <w:rsid w:val="00651009"/>
    <w:rsid w:val="00651665"/>
    <w:rsid w:val="006518CE"/>
    <w:rsid w:val="00652A81"/>
    <w:rsid w:val="00652FBE"/>
    <w:rsid w:val="00653798"/>
    <w:rsid w:val="00653A60"/>
    <w:rsid w:val="00653B1E"/>
    <w:rsid w:val="006544EB"/>
    <w:rsid w:val="00654620"/>
    <w:rsid w:val="00655312"/>
    <w:rsid w:val="006554A9"/>
    <w:rsid w:val="006554CC"/>
    <w:rsid w:val="0065555A"/>
    <w:rsid w:val="00655B73"/>
    <w:rsid w:val="00655C5D"/>
    <w:rsid w:val="00657C20"/>
    <w:rsid w:val="00657DC4"/>
    <w:rsid w:val="00660A76"/>
    <w:rsid w:val="00661270"/>
    <w:rsid w:val="0066142B"/>
    <w:rsid w:val="00661948"/>
    <w:rsid w:val="00661F73"/>
    <w:rsid w:val="00662434"/>
    <w:rsid w:val="00663D01"/>
    <w:rsid w:val="00663F06"/>
    <w:rsid w:val="006640DC"/>
    <w:rsid w:val="00664FDB"/>
    <w:rsid w:val="00665063"/>
    <w:rsid w:val="006651F2"/>
    <w:rsid w:val="00665280"/>
    <w:rsid w:val="006652D1"/>
    <w:rsid w:val="006655FE"/>
    <w:rsid w:val="00666793"/>
    <w:rsid w:val="00666BAB"/>
    <w:rsid w:val="006670EF"/>
    <w:rsid w:val="00667EAC"/>
    <w:rsid w:val="006705CF"/>
    <w:rsid w:val="00670922"/>
    <w:rsid w:val="0067109F"/>
    <w:rsid w:val="00671D1A"/>
    <w:rsid w:val="00672EEB"/>
    <w:rsid w:val="00673425"/>
    <w:rsid w:val="00673705"/>
    <w:rsid w:val="006738E2"/>
    <w:rsid w:val="0067393B"/>
    <w:rsid w:val="006739DF"/>
    <w:rsid w:val="00673E2C"/>
    <w:rsid w:val="00673E50"/>
    <w:rsid w:val="00674603"/>
    <w:rsid w:val="00674C03"/>
    <w:rsid w:val="00675594"/>
    <w:rsid w:val="006755B8"/>
    <w:rsid w:val="00675906"/>
    <w:rsid w:val="00675EE4"/>
    <w:rsid w:val="00676650"/>
    <w:rsid w:val="006766BB"/>
    <w:rsid w:val="00676980"/>
    <w:rsid w:val="00676A9D"/>
    <w:rsid w:val="00676CCA"/>
    <w:rsid w:val="00677058"/>
    <w:rsid w:val="00677894"/>
    <w:rsid w:val="00680688"/>
    <w:rsid w:val="00680DF4"/>
    <w:rsid w:val="0068139E"/>
    <w:rsid w:val="00681F63"/>
    <w:rsid w:val="00682BE0"/>
    <w:rsid w:val="006835D9"/>
    <w:rsid w:val="00684062"/>
    <w:rsid w:val="00684169"/>
    <w:rsid w:val="006842C0"/>
    <w:rsid w:val="00685235"/>
    <w:rsid w:val="00685BAF"/>
    <w:rsid w:val="00685D2F"/>
    <w:rsid w:val="00686041"/>
    <w:rsid w:val="0068616C"/>
    <w:rsid w:val="00686576"/>
    <w:rsid w:val="006869B4"/>
    <w:rsid w:val="00686A7E"/>
    <w:rsid w:val="00687022"/>
    <w:rsid w:val="00687260"/>
    <w:rsid w:val="0068751C"/>
    <w:rsid w:val="006879DF"/>
    <w:rsid w:val="006879EA"/>
    <w:rsid w:val="00687B53"/>
    <w:rsid w:val="006905E4"/>
    <w:rsid w:val="00690657"/>
    <w:rsid w:val="006911CC"/>
    <w:rsid w:val="00691414"/>
    <w:rsid w:val="00691C07"/>
    <w:rsid w:val="006929F2"/>
    <w:rsid w:val="00692A82"/>
    <w:rsid w:val="00692E1D"/>
    <w:rsid w:val="00692FAC"/>
    <w:rsid w:val="0069303E"/>
    <w:rsid w:val="00693170"/>
    <w:rsid w:val="00694032"/>
    <w:rsid w:val="00694286"/>
    <w:rsid w:val="00694362"/>
    <w:rsid w:val="0069477D"/>
    <w:rsid w:val="006953BB"/>
    <w:rsid w:val="0069569A"/>
    <w:rsid w:val="006957E4"/>
    <w:rsid w:val="00695AC6"/>
    <w:rsid w:val="00695B38"/>
    <w:rsid w:val="00696940"/>
    <w:rsid w:val="00696C6A"/>
    <w:rsid w:val="006977BC"/>
    <w:rsid w:val="0069782D"/>
    <w:rsid w:val="006978E4"/>
    <w:rsid w:val="00697DBB"/>
    <w:rsid w:val="006A032D"/>
    <w:rsid w:val="006A04AE"/>
    <w:rsid w:val="006A0D2F"/>
    <w:rsid w:val="006A1294"/>
    <w:rsid w:val="006A235D"/>
    <w:rsid w:val="006A2B5A"/>
    <w:rsid w:val="006A34F0"/>
    <w:rsid w:val="006A37D6"/>
    <w:rsid w:val="006A39C4"/>
    <w:rsid w:val="006A3D6E"/>
    <w:rsid w:val="006A3DF8"/>
    <w:rsid w:val="006A477C"/>
    <w:rsid w:val="006A53AA"/>
    <w:rsid w:val="006A5886"/>
    <w:rsid w:val="006A5F9C"/>
    <w:rsid w:val="006A64F8"/>
    <w:rsid w:val="006A683E"/>
    <w:rsid w:val="006A7328"/>
    <w:rsid w:val="006A76EA"/>
    <w:rsid w:val="006A7CBC"/>
    <w:rsid w:val="006B25AA"/>
    <w:rsid w:val="006B303B"/>
    <w:rsid w:val="006B312D"/>
    <w:rsid w:val="006B3F65"/>
    <w:rsid w:val="006B3FAF"/>
    <w:rsid w:val="006B41D3"/>
    <w:rsid w:val="006B4B93"/>
    <w:rsid w:val="006B5455"/>
    <w:rsid w:val="006B589F"/>
    <w:rsid w:val="006B6C82"/>
    <w:rsid w:val="006B749E"/>
    <w:rsid w:val="006B75D2"/>
    <w:rsid w:val="006C16DB"/>
    <w:rsid w:val="006C208A"/>
    <w:rsid w:val="006C2CA0"/>
    <w:rsid w:val="006C2D67"/>
    <w:rsid w:val="006C31EE"/>
    <w:rsid w:val="006C327E"/>
    <w:rsid w:val="006C33BF"/>
    <w:rsid w:val="006C3406"/>
    <w:rsid w:val="006C379C"/>
    <w:rsid w:val="006C4125"/>
    <w:rsid w:val="006C54F0"/>
    <w:rsid w:val="006C5751"/>
    <w:rsid w:val="006C6102"/>
    <w:rsid w:val="006C6222"/>
    <w:rsid w:val="006C6F03"/>
    <w:rsid w:val="006C722B"/>
    <w:rsid w:val="006D0D04"/>
    <w:rsid w:val="006D10EF"/>
    <w:rsid w:val="006D1636"/>
    <w:rsid w:val="006D1696"/>
    <w:rsid w:val="006D18B3"/>
    <w:rsid w:val="006D19BD"/>
    <w:rsid w:val="006D19CD"/>
    <w:rsid w:val="006D1FED"/>
    <w:rsid w:val="006D24AD"/>
    <w:rsid w:val="006D2B6C"/>
    <w:rsid w:val="006D32FC"/>
    <w:rsid w:val="006D331A"/>
    <w:rsid w:val="006D3851"/>
    <w:rsid w:val="006D3BD4"/>
    <w:rsid w:val="006D4F32"/>
    <w:rsid w:val="006D5C13"/>
    <w:rsid w:val="006D65AF"/>
    <w:rsid w:val="006D6B4B"/>
    <w:rsid w:val="006D6CA8"/>
    <w:rsid w:val="006D6F4A"/>
    <w:rsid w:val="006E00E9"/>
    <w:rsid w:val="006E03CC"/>
    <w:rsid w:val="006E044B"/>
    <w:rsid w:val="006E07FA"/>
    <w:rsid w:val="006E0A95"/>
    <w:rsid w:val="006E17A3"/>
    <w:rsid w:val="006E1928"/>
    <w:rsid w:val="006E24FE"/>
    <w:rsid w:val="006E28E0"/>
    <w:rsid w:val="006E2E99"/>
    <w:rsid w:val="006E312F"/>
    <w:rsid w:val="006E373B"/>
    <w:rsid w:val="006E3BD6"/>
    <w:rsid w:val="006E4406"/>
    <w:rsid w:val="006E453F"/>
    <w:rsid w:val="006E56E0"/>
    <w:rsid w:val="006E6094"/>
    <w:rsid w:val="006E6F85"/>
    <w:rsid w:val="006E7527"/>
    <w:rsid w:val="006E7C78"/>
    <w:rsid w:val="006F0AA9"/>
    <w:rsid w:val="006F0D14"/>
    <w:rsid w:val="006F125A"/>
    <w:rsid w:val="006F1919"/>
    <w:rsid w:val="006F1BD1"/>
    <w:rsid w:val="006F2AAF"/>
    <w:rsid w:val="006F2CF0"/>
    <w:rsid w:val="006F2CF1"/>
    <w:rsid w:val="006F322C"/>
    <w:rsid w:val="006F3582"/>
    <w:rsid w:val="006F3AE0"/>
    <w:rsid w:val="006F4602"/>
    <w:rsid w:val="006F4ECA"/>
    <w:rsid w:val="006F570D"/>
    <w:rsid w:val="006F5F1B"/>
    <w:rsid w:val="006F600C"/>
    <w:rsid w:val="006F650F"/>
    <w:rsid w:val="006F6FC7"/>
    <w:rsid w:val="006F7309"/>
    <w:rsid w:val="006F7B32"/>
    <w:rsid w:val="006F7B6D"/>
    <w:rsid w:val="006F7EA4"/>
    <w:rsid w:val="00700CA7"/>
    <w:rsid w:val="00700DC8"/>
    <w:rsid w:val="00701135"/>
    <w:rsid w:val="00701687"/>
    <w:rsid w:val="007021CD"/>
    <w:rsid w:val="007026F9"/>
    <w:rsid w:val="00702DC3"/>
    <w:rsid w:val="0070390C"/>
    <w:rsid w:val="00703F30"/>
    <w:rsid w:val="00704075"/>
    <w:rsid w:val="00704F27"/>
    <w:rsid w:val="007051BC"/>
    <w:rsid w:val="00706089"/>
    <w:rsid w:val="00706170"/>
    <w:rsid w:val="007066B9"/>
    <w:rsid w:val="00706838"/>
    <w:rsid w:val="00706B22"/>
    <w:rsid w:val="00706DD9"/>
    <w:rsid w:val="00706FBA"/>
    <w:rsid w:val="00707859"/>
    <w:rsid w:val="0071016C"/>
    <w:rsid w:val="007102D9"/>
    <w:rsid w:val="00710F6B"/>
    <w:rsid w:val="007124DE"/>
    <w:rsid w:val="00712A7F"/>
    <w:rsid w:val="00712DEE"/>
    <w:rsid w:val="00712F4B"/>
    <w:rsid w:val="00714115"/>
    <w:rsid w:val="007146AE"/>
    <w:rsid w:val="007149A1"/>
    <w:rsid w:val="00714ADF"/>
    <w:rsid w:val="00714B1E"/>
    <w:rsid w:val="0071529E"/>
    <w:rsid w:val="0071541D"/>
    <w:rsid w:val="00715696"/>
    <w:rsid w:val="007158A7"/>
    <w:rsid w:val="007159C0"/>
    <w:rsid w:val="00715CE7"/>
    <w:rsid w:val="00715E70"/>
    <w:rsid w:val="00715F84"/>
    <w:rsid w:val="0071608E"/>
    <w:rsid w:val="00716C2A"/>
    <w:rsid w:val="00716F17"/>
    <w:rsid w:val="0071706F"/>
    <w:rsid w:val="0071790E"/>
    <w:rsid w:val="00717EE3"/>
    <w:rsid w:val="0072010C"/>
    <w:rsid w:val="00720540"/>
    <w:rsid w:val="00720B2A"/>
    <w:rsid w:val="007212A1"/>
    <w:rsid w:val="007219B8"/>
    <w:rsid w:val="0072229B"/>
    <w:rsid w:val="0072230C"/>
    <w:rsid w:val="007228C5"/>
    <w:rsid w:val="00722EA0"/>
    <w:rsid w:val="00723837"/>
    <w:rsid w:val="00723B17"/>
    <w:rsid w:val="00723C2F"/>
    <w:rsid w:val="00723C80"/>
    <w:rsid w:val="00723FB0"/>
    <w:rsid w:val="007243B5"/>
    <w:rsid w:val="007244C9"/>
    <w:rsid w:val="00724950"/>
    <w:rsid w:val="00724F7E"/>
    <w:rsid w:val="007252C4"/>
    <w:rsid w:val="00725475"/>
    <w:rsid w:val="00726515"/>
    <w:rsid w:val="00726683"/>
    <w:rsid w:val="00726BC0"/>
    <w:rsid w:val="00727528"/>
    <w:rsid w:val="00727BB0"/>
    <w:rsid w:val="0073057B"/>
    <w:rsid w:val="007308DF"/>
    <w:rsid w:val="00730FF4"/>
    <w:rsid w:val="00730FF8"/>
    <w:rsid w:val="007310ED"/>
    <w:rsid w:val="007312CD"/>
    <w:rsid w:val="00731C91"/>
    <w:rsid w:val="00731CDD"/>
    <w:rsid w:val="00731D8F"/>
    <w:rsid w:val="00731DA5"/>
    <w:rsid w:val="00732622"/>
    <w:rsid w:val="007326D6"/>
    <w:rsid w:val="00732CAF"/>
    <w:rsid w:val="00732F2B"/>
    <w:rsid w:val="007339E4"/>
    <w:rsid w:val="00733D01"/>
    <w:rsid w:val="0073480B"/>
    <w:rsid w:val="00734E3D"/>
    <w:rsid w:val="0073527D"/>
    <w:rsid w:val="007356EA"/>
    <w:rsid w:val="00735D16"/>
    <w:rsid w:val="00735DB8"/>
    <w:rsid w:val="007362E3"/>
    <w:rsid w:val="0073650F"/>
    <w:rsid w:val="00736743"/>
    <w:rsid w:val="007367DA"/>
    <w:rsid w:val="00736842"/>
    <w:rsid w:val="0073731C"/>
    <w:rsid w:val="00737597"/>
    <w:rsid w:val="0073767C"/>
    <w:rsid w:val="007402A9"/>
    <w:rsid w:val="007404BB"/>
    <w:rsid w:val="0074076B"/>
    <w:rsid w:val="0074090D"/>
    <w:rsid w:val="00740D2C"/>
    <w:rsid w:val="00740DCC"/>
    <w:rsid w:val="0074113F"/>
    <w:rsid w:val="00741183"/>
    <w:rsid w:val="00741F9C"/>
    <w:rsid w:val="00742CE3"/>
    <w:rsid w:val="00742CE4"/>
    <w:rsid w:val="00742F33"/>
    <w:rsid w:val="0074395D"/>
    <w:rsid w:val="007447D0"/>
    <w:rsid w:val="00745A59"/>
    <w:rsid w:val="00745A85"/>
    <w:rsid w:val="00745DA7"/>
    <w:rsid w:val="007460DC"/>
    <w:rsid w:val="007466B5"/>
    <w:rsid w:val="00746AB6"/>
    <w:rsid w:val="00746B77"/>
    <w:rsid w:val="00746D01"/>
    <w:rsid w:val="0074707B"/>
    <w:rsid w:val="0074724D"/>
    <w:rsid w:val="007477B7"/>
    <w:rsid w:val="00747B5E"/>
    <w:rsid w:val="00747EEA"/>
    <w:rsid w:val="007505A1"/>
    <w:rsid w:val="00750F6B"/>
    <w:rsid w:val="00751870"/>
    <w:rsid w:val="00751B06"/>
    <w:rsid w:val="00751B33"/>
    <w:rsid w:val="00751EB4"/>
    <w:rsid w:val="0075215D"/>
    <w:rsid w:val="00752389"/>
    <w:rsid w:val="00753D17"/>
    <w:rsid w:val="00753E93"/>
    <w:rsid w:val="00754164"/>
    <w:rsid w:val="007543A8"/>
    <w:rsid w:val="007546D9"/>
    <w:rsid w:val="00754DDF"/>
    <w:rsid w:val="007554B1"/>
    <w:rsid w:val="007554FA"/>
    <w:rsid w:val="007554FB"/>
    <w:rsid w:val="00755BA2"/>
    <w:rsid w:val="00755C7D"/>
    <w:rsid w:val="007567B5"/>
    <w:rsid w:val="00756818"/>
    <w:rsid w:val="007569A5"/>
    <w:rsid w:val="00756B76"/>
    <w:rsid w:val="00756E8B"/>
    <w:rsid w:val="00757410"/>
    <w:rsid w:val="007575BB"/>
    <w:rsid w:val="0075773D"/>
    <w:rsid w:val="00757ADB"/>
    <w:rsid w:val="00760136"/>
    <w:rsid w:val="00760660"/>
    <w:rsid w:val="00761CB4"/>
    <w:rsid w:val="0076249D"/>
    <w:rsid w:val="007626C8"/>
    <w:rsid w:val="007632AA"/>
    <w:rsid w:val="00763DCD"/>
    <w:rsid w:val="00763F66"/>
    <w:rsid w:val="00764F3D"/>
    <w:rsid w:val="0076518A"/>
    <w:rsid w:val="00765C5D"/>
    <w:rsid w:val="00765F07"/>
    <w:rsid w:val="00765F2E"/>
    <w:rsid w:val="00767C6F"/>
    <w:rsid w:val="00767EDF"/>
    <w:rsid w:val="0077015E"/>
    <w:rsid w:val="00770234"/>
    <w:rsid w:val="00770382"/>
    <w:rsid w:val="0077079B"/>
    <w:rsid w:val="00771102"/>
    <w:rsid w:val="00771236"/>
    <w:rsid w:val="007713EE"/>
    <w:rsid w:val="00772707"/>
    <w:rsid w:val="00772A17"/>
    <w:rsid w:val="0077316D"/>
    <w:rsid w:val="00774029"/>
    <w:rsid w:val="007740B9"/>
    <w:rsid w:val="007740BE"/>
    <w:rsid w:val="007742A6"/>
    <w:rsid w:val="00774C55"/>
    <w:rsid w:val="00775075"/>
    <w:rsid w:val="007751BE"/>
    <w:rsid w:val="00775B28"/>
    <w:rsid w:val="00775CE7"/>
    <w:rsid w:val="007765B3"/>
    <w:rsid w:val="00776D0E"/>
    <w:rsid w:val="0077749D"/>
    <w:rsid w:val="007777CB"/>
    <w:rsid w:val="00777C11"/>
    <w:rsid w:val="00780677"/>
    <w:rsid w:val="00780D9B"/>
    <w:rsid w:val="00780ED3"/>
    <w:rsid w:val="007810C7"/>
    <w:rsid w:val="007815E3"/>
    <w:rsid w:val="00782B7F"/>
    <w:rsid w:val="0078323A"/>
    <w:rsid w:val="007835A8"/>
    <w:rsid w:val="00784DB2"/>
    <w:rsid w:val="00785957"/>
    <w:rsid w:val="00785D88"/>
    <w:rsid w:val="007863BD"/>
    <w:rsid w:val="00786A88"/>
    <w:rsid w:val="00786BFF"/>
    <w:rsid w:val="007872C7"/>
    <w:rsid w:val="0078753D"/>
    <w:rsid w:val="007875EE"/>
    <w:rsid w:val="00787D3E"/>
    <w:rsid w:val="00787D9A"/>
    <w:rsid w:val="00790153"/>
    <w:rsid w:val="00790F7C"/>
    <w:rsid w:val="0079130F"/>
    <w:rsid w:val="00791902"/>
    <w:rsid w:val="00791B8A"/>
    <w:rsid w:val="00791EEC"/>
    <w:rsid w:val="007921D8"/>
    <w:rsid w:val="00792266"/>
    <w:rsid w:val="00792807"/>
    <w:rsid w:val="007928E4"/>
    <w:rsid w:val="00792DA8"/>
    <w:rsid w:val="007952BD"/>
    <w:rsid w:val="00795AA8"/>
    <w:rsid w:val="00795BEC"/>
    <w:rsid w:val="0079647D"/>
    <w:rsid w:val="007967F4"/>
    <w:rsid w:val="00796822"/>
    <w:rsid w:val="00797FA7"/>
    <w:rsid w:val="007A15DC"/>
    <w:rsid w:val="007A1609"/>
    <w:rsid w:val="007A1DBE"/>
    <w:rsid w:val="007A231E"/>
    <w:rsid w:val="007A2DFA"/>
    <w:rsid w:val="007A3A23"/>
    <w:rsid w:val="007A4220"/>
    <w:rsid w:val="007A49AB"/>
    <w:rsid w:val="007A4A71"/>
    <w:rsid w:val="007A4A9C"/>
    <w:rsid w:val="007A565C"/>
    <w:rsid w:val="007A6307"/>
    <w:rsid w:val="007A7937"/>
    <w:rsid w:val="007A7EE9"/>
    <w:rsid w:val="007B006C"/>
    <w:rsid w:val="007B01EB"/>
    <w:rsid w:val="007B0B19"/>
    <w:rsid w:val="007B11B4"/>
    <w:rsid w:val="007B1353"/>
    <w:rsid w:val="007B137A"/>
    <w:rsid w:val="007B1896"/>
    <w:rsid w:val="007B1AA9"/>
    <w:rsid w:val="007B4469"/>
    <w:rsid w:val="007B4498"/>
    <w:rsid w:val="007B4597"/>
    <w:rsid w:val="007B4A2C"/>
    <w:rsid w:val="007B573F"/>
    <w:rsid w:val="007B5980"/>
    <w:rsid w:val="007B679E"/>
    <w:rsid w:val="007B6957"/>
    <w:rsid w:val="007B6BE8"/>
    <w:rsid w:val="007B6D49"/>
    <w:rsid w:val="007B73FE"/>
    <w:rsid w:val="007B7632"/>
    <w:rsid w:val="007C0249"/>
    <w:rsid w:val="007C0318"/>
    <w:rsid w:val="007C0A5F"/>
    <w:rsid w:val="007C0F25"/>
    <w:rsid w:val="007C1944"/>
    <w:rsid w:val="007C1D22"/>
    <w:rsid w:val="007C1F20"/>
    <w:rsid w:val="007C29A5"/>
    <w:rsid w:val="007C3597"/>
    <w:rsid w:val="007C3F25"/>
    <w:rsid w:val="007C451C"/>
    <w:rsid w:val="007C47E1"/>
    <w:rsid w:val="007C4805"/>
    <w:rsid w:val="007C4AEB"/>
    <w:rsid w:val="007C4C90"/>
    <w:rsid w:val="007C5639"/>
    <w:rsid w:val="007C56F2"/>
    <w:rsid w:val="007C5B84"/>
    <w:rsid w:val="007C6084"/>
    <w:rsid w:val="007C650C"/>
    <w:rsid w:val="007C6B15"/>
    <w:rsid w:val="007C7CDD"/>
    <w:rsid w:val="007D00B1"/>
    <w:rsid w:val="007D0810"/>
    <w:rsid w:val="007D08F2"/>
    <w:rsid w:val="007D0F87"/>
    <w:rsid w:val="007D12C6"/>
    <w:rsid w:val="007D1AD8"/>
    <w:rsid w:val="007D1C1C"/>
    <w:rsid w:val="007D1CE5"/>
    <w:rsid w:val="007D1EC5"/>
    <w:rsid w:val="007D2067"/>
    <w:rsid w:val="007D294B"/>
    <w:rsid w:val="007D2B4A"/>
    <w:rsid w:val="007D3851"/>
    <w:rsid w:val="007D3C57"/>
    <w:rsid w:val="007D3D64"/>
    <w:rsid w:val="007D3E5E"/>
    <w:rsid w:val="007D5339"/>
    <w:rsid w:val="007D543A"/>
    <w:rsid w:val="007D55BC"/>
    <w:rsid w:val="007D5675"/>
    <w:rsid w:val="007D57F6"/>
    <w:rsid w:val="007D5A71"/>
    <w:rsid w:val="007D5EB9"/>
    <w:rsid w:val="007D5F16"/>
    <w:rsid w:val="007D5F2B"/>
    <w:rsid w:val="007D7195"/>
    <w:rsid w:val="007D7569"/>
    <w:rsid w:val="007D7725"/>
    <w:rsid w:val="007D7A97"/>
    <w:rsid w:val="007E047D"/>
    <w:rsid w:val="007E0A29"/>
    <w:rsid w:val="007E1383"/>
    <w:rsid w:val="007E1444"/>
    <w:rsid w:val="007E23B2"/>
    <w:rsid w:val="007E2F43"/>
    <w:rsid w:val="007E302F"/>
    <w:rsid w:val="007E32A4"/>
    <w:rsid w:val="007E4448"/>
    <w:rsid w:val="007E4DD2"/>
    <w:rsid w:val="007E5B0C"/>
    <w:rsid w:val="007E70F5"/>
    <w:rsid w:val="007E7457"/>
    <w:rsid w:val="007E79E0"/>
    <w:rsid w:val="007E7E64"/>
    <w:rsid w:val="007E7F5C"/>
    <w:rsid w:val="007F0A41"/>
    <w:rsid w:val="007F1A2C"/>
    <w:rsid w:val="007F1AAD"/>
    <w:rsid w:val="007F1E6B"/>
    <w:rsid w:val="007F1F32"/>
    <w:rsid w:val="007F2075"/>
    <w:rsid w:val="007F23E1"/>
    <w:rsid w:val="007F34BD"/>
    <w:rsid w:val="007F38BD"/>
    <w:rsid w:val="007F3CD4"/>
    <w:rsid w:val="007F3E9D"/>
    <w:rsid w:val="007F44F2"/>
    <w:rsid w:val="007F4738"/>
    <w:rsid w:val="007F4E32"/>
    <w:rsid w:val="007F51F0"/>
    <w:rsid w:val="007F52DD"/>
    <w:rsid w:val="007F6200"/>
    <w:rsid w:val="007F639E"/>
    <w:rsid w:val="007F6CAA"/>
    <w:rsid w:val="007F6CD7"/>
    <w:rsid w:val="007F6D46"/>
    <w:rsid w:val="007F6DD5"/>
    <w:rsid w:val="007F748E"/>
    <w:rsid w:val="007F7594"/>
    <w:rsid w:val="007F76DE"/>
    <w:rsid w:val="007F7CD1"/>
    <w:rsid w:val="00800F12"/>
    <w:rsid w:val="008012EA"/>
    <w:rsid w:val="0080184F"/>
    <w:rsid w:val="00803260"/>
    <w:rsid w:val="0080377A"/>
    <w:rsid w:val="00803B9C"/>
    <w:rsid w:val="008043B7"/>
    <w:rsid w:val="00804462"/>
    <w:rsid w:val="008048D6"/>
    <w:rsid w:val="00805464"/>
    <w:rsid w:val="00805A56"/>
    <w:rsid w:val="00805DBF"/>
    <w:rsid w:val="00806B1C"/>
    <w:rsid w:val="00806C6F"/>
    <w:rsid w:val="008071F6"/>
    <w:rsid w:val="00807328"/>
    <w:rsid w:val="0080732A"/>
    <w:rsid w:val="0080751A"/>
    <w:rsid w:val="0080782D"/>
    <w:rsid w:val="008078ED"/>
    <w:rsid w:val="008079CC"/>
    <w:rsid w:val="00807FD5"/>
    <w:rsid w:val="00810C21"/>
    <w:rsid w:val="0081109A"/>
    <w:rsid w:val="00811370"/>
    <w:rsid w:val="00811EB0"/>
    <w:rsid w:val="008127A7"/>
    <w:rsid w:val="00812A6B"/>
    <w:rsid w:val="008135E0"/>
    <w:rsid w:val="00813ACB"/>
    <w:rsid w:val="00813F47"/>
    <w:rsid w:val="00813F5E"/>
    <w:rsid w:val="0081422E"/>
    <w:rsid w:val="008144E3"/>
    <w:rsid w:val="0081484F"/>
    <w:rsid w:val="008155D1"/>
    <w:rsid w:val="008159FC"/>
    <w:rsid w:val="00815FA1"/>
    <w:rsid w:val="00816070"/>
    <w:rsid w:val="008162B4"/>
    <w:rsid w:val="0081649A"/>
    <w:rsid w:val="008164E5"/>
    <w:rsid w:val="00816706"/>
    <w:rsid w:val="0081678B"/>
    <w:rsid w:val="00816B9E"/>
    <w:rsid w:val="008174A1"/>
    <w:rsid w:val="00817746"/>
    <w:rsid w:val="008177AE"/>
    <w:rsid w:val="00817FBA"/>
    <w:rsid w:val="0082086D"/>
    <w:rsid w:val="00820C55"/>
    <w:rsid w:val="00820DF8"/>
    <w:rsid w:val="008217C2"/>
    <w:rsid w:val="008218FA"/>
    <w:rsid w:val="00821C41"/>
    <w:rsid w:val="0082232B"/>
    <w:rsid w:val="00822433"/>
    <w:rsid w:val="00822E76"/>
    <w:rsid w:val="00823054"/>
    <w:rsid w:val="008231A0"/>
    <w:rsid w:val="008236A3"/>
    <w:rsid w:val="0082382B"/>
    <w:rsid w:val="00823CA5"/>
    <w:rsid w:val="008245C2"/>
    <w:rsid w:val="00824717"/>
    <w:rsid w:val="008261ED"/>
    <w:rsid w:val="008263FA"/>
    <w:rsid w:val="00827386"/>
    <w:rsid w:val="00827BE6"/>
    <w:rsid w:val="00827D8A"/>
    <w:rsid w:val="00827F47"/>
    <w:rsid w:val="00830366"/>
    <w:rsid w:val="008305D2"/>
    <w:rsid w:val="008309E3"/>
    <w:rsid w:val="00830E11"/>
    <w:rsid w:val="00830E5C"/>
    <w:rsid w:val="00832197"/>
    <w:rsid w:val="00832AB1"/>
    <w:rsid w:val="00832CA3"/>
    <w:rsid w:val="00833B6A"/>
    <w:rsid w:val="00833D7D"/>
    <w:rsid w:val="00833DFF"/>
    <w:rsid w:val="00834213"/>
    <w:rsid w:val="00834217"/>
    <w:rsid w:val="00834827"/>
    <w:rsid w:val="00834E3D"/>
    <w:rsid w:val="00835201"/>
    <w:rsid w:val="008357AE"/>
    <w:rsid w:val="008358B9"/>
    <w:rsid w:val="00835BD1"/>
    <w:rsid w:val="0083643F"/>
    <w:rsid w:val="00836BD9"/>
    <w:rsid w:val="00836EAB"/>
    <w:rsid w:val="0083750F"/>
    <w:rsid w:val="008400F8"/>
    <w:rsid w:val="00840381"/>
    <w:rsid w:val="008403B7"/>
    <w:rsid w:val="00840656"/>
    <w:rsid w:val="00840663"/>
    <w:rsid w:val="00842BF4"/>
    <w:rsid w:val="0084331C"/>
    <w:rsid w:val="008437C5"/>
    <w:rsid w:val="00844471"/>
    <w:rsid w:val="00844633"/>
    <w:rsid w:val="00844D42"/>
    <w:rsid w:val="00844EAD"/>
    <w:rsid w:val="008450C1"/>
    <w:rsid w:val="0084522B"/>
    <w:rsid w:val="0084565F"/>
    <w:rsid w:val="00845F5A"/>
    <w:rsid w:val="0084641B"/>
    <w:rsid w:val="008468B1"/>
    <w:rsid w:val="00846B04"/>
    <w:rsid w:val="00846DEB"/>
    <w:rsid w:val="00846EDA"/>
    <w:rsid w:val="008474F4"/>
    <w:rsid w:val="008476A8"/>
    <w:rsid w:val="00847E0F"/>
    <w:rsid w:val="00850026"/>
    <w:rsid w:val="00850272"/>
    <w:rsid w:val="00851604"/>
    <w:rsid w:val="008516E4"/>
    <w:rsid w:val="00851D29"/>
    <w:rsid w:val="008525E3"/>
    <w:rsid w:val="008529D2"/>
    <w:rsid w:val="008535AB"/>
    <w:rsid w:val="008538A3"/>
    <w:rsid w:val="00854AB8"/>
    <w:rsid w:val="00854DE5"/>
    <w:rsid w:val="008551B3"/>
    <w:rsid w:val="00855269"/>
    <w:rsid w:val="0085591F"/>
    <w:rsid w:val="00855960"/>
    <w:rsid w:val="00855C71"/>
    <w:rsid w:val="00855DE6"/>
    <w:rsid w:val="00856195"/>
    <w:rsid w:val="00856EAC"/>
    <w:rsid w:val="00856FF1"/>
    <w:rsid w:val="00857122"/>
    <w:rsid w:val="00857883"/>
    <w:rsid w:val="0085794B"/>
    <w:rsid w:val="00857D4D"/>
    <w:rsid w:val="00860831"/>
    <w:rsid w:val="00860E5A"/>
    <w:rsid w:val="00861646"/>
    <w:rsid w:val="00861820"/>
    <w:rsid w:val="0086230B"/>
    <w:rsid w:val="00862C18"/>
    <w:rsid w:val="00862FE4"/>
    <w:rsid w:val="008632A0"/>
    <w:rsid w:val="00863779"/>
    <w:rsid w:val="00863EE8"/>
    <w:rsid w:val="008640A3"/>
    <w:rsid w:val="008645CD"/>
    <w:rsid w:val="00864982"/>
    <w:rsid w:val="00864A09"/>
    <w:rsid w:val="00864ABD"/>
    <w:rsid w:val="00865690"/>
    <w:rsid w:val="008656EC"/>
    <w:rsid w:val="00865C0B"/>
    <w:rsid w:val="00865E1D"/>
    <w:rsid w:val="00865EFF"/>
    <w:rsid w:val="008664D6"/>
    <w:rsid w:val="00870102"/>
    <w:rsid w:val="00870AAD"/>
    <w:rsid w:val="00870C8B"/>
    <w:rsid w:val="00870CA8"/>
    <w:rsid w:val="00870CFA"/>
    <w:rsid w:val="0087108A"/>
    <w:rsid w:val="008715DF"/>
    <w:rsid w:val="00871EFA"/>
    <w:rsid w:val="00872348"/>
    <w:rsid w:val="00872513"/>
    <w:rsid w:val="0087266A"/>
    <w:rsid w:val="00872CF9"/>
    <w:rsid w:val="00872EF0"/>
    <w:rsid w:val="0087372C"/>
    <w:rsid w:val="008746CB"/>
    <w:rsid w:val="008746DA"/>
    <w:rsid w:val="008749D2"/>
    <w:rsid w:val="00874C8E"/>
    <w:rsid w:val="00874CFC"/>
    <w:rsid w:val="008750D8"/>
    <w:rsid w:val="0087535F"/>
    <w:rsid w:val="008753EE"/>
    <w:rsid w:val="00875530"/>
    <w:rsid w:val="00876491"/>
    <w:rsid w:val="008764BE"/>
    <w:rsid w:val="008773D2"/>
    <w:rsid w:val="008776E7"/>
    <w:rsid w:val="00880CA0"/>
    <w:rsid w:val="008812BC"/>
    <w:rsid w:val="00881AC2"/>
    <w:rsid w:val="0088230E"/>
    <w:rsid w:val="00882BF3"/>
    <w:rsid w:val="00883FEC"/>
    <w:rsid w:val="008842BD"/>
    <w:rsid w:val="00884790"/>
    <w:rsid w:val="00885934"/>
    <w:rsid w:val="00885D00"/>
    <w:rsid w:val="00885D11"/>
    <w:rsid w:val="00885DF3"/>
    <w:rsid w:val="00886040"/>
    <w:rsid w:val="008862FE"/>
    <w:rsid w:val="008868BD"/>
    <w:rsid w:val="00887FAF"/>
    <w:rsid w:val="0089062F"/>
    <w:rsid w:val="00890A93"/>
    <w:rsid w:val="00890B1D"/>
    <w:rsid w:val="00890EB9"/>
    <w:rsid w:val="00891372"/>
    <w:rsid w:val="00891515"/>
    <w:rsid w:val="008915A4"/>
    <w:rsid w:val="0089179E"/>
    <w:rsid w:val="00891B92"/>
    <w:rsid w:val="008925F0"/>
    <w:rsid w:val="00892F07"/>
    <w:rsid w:val="00893030"/>
    <w:rsid w:val="00893037"/>
    <w:rsid w:val="00893AEE"/>
    <w:rsid w:val="008941B2"/>
    <w:rsid w:val="008949DA"/>
    <w:rsid w:val="00894BDE"/>
    <w:rsid w:val="00894C0E"/>
    <w:rsid w:val="00894DBC"/>
    <w:rsid w:val="00894E6C"/>
    <w:rsid w:val="008950BA"/>
    <w:rsid w:val="008952E7"/>
    <w:rsid w:val="008956B1"/>
    <w:rsid w:val="008958A0"/>
    <w:rsid w:val="008964FA"/>
    <w:rsid w:val="008966D6"/>
    <w:rsid w:val="00896872"/>
    <w:rsid w:val="00897697"/>
    <w:rsid w:val="00897DA1"/>
    <w:rsid w:val="008A02D8"/>
    <w:rsid w:val="008A1482"/>
    <w:rsid w:val="008A14BD"/>
    <w:rsid w:val="008A14EC"/>
    <w:rsid w:val="008A1C1E"/>
    <w:rsid w:val="008A24E5"/>
    <w:rsid w:val="008A25F3"/>
    <w:rsid w:val="008A2E8C"/>
    <w:rsid w:val="008A3083"/>
    <w:rsid w:val="008A347C"/>
    <w:rsid w:val="008A4733"/>
    <w:rsid w:val="008A4BD6"/>
    <w:rsid w:val="008A5DFF"/>
    <w:rsid w:val="008A6390"/>
    <w:rsid w:val="008A68C9"/>
    <w:rsid w:val="008A71DF"/>
    <w:rsid w:val="008A7659"/>
    <w:rsid w:val="008A7C66"/>
    <w:rsid w:val="008B06E4"/>
    <w:rsid w:val="008B0C92"/>
    <w:rsid w:val="008B0D78"/>
    <w:rsid w:val="008B10CA"/>
    <w:rsid w:val="008B1705"/>
    <w:rsid w:val="008B2008"/>
    <w:rsid w:val="008B26C3"/>
    <w:rsid w:val="008B2B53"/>
    <w:rsid w:val="008B2C41"/>
    <w:rsid w:val="008B33D3"/>
    <w:rsid w:val="008B4DB7"/>
    <w:rsid w:val="008B4E3A"/>
    <w:rsid w:val="008B5413"/>
    <w:rsid w:val="008B57E7"/>
    <w:rsid w:val="008B604B"/>
    <w:rsid w:val="008B6823"/>
    <w:rsid w:val="008B6BF3"/>
    <w:rsid w:val="008B6F66"/>
    <w:rsid w:val="008B79A1"/>
    <w:rsid w:val="008B7B78"/>
    <w:rsid w:val="008C149A"/>
    <w:rsid w:val="008C15DB"/>
    <w:rsid w:val="008C1F4C"/>
    <w:rsid w:val="008C2532"/>
    <w:rsid w:val="008C2597"/>
    <w:rsid w:val="008C2B06"/>
    <w:rsid w:val="008C2DB5"/>
    <w:rsid w:val="008C336A"/>
    <w:rsid w:val="008C38E7"/>
    <w:rsid w:val="008C48E8"/>
    <w:rsid w:val="008C4F70"/>
    <w:rsid w:val="008C5483"/>
    <w:rsid w:val="008C567B"/>
    <w:rsid w:val="008C6159"/>
    <w:rsid w:val="008C6BFC"/>
    <w:rsid w:val="008C6EAA"/>
    <w:rsid w:val="008C7B2D"/>
    <w:rsid w:val="008C7E14"/>
    <w:rsid w:val="008D1090"/>
    <w:rsid w:val="008D10F6"/>
    <w:rsid w:val="008D1360"/>
    <w:rsid w:val="008D13F9"/>
    <w:rsid w:val="008D1782"/>
    <w:rsid w:val="008D1CBD"/>
    <w:rsid w:val="008D1F05"/>
    <w:rsid w:val="008D20C5"/>
    <w:rsid w:val="008D2649"/>
    <w:rsid w:val="008D2A64"/>
    <w:rsid w:val="008D2F4A"/>
    <w:rsid w:val="008D3577"/>
    <w:rsid w:val="008D3801"/>
    <w:rsid w:val="008D3A86"/>
    <w:rsid w:val="008D3EB8"/>
    <w:rsid w:val="008D49ED"/>
    <w:rsid w:val="008D4E01"/>
    <w:rsid w:val="008D53EC"/>
    <w:rsid w:val="008D565A"/>
    <w:rsid w:val="008D6650"/>
    <w:rsid w:val="008D670C"/>
    <w:rsid w:val="008D7018"/>
    <w:rsid w:val="008D74FC"/>
    <w:rsid w:val="008D78D9"/>
    <w:rsid w:val="008D7C49"/>
    <w:rsid w:val="008D7F01"/>
    <w:rsid w:val="008E01D5"/>
    <w:rsid w:val="008E0D9A"/>
    <w:rsid w:val="008E0E76"/>
    <w:rsid w:val="008E0E9B"/>
    <w:rsid w:val="008E2C00"/>
    <w:rsid w:val="008E2F75"/>
    <w:rsid w:val="008E3231"/>
    <w:rsid w:val="008E34E7"/>
    <w:rsid w:val="008E3AB0"/>
    <w:rsid w:val="008E3D5B"/>
    <w:rsid w:val="008E4D6D"/>
    <w:rsid w:val="008E50FB"/>
    <w:rsid w:val="008E5486"/>
    <w:rsid w:val="008E55FA"/>
    <w:rsid w:val="008E575C"/>
    <w:rsid w:val="008E598F"/>
    <w:rsid w:val="008E5A7D"/>
    <w:rsid w:val="008E5CAD"/>
    <w:rsid w:val="008E6B26"/>
    <w:rsid w:val="008E6DC4"/>
    <w:rsid w:val="008E6F04"/>
    <w:rsid w:val="008E7B8D"/>
    <w:rsid w:val="008F0286"/>
    <w:rsid w:val="008F0DC4"/>
    <w:rsid w:val="008F1184"/>
    <w:rsid w:val="008F193A"/>
    <w:rsid w:val="008F214A"/>
    <w:rsid w:val="008F25BF"/>
    <w:rsid w:val="008F338D"/>
    <w:rsid w:val="008F3E31"/>
    <w:rsid w:val="008F4DC3"/>
    <w:rsid w:val="008F5021"/>
    <w:rsid w:val="008F59F2"/>
    <w:rsid w:val="008F666E"/>
    <w:rsid w:val="008F67AD"/>
    <w:rsid w:val="008F6CAD"/>
    <w:rsid w:val="008F6F87"/>
    <w:rsid w:val="008F715D"/>
    <w:rsid w:val="008F7410"/>
    <w:rsid w:val="008F79E7"/>
    <w:rsid w:val="0090157C"/>
    <w:rsid w:val="009017A8"/>
    <w:rsid w:val="00901B4C"/>
    <w:rsid w:val="00901FD8"/>
    <w:rsid w:val="00901FFD"/>
    <w:rsid w:val="0090350F"/>
    <w:rsid w:val="00903868"/>
    <w:rsid w:val="00903CFF"/>
    <w:rsid w:val="00904217"/>
    <w:rsid w:val="0090454E"/>
    <w:rsid w:val="009051CA"/>
    <w:rsid w:val="009055DF"/>
    <w:rsid w:val="0090636C"/>
    <w:rsid w:val="00906422"/>
    <w:rsid w:val="00906574"/>
    <w:rsid w:val="00906738"/>
    <w:rsid w:val="00906B9C"/>
    <w:rsid w:val="00907021"/>
    <w:rsid w:val="009076C3"/>
    <w:rsid w:val="009076F9"/>
    <w:rsid w:val="00907AE2"/>
    <w:rsid w:val="00907C5A"/>
    <w:rsid w:val="009100D2"/>
    <w:rsid w:val="00910327"/>
    <w:rsid w:val="00911C51"/>
    <w:rsid w:val="00911CC5"/>
    <w:rsid w:val="009124A7"/>
    <w:rsid w:val="009125A2"/>
    <w:rsid w:val="00912B48"/>
    <w:rsid w:val="00913C8E"/>
    <w:rsid w:val="009149A8"/>
    <w:rsid w:val="00914C40"/>
    <w:rsid w:val="00914D0E"/>
    <w:rsid w:val="00914D47"/>
    <w:rsid w:val="00915494"/>
    <w:rsid w:val="009158D4"/>
    <w:rsid w:val="00915A5A"/>
    <w:rsid w:val="00915E4E"/>
    <w:rsid w:val="00916D72"/>
    <w:rsid w:val="00916F1A"/>
    <w:rsid w:val="00916FC8"/>
    <w:rsid w:val="009174C3"/>
    <w:rsid w:val="00917664"/>
    <w:rsid w:val="00917997"/>
    <w:rsid w:val="00920B30"/>
    <w:rsid w:val="00920C7D"/>
    <w:rsid w:val="009215A3"/>
    <w:rsid w:val="00921694"/>
    <w:rsid w:val="00921C2F"/>
    <w:rsid w:val="00921FB0"/>
    <w:rsid w:val="00922FB8"/>
    <w:rsid w:val="009230BC"/>
    <w:rsid w:val="00923291"/>
    <w:rsid w:val="00923600"/>
    <w:rsid w:val="00923FB1"/>
    <w:rsid w:val="00924387"/>
    <w:rsid w:val="0092440C"/>
    <w:rsid w:val="00924A3F"/>
    <w:rsid w:val="00924A7B"/>
    <w:rsid w:val="00924BE6"/>
    <w:rsid w:val="00924FAE"/>
    <w:rsid w:val="00925423"/>
    <w:rsid w:val="00925500"/>
    <w:rsid w:val="00925C65"/>
    <w:rsid w:val="00926B8E"/>
    <w:rsid w:val="0092716E"/>
    <w:rsid w:val="00927D10"/>
    <w:rsid w:val="009300BB"/>
    <w:rsid w:val="00930572"/>
    <w:rsid w:val="00930AE6"/>
    <w:rsid w:val="0093100D"/>
    <w:rsid w:val="00931384"/>
    <w:rsid w:val="00932261"/>
    <w:rsid w:val="0093267B"/>
    <w:rsid w:val="00933295"/>
    <w:rsid w:val="009335E5"/>
    <w:rsid w:val="0093376C"/>
    <w:rsid w:val="0093387D"/>
    <w:rsid w:val="00933D05"/>
    <w:rsid w:val="00934683"/>
    <w:rsid w:val="00934C7D"/>
    <w:rsid w:val="00934FAF"/>
    <w:rsid w:val="009355EF"/>
    <w:rsid w:val="00935640"/>
    <w:rsid w:val="00935E0C"/>
    <w:rsid w:val="0093612E"/>
    <w:rsid w:val="009364D4"/>
    <w:rsid w:val="0094032D"/>
    <w:rsid w:val="009406EF"/>
    <w:rsid w:val="009407D1"/>
    <w:rsid w:val="00940DFD"/>
    <w:rsid w:val="00940EC4"/>
    <w:rsid w:val="00941EA4"/>
    <w:rsid w:val="00942220"/>
    <w:rsid w:val="009422FC"/>
    <w:rsid w:val="009428BE"/>
    <w:rsid w:val="00942B56"/>
    <w:rsid w:val="00942EBE"/>
    <w:rsid w:val="009435F2"/>
    <w:rsid w:val="00944674"/>
    <w:rsid w:val="00944753"/>
    <w:rsid w:val="009449DD"/>
    <w:rsid w:val="009454FE"/>
    <w:rsid w:val="009455AD"/>
    <w:rsid w:val="00945EDD"/>
    <w:rsid w:val="00946464"/>
    <w:rsid w:val="00946AE8"/>
    <w:rsid w:val="00946BE9"/>
    <w:rsid w:val="00947041"/>
    <w:rsid w:val="009479D0"/>
    <w:rsid w:val="00947A36"/>
    <w:rsid w:val="00947B34"/>
    <w:rsid w:val="00947CBC"/>
    <w:rsid w:val="0095019A"/>
    <w:rsid w:val="00950554"/>
    <w:rsid w:val="009506CC"/>
    <w:rsid w:val="00950DAF"/>
    <w:rsid w:val="00950E22"/>
    <w:rsid w:val="00950F5D"/>
    <w:rsid w:val="00951547"/>
    <w:rsid w:val="0095201F"/>
    <w:rsid w:val="00952133"/>
    <w:rsid w:val="00952781"/>
    <w:rsid w:val="00952DFD"/>
    <w:rsid w:val="009530C8"/>
    <w:rsid w:val="009537CE"/>
    <w:rsid w:val="00953997"/>
    <w:rsid w:val="00953A5D"/>
    <w:rsid w:val="009542F0"/>
    <w:rsid w:val="009545BF"/>
    <w:rsid w:val="009547C6"/>
    <w:rsid w:val="0095483A"/>
    <w:rsid w:val="00954B59"/>
    <w:rsid w:val="00954B84"/>
    <w:rsid w:val="009553BD"/>
    <w:rsid w:val="0095551D"/>
    <w:rsid w:val="00955557"/>
    <w:rsid w:val="0095654A"/>
    <w:rsid w:val="00956A6E"/>
    <w:rsid w:val="00956B5C"/>
    <w:rsid w:val="00956BA1"/>
    <w:rsid w:val="0095745C"/>
    <w:rsid w:val="0095754B"/>
    <w:rsid w:val="00957CF8"/>
    <w:rsid w:val="00960E1C"/>
    <w:rsid w:val="00961153"/>
    <w:rsid w:val="009618B8"/>
    <w:rsid w:val="009620B1"/>
    <w:rsid w:val="0096358E"/>
    <w:rsid w:val="00963975"/>
    <w:rsid w:val="00963B41"/>
    <w:rsid w:val="009642F7"/>
    <w:rsid w:val="0096579A"/>
    <w:rsid w:val="00965C12"/>
    <w:rsid w:val="00965CE2"/>
    <w:rsid w:val="00965D9F"/>
    <w:rsid w:val="0096695E"/>
    <w:rsid w:val="00966A69"/>
    <w:rsid w:val="00966A7E"/>
    <w:rsid w:val="00966B8B"/>
    <w:rsid w:val="00966BB6"/>
    <w:rsid w:val="00966DCF"/>
    <w:rsid w:val="009671D2"/>
    <w:rsid w:val="00967A60"/>
    <w:rsid w:val="00967CFD"/>
    <w:rsid w:val="00967E6D"/>
    <w:rsid w:val="00967E8B"/>
    <w:rsid w:val="00970F11"/>
    <w:rsid w:val="009710B8"/>
    <w:rsid w:val="0097190E"/>
    <w:rsid w:val="00971D5E"/>
    <w:rsid w:val="009728F7"/>
    <w:rsid w:val="00972A55"/>
    <w:rsid w:val="00972BC9"/>
    <w:rsid w:val="00972CC4"/>
    <w:rsid w:val="00972ED9"/>
    <w:rsid w:val="0097342D"/>
    <w:rsid w:val="0097383E"/>
    <w:rsid w:val="0097387E"/>
    <w:rsid w:val="00973AB7"/>
    <w:rsid w:val="00974252"/>
    <w:rsid w:val="00974344"/>
    <w:rsid w:val="00974A5A"/>
    <w:rsid w:val="00974A77"/>
    <w:rsid w:val="00974D9D"/>
    <w:rsid w:val="00974DA3"/>
    <w:rsid w:val="009752CC"/>
    <w:rsid w:val="009754AC"/>
    <w:rsid w:val="009754EE"/>
    <w:rsid w:val="0097687E"/>
    <w:rsid w:val="009769FE"/>
    <w:rsid w:val="00976CD5"/>
    <w:rsid w:val="00977586"/>
    <w:rsid w:val="00977936"/>
    <w:rsid w:val="00977C3A"/>
    <w:rsid w:val="00977C4F"/>
    <w:rsid w:val="00977E3E"/>
    <w:rsid w:val="009804B2"/>
    <w:rsid w:val="00982112"/>
    <w:rsid w:val="00983125"/>
    <w:rsid w:val="00983779"/>
    <w:rsid w:val="0098461D"/>
    <w:rsid w:val="00984931"/>
    <w:rsid w:val="00985640"/>
    <w:rsid w:val="00985D97"/>
    <w:rsid w:val="00986707"/>
    <w:rsid w:val="00986D45"/>
    <w:rsid w:val="00986F57"/>
    <w:rsid w:val="009907C0"/>
    <w:rsid w:val="009921F0"/>
    <w:rsid w:val="00992474"/>
    <w:rsid w:val="009939F2"/>
    <w:rsid w:val="0099428A"/>
    <w:rsid w:val="009944A5"/>
    <w:rsid w:val="009945B4"/>
    <w:rsid w:val="00994823"/>
    <w:rsid w:val="00994909"/>
    <w:rsid w:val="00994E28"/>
    <w:rsid w:val="00995A6C"/>
    <w:rsid w:val="00995B8F"/>
    <w:rsid w:val="009960EB"/>
    <w:rsid w:val="00996373"/>
    <w:rsid w:val="00996C37"/>
    <w:rsid w:val="009972E8"/>
    <w:rsid w:val="009974A2"/>
    <w:rsid w:val="009976C7"/>
    <w:rsid w:val="00997B1E"/>
    <w:rsid w:val="00997BF7"/>
    <w:rsid w:val="00997C73"/>
    <w:rsid w:val="009A0057"/>
    <w:rsid w:val="009A0ACF"/>
    <w:rsid w:val="009A0B9E"/>
    <w:rsid w:val="009A10F0"/>
    <w:rsid w:val="009A14A0"/>
    <w:rsid w:val="009A1779"/>
    <w:rsid w:val="009A206B"/>
    <w:rsid w:val="009A2435"/>
    <w:rsid w:val="009A2BA2"/>
    <w:rsid w:val="009A2E10"/>
    <w:rsid w:val="009A3CBF"/>
    <w:rsid w:val="009A3DB3"/>
    <w:rsid w:val="009A3E84"/>
    <w:rsid w:val="009A4470"/>
    <w:rsid w:val="009A4F43"/>
    <w:rsid w:val="009A533B"/>
    <w:rsid w:val="009A57B8"/>
    <w:rsid w:val="009A57E8"/>
    <w:rsid w:val="009A58D1"/>
    <w:rsid w:val="009A5C63"/>
    <w:rsid w:val="009A65CE"/>
    <w:rsid w:val="009A6749"/>
    <w:rsid w:val="009A6953"/>
    <w:rsid w:val="009A73BE"/>
    <w:rsid w:val="009A7CED"/>
    <w:rsid w:val="009A7DD0"/>
    <w:rsid w:val="009B0237"/>
    <w:rsid w:val="009B0987"/>
    <w:rsid w:val="009B0C0D"/>
    <w:rsid w:val="009B0E98"/>
    <w:rsid w:val="009B1344"/>
    <w:rsid w:val="009B16C1"/>
    <w:rsid w:val="009B24AA"/>
    <w:rsid w:val="009B2530"/>
    <w:rsid w:val="009B2B53"/>
    <w:rsid w:val="009B2DB7"/>
    <w:rsid w:val="009B367C"/>
    <w:rsid w:val="009B38AA"/>
    <w:rsid w:val="009B4443"/>
    <w:rsid w:val="009B44F2"/>
    <w:rsid w:val="009B4E90"/>
    <w:rsid w:val="009B50F3"/>
    <w:rsid w:val="009B5FEC"/>
    <w:rsid w:val="009B6296"/>
    <w:rsid w:val="009B6419"/>
    <w:rsid w:val="009B6FA0"/>
    <w:rsid w:val="009B72DB"/>
    <w:rsid w:val="009B74C4"/>
    <w:rsid w:val="009B74F0"/>
    <w:rsid w:val="009B7B96"/>
    <w:rsid w:val="009B7BB7"/>
    <w:rsid w:val="009B7BD4"/>
    <w:rsid w:val="009C01D6"/>
    <w:rsid w:val="009C0568"/>
    <w:rsid w:val="009C06A2"/>
    <w:rsid w:val="009C06CB"/>
    <w:rsid w:val="009C0702"/>
    <w:rsid w:val="009C0742"/>
    <w:rsid w:val="009C0A34"/>
    <w:rsid w:val="009C0E15"/>
    <w:rsid w:val="009C113A"/>
    <w:rsid w:val="009C12F4"/>
    <w:rsid w:val="009C1C49"/>
    <w:rsid w:val="009C1C88"/>
    <w:rsid w:val="009C1FD5"/>
    <w:rsid w:val="009C2038"/>
    <w:rsid w:val="009C235A"/>
    <w:rsid w:val="009C27A0"/>
    <w:rsid w:val="009C2924"/>
    <w:rsid w:val="009C3357"/>
    <w:rsid w:val="009C3742"/>
    <w:rsid w:val="009C3909"/>
    <w:rsid w:val="009C3912"/>
    <w:rsid w:val="009C3A92"/>
    <w:rsid w:val="009C3AC3"/>
    <w:rsid w:val="009C415C"/>
    <w:rsid w:val="009C4563"/>
    <w:rsid w:val="009C463C"/>
    <w:rsid w:val="009C4F0D"/>
    <w:rsid w:val="009C5066"/>
    <w:rsid w:val="009C5198"/>
    <w:rsid w:val="009C566D"/>
    <w:rsid w:val="009C5EEB"/>
    <w:rsid w:val="009C6045"/>
    <w:rsid w:val="009C6127"/>
    <w:rsid w:val="009C66A6"/>
    <w:rsid w:val="009C6FB4"/>
    <w:rsid w:val="009C7718"/>
    <w:rsid w:val="009D0540"/>
    <w:rsid w:val="009D05F7"/>
    <w:rsid w:val="009D0A93"/>
    <w:rsid w:val="009D0B01"/>
    <w:rsid w:val="009D0D38"/>
    <w:rsid w:val="009D1280"/>
    <w:rsid w:val="009D1617"/>
    <w:rsid w:val="009D1F80"/>
    <w:rsid w:val="009D22CF"/>
    <w:rsid w:val="009D3058"/>
    <w:rsid w:val="009D343D"/>
    <w:rsid w:val="009D35BA"/>
    <w:rsid w:val="009D36C3"/>
    <w:rsid w:val="009D412B"/>
    <w:rsid w:val="009D4398"/>
    <w:rsid w:val="009D5368"/>
    <w:rsid w:val="009D65A2"/>
    <w:rsid w:val="009D66A4"/>
    <w:rsid w:val="009D6E92"/>
    <w:rsid w:val="009D7823"/>
    <w:rsid w:val="009D7980"/>
    <w:rsid w:val="009D7B81"/>
    <w:rsid w:val="009E0A84"/>
    <w:rsid w:val="009E0B4B"/>
    <w:rsid w:val="009E12E4"/>
    <w:rsid w:val="009E1A2A"/>
    <w:rsid w:val="009E1E67"/>
    <w:rsid w:val="009E1F88"/>
    <w:rsid w:val="009E215B"/>
    <w:rsid w:val="009E33CC"/>
    <w:rsid w:val="009E3431"/>
    <w:rsid w:val="009E38AD"/>
    <w:rsid w:val="009E3988"/>
    <w:rsid w:val="009E3AE2"/>
    <w:rsid w:val="009E3E2C"/>
    <w:rsid w:val="009E41B4"/>
    <w:rsid w:val="009E41F0"/>
    <w:rsid w:val="009E5175"/>
    <w:rsid w:val="009E51E3"/>
    <w:rsid w:val="009E5FD7"/>
    <w:rsid w:val="009E67E1"/>
    <w:rsid w:val="009E6BC3"/>
    <w:rsid w:val="009E6F36"/>
    <w:rsid w:val="009E71DC"/>
    <w:rsid w:val="009F04EF"/>
    <w:rsid w:val="009F058D"/>
    <w:rsid w:val="009F06A8"/>
    <w:rsid w:val="009F09D8"/>
    <w:rsid w:val="009F2B87"/>
    <w:rsid w:val="009F3098"/>
    <w:rsid w:val="009F3177"/>
    <w:rsid w:val="009F4E01"/>
    <w:rsid w:val="009F4FD6"/>
    <w:rsid w:val="009F5013"/>
    <w:rsid w:val="009F591E"/>
    <w:rsid w:val="009F5939"/>
    <w:rsid w:val="009F627C"/>
    <w:rsid w:val="009F6357"/>
    <w:rsid w:val="009F66E3"/>
    <w:rsid w:val="009F6B1A"/>
    <w:rsid w:val="009F6F2A"/>
    <w:rsid w:val="009F7630"/>
    <w:rsid w:val="009F795A"/>
    <w:rsid w:val="009F7BA2"/>
    <w:rsid w:val="00A00228"/>
    <w:rsid w:val="00A00498"/>
    <w:rsid w:val="00A004B0"/>
    <w:rsid w:val="00A00611"/>
    <w:rsid w:val="00A009EB"/>
    <w:rsid w:val="00A00F5D"/>
    <w:rsid w:val="00A01118"/>
    <w:rsid w:val="00A012E3"/>
    <w:rsid w:val="00A01334"/>
    <w:rsid w:val="00A01FD3"/>
    <w:rsid w:val="00A023C4"/>
    <w:rsid w:val="00A027AF"/>
    <w:rsid w:val="00A02B3A"/>
    <w:rsid w:val="00A03348"/>
    <w:rsid w:val="00A03974"/>
    <w:rsid w:val="00A0399C"/>
    <w:rsid w:val="00A03A3E"/>
    <w:rsid w:val="00A05053"/>
    <w:rsid w:val="00A050A5"/>
    <w:rsid w:val="00A050BB"/>
    <w:rsid w:val="00A052A0"/>
    <w:rsid w:val="00A060A3"/>
    <w:rsid w:val="00A06105"/>
    <w:rsid w:val="00A063A7"/>
    <w:rsid w:val="00A077C9"/>
    <w:rsid w:val="00A0788A"/>
    <w:rsid w:val="00A07DD7"/>
    <w:rsid w:val="00A1051B"/>
    <w:rsid w:val="00A116A5"/>
    <w:rsid w:val="00A1179F"/>
    <w:rsid w:val="00A11FDE"/>
    <w:rsid w:val="00A1277D"/>
    <w:rsid w:val="00A137C7"/>
    <w:rsid w:val="00A13958"/>
    <w:rsid w:val="00A13A9F"/>
    <w:rsid w:val="00A14279"/>
    <w:rsid w:val="00A1432D"/>
    <w:rsid w:val="00A1465C"/>
    <w:rsid w:val="00A14A35"/>
    <w:rsid w:val="00A14FFA"/>
    <w:rsid w:val="00A14FFB"/>
    <w:rsid w:val="00A153F0"/>
    <w:rsid w:val="00A158DD"/>
    <w:rsid w:val="00A15DBB"/>
    <w:rsid w:val="00A16DD2"/>
    <w:rsid w:val="00A1751B"/>
    <w:rsid w:val="00A177B1"/>
    <w:rsid w:val="00A17E81"/>
    <w:rsid w:val="00A17F97"/>
    <w:rsid w:val="00A20D1C"/>
    <w:rsid w:val="00A20F1E"/>
    <w:rsid w:val="00A2183D"/>
    <w:rsid w:val="00A21BD5"/>
    <w:rsid w:val="00A221EC"/>
    <w:rsid w:val="00A223D2"/>
    <w:rsid w:val="00A227FB"/>
    <w:rsid w:val="00A228F8"/>
    <w:rsid w:val="00A22BAB"/>
    <w:rsid w:val="00A23374"/>
    <w:rsid w:val="00A236E3"/>
    <w:rsid w:val="00A23986"/>
    <w:rsid w:val="00A23DEB"/>
    <w:rsid w:val="00A24649"/>
    <w:rsid w:val="00A24F1F"/>
    <w:rsid w:val="00A259B1"/>
    <w:rsid w:val="00A25C2F"/>
    <w:rsid w:val="00A25F36"/>
    <w:rsid w:val="00A26123"/>
    <w:rsid w:val="00A27203"/>
    <w:rsid w:val="00A27821"/>
    <w:rsid w:val="00A2796E"/>
    <w:rsid w:val="00A30CA3"/>
    <w:rsid w:val="00A30D33"/>
    <w:rsid w:val="00A31A47"/>
    <w:rsid w:val="00A31C68"/>
    <w:rsid w:val="00A3240E"/>
    <w:rsid w:val="00A32464"/>
    <w:rsid w:val="00A335C1"/>
    <w:rsid w:val="00A337F8"/>
    <w:rsid w:val="00A3413F"/>
    <w:rsid w:val="00A351FB"/>
    <w:rsid w:val="00A3626F"/>
    <w:rsid w:val="00A3645E"/>
    <w:rsid w:val="00A36692"/>
    <w:rsid w:val="00A373A9"/>
    <w:rsid w:val="00A376D0"/>
    <w:rsid w:val="00A3775C"/>
    <w:rsid w:val="00A3776F"/>
    <w:rsid w:val="00A377B8"/>
    <w:rsid w:val="00A37874"/>
    <w:rsid w:val="00A40041"/>
    <w:rsid w:val="00A406F2"/>
    <w:rsid w:val="00A4086D"/>
    <w:rsid w:val="00A40A79"/>
    <w:rsid w:val="00A415B4"/>
    <w:rsid w:val="00A41A0E"/>
    <w:rsid w:val="00A4258A"/>
    <w:rsid w:val="00A4279D"/>
    <w:rsid w:val="00A428D9"/>
    <w:rsid w:val="00A42FEC"/>
    <w:rsid w:val="00A43150"/>
    <w:rsid w:val="00A43A33"/>
    <w:rsid w:val="00A43D93"/>
    <w:rsid w:val="00A43EBA"/>
    <w:rsid w:val="00A43EC0"/>
    <w:rsid w:val="00A43FA5"/>
    <w:rsid w:val="00A441B5"/>
    <w:rsid w:val="00A44521"/>
    <w:rsid w:val="00A44782"/>
    <w:rsid w:val="00A451A2"/>
    <w:rsid w:val="00A452B7"/>
    <w:rsid w:val="00A455B2"/>
    <w:rsid w:val="00A45747"/>
    <w:rsid w:val="00A45833"/>
    <w:rsid w:val="00A45B26"/>
    <w:rsid w:val="00A45C01"/>
    <w:rsid w:val="00A46051"/>
    <w:rsid w:val="00A46C98"/>
    <w:rsid w:val="00A46E6F"/>
    <w:rsid w:val="00A47BD3"/>
    <w:rsid w:val="00A503A3"/>
    <w:rsid w:val="00A50C2F"/>
    <w:rsid w:val="00A50F4C"/>
    <w:rsid w:val="00A51464"/>
    <w:rsid w:val="00A515DF"/>
    <w:rsid w:val="00A51622"/>
    <w:rsid w:val="00A51E21"/>
    <w:rsid w:val="00A5244D"/>
    <w:rsid w:val="00A53C06"/>
    <w:rsid w:val="00A5434A"/>
    <w:rsid w:val="00A54FCB"/>
    <w:rsid w:val="00A55027"/>
    <w:rsid w:val="00A55BFF"/>
    <w:rsid w:val="00A561DC"/>
    <w:rsid w:val="00A56A31"/>
    <w:rsid w:val="00A56A76"/>
    <w:rsid w:val="00A5747A"/>
    <w:rsid w:val="00A575DF"/>
    <w:rsid w:val="00A57A00"/>
    <w:rsid w:val="00A57B0D"/>
    <w:rsid w:val="00A604D2"/>
    <w:rsid w:val="00A60938"/>
    <w:rsid w:val="00A60A22"/>
    <w:rsid w:val="00A60AE2"/>
    <w:rsid w:val="00A60BBC"/>
    <w:rsid w:val="00A60F92"/>
    <w:rsid w:val="00A612ED"/>
    <w:rsid w:val="00A61662"/>
    <w:rsid w:val="00A623FF"/>
    <w:rsid w:val="00A62CB3"/>
    <w:rsid w:val="00A633EE"/>
    <w:rsid w:val="00A63586"/>
    <w:rsid w:val="00A6414D"/>
    <w:rsid w:val="00A6457D"/>
    <w:rsid w:val="00A656C8"/>
    <w:rsid w:val="00A65809"/>
    <w:rsid w:val="00A66667"/>
    <w:rsid w:val="00A672F5"/>
    <w:rsid w:val="00A67896"/>
    <w:rsid w:val="00A6797D"/>
    <w:rsid w:val="00A67A95"/>
    <w:rsid w:val="00A67D39"/>
    <w:rsid w:val="00A67F3C"/>
    <w:rsid w:val="00A706B3"/>
    <w:rsid w:val="00A70940"/>
    <w:rsid w:val="00A70D0D"/>
    <w:rsid w:val="00A710D7"/>
    <w:rsid w:val="00A71436"/>
    <w:rsid w:val="00A715DB"/>
    <w:rsid w:val="00A71D2D"/>
    <w:rsid w:val="00A72AC5"/>
    <w:rsid w:val="00A72C30"/>
    <w:rsid w:val="00A72DBB"/>
    <w:rsid w:val="00A72EB8"/>
    <w:rsid w:val="00A72F45"/>
    <w:rsid w:val="00A7372C"/>
    <w:rsid w:val="00A73EBA"/>
    <w:rsid w:val="00A7434B"/>
    <w:rsid w:val="00A74539"/>
    <w:rsid w:val="00A749AF"/>
    <w:rsid w:val="00A754E2"/>
    <w:rsid w:val="00A755AD"/>
    <w:rsid w:val="00A757E3"/>
    <w:rsid w:val="00A75BF7"/>
    <w:rsid w:val="00A75C3C"/>
    <w:rsid w:val="00A7662A"/>
    <w:rsid w:val="00A77450"/>
    <w:rsid w:val="00A77F66"/>
    <w:rsid w:val="00A8000E"/>
    <w:rsid w:val="00A80120"/>
    <w:rsid w:val="00A8048B"/>
    <w:rsid w:val="00A8076C"/>
    <w:rsid w:val="00A8094A"/>
    <w:rsid w:val="00A80CA6"/>
    <w:rsid w:val="00A80EA3"/>
    <w:rsid w:val="00A811F4"/>
    <w:rsid w:val="00A8145B"/>
    <w:rsid w:val="00A81675"/>
    <w:rsid w:val="00A81E82"/>
    <w:rsid w:val="00A82EC1"/>
    <w:rsid w:val="00A830AA"/>
    <w:rsid w:val="00A83429"/>
    <w:rsid w:val="00A838C9"/>
    <w:rsid w:val="00A841D1"/>
    <w:rsid w:val="00A84895"/>
    <w:rsid w:val="00A8489E"/>
    <w:rsid w:val="00A8553F"/>
    <w:rsid w:val="00A8565D"/>
    <w:rsid w:val="00A8572D"/>
    <w:rsid w:val="00A858B0"/>
    <w:rsid w:val="00A85D24"/>
    <w:rsid w:val="00A85DD1"/>
    <w:rsid w:val="00A861E1"/>
    <w:rsid w:val="00A86A56"/>
    <w:rsid w:val="00A86BAB"/>
    <w:rsid w:val="00A8774E"/>
    <w:rsid w:val="00A906BA"/>
    <w:rsid w:val="00A90816"/>
    <w:rsid w:val="00A90B47"/>
    <w:rsid w:val="00A91059"/>
    <w:rsid w:val="00A92CF8"/>
    <w:rsid w:val="00A92E66"/>
    <w:rsid w:val="00A93088"/>
    <w:rsid w:val="00A931A1"/>
    <w:rsid w:val="00A935FF"/>
    <w:rsid w:val="00A93812"/>
    <w:rsid w:val="00A9400E"/>
    <w:rsid w:val="00A943D2"/>
    <w:rsid w:val="00A94704"/>
    <w:rsid w:val="00A94F0F"/>
    <w:rsid w:val="00A95C72"/>
    <w:rsid w:val="00A96111"/>
    <w:rsid w:val="00A96518"/>
    <w:rsid w:val="00A96781"/>
    <w:rsid w:val="00A969AB"/>
    <w:rsid w:val="00A97281"/>
    <w:rsid w:val="00AA02D5"/>
    <w:rsid w:val="00AA0949"/>
    <w:rsid w:val="00AA0E80"/>
    <w:rsid w:val="00AA0EFB"/>
    <w:rsid w:val="00AA0FCA"/>
    <w:rsid w:val="00AA1325"/>
    <w:rsid w:val="00AA2221"/>
    <w:rsid w:val="00AA3075"/>
    <w:rsid w:val="00AA3A38"/>
    <w:rsid w:val="00AA3CE8"/>
    <w:rsid w:val="00AA4804"/>
    <w:rsid w:val="00AA4A19"/>
    <w:rsid w:val="00AA4C61"/>
    <w:rsid w:val="00AA4CB1"/>
    <w:rsid w:val="00AA57EB"/>
    <w:rsid w:val="00AA5C2C"/>
    <w:rsid w:val="00AA6414"/>
    <w:rsid w:val="00AA6479"/>
    <w:rsid w:val="00AA666B"/>
    <w:rsid w:val="00AA66C5"/>
    <w:rsid w:val="00AA6B3E"/>
    <w:rsid w:val="00AA7172"/>
    <w:rsid w:val="00AA76AF"/>
    <w:rsid w:val="00AB057A"/>
    <w:rsid w:val="00AB0896"/>
    <w:rsid w:val="00AB0A91"/>
    <w:rsid w:val="00AB12C0"/>
    <w:rsid w:val="00AB169C"/>
    <w:rsid w:val="00AB1F3F"/>
    <w:rsid w:val="00AB2223"/>
    <w:rsid w:val="00AB2473"/>
    <w:rsid w:val="00AB2CF6"/>
    <w:rsid w:val="00AB2E2C"/>
    <w:rsid w:val="00AB4D95"/>
    <w:rsid w:val="00AB565C"/>
    <w:rsid w:val="00AB5DC6"/>
    <w:rsid w:val="00AB6262"/>
    <w:rsid w:val="00AB6BA9"/>
    <w:rsid w:val="00AB78DA"/>
    <w:rsid w:val="00AB7E02"/>
    <w:rsid w:val="00AB7FB7"/>
    <w:rsid w:val="00AC01F3"/>
    <w:rsid w:val="00AC0ACD"/>
    <w:rsid w:val="00AC0AFB"/>
    <w:rsid w:val="00AC12F5"/>
    <w:rsid w:val="00AC16F3"/>
    <w:rsid w:val="00AC1850"/>
    <w:rsid w:val="00AC1916"/>
    <w:rsid w:val="00AC2110"/>
    <w:rsid w:val="00AC2C77"/>
    <w:rsid w:val="00AC2EBF"/>
    <w:rsid w:val="00AC3103"/>
    <w:rsid w:val="00AC35CB"/>
    <w:rsid w:val="00AC3A21"/>
    <w:rsid w:val="00AC3D8D"/>
    <w:rsid w:val="00AC4034"/>
    <w:rsid w:val="00AC41EA"/>
    <w:rsid w:val="00AC4774"/>
    <w:rsid w:val="00AC480B"/>
    <w:rsid w:val="00AC50EC"/>
    <w:rsid w:val="00AC5B6B"/>
    <w:rsid w:val="00AC601A"/>
    <w:rsid w:val="00AC665B"/>
    <w:rsid w:val="00AC72EC"/>
    <w:rsid w:val="00AC75B2"/>
    <w:rsid w:val="00AC783B"/>
    <w:rsid w:val="00AD0B3B"/>
    <w:rsid w:val="00AD0CB7"/>
    <w:rsid w:val="00AD1483"/>
    <w:rsid w:val="00AD1CD5"/>
    <w:rsid w:val="00AD1D6F"/>
    <w:rsid w:val="00AD1F66"/>
    <w:rsid w:val="00AD20C3"/>
    <w:rsid w:val="00AD2123"/>
    <w:rsid w:val="00AD2158"/>
    <w:rsid w:val="00AD23BE"/>
    <w:rsid w:val="00AD2FF0"/>
    <w:rsid w:val="00AD3116"/>
    <w:rsid w:val="00AD3D9B"/>
    <w:rsid w:val="00AD42B2"/>
    <w:rsid w:val="00AD43D6"/>
    <w:rsid w:val="00AD4563"/>
    <w:rsid w:val="00AD48F0"/>
    <w:rsid w:val="00AD505C"/>
    <w:rsid w:val="00AD508F"/>
    <w:rsid w:val="00AD5B55"/>
    <w:rsid w:val="00AD5E9B"/>
    <w:rsid w:val="00AD60C1"/>
    <w:rsid w:val="00AD674F"/>
    <w:rsid w:val="00AD700E"/>
    <w:rsid w:val="00AD70AB"/>
    <w:rsid w:val="00AD7ACB"/>
    <w:rsid w:val="00AD7B23"/>
    <w:rsid w:val="00AD7DAC"/>
    <w:rsid w:val="00AE01A3"/>
    <w:rsid w:val="00AE0ACD"/>
    <w:rsid w:val="00AE0B58"/>
    <w:rsid w:val="00AE0E0A"/>
    <w:rsid w:val="00AE114B"/>
    <w:rsid w:val="00AE16F3"/>
    <w:rsid w:val="00AE24D9"/>
    <w:rsid w:val="00AE2F80"/>
    <w:rsid w:val="00AE30FF"/>
    <w:rsid w:val="00AE325C"/>
    <w:rsid w:val="00AE3919"/>
    <w:rsid w:val="00AE3D1E"/>
    <w:rsid w:val="00AE3EF1"/>
    <w:rsid w:val="00AE47AB"/>
    <w:rsid w:val="00AE4824"/>
    <w:rsid w:val="00AE49A3"/>
    <w:rsid w:val="00AE4DC7"/>
    <w:rsid w:val="00AE5276"/>
    <w:rsid w:val="00AE5A1B"/>
    <w:rsid w:val="00AE5B86"/>
    <w:rsid w:val="00AE6039"/>
    <w:rsid w:val="00AE661C"/>
    <w:rsid w:val="00AE6DBC"/>
    <w:rsid w:val="00AE7DE0"/>
    <w:rsid w:val="00AF0227"/>
    <w:rsid w:val="00AF0E8C"/>
    <w:rsid w:val="00AF107D"/>
    <w:rsid w:val="00AF148E"/>
    <w:rsid w:val="00AF2390"/>
    <w:rsid w:val="00AF24FD"/>
    <w:rsid w:val="00AF3001"/>
    <w:rsid w:val="00AF323D"/>
    <w:rsid w:val="00AF358C"/>
    <w:rsid w:val="00AF389B"/>
    <w:rsid w:val="00AF3DF9"/>
    <w:rsid w:val="00AF3FC1"/>
    <w:rsid w:val="00AF4BF9"/>
    <w:rsid w:val="00AF5205"/>
    <w:rsid w:val="00AF564F"/>
    <w:rsid w:val="00AF581C"/>
    <w:rsid w:val="00AF6281"/>
    <w:rsid w:val="00AF6689"/>
    <w:rsid w:val="00AF6E52"/>
    <w:rsid w:val="00AF6ED3"/>
    <w:rsid w:val="00AF7034"/>
    <w:rsid w:val="00AF70D6"/>
    <w:rsid w:val="00AF73BD"/>
    <w:rsid w:val="00B006E5"/>
    <w:rsid w:val="00B00F27"/>
    <w:rsid w:val="00B0117F"/>
    <w:rsid w:val="00B01393"/>
    <w:rsid w:val="00B01440"/>
    <w:rsid w:val="00B0171B"/>
    <w:rsid w:val="00B01B98"/>
    <w:rsid w:val="00B01F5B"/>
    <w:rsid w:val="00B02106"/>
    <w:rsid w:val="00B035C1"/>
    <w:rsid w:val="00B03988"/>
    <w:rsid w:val="00B0428C"/>
    <w:rsid w:val="00B04889"/>
    <w:rsid w:val="00B05D1C"/>
    <w:rsid w:val="00B05DC7"/>
    <w:rsid w:val="00B069DE"/>
    <w:rsid w:val="00B07419"/>
    <w:rsid w:val="00B105F4"/>
    <w:rsid w:val="00B1098B"/>
    <w:rsid w:val="00B123F4"/>
    <w:rsid w:val="00B12B1B"/>
    <w:rsid w:val="00B135B5"/>
    <w:rsid w:val="00B1396D"/>
    <w:rsid w:val="00B13EA6"/>
    <w:rsid w:val="00B142FA"/>
    <w:rsid w:val="00B1475B"/>
    <w:rsid w:val="00B15D19"/>
    <w:rsid w:val="00B17CB0"/>
    <w:rsid w:val="00B17EB0"/>
    <w:rsid w:val="00B17F07"/>
    <w:rsid w:val="00B20B33"/>
    <w:rsid w:val="00B20B94"/>
    <w:rsid w:val="00B2114D"/>
    <w:rsid w:val="00B21457"/>
    <w:rsid w:val="00B21944"/>
    <w:rsid w:val="00B21A2D"/>
    <w:rsid w:val="00B21A83"/>
    <w:rsid w:val="00B21AC5"/>
    <w:rsid w:val="00B21BF1"/>
    <w:rsid w:val="00B23050"/>
    <w:rsid w:val="00B23547"/>
    <w:rsid w:val="00B238B5"/>
    <w:rsid w:val="00B2393D"/>
    <w:rsid w:val="00B24259"/>
    <w:rsid w:val="00B24703"/>
    <w:rsid w:val="00B248E1"/>
    <w:rsid w:val="00B24987"/>
    <w:rsid w:val="00B24AE3"/>
    <w:rsid w:val="00B24D03"/>
    <w:rsid w:val="00B24DBA"/>
    <w:rsid w:val="00B25647"/>
    <w:rsid w:val="00B26120"/>
    <w:rsid w:val="00B2662B"/>
    <w:rsid w:val="00B26B55"/>
    <w:rsid w:val="00B26C44"/>
    <w:rsid w:val="00B26EB8"/>
    <w:rsid w:val="00B27324"/>
    <w:rsid w:val="00B3036C"/>
    <w:rsid w:val="00B30A95"/>
    <w:rsid w:val="00B31FCD"/>
    <w:rsid w:val="00B3210C"/>
    <w:rsid w:val="00B32416"/>
    <w:rsid w:val="00B328D9"/>
    <w:rsid w:val="00B32B56"/>
    <w:rsid w:val="00B3364C"/>
    <w:rsid w:val="00B33CEB"/>
    <w:rsid w:val="00B33E31"/>
    <w:rsid w:val="00B343FA"/>
    <w:rsid w:val="00B35103"/>
    <w:rsid w:val="00B35170"/>
    <w:rsid w:val="00B3530C"/>
    <w:rsid w:val="00B35323"/>
    <w:rsid w:val="00B354A1"/>
    <w:rsid w:val="00B355F8"/>
    <w:rsid w:val="00B3569D"/>
    <w:rsid w:val="00B35B96"/>
    <w:rsid w:val="00B35BB2"/>
    <w:rsid w:val="00B36AD8"/>
    <w:rsid w:val="00B36DB0"/>
    <w:rsid w:val="00B37225"/>
    <w:rsid w:val="00B37429"/>
    <w:rsid w:val="00B37AFB"/>
    <w:rsid w:val="00B40BB8"/>
    <w:rsid w:val="00B40ECA"/>
    <w:rsid w:val="00B41114"/>
    <w:rsid w:val="00B41172"/>
    <w:rsid w:val="00B413A6"/>
    <w:rsid w:val="00B41440"/>
    <w:rsid w:val="00B41727"/>
    <w:rsid w:val="00B427D5"/>
    <w:rsid w:val="00B43501"/>
    <w:rsid w:val="00B43723"/>
    <w:rsid w:val="00B43F18"/>
    <w:rsid w:val="00B44136"/>
    <w:rsid w:val="00B44744"/>
    <w:rsid w:val="00B44F7E"/>
    <w:rsid w:val="00B4524C"/>
    <w:rsid w:val="00B45453"/>
    <w:rsid w:val="00B45544"/>
    <w:rsid w:val="00B458FC"/>
    <w:rsid w:val="00B45E42"/>
    <w:rsid w:val="00B46455"/>
    <w:rsid w:val="00B50EB1"/>
    <w:rsid w:val="00B50F9B"/>
    <w:rsid w:val="00B512DB"/>
    <w:rsid w:val="00B51351"/>
    <w:rsid w:val="00B5174E"/>
    <w:rsid w:val="00B5179B"/>
    <w:rsid w:val="00B51BBD"/>
    <w:rsid w:val="00B5259E"/>
    <w:rsid w:val="00B52E0D"/>
    <w:rsid w:val="00B53336"/>
    <w:rsid w:val="00B53C1F"/>
    <w:rsid w:val="00B53C31"/>
    <w:rsid w:val="00B53F92"/>
    <w:rsid w:val="00B54044"/>
    <w:rsid w:val="00B54140"/>
    <w:rsid w:val="00B541A9"/>
    <w:rsid w:val="00B54203"/>
    <w:rsid w:val="00B5472E"/>
    <w:rsid w:val="00B55561"/>
    <w:rsid w:val="00B55E2A"/>
    <w:rsid w:val="00B5603E"/>
    <w:rsid w:val="00B563CB"/>
    <w:rsid w:val="00B56AB4"/>
    <w:rsid w:val="00B56DE2"/>
    <w:rsid w:val="00B57C65"/>
    <w:rsid w:val="00B57DCF"/>
    <w:rsid w:val="00B6064A"/>
    <w:rsid w:val="00B6161D"/>
    <w:rsid w:val="00B619AD"/>
    <w:rsid w:val="00B61FC7"/>
    <w:rsid w:val="00B6275E"/>
    <w:rsid w:val="00B627B9"/>
    <w:rsid w:val="00B62E4C"/>
    <w:rsid w:val="00B640C6"/>
    <w:rsid w:val="00B64C75"/>
    <w:rsid w:val="00B64CE7"/>
    <w:rsid w:val="00B65495"/>
    <w:rsid w:val="00B65539"/>
    <w:rsid w:val="00B65FEA"/>
    <w:rsid w:val="00B6603E"/>
    <w:rsid w:val="00B66D25"/>
    <w:rsid w:val="00B66D84"/>
    <w:rsid w:val="00B66FCB"/>
    <w:rsid w:val="00B67000"/>
    <w:rsid w:val="00B675BE"/>
    <w:rsid w:val="00B67CFE"/>
    <w:rsid w:val="00B67F01"/>
    <w:rsid w:val="00B70168"/>
    <w:rsid w:val="00B70403"/>
    <w:rsid w:val="00B7122F"/>
    <w:rsid w:val="00B7167D"/>
    <w:rsid w:val="00B71B39"/>
    <w:rsid w:val="00B72531"/>
    <w:rsid w:val="00B7272E"/>
    <w:rsid w:val="00B7290A"/>
    <w:rsid w:val="00B72BAF"/>
    <w:rsid w:val="00B72ECA"/>
    <w:rsid w:val="00B73010"/>
    <w:rsid w:val="00B73594"/>
    <w:rsid w:val="00B73E03"/>
    <w:rsid w:val="00B7463A"/>
    <w:rsid w:val="00B747DC"/>
    <w:rsid w:val="00B74A91"/>
    <w:rsid w:val="00B75EE7"/>
    <w:rsid w:val="00B7720F"/>
    <w:rsid w:val="00B77C06"/>
    <w:rsid w:val="00B77CA5"/>
    <w:rsid w:val="00B80278"/>
    <w:rsid w:val="00B803BC"/>
    <w:rsid w:val="00B810C7"/>
    <w:rsid w:val="00B8128E"/>
    <w:rsid w:val="00B81CE0"/>
    <w:rsid w:val="00B820FE"/>
    <w:rsid w:val="00B821C2"/>
    <w:rsid w:val="00B822F7"/>
    <w:rsid w:val="00B82511"/>
    <w:rsid w:val="00B826FE"/>
    <w:rsid w:val="00B8282C"/>
    <w:rsid w:val="00B82E1F"/>
    <w:rsid w:val="00B832FB"/>
    <w:rsid w:val="00B83D2C"/>
    <w:rsid w:val="00B84265"/>
    <w:rsid w:val="00B84F8D"/>
    <w:rsid w:val="00B851A8"/>
    <w:rsid w:val="00B851BE"/>
    <w:rsid w:val="00B8525C"/>
    <w:rsid w:val="00B852CE"/>
    <w:rsid w:val="00B85B9F"/>
    <w:rsid w:val="00B86147"/>
    <w:rsid w:val="00B862CA"/>
    <w:rsid w:val="00B87347"/>
    <w:rsid w:val="00B90E54"/>
    <w:rsid w:val="00B91F8A"/>
    <w:rsid w:val="00B92E9E"/>
    <w:rsid w:val="00B93273"/>
    <w:rsid w:val="00B938D7"/>
    <w:rsid w:val="00B9394E"/>
    <w:rsid w:val="00B93BB4"/>
    <w:rsid w:val="00B946C1"/>
    <w:rsid w:val="00B946D5"/>
    <w:rsid w:val="00B947B5"/>
    <w:rsid w:val="00B947E5"/>
    <w:rsid w:val="00B95208"/>
    <w:rsid w:val="00B9655B"/>
    <w:rsid w:val="00B96B0D"/>
    <w:rsid w:val="00B972F2"/>
    <w:rsid w:val="00B974FB"/>
    <w:rsid w:val="00BA029E"/>
    <w:rsid w:val="00BA0A62"/>
    <w:rsid w:val="00BA108D"/>
    <w:rsid w:val="00BA139E"/>
    <w:rsid w:val="00BA1976"/>
    <w:rsid w:val="00BA25BA"/>
    <w:rsid w:val="00BA275B"/>
    <w:rsid w:val="00BA2BA4"/>
    <w:rsid w:val="00BA2C20"/>
    <w:rsid w:val="00BA349D"/>
    <w:rsid w:val="00BA34C5"/>
    <w:rsid w:val="00BA46C0"/>
    <w:rsid w:val="00BA4752"/>
    <w:rsid w:val="00BA6E83"/>
    <w:rsid w:val="00BA7C4B"/>
    <w:rsid w:val="00BA7CD1"/>
    <w:rsid w:val="00BA7CF9"/>
    <w:rsid w:val="00BB08DC"/>
    <w:rsid w:val="00BB13F1"/>
    <w:rsid w:val="00BB1A78"/>
    <w:rsid w:val="00BB1D2D"/>
    <w:rsid w:val="00BB2248"/>
    <w:rsid w:val="00BB22E6"/>
    <w:rsid w:val="00BB2E76"/>
    <w:rsid w:val="00BB3DA5"/>
    <w:rsid w:val="00BB4022"/>
    <w:rsid w:val="00BB40E9"/>
    <w:rsid w:val="00BB497D"/>
    <w:rsid w:val="00BB4E12"/>
    <w:rsid w:val="00BB4FE4"/>
    <w:rsid w:val="00BB502E"/>
    <w:rsid w:val="00BB55B4"/>
    <w:rsid w:val="00BB5A6C"/>
    <w:rsid w:val="00BB622C"/>
    <w:rsid w:val="00BB6826"/>
    <w:rsid w:val="00BB6E09"/>
    <w:rsid w:val="00BB7403"/>
    <w:rsid w:val="00BB7448"/>
    <w:rsid w:val="00BB76B5"/>
    <w:rsid w:val="00BB7E26"/>
    <w:rsid w:val="00BC0496"/>
    <w:rsid w:val="00BC0762"/>
    <w:rsid w:val="00BC08D8"/>
    <w:rsid w:val="00BC0C7D"/>
    <w:rsid w:val="00BC151E"/>
    <w:rsid w:val="00BC1710"/>
    <w:rsid w:val="00BC1D8D"/>
    <w:rsid w:val="00BC208D"/>
    <w:rsid w:val="00BC2197"/>
    <w:rsid w:val="00BC2D6F"/>
    <w:rsid w:val="00BC2F45"/>
    <w:rsid w:val="00BC35AA"/>
    <w:rsid w:val="00BC3DE3"/>
    <w:rsid w:val="00BC40E0"/>
    <w:rsid w:val="00BC47EB"/>
    <w:rsid w:val="00BC515A"/>
    <w:rsid w:val="00BC5246"/>
    <w:rsid w:val="00BC57A5"/>
    <w:rsid w:val="00BC6070"/>
    <w:rsid w:val="00BC63DB"/>
    <w:rsid w:val="00BC640F"/>
    <w:rsid w:val="00BC6D71"/>
    <w:rsid w:val="00BC6EF3"/>
    <w:rsid w:val="00BC6F7E"/>
    <w:rsid w:val="00BC758E"/>
    <w:rsid w:val="00BC77EE"/>
    <w:rsid w:val="00BC7BB9"/>
    <w:rsid w:val="00BD0530"/>
    <w:rsid w:val="00BD090E"/>
    <w:rsid w:val="00BD271E"/>
    <w:rsid w:val="00BD3142"/>
    <w:rsid w:val="00BD3F12"/>
    <w:rsid w:val="00BD4097"/>
    <w:rsid w:val="00BD4E4D"/>
    <w:rsid w:val="00BD4F6D"/>
    <w:rsid w:val="00BD5165"/>
    <w:rsid w:val="00BD53E5"/>
    <w:rsid w:val="00BD59CC"/>
    <w:rsid w:val="00BD5F53"/>
    <w:rsid w:val="00BD692F"/>
    <w:rsid w:val="00BD6B32"/>
    <w:rsid w:val="00BD7498"/>
    <w:rsid w:val="00BD78AF"/>
    <w:rsid w:val="00BD7BF3"/>
    <w:rsid w:val="00BE054A"/>
    <w:rsid w:val="00BE0A25"/>
    <w:rsid w:val="00BE0A70"/>
    <w:rsid w:val="00BE0C17"/>
    <w:rsid w:val="00BE0D39"/>
    <w:rsid w:val="00BE12DF"/>
    <w:rsid w:val="00BE1505"/>
    <w:rsid w:val="00BE163F"/>
    <w:rsid w:val="00BE16F7"/>
    <w:rsid w:val="00BE18FB"/>
    <w:rsid w:val="00BE2154"/>
    <w:rsid w:val="00BE25D3"/>
    <w:rsid w:val="00BE2868"/>
    <w:rsid w:val="00BE38C0"/>
    <w:rsid w:val="00BE3CF0"/>
    <w:rsid w:val="00BE42F2"/>
    <w:rsid w:val="00BE461F"/>
    <w:rsid w:val="00BE509C"/>
    <w:rsid w:val="00BE5F82"/>
    <w:rsid w:val="00BE726D"/>
    <w:rsid w:val="00BE727C"/>
    <w:rsid w:val="00BE7586"/>
    <w:rsid w:val="00BE7792"/>
    <w:rsid w:val="00BE7D45"/>
    <w:rsid w:val="00BF018A"/>
    <w:rsid w:val="00BF01CC"/>
    <w:rsid w:val="00BF0382"/>
    <w:rsid w:val="00BF07F2"/>
    <w:rsid w:val="00BF0A31"/>
    <w:rsid w:val="00BF0D50"/>
    <w:rsid w:val="00BF2020"/>
    <w:rsid w:val="00BF2847"/>
    <w:rsid w:val="00BF4273"/>
    <w:rsid w:val="00BF4509"/>
    <w:rsid w:val="00BF47F2"/>
    <w:rsid w:val="00BF4DEA"/>
    <w:rsid w:val="00BF52C4"/>
    <w:rsid w:val="00BF54CE"/>
    <w:rsid w:val="00BF5FA2"/>
    <w:rsid w:val="00BF6B87"/>
    <w:rsid w:val="00BF78BB"/>
    <w:rsid w:val="00C008F7"/>
    <w:rsid w:val="00C00AD1"/>
    <w:rsid w:val="00C011B1"/>
    <w:rsid w:val="00C01670"/>
    <w:rsid w:val="00C0239B"/>
    <w:rsid w:val="00C025BF"/>
    <w:rsid w:val="00C02BF2"/>
    <w:rsid w:val="00C02F83"/>
    <w:rsid w:val="00C034FA"/>
    <w:rsid w:val="00C03F34"/>
    <w:rsid w:val="00C0515C"/>
    <w:rsid w:val="00C055B9"/>
    <w:rsid w:val="00C055F7"/>
    <w:rsid w:val="00C060AF"/>
    <w:rsid w:val="00C063CF"/>
    <w:rsid w:val="00C065C3"/>
    <w:rsid w:val="00C065C7"/>
    <w:rsid w:val="00C06CB8"/>
    <w:rsid w:val="00C06E97"/>
    <w:rsid w:val="00C0791E"/>
    <w:rsid w:val="00C07D3F"/>
    <w:rsid w:val="00C10FF0"/>
    <w:rsid w:val="00C11C15"/>
    <w:rsid w:val="00C1204A"/>
    <w:rsid w:val="00C12447"/>
    <w:rsid w:val="00C127B2"/>
    <w:rsid w:val="00C12A31"/>
    <w:rsid w:val="00C12A81"/>
    <w:rsid w:val="00C12BE9"/>
    <w:rsid w:val="00C1305E"/>
    <w:rsid w:val="00C131BE"/>
    <w:rsid w:val="00C13972"/>
    <w:rsid w:val="00C13DDA"/>
    <w:rsid w:val="00C13E84"/>
    <w:rsid w:val="00C140B1"/>
    <w:rsid w:val="00C14599"/>
    <w:rsid w:val="00C16C95"/>
    <w:rsid w:val="00C16DB1"/>
    <w:rsid w:val="00C171F1"/>
    <w:rsid w:val="00C2001F"/>
    <w:rsid w:val="00C21C77"/>
    <w:rsid w:val="00C22581"/>
    <w:rsid w:val="00C22599"/>
    <w:rsid w:val="00C23987"/>
    <w:rsid w:val="00C23FE1"/>
    <w:rsid w:val="00C249B0"/>
    <w:rsid w:val="00C24D0D"/>
    <w:rsid w:val="00C24D79"/>
    <w:rsid w:val="00C24F10"/>
    <w:rsid w:val="00C25FDF"/>
    <w:rsid w:val="00C26172"/>
    <w:rsid w:val="00C26364"/>
    <w:rsid w:val="00C26589"/>
    <w:rsid w:val="00C26687"/>
    <w:rsid w:val="00C26DA9"/>
    <w:rsid w:val="00C27061"/>
    <w:rsid w:val="00C27179"/>
    <w:rsid w:val="00C27425"/>
    <w:rsid w:val="00C274BA"/>
    <w:rsid w:val="00C27893"/>
    <w:rsid w:val="00C301CA"/>
    <w:rsid w:val="00C304CF"/>
    <w:rsid w:val="00C305D7"/>
    <w:rsid w:val="00C3084F"/>
    <w:rsid w:val="00C30856"/>
    <w:rsid w:val="00C30F16"/>
    <w:rsid w:val="00C31468"/>
    <w:rsid w:val="00C31643"/>
    <w:rsid w:val="00C321B9"/>
    <w:rsid w:val="00C3237C"/>
    <w:rsid w:val="00C325C0"/>
    <w:rsid w:val="00C32E4C"/>
    <w:rsid w:val="00C33552"/>
    <w:rsid w:val="00C338B5"/>
    <w:rsid w:val="00C33AB3"/>
    <w:rsid w:val="00C346F6"/>
    <w:rsid w:val="00C35079"/>
    <w:rsid w:val="00C358D8"/>
    <w:rsid w:val="00C35CE9"/>
    <w:rsid w:val="00C3633F"/>
    <w:rsid w:val="00C374B0"/>
    <w:rsid w:val="00C3766B"/>
    <w:rsid w:val="00C37791"/>
    <w:rsid w:val="00C406BB"/>
    <w:rsid w:val="00C40910"/>
    <w:rsid w:val="00C41A68"/>
    <w:rsid w:val="00C41B09"/>
    <w:rsid w:val="00C41E74"/>
    <w:rsid w:val="00C42488"/>
    <w:rsid w:val="00C4257E"/>
    <w:rsid w:val="00C43786"/>
    <w:rsid w:val="00C43963"/>
    <w:rsid w:val="00C43BE4"/>
    <w:rsid w:val="00C442B5"/>
    <w:rsid w:val="00C44390"/>
    <w:rsid w:val="00C4468A"/>
    <w:rsid w:val="00C44E5C"/>
    <w:rsid w:val="00C44EDD"/>
    <w:rsid w:val="00C45842"/>
    <w:rsid w:val="00C45E86"/>
    <w:rsid w:val="00C465FE"/>
    <w:rsid w:val="00C46880"/>
    <w:rsid w:val="00C46CBA"/>
    <w:rsid w:val="00C476D9"/>
    <w:rsid w:val="00C5055E"/>
    <w:rsid w:val="00C51676"/>
    <w:rsid w:val="00C51D21"/>
    <w:rsid w:val="00C51F6E"/>
    <w:rsid w:val="00C52DF7"/>
    <w:rsid w:val="00C52F30"/>
    <w:rsid w:val="00C52F58"/>
    <w:rsid w:val="00C52F9B"/>
    <w:rsid w:val="00C53A6D"/>
    <w:rsid w:val="00C5418B"/>
    <w:rsid w:val="00C541D0"/>
    <w:rsid w:val="00C54B1D"/>
    <w:rsid w:val="00C54F68"/>
    <w:rsid w:val="00C55089"/>
    <w:rsid w:val="00C55214"/>
    <w:rsid w:val="00C5536B"/>
    <w:rsid w:val="00C56554"/>
    <w:rsid w:val="00C56943"/>
    <w:rsid w:val="00C56CC3"/>
    <w:rsid w:val="00C56E82"/>
    <w:rsid w:val="00C56FC5"/>
    <w:rsid w:val="00C571BD"/>
    <w:rsid w:val="00C57C82"/>
    <w:rsid w:val="00C6016A"/>
    <w:rsid w:val="00C60294"/>
    <w:rsid w:val="00C61114"/>
    <w:rsid w:val="00C6115D"/>
    <w:rsid w:val="00C61C69"/>
    <w:rsid w:val="00C61D41"/>
    <w:rsid w:val="00C62159"/>
    <w:rsid w:val="00C62C82"/>
    <w:rsid w:val="00C62DD8"/>
    <w:rsid w:val="00C62F40"/>
    <w:rsid w:val="00C63766"/>
    <w:rsid w:val="00C63A7D"/>
    <w:rsid w:val="00C63A90"/>
    <w:rsid w:val="00C6425A"/>
    <w:rsid w:val="00C643C5"/>
    <w:rsid w:val="00C64C29"/>
    <w:rsid w:val="00C64F88"/>
    <w:rsid w:val="00C65235"/>
    <w:rsid w:val="00C65662"/>
    <w:rsid w:val="00C65C77"/>
    <w:rsid w:val="00C669A6"/>
    <w:rsid w:val="00C66D54"/>
    <w:rsid w:val="00C670C5"/>
    <w:rsid w:val="00C67122"/>
    <w:rsid w:val="00C672B9"/>
    <w:rsid w:val="00C67942"/>
    <w:rsid w:val="00C67A5D"/>
    <w:rsid w:val="00C70A19"/>
    <w:rsid w:val="00C71082"/>
    <w:rsid w:val="00C71925"/>
    <w:rsid w:val="00C72790"/>
    <w:rsid w:val="00C72965"/>
    <w:rsid w:val="00C73334"/>
    <w:rsid w:val="00C750DE"/>
    <w:rsid w:val="00C750EC"/>
    <w:rsid w:val="00C75726"/>
    <w:rsid w:val="00C757F8"/>
    <w:rsid w:val="00C75DA8"/>
    <w:rsid w:val="00C75E03"/>
    <w:rsid w:val="00C75E04"/>
    <w:rsid w:val="00C75E79"/>
    <w:rsid w:val="00C7693B"/>
    <w:rsid w:val="00C76973"/>
    <w:rsid w:val="00C76FCC"/>
    <w:rsid w:val="00C778F9"/>
    <w:rsid w:val="00C77AC1"/>
    <w:rsid w:val="00C800E7"/>
    <w:rsid w:val="00C80B4A"/>
    <w:rsid w:val="00C814B6"/>
    <w:rsid w:val="00C81A64"/>
    <w:rsid w:val="00C81C6D"/>
    <w:rsid w:val="00C826C8"/>
    <w:rsid w:val="00C83BF4"/>
    <w:rsid w:val="00C83EBC"/>
    <w:rsid w:val="00C84740"/>
    <w:rsid w:val="00C84993"/>
    <w:rsid w:val="00C84A7E"/>
    <w:rsid w:val="00C84B31"/>
    <w:rsid w:val="00C84CA4"/>
    <w:rsid w:val="00C851EB"/>
    <w:rsid w:val="00C85AFE"/>
    <w:rsid w:val="00C85FDC"/>
    <w:rsid w:val="00C86258"/>
    <w:rsid w:val="00C86E53"/>
    <w:rsid w:val="00C86F4D"/>
    <w:rsid w:val="00C86F9B"/>
    <w:rsid w:val="00C87045"/>
    <w:rsid w:val="00C877BE"/>
    <w:rsid w:val="00C87ABA"/>
    <w:rsid w:val="00C87E22"/>
    <w:rsid w:val="00C90175"/>
    <w:rsid w:val="00C90404"/>
    <w:rsid w:val="00C90AD0"/>
    <w:rsid w:val="00C919DF"/>
    <w:rsid w:val="00C9234A"/>
    <w:rsid w:val="00C92946"/>
    <w:rsid w:val="00C92B67"/>
    <w:rsid w:val="00C930ED"/>
    <w:rsid w:val="00C93801"/>
    <w:rsid w:val="00C93A10"/>
    <w:rsid w:val="00C93AAD"/>
    <w:rsid w:val="00C9442A"/>
    <w:rsid w:val="00C947A1"/>
    <w:rsid w:val="00C95CC8"/>
    <w:rsid w:val="00C95CEA"/>
    <w:rsid w:val="00C9671C"/>
    <w:rsid w:val="00C968FE"/>
    <w:rsid w:val="00C96A38"/>
    <w:rsid w:val="00C96BFD"/>
    <w:rsid w:val="00C978F2"/>
    <w:rsid w:val="00C97A3E"/>
    <w:rsid w:val="00CA0357"/>
    <w:rsid w:val="00CA036D"/>
    <w:rsid w:val="00CA0A8F"/>
    <w:rsid w:val="00CA0B70"/>
    <w:rsid w:val="00CA11E0"/>
    <w:rsid w:val="00CA1A3B"/>
    <w:rsid w:val="00CA273F"/>
    <w:rsid w:val="00CA27F8"/>
    <w:rsid w:val="00CA28F7"/>
    <w:rsid w:val="00CA333D"/>
    <w:rsid w:val="00CA388F"/>
    <w:rsid w:val="00CA3C49"/>
    <w:rsid w:val="00CA421E"/>
    <w:rsid w:val="00CA452B"/>
    <w:rsid w:val="00CA4C59"/>
    <w:rsid w:val="00CA5BDE"/>
    <w:rsid w:val="00CA5FB7"/>
    <w:rsid w:val="00CA6534"/>
    <w:rsid w:val="00CA735E"/>
    <w:rsid w:val="00CB0102"/>
    <w:rsid w:val="00CB027B"/>
    <w:rsid w:val="00CB0384"/>
    <w:rsid w:val="00CB1766"/>
    <w:rsid w:val="00CB177E"/>
    <w:rsid w:val="00CB22EA"/>
    <w:rsid w:val="00CB27C3"/>
    <w:rsid w:val="00CB2DFB"/>
    <w:rsid w:val="00CB308F"/>
    <w:rsid w:val="00CB31EB"/>
    <w:rsid w:val="00CB32A7"/>
    <w:rsid w:val="00CB42C1"/>
    <w:rsid w:val="00CB460E"/>
    <w:rsid w:val="00CB461D"/>
    <w:rsid w:val="00CB5E88"/>
    <w:rsid w:val="00CB6163"/>
    <w:rsid w:val="00CB67E2"/>
    <w:rsid w:val="00CB6EEB"/>
    <w:rsid w:val="00CB75C2"/>
    <w:rsid w:val="00CB7944"/>
    <w:rsid w:val="00CC07CE"/>
    <w:rsid w:val="00CC089E"/>
    <w:rsid w:val="00CC154A"/>
    <w:rsid w:val="00CC1F39"/>
    <w:rsid w:val="00CC2326"/>
    <w:rsid w:val="00CC2611"/>
    <w:rsid w:val="00CC2844"/>
    <w:rsid w:val="00CC28EF"/>
    <w:rsid w:val="00CC37EF"/>
    <w:rsid w:val="00CC3CA8"/>
    <w:rsid w:val="00CC3DC5"/>
    <w:rsid w:val="00CC417F"/>
    <w:rsid w:val="00CC43E8"/>
    <w:rsid w:val="00CC4C22"/>
    <w:rsid w:val="00CC4C72"/>
    <w:rsid w:val="00CC52BE"/>
    <w:rsid w:val="00CC5D0E"/>
    <w:rsid w:val="00CC5F0C"/>
    <w:rsid w:val="00CC6871"/>
    <w:rsid w:val="00CC6B79"/>
    <w:rsid w:val="00CC6BAB"/>
    <w:rsid w:val="00CC7237"/>
    <w:rsid w:val="00CC740A"/>
    <w:rsid w:val="00CC7B48"/>
    <w:rsid w:val="00CC7E09"/>
    <w:rsid w:val="00CD07FC"/>
    <w:rsid w:val="00CD0E3C"/>
    <w:rsid w:val="00CD196C"/>
    <w:rsid w:val="00CD27EC"/>
    <w:rsid w:val="00CD297F"/>
    <w:rsid w:val="00CD2990"/>
    <w:rsid w:val="00CD2DAB"/>
    <w:rsid w:val="00CD2E2F"/>
    <w:rsid w:val="00CD34C6"/>
    <w:rsid w:val="00CD47B3"/>
    <w:rsid w:val="00CD54AC"/>
    <w:rsid w:val="00CD6052"/>
    <w:rsid w:val="00CD69A5"/>
    <w:rsid w:val="00CD6B1B"/>
    <w:rsid w:val="00CD71CF"/>
    <w:rsid w:val="00CD7723"/>
    <w:rsid w:val="00CD7729"/>
    <w:rsid w:val="00CD7EED"/>
    <w:rsid w:val="00CE02BC"/>
    <w:rsid w:val="00CE07B5"/>
    <w:rsid w:val="00CE0AD8"/>
    <w:rsid w:val="00CE1C7B"/>
    <w:rsid w:val="00CE1D35"/>
    <w:rsid w:val="00CE26C3"/>
    <w:rsid w:val="00CE2E73"/>
    <w:rsid w:val="00CE32BE"/>
    <w:rsid w:val="00CE4220"/>
    <w:rsid w:val="00CE48C6"/>
    <w:rsid w:val="00CE4AB5"/>
    <w:rsid w:val="00CE4B55"/>
    <w:rsid w:val="00CE4B7C"/>
    <w:rsid w:val="00CE4DE8"/>
    <w:rsid w:val="00CE512D"/>
    <w:rsid w:val="00CE5519"/>
    <w:rsid w:val="00CE57B7"/>
    <w:rsid w:val="00CE5A5B"/>
    <w:rsid w:val="00CE6369"/>
    <w:rsid w:val="00CE74F4"/>
    <w:rsid w:val="00CE7597"/>
    <w:rsid w:val="00CE7A27"/>
    <w:rsid w:val="00CF0CA1"/>
    <w:rsid w:val="00CF1388"/>
    <w:rsid w:val="00CF145E"/>
    <w:rsid w:val="00CF1564"/>
    <w:rsid w:val="00CF1A04"/>
    <w:rsid w:val="00CF2AA5"/>
    <w:rsid w:val="00CF30B4"/>
    <w:rsid w:val="00CF3216"/>
    <w:rsid w:val="00CF3646"/>
    <w:rsid w:val="00CF3B82"/>
    <w:rsid w:val="00CF3CFA"/>
    <w:rsid w:val="00CF3D83"/>
    <w:rsid w:val="00CF455E"/>
    <w:rsid w:val="00CF5569"/>
    <w:rsid w:val="00CF5A99"/>
    <w:rsid w:val="00CF685C"/>
    <w:rsid w:val="00CF700B"/>
    <w:rsid w:val="00CF710F"/>
    <w:rsid w:val="00CF7666"/>
    <w:rsid w:val="00CF7D98"/>
    <w:rsid w:val="00D00196"/>
    <w:rsid w:val="00D0052C"/>
    <w:rsid w:val="00D0068B"/>
    <w:rsid w:val="00D00C70"/>
    <w:rsid w:val="00D01871"/>
    <w:rsid w:val="00D025B3"/>
    <w:rsid w:val="00D030B4"/>
    <w:rsid w:val="00D03149"/>
    <w:rsid w:val="00D0413A"/>
    <w:rsid w:val="00D04180"/>
    <w:rsid w:val="00D0475E"/>
    <w:rsid w:val="00D04C90"/>
    <w:rsid w:val="00D05272"/>
    <w:rsid w:val="00D0569A"/>
    <w:rsid w:val="00D05B25"/>
    <w:rsid w:val="00D05D17"/>
    <w:rsid w:val="00D05E3A"/>
    <w:rsid w:val="00D0602E"/>
    <w:rsid w:val="00D07D88"/>
    <w:rsid w:val="00D07E62"/>
    <w:rsid w:val="00D1022F"/>
    <w:rsid w:val="00D10739"/>
    <w:rsid w:val="00D10D64"/>
    <w:rsid w:val="00D11BFC"/>
    <w:rsid w:val="00D125E0"/>
    <w:rsid w:val="00D128C7"/>
    <w:rsid w:val="00D12C13"/>
    <w:rsid w:val="00D12E99"/>
    <w:rsid w:val="00D12F33"/>
    <w:rsid w:val="00D1377B"/>
    <w:rsid w:val="00D14078"/>
    <w:rsid w:val="00D146A7"/>
    <w:rsid w:val="00D147FF"/>
    <w:rsid w:val="00D14C77"/>
    <w:rsid w:val="00D14CBC"/>
    <w:rsid w:val="00D14D19"/>
    <w:rsid w:val="00D14D7D"/>
    <w:rsid w:val="00D150E1"/>
    <w:rsid w:val="00D151D7"/>
    <w:rsid w:val="00D15AF4"/>
    <w:rsid w:val="00D15DAA"/>
    <w:rsid w:val="00D15EDA"/>
    <w:rsid w:val="00D16229"/>
    <w:rsid w:val="00D17C0F"/>
    <w:rsid w:val="00D17FCE"/>
    <w:rsid w:val="00D2007D"/>
    <w:rsid w:val="00D2073C"/>
    <w:rsid w:val="00D2193B"/>
    <w:rsid w:val="00D21DCD"/>
    <w:rsid w:val="00D22652"/>
    <w:rsid w:val="00D23049"/>
    <w:rsid w:val="00D23060"/>
    <w:rsid w:val="00D233AB"/>
    <w:rsid w:val="00D23F92"/>
    <w:rsid w:val="00D2499B"/>
    <w:rsid w:val="00D256B6"/>
    <w:rsid w:val="00D256DB"/>
    <w:rsid w:val="00D25735"/>
    <w:rsid w:val="00D25ED5"/>
    <w:rsid w:val="00D26062"/>
    <w:rsid w:val="00D2679C"/>
    <w:rsid w:val="00D26889"/>
    <w:rsid w:val="00D279DE"/>
    <w:rsid w:val="00D27DA2"/>
    <w:rsid w:val="00D3008A"/>
    <w:rsid w:val="00D30811"/>
    <w:rsid w:val="00D30A56"/>
    <w:rsid w:val="00D31039"/>
    <w:rsid w:val="00D3149A"/>
    <w:rsid w:val="00D31C07"/>
    <w:rsid w:val="00D31FB0"/>
    <w:rsid w:val="00D32198"/>
    <w:rsid w:val="00D323A8"/>
    <w:rsid w:val="00D32486"/>
    <w:rsid w:val="00D32630"/>
    <w:rsid w:val="00D3331A"/>
    <w:rsid w:val="00D33B22"/>
    <w:rsid w:val="00D34C92"/>
    <w:rsid w:val="00D35148"/>
    <w:rsid w:val="00D35EC0"/>
    <w:rsid w:val="00D36615"/>
    <w:rsid w:val="00D36903"/>
    <w:rsid w:val="00D36B4E"/>
    <w:rsid w:val="00D36EF8"/>
    <w:rsid w:val="00D36F17"/>
    <w:rsid w:val="00D36FA0"/>
    <w:rsid w:val="00D372F5"/>
    <w:rsid w:val="00D37FD0"/>
    <w:rsid w:val="00D40076"/>
    <w:rsid w:val="00D40927"/>
    <w:rsid w:val="00D40C67"/>
    <w:rsid w:val="00D40E4D"/>
    <w:rsid w:val="00D41102"/>
    <w:rsid w:val="00D41363"/>
    <w:rsid w:val="00D41503"/>
    <w:rsid w:val="00D426A5"/>
    <w:rsid w:val="00D43016"/>
    <w:rsid w:val="00D434A8"/>
    <w:rsid w:val="00D435CE"/>
    <w:rsid w:val="00D436C7"/>
    <w:rsid w:val="00D43BCB"/>
    <w:rsid w:val="00D43DC5"/>
    <w:rsid w:val="00D4472E"/>
    <w:rsid w:val="00D448D0"/>
    <w:rsid w:val="00D4490A"/>
    <w:rsid w:val="00D44BFD"/>
    <w:rsid w:val="00D4575E"/>
    <w:rsid w:val="00D45F1C"/>
    <w:rsid w:val="00D46982"/>
    <w:rsid w:val="00D46B3D"/>
    <w:rsid w:val="00D46E82"/>
    <w:rsid w:val="00D47426"/>
    <w:rsid w:val="00D475A0"/>
    <w:rsid w:val="00D50046"/>
    <w:rsid w:val="00D5070E"/>
    <w:rsid w:val="00D5132A"/>
    <w:rsid w:val="00D515FC"/>
    <w:rsid w:val="00D51DD7"/>
    <w:rsid w:val="00D5244D"/>
    <w:rsid w:val="00D5267A"/>
    <w:rsid w:val="00D52E6D"/>
    <w:rsid w:val="00D5305D"/>
    <w:rsid w:val="00D53431"/>
    <w:rsid w:val="00D536E0"/>
    <w:rsid w:val="00D537B3"/>
    <w:rsid w:val="00D539EA"/>
    <w:rsid w:val="00D53A34"/>
    <w:rsid w:val="00D54EAC"/>
    <w:rsid w:val="00D5545C"/>
    <w:rsid w:val="00D55885"/>
    <w:rsid w:val="00D55DAB"/>
    <w:rsid w:val="00D55E97"/>
    <w:rsid w:val="00D56321"/>
    <w:rsid w:val="00D56C30"/>
    <w:rsid w:val="00D60616"/>
    <w:rsid w:val="00D60C8E"/>
    <w:rsid w:val="00D6202F"/>
    <w:rsid w:val="00D6233F"/>
    <w:rsid w:val="00D623BE"/>
    <w:rsid w:val="00D6257D"/>
    <w:rsid w:val="00D628CC"/>
    <w:rsid w:val="00D62F3C"/>
    <w:rsid w:val="00D636DD"/>
    <w:rsid w:val="00D642FA"/>
    <w:rsid w:val="00D6479E"/>
    <w:rsid w:val="00D6482E"/>
    <w:rsid w:val="00D64DDF"/>
    <w:rsid w:val="00D655D7"/>
    <w:rsid w:val="00D6658A"/>
    <w:rsid w:val="00D666B4"/>
    <w:rsid w:val="00D6697C"/>
    <w:rsid w:val="00D670AB"/>
    <w:rsid w:val="00D67409"/>
    <w:rsid w:val="00D70419"/>
    <w:rsid w:val="00D7070F"/>
    <w:rsid w:val="00D7095F"/>
    <w:rsid w:val="00D70C0D"/>
    <w:rsid w:val="00D70FBB"/>
    <w:rsid w:val="00D71732"/>
    <w:rsid w:val="00D71DC8"/>
    <w:rsid w:val="00D72477"/>
    <w:rsid w:val="00D724B0"/>
    <w:rsid w:val="00D72729"/>
    <w:rsid w:val="00D72C2F"/>
    <w:rsid w:val="00D73B2A"/>
    <w:rsid w:val="00D73BC0"/>
    <w:rsid w:val="00D73D01"/>
    <w:rsid w:val="00D73FED"/>
    <w:rsid w:val="00D7434D"/>
    <w:rsid w:val="00D752B7"/>
    <w:rsid w:val="00D756E9"/>
    <w:rsid w:val="00D76618"/>
    <w:rsid w:val="00D76815"/>
    <w:rsid w:val="00D76AE9"/>
    <w:rsid w:val="00D7759F"/>
    <w:rsid w:val="00D77A11"/>
    <w:rsid w:val="00D77CCC"/>
    <w:rsid w:val="00D802C8"/>
    <w:rsid w:val="00D80805"/>
    <w:rsid w:val="00D80F73"/>
    <w:rsid w:val="00D81720"/>
    <w:rsid w:val="00D8183A"/>
    <w:rsid w:val="00D82210"/>
    <w:rsid w:val="00D8254E"/>
    <w:rsid w:val="00D82EF6"/>
    <w:rsid w:val="00D82FA0"/>
    <w:rsid w:val="00D831BA"/>
    <w:rsid w:val="00D83B31"/>
    <w:rsid w:val="00D83DF4"/>
    <w:rsid w:val="00D845F2"/>
    <w:rsid w:val="00D84AEF"/>
    <w:rsid w:val="00D8536D"/>
    <w:rsid w:val="00D85495"/>
    <w:rsid w:val="00D8574A"/>
    <w:rsid w:val="00D85CAD"/>
    <w:rsid w:val="00D85D03"/>
    <w:rsid w:val="00D86395"/>
    <w:rsid w:val="00D8678B"/>
    <w:rsid w:val="00D8774C"/>
    <w:rsid w:val="00D87E80"/>
    <w:rsid w:val="00D87F1D"/>
    <w:rsid w:val="00D87F42"/>
    <w:rsid w:val="00D917D2"/>
    <w:rsid w:val="00D920E2"/>
    <w:rsid w:val="00D92495"/>
    <w:rsid w:val="00D927DA"/>
    <w:rsid w:val="00D92EAE"/>
    <w:rsid w:val="00D933C0"/>
    <w:rsid w:val="00D933FE"/>
    <w:rsid w:val="00D934D4"/>
    <w:rsid w:val="00D93A04"/>
    <w:rsid w:val="00D9431E"/>
    <w:rsid w:val="00D944B3"/>
    <w:rsid w:val="00D95306"/>
    <w:rsid w:val="00D95498"/>
    <w:rsid w:val="00D95E23"/>
    <w:rsid w:val="00D96471"/>
    <w:rsid w:val="00D9648B"/>
    <w:rsid w:val="00D96504"/>
    <w:rsid w:val="00D96C43"/>
    <w:rsid w:val="00D96C4D"/>
    <w:rsid w:val="00D96CD7"/>
    <w:rsid w:val="00D96FE6"/>
    <w:rsid w:val="00D97ABF"/>
    <w:rsid w:val="00DA011C"/>
    <w:rsid w:val="00DA132C"/>
    <w:rsid w:val="00DA227A"/>
    <w:rsid w:val="00DA231D"/>
    <w:rsid w:val="00DA2E82"/>
    <w:rsid w:val="00DA3630"/>
    <w:rsid w:val="00DA3BD8"/>
    <w:rsid w:val="00DA434A"/>
    <w:rsid w:val="00DA45C5"/>
    <w:rsid w:val="00DA4884"/>
    <w:rsid w:val="00DA4A1C"/>
    <w:rsid w:val="00DA5514"/>
    <w:rsid w:val="00DA580C"/>
    <w:rsid w:val="00DA5B42"/>
    <w:rsid w:val="00DA5FAA"/>
    <w:rsid w:val="00DA66C3"/>
    <w:rsid w:val="00DA6C1D"/>
    <w:rsid w:val="00DB04CC"/>
    <w:rsid w:val="00DB060A"/>
    <w:rsid w:val="00DB0BC7"/>
    <w:rsid w:val="00DB0DED"/>
    <w:rsid w:val="00DB1164"/>
    <w:rsid w:val="00DB1978"/>
    <w:rsid w:val="00DB1C0E"/>
    <w:rsid w:val="00DB1C2C"/>
    <w:rsid w:val="00DB23E9"/>
    <w:rsid w:val="00DB241A"/>
    <w:rsid w:val="00DB2CE7"/>
    <w:rsid w:val="00DB38AF"/>
    <w:rsid w:val="00DB38B5"/>
    <w:rsid w:val="00DB4CD0"/>
    <w:rsid w:val="00DB5097"/>
    <w:rsid w:val="00DB5429"/>
    <w:rsid w:val="00DB583E"/>
    <w:rsid w:val="00DB6364"/>
    <w:rsid w:val="00DB7098"/>
    <w:rsid w:val="00DB7A3D"/>
    <w:rsid w:val="00DB7C4C"/>
    <w:rsid w:val="00DB7DD9"/>
    <w:rsid w:val="00DB7DE3"/>
    <w:rsid w:val="00DC004A"/>
    <w:rsid w:val="00DC0059"/>
    <w:rsid w:val="00DC091E"/>
    <w:rsid w:val="00DC11C6"/>
    <w:rsid w:val="00DC137E"/>
    <w:rsid w:val="00DC1DE8"/>
    <w:rsid w:val="00DC2087"/>
    <w:rsid w:val="00DC2340"/>
    <w:rsid w:val="00DC269C"/>
    <w:rsid w:val="00DC28FF"/>
    <w:rsid w:val="00DC2E13"/>
    <w:rsid w:val="00DC3552"/>
    <w:rsid w:val="00DC3873"/>
    <w:rsid w:val="00DC3AAD"/>
    <w:rsid w:val="00DC4030"/>
    <w:rsid w:val="00DC47AB"/>
    <w:rsid w:val="00DC5704"/>
    <w:rsid w:val="00DC6558"/>
    <w:rsid w:val="00DC675E"/>
    <w:rsid w:val="00DC776D"/>
    <w:rsid w:val="00DC793F"/>
    <w:rsid w:val="00DC7AE5"/>
    <w:rsid w:val="00DC7BD3"/>
    <w:rsid w:val="00DD02B8"/>
    <w:rsid w:val="00DD05DC"/>
    <w:rsid w:val="00DD06D9"/>
    <w:rsid w:val="00DD097E"/>
    <w:rsid w:val="00DD0B0C"/>
    <w:rsid w:val="00DD11F8"/>
    <w:rsid w:val="00DD1B16"/>
    <w:rsid w:val="00DD1D69"/>
    <w:rsid w:val="00DD2E83"/>
    <w:rsid w:val="00DD34C3"/>
    <w:rsid w:val="00DD3ACF"/>
    <w:rsid w:val="00DD3BBB"/>
    <w:rsid w:val="00DD3BBE"/>
    <w:rsid w:val="00DD3D13"/>
    <w:rsid w:val="00DD3E94"/>
    <w:rsid w:val="00DD56D7"/>
    <w:rsid w:val="00DD5A4E"/>
    <w:rsid w:val="00DD5D45"/>
    <w:rsid w:val="00DD72AB"/>
    <w:rsid w:val="00DD7913"/>
    <w:rsid w:val="00DD7D71"/>
    <w:rsid w:val="00DD7DAD"/>
    <w:rsid w:val="00DE0318"/>
    <w:rsid w:val="00DE03F1"/>
    <w:rsid w:val="00DE08AF"/>
    <w:rsid w:val="00DE0E2B"/>
    <w:rsid w:val="00DE1D44"/>
    <w:rsid w:val="00DE2C9F"/>
    <w:rsid w:val="00DE2E7A"/>
    <w:rsid w:val="00DE3267"/>
    <w:rsid w:val="00DE340D"/>
    <w:rsid w:val="00DE3E5C"/>
    <w:rsid w:val="00DE411C"/>
    <w:rsid w:val="00DE41E2"/>
    <w:rsid w:val="00DE423C"/>
    <w:rsid w:val="00DE4359"/>
    <w:rsid w:val="00DE439F"/>
    <w:rsid w:val="00DE4E81"/>
    <w:rsid w:val="00DE4F2C"/>
    <w:rsid w:val="00DE51AF"/>
    <w:rsid w:val="00DE5406"/>
    <w:rsid w:val="00DE57BF"/>
    <w:rsid w:val="00DE595C"/>
    <w:rsid w:val="00DE5C5E"/>
    <w:rsid w:val="00DE5D8C"/>
    <w:rsid w:val="00DE61E4"/>
    <w:rsid w:val="00DE6849"/>
    <w:rsid w:val="00DF0714"/>
    <w:rsid w:val="00DF1A46"/>
    <w:rsid w:val="00DF1D3F"/>
    <w:rsid w:val="00DF2010"/>
    <w:rsid w:val="00DF2117"/>
    <w:rsid w:val="00DF2328"/>
    <w:rsid w:val="00DF24BA"/>
    <w:rsid w:val="00DF279D"/>
    <w:rsid w:val="00DF28D0"/>
    <w:rsid w:val="00DF2CDC"/>
    <w:rsid w:val="00DF2FBB"/>
    <w:rsid w:val="00DF381D"/>
    <w:rsid w:val="00DF451F"/>
    <w:rsid w:val="00DF4860"/>
    <w:rsid w:val="00DF49CB"/>
    <w:rsid w:val="00DF4FF2"/>
    <w:rsid w:val="00DF640B"/>
    <w:rsid w:val="00DF64C4"/>
    <w:rsid w:val="00DF6B7B"/>
    <w:rsid w:val="00DF6CDD"/>
    <w:rsid w:val="00DF6D75"/>
    <w:rsid w:val="00DF6E25"/>
    <w:rsid w:val="00DF7526"/>
    <w:rsid w:val="00DF795F"/>
    <w:rsid w:val="00DF7A34"/>
    <w:rsid w:val="00E00564"/>
    <w:rsid w:val="00E0063C"/>
    <w:rsid w:val="00E0064A"/>
    <w:rsid w:val="00E00C20"/>
    <w:rsid w:val="00E014D2"/>
    <w:rsid w:val="00E01EDA"/>
    <w:rsid w:val="00E01EDF"/>
    <w:rsid w:val="00E01F82"/>
    <w:rsid w:val="00E02132"/>
    <w:rsid w:val="00E0216E"/>
    <w:rsid w:val="00E0265A"/>
    <w:rsid w:val="00E02B34"/>
    <w:rsid w:val="00E0357B"/>
    <w:rsid w:val="00E03FF4"/>
    <w:rsid w:val="00E055A3"/>
    <w:rsid w:val="00E0577A"/>
    <w:rsid w:val="00E059B7"/>
    <w:rsid w:val="00E059FF"/>
    <w:rsid w:val="00E05DB2"/>
    <w:rsid w:val="00E077B2"/>
    <w:rsid w:val="00E07FCB"/>
    <w:rsid w:val="00E11378"/>
    <w:rsid w:val="00E11384"/>
    <w:rsid w:val="00E1159F"/>
    <w:rsid w:val="00E119D5"/>
    <w:rsid w:val="00E11A50"/>
    <w:rsid w:val="00E11C07"/>
    <w:rsid w:val="00E12025"/>
    <w:rsid w:val="00E12BA9"/>
    <w:rsid w:val="00E1328B"/>
    <w:rsid w:val="00E13456"/>
    <w:rsid w:val="00E138CD"/>
    <w:rsid w:val="00E1390E"/>
    <w:rsid w:val="00E1391D"/>
    <w:rsid w:val="00E13C87"/>
    <w:rsid w:val="00E14443"/>
    <w:rsid w:val="00E145B8"/>
    <w:rsid w:val="00E14DC6"/>
    <w:rsid w:val="00E153FF"/>
    <w:rsid w:val="00E16635"/>
    <w:rsid w:val="00E16653"/>
    <w:rsid w:val="00E1680B"/>
    <w:rsid w:val="00E16913"/>
    <w:rsid w:val="00E172DC"/>
    <w:rsid w:val="00E1749C"/>
    <w:rsid w:val="00E17C28"/>
    <w:rsid w:val="00E2010F"/>
    <w:rsid w:val="00E202D9"/>
    <w:rsid w:val="00E20794"/>
    <w:rsid w:val="00E20AD8"/>
    <w:rsid w:val="00E218CE"/>
    <w:rsid w:val="00E218E8"/>
    <w:rsid w:val="00E21AFC"/>
    <w:rsid w:val="00E224CC"/>
    <w:rsid w:val="00E2324D"/>
    <w:rsid w:val="00E23C5D"/>
    <w:rsid w:val="00E2433A"/>
    <w:rsid w:val="00E24511"/>
    <w:rsid w:val="00E24578"/>
    <w:rsid w:val="00E2481D"/>
    <w:rsid w:val="00E24E6C"/>
    <w:rsid w:val="00E25072"/>
    <w:rsid w:val="00E2588C"/>
    <w:rsid w:val="00E27007"/>
    <w:rsid w:val="00E27296"/>
    <w:rsid w:val="00E27617"/>
    <w:rsid w:val="00E27EFB"/>
    <w:rsid w:val="00E300D3"/>
    <w:rsid w:val="00E30C3B"/>
    <w:rsid w:val="00E31330"/>
    <w:rsid w:val="00E31679"/>
    <w:rsid w:val="00E31E60"/>
    <w:rsid w:val="00E3246A"/>
    <w:rsid w:val="00E32719"/>
    <w:rsid w:val="00E32EC9"/>
    <w:rsid w:val="00E332EF"/>
    <w:rsid w:val="00E337FE"/>
    <w:rsid w:val="00E33CDA"/>
    <w:rsid w:val="00E33E7A"/>
    <w:rsid w:val="00E349C1"/>
    <w:rsid w:val="00E34A43"/>
    <w:rsid w:val="00E3633A"/>
    <w:rsid w:val="00E364E5"/>
    <w:rsid w:val="00E367A6"/>
    <w:rsid w:val="00E3699A"/>
    <w:rsid w:val="00E36EF5"/>
    <w:rsid w:val="00E37746"/>
    <w:rsid w:val="00E37807"/>
    <w:rsid w:val="00E37CB7"/>
    <w:rsid w:val="00E402FA"/>
    <w:rsid w:val="00E405F6"/>
    <w:rsid w:val="00E40C8F"/>
    <w:rsid w:val="00E40EE5"/>
    <w:rsid w:val="00E4285F"/>
    <w:rsid w:val="00E4325F"/>
    <w:rsid w:val="00E434E9"/>
    <w:rsid w:val="00E435DF"/>
    <w:rsid w:val="00E43DB6"/>
    <w:rsid w:val="00E441DD"/>
    <w:rsid w:val="00E442E7"/>
    <w:rsid w:val="00E448EC"/>
    <w:rsid w:val="00E44DF4"/>
    <w:rsid w:val="00E44EE1"/>
    <w:rsid w:val="00E456C5"/>
    <w:rsid w:val="00E45A0A"/>
    <w:rsid w:val="00E463F6"/>
    <w:rsid w:val="00E4674D"/>
    <w:rsid w:val="00E4703D"/>
    <w:rsid w:val="00E47F36"/>
    <w:rsid w:val="00E50044"/>
    <w:rsid w:val="00E50870"/>
    <w:rsid w:val="00E50BF5"/>
    <w:rsid w:val="00E50F5B"/>
    <w:rsid w:val="00E5111F"/>
    <w:rsid w:val="00E512C3"/>
    <w:rsid w:val="00E5172E"/>
    <w:rsid w:val="00E5174B"/>
    <w:rsid w:val="00E51E71"/>
    <w:rsid w:val="00E51ECB"/>
    <w:rsid w:val="00E51F0D"/>
    <w:rsid w:val="00E5243C"/>
    <w:rsid w:val="00E52DEB"/>
    <w:rsid w:val="00E556E5"/>
    <w:rsid w:val="00E566DD"/>
    <w:rsid w:val="00E568FE"/>
    <w:rsid w:val="00E60563"/>
    <w:rsid w:val="00E616F1"/>
    <w:rsid w:val="00E616F3"/>
    <w:rsid w:val="00E617FF"/>
    <w:rsid w:val="00E61F42"/>
    <w:rsid w:val="00E6258E"/>
    <w:rsid w:val="00E631B0"/>
    <w:rsid w:val="00E6339F"/>
    <w:rsid w:val="00E639D2"/>
    <w:rsid w:val="00E63D1B"/>
    <w:rsid w:val="00E640ED"/>
    <w:rsid w:val="00E649FC"/>
    <w:rsid w:val="00E65DF1"/>
    <w:rsid w:val="00E66CA6"/>
    <w:rsid w:val="00E70487"/>
    <w:rsid w:val="00E7067B"/>
    <w:rsid w:val="00E706F6"/>
    <w:rsid w:val="00E708F9"/>
    <w:rsid w:val="00E70A37"/>
    <w:rsid w:val="00E70D4C"/>
    <w:rsid w:val="00E71961"/>
    <w:rsid w:val="00E71C6D"/>
    <w:rsid w:val="00E71E8B"/>
    <w:rsid w:val="00E720ED"/>
    <w:rsid w:val="00E7260C"/>
    <w:rsid w:val="00E72C06"/>
    <w:rsid w:val="00E73466"/>
    <w:rsid w:val="00E736D3"/>
    <w:rsid w:val="00E74257"/>
    <w:rsid w:val="00E7544F"/>
    <w:rsid w:val="00E75509"/>
    <w:rsid w:val="00E7557F"/>
    <w:rsid w:val="00E75753"/>
    <w:rsid w:val="00E75E6E"/>
    <w:rsid w:val="00E75F6C"/>
    <w:rsid w:val="00E76245"/>
    <w:rsid w:val="00E76AC6"/>
    <w:rsid w:val="00E76C69"/>
    <w:rsid w:val="00E7770E"/>
    <w:rsid w:val="00E80090"/>
    <w:rsid w:val="00E803F5"/>
    <w:rsid w:val="00E80D20"/>
    <w:rsid w:val="00E80FCB"/>
    <w:rsid w:val="00E811CE"/>
    <w:rsid w:val="00E818D9"/>
    <w:rsid w:val="00E81CDE"/>
    <w:rsid w:val="00E8284D"/>
    <w:rsid w:val="00E82931"/>
    <w:rsid w:val="00E82B7D"/>
    <w:rsid w:val="00E82EC1"/>
    <w:rsid w:val="00E82EF7"/>
    <w:rsid w:val="00E83216"/>
    <w:rsid w:val="00E834E4"/>
    <w:rsid w:val="00E83DB9"/>
    <w:rsid w:val="00E84BBA"/>
    <w:rsid w:val="00E84C85"/>
    <w:rsid w:val="00E8560E"/>
    <w:rsid w:val="00E86219"/>
    <w:rsid w:val="00E87247"/>
    <w:rsid w:val="00E87EAD"/>
    <w:rsid w:val="00E90131"/>
    <w:rsid w:val="00E90B2F"/>
    <w:rsid w:val="00E90BC7"/>
    <w:rsid w:val="00E91975"/>
    <w:rsid w:val="00E91FEE"/>
    <w:rsid w:val="00E92065"/>
    <w:rsid w:val="00E92AE2"/>
    <w:rsid w:val="00E92C62"/>
    <w:rsid w:val="00E92EF9"/>
    <w:rsid w:val="00E93838"/>
    <w:rsid w:val="00E93D9F"/>
    <w:rsid w:val="00E93F39"/>
    <w:rsid w:val="00E9467A"/>
    <w:rsid w:val="00E95230"/>
    <w:rsid w:val="00E95C50"/>
    <w:rsid w:val="00E95D74"/>
    <w:rsid w:val="00E9628E"/>
    <w:rsid w:val="00E9685E"/>
    <w:rsid w:val="00E969D7"/>
    <w:rsid w:val="00E96C13"/>
    <w:rsid w:val="00E96DD4"/>
    <w:rsid w:val="00E96FE4"/>
    <w:rsid w:val="00E97199"/>
    <w:rsid w:val="00E9719C"/>
    <w:rsid w:val="00E9740C"/>
    <w:rsid w:val="00E9750B"/>
    <w:rsid w:val="00E97799"/>
    <w:rsid w:val="00E979D5"/>
    <w:rsid w:val="00E97C0D"/>
    <w:rsid w:val="00EA08F0"/>
    <w:rsid w:val="00EA147D"/>
    <w:rsid w:val="00EA23E9"/>
    <w:rsid w:val="00EA274E"/>
    <w:rsid w:val="00EA2C1D"/>
    <w:rsid w:val="00EA3466"/>
    <w:rsid w:val="00EA3524"/>
    <w:rsid w:val="00EA3770"/>
    <w:rsid w:val="00EA4C41"/>
    <w:rsid w:val="00EA4CCA"/>
    <w:rsid w:val="00EA4E86"/>
    <w:rsid w:val="00EA547F"/>
    <w:rsid w:val="00EA5A70"/>
    <w:rsid w:val="00EA65C8"/>
    <w:rsid w:val="00EA6C2A"/>
    <w:rsid w:val="00EA73F4"/>
    <w:rsid w:val="00EA74F9"/>
    <w:rsid w:val="00EA7ADE"/>
    <w:rsid w:val="00EA7FA7"/>
    <w:rsid w:val="00EB0007"/>
    <w:rsid w:val="00EB003A"/>
    <w:rsid w:val="00EB0304"/>
    <w:rsid w:val="00EB045A"/>
    <w:rsid w:val="00EB1289"/>
    <w:rsid w:val="00EB1CC8"/>
    <w:rsid w:val="00EB21E8"/>
    <w:rsid w:val="00EB2438"/>
    <w:rsid w:val="00EB282B"/>
    <w:rsid w:val="00EB30EA"/>
    <w:rsid w:val="00EB3253"/>
    <w:rsid w:val="00EB38B9"/>
    <w:rsid w:val="00EB44AA"/>
    <w:rsid w:val="00EB466A"/>
    <w:rsid w:val="00EB479D"/>
    <w:rsid w:val="00EB54EF"/>
    <w:rsid w:val="00EB5508"/>
    <w:rsid w:val="00EB5700"/>
    <w:rsid w:val="00EB5C07"/>
    <w:rsid w:val="00EB5D43"/>
    <w:rsid w:val="00EB61A9"/>
    <w:rsid w:val="00EB65F7"/>
    <w:rsid w:val="00EB6F77"/>
    <w:rsid w:val="00EB7136"/>
    <w:rsid w:val="00EB7140"/>
    <w:rsid w:val="00EB76C5"/>
    <w:rsid w:val="00EB7761"/>
    <w:rsid w:val="00EC042F"/>
    <w:rsid w:val="00EC213B"/>
    <w:rsid w:val="00EC2DFF"/>
    <w:rsid w:val="00EC3133"/>
    <w:rsid w:val="00EC38CB"/>
    <w:rsid w:val="00EC3B88"/>
    <w:rsid w:val="00EC3C53"/>
    <w:rsid w:val="00EC3E6A"/>
    <w:rsid w:val="00EC3EEC"/>
    <w:rsid w:val="00EC3FFA"/>
    <w:rsid w:val="00EC45B4"/>
    <w:rsid w:val="00EC491B"/>
    <w:rsid w:val="00EC4B90"/>
    <w:rsid w:val="00EC4E0F"/>
    <w:rsid w:val="00EC501F"/>
    <w:rsid w:val="00EC5E3E"/>
    <w:rsid w:val="00EC5E63"/>
    <w:rsid w:val="00EC5F87"/>
    <w:rsid w:val="00EC62FD"/>
    <w:rsid w:val="00EC630C"/>
    <w:rsid w:val="00EC6423"/>
    <w:rsid w:val="00EC70B9"/>
    <w:rsid w:val="00EC7171"/>
    <w:rsid w:val="00EC71B7"/>
    <w:rsid w:val="00ED070E"/>
    <w:rsid w:val="00ED0F94"/>
    <w:rsid w:val="00ED10AB"/>
    <w:rsid w:val="00ED1B1D"/>
    <w:rsid w:val="00ED2E00"/>
    <w:rsid w:val="00ED34B8"/>
    <w:rsid w:val="00ED354E"/>
    <w:rsid w:val="00ED45F7"/>
    <w:rsid w:val="00ED4BCD"/>
    <w:rsid w:val="00ED5BC4"/>
    <w:rsid w:val="00ED652B"/>
    <w:rsid w:val="00ED659F"/>
    <w:rsid w:val="00ED675E"/>
    <w:rsid w:val="00ED6B8D"/>
    <w:rsid w:val="00EE07B2"/>
    <w:rsid w:val="00EE182A"/>
    <w:rsid w:val="00EE1CDC"/>
    <w:rsid w:val="00EE284D"/>
    <w:rsid w:val="00EE3037"/>
    <w:rsid w:val="00EE3791"/>
    <w:rsid w:val="00EE39B9"/>
    <w:rsid w:val="00EE3FC5"/>
    <w:rsid w:val="00EE5106"/>
    <w:rsid w:val="00EE5131"/>
    <w:rsid w:val="00EE5260"/>
    <w:rsid w:val="00EE5305"/>
    <w:rsid w:val="00EE5492"/>
    <w:rsid w:val="00EE58CA"/>
    <w:rsid w:val="00EE788D"/>
    <w:rsid w:val="00EE7A0F"/>
    <w:rsid w:val="00EE7A2B"/>
    <w:rsid w:val="00EF05E6"/>
    <w:rsid w:val="00EF0AC6"/>
    <w:rsid w:val="00EF0D6B"/>
    <w:rsid w:val="00EF0E76"/>
    <w:rsid w:val="00EF0E8E"/>
    <w:rsid w:val="00EF11A8"/>
    <w:rsid w:val="00EF1F88"/>
    <w:rsid w:val="00EF2A3C"/>
    <w:rsid w:val="00EF2ECC"/>
    <w:rsid w:val="00EF39DE"/>
    <w:rsid w:val="00EF3D7A"/>
    <w:rsid w:val="00EF4726"/>
    <w:rsid w:val="00EF479F"/>
    <w:rsid w:val="00EF4A86"/>
    <w:rsid w:val="00EF4E3D"/>
    <w:rsid w:val="00EF5B8B"/>
    <w:rsid w:val="00EF5DF5"/>
    <w:rsid w:val="00EF69C8"/>
    <w:rsid w:val="00EF7102"/>
    <w:rsid w:val="00EF71DB"/>
    <w:rsid w:val="00EF762C"/>
    <w:rsid w:val="00F002BB"/>
    <w:rsid w:val="00F00620"/>
    <w:rsid w:val="00F00BA3"/>
    <w:rsid w:val="00F00DA7"/>
    <w:rsid w:val="00F00FE3"/>
    <w:rsid w:val="00F0156F"/>
    <w:rsid w:val="00F01D5D"/>
    <w:rsid w:val="00F02162"/>
    <w:rsid w:val="00F0238C"/>
    <w:rsid w:val="00F02608"/>
    <w:rsid w:val="00F02783"/>
    <w:rsid w:val="00F02C71"/>
    <w:rsid w:val="00F02D7E"/>
    <w:rsid w:val="00F032FE"/>
    <w:rsid w:val="00F03492"/>
    <w:rsid w:val="00F03CF1"/>
    <w:rsid w:val="00F044D0"/>
    <w:rsid w:val="00F04518"/>
    <w:rsid w:val="00F04D64"/>
    <w:rsid w:val="00F04FCD"/>
    <w:rsid w:val="00F054A8"/>
    <w:rsid w:val="00F0580F"/>
    <w:rsid w:val="00F059E2"/>
    <w:rsid w:val="00F07631"/>
    <w:rsid w:val="00F07672"/>
    <w:rsid w:val="00F076C4"/>
    <w:rsid w:val="00F07D67"/>
    <w:rsid w:val="00F106FF"/>
    <w:rsid w:val="00F10AE7"/>
    <w:rsid w:val="00F11527"/>
    <w:rsid w:val="00F11985"/>
    <w:rsid w:val="00F1200A"/>
    <w:rsid w:val="00F127A1"/>
    <w:rsid w:val="00F12972"/>
    <w:rsid w:val="00F12DE2"/>
    <w:rsid w:val="00F13E4A"/>
    <w:rsid w:val="00F14A1F"/>
    <w:rsid w:val="00F14E9E"/>
    <w:rsid w:val="00F14FB6"/>
    <w:rsid w:val="00F15B29"/>
    <w:rsid w:val="00F15B47"/>
    <w:rsid w:val="00F15BC3"/>
    <w:rsid w:val="00F161BE"/>
    <w:rsid w:val="00F16758"/>
    <w:rsid w:val="00F177B1"/>
    <w:rsid w:val="00F17954"/>
    <w:rsid w:val="00F17BF8"/>
    <w:rsid w:val="00F17C79"/>
    <w:rsid w:val="00F2019C"/>
    <w:rsid w:val="00F20691"/>
    <w:rsid w:val="00F207D8"/>
    <w:rsid w:val="00F21485"/>
    <w:rsid w:val="00F218C5"/>
    <w:rsid w:val="00F21A72"/>
    <w:rsid w:val="00F22DF2"/>
    <w:rsid w:val="00F231CE"/>
    <w:rsid w:val="00F23739"/>
    <w:rsid w:val="00F237E2"/>
    <w:rsid w:val="00F23B36"/>
    <w:rsid w:val="00F23E82"/>
    <w:rsid w:val="00F23F41"/>
    <w:rsid w:val="00F24626"/>
    <w:rsid w:val="00F2485C"/>
    <w:rsid w:val="00F24F1E"/>
    <w:rsid w:val="00F24F50"/>
    <w:rsid w:val="00F26528"/>
    <w:rsid w:val="00F26B10"/>
    <w:rsid w:val="00F26DB2"/>
    <w:rsid w:val="00F2709E"/>
    <w:rsid w:val="00F27180"/>
    <w:rsid w:val="00F279F0"/>
    <w:rsid w:val="00F27AD6"/>
    <w:rsid w:val="00F27F1B"/>
    <w:rsid w:val="00F302ED"/>
    <w:rsid w:val="00F308EF"/>
    <w:rsid w:val="00F31C62"/>
    <w:rsid w:val="00F3245D"/>
    <w:rsid w:val="00F32B3D"/>
    <w:rsid w:val="00F32D5A"/>
    <w:rsid w:val="00F3339A"/>
    <w:rsid w:val="00F337E1"/>
    <w:rsid w:val="00F343B4"/>
    <w:rsid w:val="00F34A6A"/>
    <w:rsid w:val="00F34DA2"/>
    <w:rsid w:val="00F354FD"/>
    <w:rsid w:val="00F3577F"/>
    <w:rsid w:val="00F35B51"/>
    <w:rsid w:val="00F35C9E"/>
    <w:rsid w:val="00F36E3F"/>
    <w:rsid w:val="00F371B6"/>
    <w:rsid w:val="00F37D84"/>
    <w:rsid w:val="00F37F09"/>
    <w:rsid w:val="00F40B19"/>
    <w:rsid w:val="00F40D1A"/>
    <w:rsid w:val="00F40FEE"/>
    <w:rsid w:val="00F4139B"/>
    <w:rsid w:val="00F4183E"/>
    <w:rsid w:val="00F41FFC"/>
    <w:rsid w:val="00F42924"/>
    <w:rsid w:val="00F42FDB"/>
    <w:rsid w:val="00F43C6B"/>
    <w:rsid w:val="00F43D15"/>
    <w:rsid w:val="00F44F09"/>
    <w:rsid w:val="00F4537B"/>
    <w:rsid w:val="00F45E34"/>
    <w:rsid w:val="00F460F4"/>
    <w:rsid w:val="00F461DF"/>
    <w:rsid w:val="00F46714"/>
    <w:rsid w:val="00F472DE"/>
    <w:rsid w:val="00F478DB"/>
    <w:rsid w:val="00F5033D"/>
    <w:rsid w:val="00F50734"/>
    <w:rsid w:val="00F50D14"/>
    <w:rsid w:val="00F50E44"/>
    <w:rsid w:val="00F51609"/>
    <w:rsid w:val="00F51958"/>
    <w:rsid w:val="00F5224F"/>
    <w:rsid w:val="00F522AC"/>
    <w:rsid w:val="00F52581"/>
    <w:rsid w:val="00F52B25"/>
    <w:rsid w:val="00F52F8F"/>
    <w:rsid w:val="00F53D83"/>
    <w:rsid w:val="00F53E50"/>
    <w:rsid w:val="00F53FB2"/>
    <w:rsid w:val="00F545CC"/>
    <w:rsid w:val="00F5463C"/>
    <w:rsid w:val="00F54B2E"/>
    <w:rsid w:val="00F54EA9"/>
    <w:rsid w:val="00F552CC"/>
    <w:rsid w:val="00F560E5"/>
    <w:rsid w:val="00F56900"/>
    <w:rsid w:val="00F56977"/>
    <w:rsid w:val="00F569AF"/>
    <w:rsid w:val="00F579B2"/>
    <w:rsid w:val="00F57E4E"/>
    <w:rsid w:val="00F60211"/>
    <w:rsid w:val="00F6042B"/>
    <w:rsid w:val="00F60DEA"/>
    <w:rsid w:val="00F6107A"/>
    <w:rsid w:val="00F6118C"/>
    <w:rsid w:val="00F611C7"/>
    <w:rsid w:val="00F612AD"/>
    <w:rsid w:val="00F61F4A"/>
    <w:rsid w:val="00F62A71"/>
    <w:rsid w:val="00F63123"/>
    <w:rsid w:val="00F636C9"/>
    <w:rsid w:val="00F63901"/>
    <w:rsid w:val="00F63E36"/>
    <w:rsid w:val="00F6440E"/>
    <w:rsid w:val="00F651E1"/>
    <w:rsid w:val="00F6649B"/>
    <w:rsid w:val="00F66654"/>
    <w:rsid w:val="00F667B0"/>
    <w:rsid w:val="00F66DB4"/>
    <w:rsid w:val="00F670E0"/>
    <w:rsid w:val="00F67E4E"/>
    <w:rsid w:val="00F70185"/>
    <w:rsid w:val="00F7229A"/>
    <w:rsid w:val="00F72549"/>
    <w:rsid w:val="00F729FF"/>
    <w:rsid w:val="00F72C84"/>
    <w:rsid w:val="00F73084"/>
    <w:rsid w:val="00F7387C"/>
    <w:rsid w:val="00F74786"/>
    <w:rsid w:val="00F7491C"/>
    <w:rsid w:val="00F7597A"/>
    <w:rsid w:val="00F75C02"/>
    <w:rsid w:val="00F75EB9"/>
    <w:rsid w:val="00F76300"/>
    <w:rsid w:val="00F7632F"/>
    <w:rsid w:val="00F76A46"/>
    <w:rsid w:val="00F77183"/>
    <w:rsid w:val="00F776B5"/>
    <w:rsid w:val="00F77932"/>
    <w:rsid w:val="00F77CE4"/>
    <w:rsid w:val="00F800E1"/>
    <w:rsid w:val="00F810E8"/>
    <w:rsid w:val="00F81271"/>
    <w:rsid w:val="00F8127D"/>
    <w:rsid w:val="00F8175B"/>
    <w:rsid w:val="00F81EFE"/>
    <w:rsid w:val="00F8219C"/>
    <w:rsid w:val="00F82B3A"/>
    <w:rsid w:val="00F82D92"/>
    <w:rsid w:val="00F82DB1"/>
    <w:rsid w:val="00F83090"/>
    <w:rsid w:val="00F83786"/>
    <w:rsid w:val="00F84079"/>
    <w:rsid w:val="00F840AD"/>
    <w:rsid w:val="00F8482A"/>
    <w:rsid w:val="00F85441"/>
    <w:rsid w:val="00F85680"/>
    <w:rsid w:val="00F85D87"/>
    <w:rsid w:val="00F85D93"/>
    <w:rsid w:val="00F86294"/>
    <w:rsid w:val="00F86B82"/>
    <w:rsid w:val="00F86E2C"/>
    <w:rsid w:val="00F87071"/>
    <w:rsid w:val="00F8710B"/>
    <w:rsid w:val="00F87312"/>
    <w:rsid w:val="00F877AE"/>
    <w:rsid w:val="00F87818"/>
    <w:rsid w:val="00F90C52"/>
    <w:rsid w:val="00F90E7B"/>
    <w:rsid w:val="00F90E9F"/>
    <w:rsid w:val="00F91568"/>
    <w:rsid w:val="00F91C1D"/>
    <w:rsid w:val="00F92705"/>
    <w:rsid w:val="00F92C1E"/>
    <w:rsid w:val="00F93B3C"/>
    <w:rsid w:val="00F93BC3"/>
    <w:rsid w:val="00F9418D"/>
    <w:rsid w:val="00F94893"/>
    <w:rsid w:val="00F948CF"/>
    <w:rsid w:val="00F94E5B"/>
    <w:rsid w:val="00F94F32"/>
    <w:rsid w:val="00F95243"/>
    <w:rsid w:val="00F9525B"/>
    <w:rsid w:val="00F9611E"/>
    <w:rsid w:val="00F964E8"/>
    <w:rsid w:val="00F9666B"/>
    <w:rsid w:val="00F96D0E"/>
    <w:rsid w:val="00F975A4"/>
    <w:rsid w:val="00F97B01"/>
    <w:rsid w:val="00FA0149"/>
    <w:rsid w:val="00FA09AA"/>
    <w:rsid w:val="00FA1014"/>
    <w:rsid w:val="00FA1C5E"/>
    <w:rsid w:val="00FA1E1A"/>
    <w:rsid w:val="00FA240A"/>
    <w:rsid w:val="00FA281C"/>
    <w:rsid w:val="00FA4217"/>
    <w:rsid w:val="00FA4534"/>
    <w:rsid w:val="00FA4899"/>
    <w:rsid w:val="00FA4B0F"/>
    <w:rsid w:val="00FA5846"/>
    <w:rsid w:val="00FA5DA1"/>
    <w:rsid w:val="00FA5E0C"/>
    <w:rsid w:val="00FA5E7E"/>
    <w:rsid w:val="00FA627A"/>
    <w:rsid w:val="00FA6DE6"/>
    <w:rsid w:val="00FA6FC7"/>
    <w:rsid w:val="00FA70B8"/>
    <w:rsid w:val="00FA71A1"/>
    <w:rsid w:val="00FA7322"/>
    <w:rsid w:val="00FA74EE"/>
    <w:rsid w:val="00FA7562"/>
    <w:rsid w:val="00FA76FB"/>
    <w:rsid w:val="00FB00C3"/>
    <w:rsid w:val="00FB0C0D"/>
    <w:rsid w:val="00FB0DA9"/>
    <w:rsid w:val="00FB0E4A"/>
    <w:rsid w:val="00FB11EA"/>
    <w:rsid w:val="00FB13E3"/>
    <w:rsid w:val="00FB16A1"/>
    <w:rsid w:val="00FB17B9"/>
    <w:rsid w:val="00FB1801"/>
    <w:rsid w:val="00FB1CDD"/>
    <w:rsid w:val="00FB22F7"/>
    <w:rsid w:val="00FB23B0"/>
    <w:rsid w:val="00FB2569"/>
    <w:rsid w:val="00FB26EE"/>
    <w:rsid w:val="00FB2F85"/>
    <w:rsid w:val="00FB387E"/>
    <w:rsid w:val="00FB3E74"/>
    <w:rsid w:val="00FB42AA"/>
    <w:rsid w:val="00FB53D1"/>
    <w:rsid w:val="00FB575B"/>
    <w:rsid w:val="00FB580A"/>
    <w:rsid w:val="00FB5867"/>
    <w:rsid w:val="00FB5C18"/>
    <w:rsid w:val="00FB5FC8"/>
    <w:rsid w:val="00FB6EBD"/>
    <w:rsid w:val="00FB706E"/>
    <w:rsid w:val="00FB7675"/>
    <w:rsid w:val="00FB77D3"/>
    <w:rsid w:val="00FB792B"/>
    <w:rsid w:val="00FB7D4B"/>
    <w:rsid w:val="00FB7E58"/>
    <w:rsid w:val="00FC00B5"/>
    <w:rsid w:val="00FC1F50"/>
    <w:rsid w:val="00FC22C6"/>
    <w:rsid w:val="00FC30D3"/>
    <w:rsid w:val="00FC3270"/>
    <w:rsid w:val="00FC35C0"/>
    <w:rsid w:val="00FC3775"/>
    <w:rsid w:val="00FC3D90"/>
    <w:rsid w:val="00FC3DF0"/>
    <w:rsid w:val="00FC447D"/>
    <w:rsid w:val="00FC44CB"/>
    <w:rsid w:val="00FC508B"/>
    <w:rsid w:val="00FC5732"/>
    <w:rsid w:val="00FC6193"/>
    <w:rsid w:val="00FC6538"/>
    <w:rsid w:val="00FC6E90"/>
    <w:rsid w:val="00FC6FA8"/>
    <w:rsid w:val="00FC702A"/>
    <w:rsid w:val="00FD031E"/>
    <w:rsid w:val="00FD0DDE"/>
    <w:rsid w:val="00FD1FA9"/>
    <w:rsid w:val="00FD2888"/>
    <w:rsid w:val="00FD2893"/>
    <w:rsid w:val="00FD4B1A"/>
    <w:rsid w:val="00FD4C2B"/>
    <w:rsid w:val="00FD4D69"/>
    <w:rsid w:val="00FD4EEC"/>
    <w:rsid w:val="00FD4FD9"/>
    <w:rsid w:val="00FD5684"/>
    <w:rsid w:val="00FD6420"/>
    <w:rsid w:val="00FD679C"/>
    <w:rsid w:val="00FD7090"/>
    <w:rsid w:val="00FD7859"/>
    <w:rsid w:val="00FD7E4F"/>
    <w:rsid w:val="00FE0258"/>
    <w:rsid w:val="00FE0A83"/>
    <w:rsid w:val="00FE129C"/>
    <w:rsid w:val="00FE1558"/>
    <w:rsid w:val="00FE1E4B"/>
    <w:rsid w:val="00FE2293"/>
    <w:rsid w:val="00FE2556"/>
    <w:rsid w:val="00FE2AC1"/>
    <w:rsid w:val="00FE2CDA"/>
    <w:rsid w:val="00FE31D2"/>
    <w:rsid w:val="00FE326A"/>
    <w:rsid w:val="00FE36C7"/>
    <w:rsid w:val="00FE435E"/>
    <w:rsid w:val="00FE5706"/>
    <w:rsid w:val="00FE5B6D"/>
    <w:rsid w:val="00FE5CD9"/>
    <w:rsid w:val="00FE664B"/>
    <w:rsid w:val="00FE68ED"/>
    <w:rsid w:val="00FE77D1"/>
    <w:rsid w:val="00FE7A00"/>
    <w:rsid w:val="00FE7A73"/>
    <w:rsid w:val="00FE7D48"/>
    <w:rsid w:val="00FF0391"/>
    <w:rsid w:val="00FF047E"/>
    <w:rsid w:val="00FF0568"/>
    <w:rsid w:val="00FF0641"/>
    <w:rsid w:val="00FF1860"/>
    <w:rsid w:val="00FF1C2F"/>
    <w:rsid w:val="00FF1F80"/>
    <w:rsid w:val="00FF2153"/>
    <w:rsid w:val="00FF254C"/>
    <w:rsid w:val="00FF2729"/>
    <w:rsid w:val="00FF29B1"/>
    <w:rsid w:val="00FF35B4"/>
    <w:rsid w:val="00FF3702"/>
    <w:rsid w:val="00FF4980"/>
    <w:rsid w:val="00FF57E5"/>
    <w:rsid w:val="00FF582E"/>
    <w:rsid w:val="00FF6185"/>
    <w:rsid w:val="00FF63B5"/>
    <w:rsid w:val="00FF65D3"/>
    <w:rsid w:val="00FF7382"/>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768"/>
    <w:pPr>
      <w:widowControl w:val="0"/>
    </w:pPr>
    <w:rPr>
      <w:snapToGrid w:val="0"/>
      <w:kern w:val="28"/>
      <w:sz w:val="22"/>
    </w:rPr>
  </w:style>
  <w:style w:type="paragraph" w:styleId="Heading1">
    <w:name w:val="heading 1"/>
    <w:basedOn w:val="Normal"/>
    <w:next w:val="ParaNum"/>
    <w:link w:val="Heading1Char1"/>
    <w:qFormat/>
    <w:rsid w:val="002257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225768"/>
    <w:pPr>
      <w:keepNext/>
      <w:numPr>
        <w:ilvl w:val="1"/>
        <w:numId w:val="2"/>
      </w:numPr>
      <w:spacing w:after="120"/>
      <w:outlineLvl w:val="1"/>
    </w:pPr>
    <w:rPr>
      <w:b/>
    </w:rPr>
  </w:style>
  <w:style w:type="paragraph" w:styleId="Heading3">
    <w:name w:val="heading 3"/>
    <w:basedOn w:val="Normal"/>
    <w:next w:val="ParaNum"/>
    <w:link w:val="Heading3Char1"/>
    <w:qFormat/>
    <w:rsid w:val="00225768"/>
    <w:pPr>
      <w:keepNext/>
      <w:numPr>
        <w:ilvl w:val="2"/>
        <w:numId w:val="2"/>
      </w:numPr>
      <w:tabs>
        <w:tab w:val="left" w:pos="2160"/>
      </w:tabs>
      <w:spacing w:after="120"/>
      <w:outlineLvl w:val="2"/>
    </w:pPr>
    <w:rPr>
      <w:b/>
    </w:rPr>
  </w:style>
  <w:style w:type="paragraph" w:styleId="Heading4">
    <w:name w:val="heading 4"/>
    <w:basedOn w:val="Normal"/>
    <w:next w:val="ParaNum"/>
    <w:link w:val="Heading4Char1"/>
    <w:qFormat/>
    <w:rsid w:val="00225768"/>
    <w:pPr>
      <w:keepNext/>
      <w:numPr>
        <w:ilvl w:val="3"/>
        <w:numId w:val="2"/>
      </w:numPr>
      <w:tabs>
        <w:tab w:val="left" w:pos="2880"/>
      </w:tabs>
      <w:spacing w:after="120"/>
      <w:outlineLvl w:val="3"/>
    </w:pPr>
    <w:rPr>
      <w:b/>
    </w:rPr>
  </w:style>
  <w:style w:type="paragraph" w:styleId="Heading5">
    <w:name w:val="heading 5"/>
    <w:basedOn w:val="Normal"/>
    <w:next w:val="ParaNum"/>
    <w:link w:val="Heading5Char1"/>
    <w:qFormat/>
    <w:rsid w:val="002257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1"/>
    <w:qFormat/>
    <w:rsid w:val="00225768"/>
    <w:pPr>
      <w:numPr>
        <w:ilvl w:val="5"/>
        <w:numId w:val="2"/>
      </w:numPr>
      <w:tabs>
        <w:tab w:val="left" w:pos="4320"/>
      </w:tabs>
      <w:spacing w:after="120"/>
      <w:outlineLvl w:val="5"/>
    </w:pPr>
    <w:rPr>
      <w:b/>
    </w:rPr>
  </w:style>
  <w:style w:type="paragraph" w:styleId="Heading7">
    <w:name w:val="heading 7"/>
    <w:basedOn w:val="Normal"/>
    <w:next w:val="ParaNum"/>
    <w:link w:val="Heading7Char1"/>
    <w:qFormat/>
    <w:rsid w:val="0022576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1"/>
    <w:qFormat/>
    <w:rsid w:val="0022576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1"/>
    <w:qFormat/>
    <w:rsid w:val="0022576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57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768"/>
  </w:style>
  <w:style w:type="paragraph" w:customStyle="1" w:styleId="ParaNum">
    <w:name w:val="ParaNum"/>
    <w:basedOn w:val="Normal"/>
    <w:link w:val="ParaNumChar"/>
    <w:rsid w:val="00225768"/>
    <w:pPr>
      <w:numPr>
        <w:numId w:val="1"/>
      </w:numPr>
      <w:tabs>
        <w:tab w:val="clear" w:pos="1080"/>
        <w:tab w:val="num" w:pos="1440"/>
      </w:tabs>
      <w:spacing w:after="120"/>
    </w:pPr>
  </w:style>
  <w:style w:type="character" w:customStyle="1" w:styleId="ParaNumChar">
    <w:name w:val="ParaNum Char"/>
    <w:link w:val="ParaNum"/>
    <w:locked/>
    <w:rPr>
      <w:snapToGrid w:val="0"/>
      <w:kern w:val="28"/>
      <w:sz w:val="22"/>
    </w:rPr>
  </w:style>
  <w:style w:type="character" w:customStyle="1" w:styleId="Heading1Char1">
    <w:name w:val="Heading 1 Char1"/>
    <w:link w:val="Heading1"/>
    <w:locked/>
    <w:rPr>
      <w:rFonts w:ascii="Times New Roman Bold" w:hAnsi="Times New Roman Bold"/>
      <w:b/>
      <w:caps/>
      <w:snapToGrid w:val="0"/>
      <w:kern w:val="28"/>
      <w:sz w:val="22"/>
    </w:rPr>
  </w:style>
  <w:style w:type="character" w:customStyle="1" w:styleId="Heading2Char1">
    <w:name w:val="Heading 2 Char1"/>
    <w:locked/>
    <w:rsid w:val="00C22581"/>
    <w:rPr>
      <w:b/>
      <w:snapToGrid w:val="0"/>
      <w:kern w:val="28"/>
      <w:sz w:val="22"/>
    </w:rPr>
  </w:style>
  <w:style w:type="character" w:customStyle="1" w:styleId="Heading3Char1">
    <w:name w:val="Heading 3 Char1"/>
    <w:link w:val="Heading3"/>
    <w:locked/>
    <w:rPr>
      <w:b/>
      <w:snapToGrid w:val="0"/>
      <w:kern w:val="28"/>
      <w:sz w:val="22"/>
    </w:rPr>
  </w:style>
  <w:style w:type="character" w:customStyle="1" w:styleId="Heading4Char1">
    <w:name w:val="Heading 4 Char1"/>
    <w:link w:val="Heading4"/>
    <w:locked/>
    <w:rPr>
      <w:b/>
      <w:snapToGrid w:val="0"/>
      <w:kern w:val="28"/>
      <w:sz w:val="22"/>
    </w:rPr>
  </w:style>
  <w:style w:type="character" w:customStyle="1" w:styleId="Heading5Char1">
    <w:name w:val="Heading 5 Char1"/>
    <w:link w:val="Heading5"/>
    <w:locked/>
    <w:rPr>
      <w:b/>
      <w:snapToGrid w:val="0"/>
      <w:kern w:val="28"/>
      <w:sz w:val="22"/>
    </w:rPr>
  </w:style>
  <w:style w:type="character" w:customStyle="1" w:styleId="Heading6Char1">
    <w:name w:val="Heading 6 Char1"/>
    <w:link w:val="Heading6"/>
    <w:locked/>
    <w:rPr>
      <w:b/>
      <w:snapToGrid w:val="0"/>
      <w:kern w:val="28"/>
      <w:sz w:val="22"/>
    </w:rPr>
  </w:style>
  <w:style w:type="character" w:customStyle="1" w:styleId="Heading7Char1">
    <w:name w:val="Heading 7 Char1"/>
    <w:link w:val="Heading7"/>
    <w:locked/>
    <w:rPr>
      <w:b/>
      <w:snapToGrid w:val="0"/>
      <w:kern w:val="28"/>
      <w:sz w:val="22"/>
    </w:rPr>
  </w:style>
  <w:style w:type="character" w:customStyle="1" w:styleId="Heading8Char1">
    <w:name w:val="Heading 8 Char1"/>
    <w:link w:val="Heading8"/>
    <w:locked/>
    <w:rPr>
      <w:b/>
      <w:snapToGrid w:val="0"/>
      <w:kern w:val="28"/>
      <w:sz w:val="22"/>
    </w:rPr>
  </w:style>
  <w:style w:type="character" w:customStyle="1" w:styleId="Heading9Char1">
    <w:name w:val="Heading 9 Char1"/>
    <w:link w:val="Heading9"/>
    <w:locked/>
    <w:rPr>
      <w:b/>
      <w:snapToGrid w:val="0"/>
      <w:kern w:val="28"/>
      <w:sz w:val="22"/>
    </w:rPr>
  </w:style>
  <w:style w:type="paragraph" w:styleId="EndnoteText">
    <w:name w:val="endnote text"/>
    <w:basedOn w:val="Normal"/>
    <w:link w:val="EndnoteTextChar1"/>
    <w:semiHidden/>
    <w:rsid w:val="00225768"/>
    <w:rPr>
      <w:sz w:val="20"/>
    </w:rPr>
  </w:style>
  <w:style w:type="character" w:customStyle="1" w:styleId="EndnoteTextChar1">
    <w:name w:val="Endnote Text Char1"/>
    <w:link w:val="EndnoteText"/>
    <w:semiHidden/>
    <w:locked/>
    <w:rPr>
      <w:snapToGrid w:val="0"/>
      <w:kern w:val="28"/>
    </w:rPr>
  </w:style>
  <w:style w:type="character" w:styleId="EndnoteReference">
    <w:name w:val="endnote reference"/>
    <w:semiHidden/>
    <w:rsid w:val="00225768"/>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rsid w:val="00225768"/>
    <w:pPr>
      <w:spacing w:after="120"/>
    </w:p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2"/>
    <w:link w:val="FootnoteText"/>
    <w:locked/>
  </w:style>
  <w:style w:type="character" w:styleId="FootnoteReference">
    <w:name w:val="footnote reference"/>
    <w:aliases w:val="o,fr,Appel note de bas de p,Style 12,(NECG) Footnote Reference,Style 124,Style 3,Style 17,FR,Style 13,Style 6,Footnote Reference/,Style 7"/>
    <w:rsid w:val="00225768"/>
    <w:rPr>
      <w:rFonts w:ascii="Times New Roman" w:hAnsi="Times New Roman"/>
      <w:dstrike w:val="0"/>
      <w:color w:val="auto"/>
      <w:sz w:val="20"/>
      <w:vertAlign w:val="superscript"/>
    </w:rPr>
  </w:style>
  <w:style w:type="paragraph" w:styleId="TOC1">
    <w:name w:val="toc 1"/>
    <w:basedOn w:val="Normal"/>
    <w:next w:val="Normal"/>
    <w:rsid w:val="00225768"/>
    <w:pPr>
      <w:tabs>
        <w:tab w:val="left" w:pos="360"/>
        <w:tab w:val="right" w:leader="dot" w:pos="9360"/>
      </w:tabs>
      <w:suppressAutoHyphens/>
      <w:ind w:left="360" w:right="720" w:hanging="360"/>
    </w:pPr>
    <w:rPr>
      <w:caps/>
      <w:noProof/>
    </w:rPr>
  </w:style>
  <w:style w:type="paragraph" w:styleId="TOC2">
    <w:name w:val="toc 2"/>
    <w:basedOn w:val="Normal"/>
    <w:next w:val="Normal"/>
    <w:rsid w:val="00225768"/>
    <w:pPr>
      <w:tabs>
        <w:tab w:val="left" w:pos="720"/>
        <w:tab w:val="right" w:leader="dot" w:pos="9360"/>
      </w:tabs>
      <w:suppressAutoHyphens/>
      <w:ind w:left="720" w:right="720" w:hanging="360"/>
    </w:pPr>
    <w:rPr>
      <w:noProof/>
    </w:rPr>
  </w:style>
  <w:style w:type="paragraph" w:styleId="TOC3">
    <w:name w:val="toc 3"/>
    <w:basedOn w:val="Normal"/>
    <w:next w:val="Normal"/>
    <w:rsid w:val="0022576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57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57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57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57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57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57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5768"/>
    <w:pPr>
      <w:tabs>
        <w:tab w:val="right" w:pos="9360"/>
      </w:tabs>
      <w:suppressAutoHyphens/>
    </w:pPr>
  </w:style>
  <w:style w:type="character" w:customStyle="1" w:styleId="EquationCaption">
    <w:name w:val="_Equation Caption"/>
    <w:rsid w:val="00225768"/>
  </w:style>
  <w:style w:type="paragraph" w:styleId="Header">
    <w:name w:val="header"/>
    <w:basedOn w:val="Normal"/>
    <w:link w:val="HeaderChar1"/>
    <w:autoRedefine/>
    <w:rsid w:val="00225768"/>
    <w:pPr>
      <w:tabs>
        <w:tab w:val="center" w:pos="4680"/>
        <w:tab w:val="right" w:pos="9360"/>
      </w:tabs>
    </w:pPr>
    <w:rPr>
      <w:b/>
    </w:rPr>
  </w:style>
  <w:style w:type="character" w:customStyle="1" w:styleId="HeaderChar1">
    <w:name w:val="Header Char1"/>
    <w:link w:val="Header"/>
    <w:locked/>
    <w:rsid w:val="008D3EB8"/>
    <w:rPr>
      <w:b/>
      <w:snapToGrid w:val="0"/>
      <w:kern w:val="28"/>
      <w:sz w:val="22"/>
    </w:rPr>
  </w:style>
  <w:style w:type="paragraph" w:styleId="Footer">
    <w:name w:val="footer"/>
    <w:basedOn w:val="Normal"/>
    <w:link w:val="FooterChar1"/>
    <w:rsid w:val="00225768"/>
    <w:pPr>
      <w:tabs>
        <w:tab w:val="center" w:pos="4320"/>
        <w:tab w:val="right" w:pos="8640"/>
      </w:tabs>
    </w:pPr>
  </w:style>
  <w:style w:type="character" w:customStyle="1" w:styleId="FooterChar1">
    <w:name w:val="Footer Char1"/>
    <w:link w:val="Footer"/>
    <w:locked/>
    <w:rPr>
      <w:snapToGrid w:val="0"/>
      <w:kern w:val="28"/>
      <w:sz w:val="22"/>
    </w:rPr>
  </w:style>
  <w:style w:type="character" w:styleId="PageNumber">
    <w:name w:val="page number"/>
    <w:basedOn w:val="DefaultParagraphFont"/>
    <w:rsid w:val="00225768"/>
  </w:style>
  <w:style w:type="paragraph" w:styleId="BlockText">
    <w:name w:val="Block Text"/>
    <w:basedOn w:val="Normal"/>
    <w:rsid w:val="00225768"/>
    <w:pPr>
      <w:spacing w:after="240"/>
      <w:ind w:left="1440" w:right="1440"/>
    </w:pPr>
  </w:style>
  <w:style w:type="paragraph" w:customStyle="1" w:styleId="Paratitle">
    <w:name w:val="Para title"/>
    <w:basedOn w:val="Normal"/>
    <w:rsid w:val="00225768"/>
    <w:pPr>
      <w:tabs>
        <w:tab w:val="center" w:pos="9270"/>
      </w:tabs>
      <w:spacing w:after="240"/>
    </w:pPr>
    <w:rPr>
      <w:spacing w:val="-2"/>
    </w:rPr>
  </w:style>
  <w:style w:type="paragraph" w:customStyle="1" w:styleId="Bullet">
    <w:name w:val="Bullet"/>
    <w:basedOn w:val="Normal"/>
    <w:rsid w:val="00225768"/>
    <w:pPr>
      <w:tabs>
        <w:tab w:val="left" w:pos="2160"/>
      </w:tabs>
      <w:spacing w:after="220"/>
      <w:ind w:left="2160" w:hanging="720"/>
    </w:pPr>
  </w:style>
  <w:style w:type="paragraph" w:customStyle="1" w:styleId="TableFormat">
    <w:name w:val="TableFormat"/>
    <w:basedOn w:val="Bullet"/>
    <w:rsid w:val="00225768"/>
    <w:pPr>
      <w:tabs>
        <w:tab w:val="clear" w:pos="2160"/>
        <w:tab w:val="left" w:pos="5040"/>
      </w:tabs>
      <w:ind w:left="5040" w:hanging="3600"/>
    </w:pPr>
  </w:style>
  <w:style w:type="paragraph" w:customStyle="1" w:styleId="TOCTitle">
    <w:name w:val="TOC Title"/>
    <w:basedOn w:val="Normal"/>
    <w:rsid w:val="002257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5768"/>
    <w:pPr>
      <w:jc w:val="center"/>
    </w:pPr>
    <w:rPr>
      <w:rFonts w:ascii="Times New Roman Bold" w:hAnsi="Times New Roman Bold"/>
      <w:b/>
      <w:bCs/>
      <w:caps/>
      <w:szCs w:val="22"/>
    </w:rPr>
  </w:style>
  <w:style w:type="character" w:styleId="Hyperlink">
    <w:name w:val="Hyperlink"/>
    <w:rsid w:val="00225768"/>
    <w:rPr>
      <w:color w:val="0000FF"/>
      <w:u w:val="single"/>
    </w:rPr>
  </w:style>
  <w:style w:type="paragraph" w:styleId="BalloonText">
    <w:name w:val="Balloon Text"/>
    <w:basedOn w:val="Normal"/>
    <w:link w:val="BalloonTextChar1"/>
    <w:semiHidden/>
    <w:rPr>
      <w:rFonts w:ascii="Tahoma" w:hAnsi="Tahoma" w:cs="Tahoma"/>
      <w:snapToGrid/>
      <w:sz w:val="16"/>
      <w:szCs w:val="16"/>
    </w:rPr>
  </w:style>
  <w:style w:type="character" w:customStyle="1" w:styleId="BalloonTextChar1">
    <w:name w:val="Balloon Text Char1"/>
    <w:link w:val="BalloonText"/>
    <w:semiHidden/>
    <w:locked/>
    <w:rPr>
      <w:rFonts w:ascii="Tahoma" w:hAnsi="Tahoma" w:cs="Tahoma"/>
      <w:kern w:val="28"/>
      <w:sz w:val="16"/>
      <w:szCs w:val="16"/>
      <w:lang w:val="en-US" w:eastAsia="en-US" w:bidi="ar-SA"/>
    </w:rPr>
  </w:style>
  <w:style w:type="paragraph" w:customStyle="1" w:styleId="StyleParaNumTimesNewRoman11pt">
    <w:name w:val="Style ParaNum + Times New Roman 11 pt"/>
    <w:basedOn w:val="ParaNum"/>
    <w:link w:val="StyleParaNumTimesNewRoman11ptChar"/>
    <w:autoRedefine/>
    <w:pPr>
      <w:widowControl/>
      <w:numPr>
        <w:numId w:val="0"/>
      </w:numPr>
      <w:tabs>
        <w:tab w:val="num" w:pos="360"/>
        <w:tab w:val="left" w:pos="1440"/>
        <w:tab w:val="num" w:pos="3780"/>
      </w:tabs>
      <w:ind w:left="360" w:hanging="360"/>
    </w:pPr>
    <w:rPr>
      <w:snapToGrid/>
    </w:rPr>
  </w:style>
  <w:style w:type="character" w:customStyle="1" w:styleId="StyleParaNumTimesNewRoman11ptChar">
    <w:name w:val="Style ParaNum + Times New Roman 11 pt Char"/>
    <w:link w:val="StyleParaNumTimesNewRoman11pt"/>
    <w:locked/>
    <w:rPr>
      <w:kern w:val="28"/>
      <w:sz w:val="22"/>
      <w:lang w:val="en-US" w:eastAsia="en-US" w:bidi="ar-SA"/>
    </w:rPr>
  </w:style>
  <w:style w:type="character" w:customStyle="1" w:styleId="StyleFootnoteReferenceofrAppelnotedebasdepStyle12NECG">
    <w:name w:val="Style Footnote ReferenceofrAppel note de bas de pStyle 12(NECG..."/>
    <w:rPr>
      <w:rFonts w:ascii="Times New Roman" w:hAnsi="Times New Roman"/>
      <w:color w:val="000000"/>
      <w:sz w:val="22"/>
      <w:vertAlign w:val="superscript"/>
    </w:rPr>
  </w:style>
  <w:style w:type="paragraph" w:customStyle="1" w:styleId="StyleParaNum">
    <w:name w:val="Style ParaNum +"/>
    <w:basedOn w:val="Normal"/>
    <w:link w:val="StyleParaNumChar"/>
    <w:autoRedefine/>
    <w:pPr>
      <w:tabs>
        <w:tab w:val="num" w:pos="360"/>
        <w:tab w:val="num" w:pos="1440"/>
      </w:tabs>
      <w:spacing w:after="120"/>
      <w:ind w:left="360" w:hanging="360"/>
    </w:pPr>
    <w:rPr>
      <w:snapToGrid/>
      <w:kern w:val="0"/>
    </w:rPr>
  </w:style>
  <w:style w:type="character" w:customStyle="1" w:styleId="StyleParaNumChar">
    <w:name w:val="Style ParaNum + Char"/>
    <w:link w:val="StyleParaNum"/>
    <w:locked/>
    <w:rPr>
      <w:sz w:val="22"/>
      <w:lang w:val="en-US" w:eastAsia="en-US" w:bidi="ar-SA"/>
    </w:rPr>
  </w:style>
  <w:style w:type="paragraph" w:styleId="CommentText">
    <w:name w:val="annotation text"/>
    <w:basedOn w:val="Normal"/>
    <w:link w:val="CommentTextChar1"/>
    <w:rPr>
      <w:snapToGrid/>
      <w:sz w:val="20"/>
    </w:rPr>
  </w:style>
  <w:style w:type="character" w:customStyle="1" w:styleId="CommentTextChar1">
    <w:name w:val="Comment Text Char1"/>
    <w:link w:val="CommentText"/>
    <w:semiHidden/>
    <w:locked/>
    <w:rPr>
      <w:kern w:val="28"/>
      <w:lang w:val="en-US" w:eastAsia="en-US" w:bidi="ar-SA"/>
    </w:rPr>
  </w:style>
  <w:style w:type="paragraph" w:styleId="CommentSubject">
    <w:name w:val="annotation subject"/>
    <w:basedOn w:val="CommentText"/>
    <w:next w:val="CommentText"/>
    <w:link w:val="CommentSubjectChar1"/>
    <w:semiHidden/>
    <w:rPr>
      <w:b/>
      <w:bCs/>
    </w:rPr>
  </w:style>
  <w:style w:type="character" w:customStyle="1" w:styleId="CommentSubjectChar1">
    <w:name w:val="Comment Subject Char1"/>
    <w:link w:val="CommentSubject"/>
    <w:semiHidden/>
    <w:locked/>
    <w:rPr>
      <w:b/>
      <w:bCs/>
      <w:kern w:val="28"/>
      <w:lang w:val="en-US" w:eastAsia="en-US" w:bidi="ar-SA"/>
    </w:rPr>
  </w:style>
  <w:style w:type="paragraph" w:styleId="DocumentMap">
    <w:name w:val="Document Map"/>
    <w:basedOn w:val="Normal"/>
    <w:link w:val="DocumentMapChar1"/>
    <w:semiHidden/>
    <w:pPr>
      <w:shd w:val="clear" w:color="auto" w:fill="000080"/>
    </w:pPr>
    <w:rPr>
      <w:rFonts w:ascii="Tahoma" w:hAnsi="Tahoma" w:cs="Tahoma"/>
      <w:snapToGrid/>
      <w:sz w:val="20"/>
    </w:rPr>
  </w:style>
  <w:style w:type="character" w:customStyle="1" w:styleId="DocumentMapChar1">
    <w:name w:val="Document Map Char1"/>
    <w:link w:val="DocumentMap"/>
    <w:semiHidden/>
    <w:locked/>
    <w:rPr>
      <w:rFonts w:ascii="Tahoma" w:hAnsi="Tahoma" w:cs="Tahoma"/>
      <w:kern w:val="28"/>
      <w:lang w:val="en-US" w:eastAsia="en-US" w:bidi="ar-SA"/>
    </w:rPr>
  </w:style>
  <w:style w:type="character" w:customStyle="1" w:styleId="FootnoteTextChar5">
    <w:name w:val="Footnote Text Char5"/>
    <w:aliases w:val="Footnote Text Char2 Char Char1,Footnote Text Char3 Char Char Char1,Footnote Text Char2 Char Char Char Char1,Footnote Text Char Char Char1 Char Char Char Char1,Footnote Text Char1 Char1 Char Char Char Char1,fn Char1,f Char,f Char1"/>
    <w:locked/>
    <w:rPr>
      <w:lang w:val="en-US" w:eastAsia="en-US"/>
    </w:rPr>
  </w:style>
  <w:style w:type="paragraph" w:customStyle="1" w:styleId="paranum0">
    <w:name w:val="paranum"/>
    <w:basedOn w:val="Normal"/>
    <w:pPr>
      <w:widowControl/>
      <w:snapToGrid w:val="0"/>
      <w:spacing w:after="120"/>
      <w:ind w:firstLine="720"/>
    </w:pPr>
    <w:rPr>
      <w:snapToGrid/>
      <w:kern w:val="0"/>
      <w:szCs w:val="22"/>
    </w:rPr>
  </w:style>
  <w:style w:type="character" w:customStyle="1" w:styleId="cosearchterm6">
    <w:name w:val="co_searchterm6"/>
    <w:rsid w:val="007D1EC5"/>
    <w:rPr>
      <w:b/>
      <w:bCs/>
      <w:color w:val="252525"/>
    </w:rPr>
  </w:style>
  <w:style w:type="character" w:styleId="CommentReference">
    <w:name w:val="annotation reference"/>
    <w:rPr>
      <w:sz w:val="16"/>
      <w:szCs w:val="16"/>
    </w:rPr>
  </w:style>
  <w:style w:type="character" w:customStyle="1" w:styleId="Heading1Char">
    <w:name w:val="Heading 1 Char"/>
    <w:locked/>
    <w:rPr>
      <w:rFonts w:ascii="Times New Roman Bold" w:hAnsi="Times New Roman Bold"/>
      <w:b/>
      <w:caps/>
      <w:snapToGrid w:val="0"/>
      <w:kern w:val="28"/>
      <w:sz w:val="22"/>
      <w:lang w:val="en-US" w:eastAsia="en-US" w:bidi="ar-SA"/>
    </w:rPr>
  </w:style>
  <w:style w:type="character" w:customStyle="1" w:styleId="Heading2Char">
    <w:name w:val="Heading 2 Char"/>
    <w:locked/>
    <w:rPr>
      <w:b/>
      <w:snapToGrid w:val="0"/>
      <w:kern w:val="28"/>
      <w:sz w:val="22"/>
      <w:lang w:val="en-US" w:eastAsia="en-US" w:bidi="ar-SA"/>
    </w:rPr>
  </w:style>
  <w:style w:type="character" w:customStyle="1" w:styleId="Heading3Char">
    <w:name w:val="Heading 3 Char"/>
    <w:locked/>
    <w:rPr>
      <w:b/>
      <w:snapToGrid w:val="0"/>
      <w:kern w:val="28"/>
      <w:sz w:val="22"/>
      <w:lang w:val="en-US" w:eastAsia="en-US" w:bidi="ar-SA"/>
    </w:rPr>
  </w:style>
  <w:style w:type="character" w:customStyle="1" w:styleId="Heading4Char">
    <w:name w:val="Heading 4 Char"/>
    <w:locked/>
    <w:rPr>
      <w:b/>
      <w:snapToGrid w:val="0"/>
      <w:kern w:val="28"/>
      <w:sz w:val="22"/>
      <w:lang w:val="en-US" w:eastAsia="en-US" w:bidi="ar-SA"/>
    </w:rPr>
  </w:style>
  <w:style w:type="character" w:customStyle="1" w:styleId="Heading5Char">
    <w:name w:val="Heading 5 Char"/>
    <w:semiHidden/>
    <w:locked/>
    <w:rPr>
      <w:b/>
      <w:snapToGrid w:val="0"/>
      <w:kern w:val="28"/>
      <w:sz w:val="22"/>
      <w:lang w:val="en-US" w:eastAsia="en-US" w:bidi="ar-SA"/>
    </w:rPr>
  </w:style>
  <w:style w:type="character" w:customStyle="1" w:styleId="Heading6Char">
    <w:name w:val="Heading 6 Char"/>
    <w:semiHidden/>
    <w:locked/>
    <w:rPr>
      <w:b/>
      <w:snapToGrid w:val="0"/>
      <w:kern w:val="28"/>
      <w:sz w:val="22"/>
      <w:lang w:val="en-US" w:eastAsia="en-US" w:bidi="ar-SA"/>
    </w:rPr>
  </w:style>
  <w:style w:type="character" w:customStyle="1" w:styleId="Heading7Char">
    <w:name w:val="Heading 7 Char"/>
    <w:semiHidden/>
    <w:locked/>
    <w:rPr>
      <w:b/>
      <w:snapToGrid w:val="0"/>
      <w:kern w:val="28"/>
      <w:sz w:val="22"/>
      <w:lang w:val="en-US" w:eastAsia="en-US" w:bidi="ar-SA"/>
    </w:rPr>
  </w:style>
  <w:style w:type="character" w:customStyle="1" w:styleId="Heading8Char">
    <w:name w:val="Heading 8 Char"/>
    <w:semiHidden/>
    <w:locked/>
    <w:rPr>
      <w:b/>
      <w:snapToGrid w:val="0"/>
      <w:kern w:val="28"/>
      <w:sz w:val="22"/>
      <w:lang w:val="en-US" w:eastAsia="en-US" w:bidi="ar-SA"/>
    </w:rPr>
  </w:style>
  <w:style w:type="character" w:customStyle="1" w:styleId="Heading9Char">
    <w:name w:val="Heading 9 Char"/>
    <w:semiHidden/>
    <w:locked/>
    <w:rPr>
      <w:b/>
      <w:snapToGrid w:val="0"/>
      <w:kern w:val="28"/>
      <w:sz w:val="22"/>
      <w:lang w:val="en-US" w:eastAsia="en-US" w:bidi="ar-SA"/>
    </w:rPr>
  </w:style>
  <w:style w:type="character" w:customStyle="1" w:styleId="EndnoteTextChar">
    <w:name w:val="Endnote Text Char"/>
    <w:semiHidden/>
    <w:locked/>
    <w:rPr>
      <w:snapToGrid w:val="0"/>
      <w:kern w:val="28"/>
      <w:lang w:val="en-US" w:eastAsia="en-US" w:bidi="ar-SA"/>
    </w:rPr>
  </w:style>
  <w:style w:type="character" w:customStyle="1" w:styleId="HeaderChar">
    <w:name w:val="Header Char"/>
    <w:semiHidden/>
    <w:locked/>
    <w:rPr>
      <w:b/>
      <w:snapToGrid w:val="0"/>
      <w:kern w:val="28"/>
      <w:sz w:val="22"/>
      <w:lang w:val="en-US" w:eastAsia="en-US" w:bidi="ar-SA"/>
    </w:rPr>
  </w:style>
  <w:style w:type="character" w:customStyle="1" w:styleId="FooterChar">
    <w:name w:val="Footer Char"/>
    <w:semiHidden/>
    <w:locked/>
    <w:rPr>
      <w:snapToGrid w:val="0"/>
      <w:kern w:val="28"/>
      <w:sz w:val="22"/>
      <w:lang w:val="en-US" w:eastAsia="en-US" w:bidi="ar-SA"/>
    </w:rPr>
  </w:style>
  <w:style w:type="character" w:customStyle="1" w:styleId="BalloonTextChar">
    <w:name w:val="Balloon Text Char"/>
    <w:semiHidden/>
    <w:locked/>
    <w:rPr>
      <w:rFonts w:ascii="Tahoma" w:hAnsi="Tahoma" w:cs="Tahoma"/>
      <w:kern w:val="28"/>
      <w:sz w:val="16"/>
      <w:szCs w:val="16"/>
      <w:lang w:val="en-US" w:eastAsia="en-US" w:bidi="ar-SA"/>
    </w:rPr>
  </w:style>
  <w:style w:type="character" w:customStyle="1" w:styleId="CommentTextChar">
    <w:name w:val="Comment Text Char"/>
    <w:semiHidden/>
    <w:locked/>
    <w:rPr>
      <w:kern w:val="28"/>
      <w:lang w:val="en-US" w:eastAsia="en-US" w:bidi="ar-SA"/>
    </w:rPr>
  </w:style>
  <w:style w:type="character" w:customStyle="1" w:styleId="CommentSubjectChar">
    <w:name w:val="Comment Subject Char"/>
    <w:semiHidden/>
    <w:locked/>
    <w:rPr>
      <w:b/>
      <w:bCs/>
      <w:kern w:val="28"/>
      <w:lang w:val="en-US" w:eastAsia="en-US" w:bidi="ar-SA"/>
    </w:rPr>
  </w:style>
  <w:style w:type="character" w:customStyle="1" w:styleId="DocumentMapChar">
    <w:name w:val="Document Map Char"/>
    <w:semiHidden/>
    <w:locked/>
    <w:rPr>
      <w:rFonts w:ascii="Tahoma" w:hAnsi="Tahoma" w:cs="Tahoma"/>
      <w:kern w:val="28"/>
      <w:lang w:val="en-US" w:eastAsia="en-US" w:bidi="ar-SA"/>
    </w:rPr>
  </w:style>
  <w:style w:type="character" w:customStyle="1" w:styleId="footnotetextchar2char1">
    <w:name w:val="footnotetextchar2char1"/>
    <w:basedOn w:val="DefaultParagraphFont"/>
  </w:style>
  <w:style w:type="character" w:styleId="Emphasis">
    <w:name w:val="Emphasis"/>
    <w:uiPriority w:val="20"/>
    <w:qFormat/>
    <w:rPr>
      <w:i/>
      <w:i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beforeAutospacing="1" w:after="100" w:afterAutospacing="1"/>
    </w:pPr>
    <w:rPr>
      <w:snapToGrid/>
      <w:kern w:val="0"/>
      <w:sz w:val="24"/>
      <w:szCs w:val="24"/>
    </w:rPr>
  </w:style>
  <w:style w:type="character" w:customStyle="1" w:styleId="FootnoteTextChar3CharCharChar">
    <w:name w:val="Footnote Text Char3 Char Char Char"/>
    <w:aliases w:val="Footnote Text Char2 Char Char Char Char,Footnote Text Char Char Char1 Char Char Char Char,Footnote Text Char1 Char1 Char Char Char Char,Footnote Text Char Char Char2 Char Char Char,fn Char,Footnote Text Char Char"/>
    <w:locked/>
    <w:rsid w:val="00A710D7"/>
    <w:rPr>
      <w:lang w:val="en-US" w:eastAsia="en-US" w:bidi="ar-SA"/>
    </w:rPr>
  </w:style>
  <w:style w:type="paragraph" w:styleId="Revision">
    <w:name w:val="Revision"/>
    <w:hidden/>
    <w:uiPriority w:val="99"/>
    <w:semiHidden/>
    <w:rsid w:val="000641CD"/>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56329E"/>
    <w:rPr>
      <w:lang w:val="en-US" w:eastAsia="en-US" w:bidi="ar-SA"/>
    </w:rPr>
  </w:style>
  <w:style w:type="character" w:customStyle="1" w:styleId="BalloonTextChar2">
    <w:name w:val="Balloon Text Char2"/>
    <w:semiHidden/>
    <w:locked/>
    <w:rsid w:val="00C43BE4"/>
    <w:rPr>
      <w:rFonts w:ascii="Tahoma" w:hAnsi="Tahoma"/>
      <w:kern w:val="28"/>
      <w:sz w:val="16"/>
      <w:lang w:val="en-US" w:eastAsia="en-US"/>
    </w:rPr>
  </w:style>
  <w:style w:type="character" w:customStyle="1" w:styleId="StyleFootnoteReferenceofrAppelnotedebasdepStyle12NECG1">
    <w:name w:val="Style Footnote ReferenceofrAppel note de bas de pStyle 12(NECG...1"/>
    <w:rsid w:val="00883FEC"/>
    <w:rPr>
      <w:rFonts w:ascii="Times New Roman" w:hAnsi="Times New Roman"/>
      <w:dstrike w:val="0"/>
      <w:color w:val="auto"/>
      <w:kern w:val="0"/>
      <w:sz w:val="22"/>
      <w:vertAlign w:val="superscript"/>
    </w:rPr>
  </w:style>
  <w:style w:type="character" w:customStyle="1" w:styleId="costarpage2">
    <w:name w:val="co_starpage2"/>
    <w:rsid w:val="007D1EC5"/>
  </w:style>
  <w:style w:type="character" w:customStyle="1" w:styleId="documentbody">
    <w:name w:val="documentbody"/>
    <w:basedOn w:val="DefaultParagraphFont"/>
    <w:rsid w:val="007D3E5E"/>
  </w:style>
  <w:style w:type="character" w:customStyle="1" w:styleId="CommentTextChar3">
    <w:name w:val="Comment Text Char3"/>
    <w:locked/>
    <w:rsid w:val="008A1C1E"/>
    <w:rPr>
      <w:kern w:val="28"/>
      <w:lang w:val="en-US" w:eastAsia="en-US"/>
    </w:rPr>
  </w:style>
  <w:style w:type="character" w:customStyle="1" w:styleId="Normal2">
    <w:name w:val="Normal2"/>
    <w:rsid w:val="008A1C1E"/>
    <w:rPr>
      <w:rFonts w:ascii="Times New Roman" w:hAnsi="Times New Roman" w:cs="Times New Roman"/>
      <w:sz w:val="20"/>
      <w:lang w:val="en-US" w:eastAsia="x-none"/>
    </w:rPr>
  </w:style>
  <w:style w:type="character" w:customStyle="1" w:styleId="FootnoteTextChar4">
    <w:name w:val="Footnote Text Char4"/>
    <w:aliases w:val="Footnote Text Char1 Char1,Footnote Text Char3 Char Char1,Footnote Text Char2 Char Char Char1,Footnote Text Char Char1 Char Char Char1,Footnote Text Char2 Char Char1 Char Char Char1,Footnote Text Char Char1 Char Char Char Char Char1"/>
    <w:semiHidden/>
    <w:locked/>
    <w:rsid w:val="00086899"/>
  </w:style>
  <w:style w:type="paragraph" w:styleId="TOCHeading">
    <w:name w:val="TOC Heading"/>
    <w:basedOn w:val="Heading1"/>
    <w:next w:val="Normal"/>
    <w:uiPriority w:val="39"/>
    <w:semiHidden/>
    <w:unhideWhenUsed/>
    <w:qFormat/>
    <w:rsid w:val="0060795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2Char4">
    <w:name w:val="Heading 2 Char4"/>
    <w:locked/>
    <w:rsid w:val="005C0F80"/>
    <w:rPr>
      <w:b/>
      <w:snapToGrid w:val="0"/>
      <w:kern w:val="28"/>
      <w:sz w:val="22"/>
    </w:rPr>
  </w:style>
  <w:style w:type="paragraph" w:styleId="PlainText">
    <w:name w:val="Plain Text"/>
    <w:basedOn w:val="Normal"/>
    <w:link w:val="PlainTextChar"/>
    <w:rsid w:val="005C0F80"/>
    <w:pPr>
      <w:widowControl/>
    </w:pPr>
    <w:rPr>
      <w:rFonts w:ascii="Courier New" w:hAnsi="Courier New"/>
      <w:sz w:val="20"/>
    </w:rPr>
  </w:style>
  <w:style w:type="character" w:customStyle="1" w:styleId="PlainTextChar">
    <w:name w:val="Plain Text Char"/>
    <w:link w:val="PlainText"/>
    <w:rsid w:val="005C0F80"/>
    <w:rPr>
      <w:rFonts w:ascii="Courier New" w:hAnsi="Courier New"/>
      <w:snapToGrid w:val="0"/>
      <w:kern w:val="28"/>
    </w:rPr>
  </w:style>
  <w:style w:type="character" w:customStyle="1" w:styleId="searchterm">
    <w:name w:val="searchterm"/>
    <w:rsid w:val="004B33FA"/>
  </w:style>
  <w:style w:type="paragraph" w:styleId="ListParagraph">
    <w:name w:val="List Paragraph"/>
    <w:basedOn w:val="Normal"/>
    <w:uiPriority w:val="34"/>
    <w:qFormat/>
    <w:rsid w:val="0034223D"/>
    <w:pPr>
      <w:ind w:left="720"/>
    </w:pPr>
  </w:style>
  <w:style w:type="character" w:customStyle="1" w:styleId="Heading2Char2">
    <w:name w:val="Heading 2 Char2"/>
    <w:basedOn w:val="DefaultParagraphFont"/>
    <w:link w:val="Heading2"/>
    <w:rsid w:val="00BD692F"/>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768"/>
    <w:pPr>
      <w:widowControl w:val="0"/>
    </w:pPr>
    <w:rPr>
      <w:snapToGrid w:val="0"/>
      <w:kern w:val="28"/>
      <w:sz w:val="22"/>
    </w:rPr>
  </w:style>
  <w:style w:type="paragraph" w:styleId="Heading1">
    <w:name w:val="heading 1"/>
    <w:basedOn w:val="Normal"/>
    <w:next w:val="ParaNum"/>
    <w:link w:val="Heading1Char1"/>
    <w:qFormat/>
    <w:rsid w:val="002257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225768"/>
    <w:pPr>
      <w:keepNext/>
      <w:numPr>
        <w:ilvl w:val="1"/>
        <w:numId w:val="2"/>
      </w:numPr>
      <w:spacing w:after="120"/>
      <w:outlineLvl w:val="1"/>
    </w:pPr>
    <w:rPr>
      <w:b/>
    </w:rPr>
  </w:style>
  <w:style w:type="paragraph" w:styleId="Heading3">
    <w:name w:val="heading 3"/>
    <w:basedOn w:val="Normal"/>
    <w:next w:val="ParaNum"/>
    <w:link w:val="Heading3Char1"/>
    <w:qFormat/>
    <w:rsid w:val="00225768"/>
    <w:pPr>
      <w:keepNext/>
      <w:numPr>
        <w:ilvl w:val="2"/>
        <w:numId w:val="2"/>
      </w:numPr>
      <w:tabs>
        <w:tab w:val="left" w:pos="2160"/>
      </w:tabs>
      <w:spacing w:after="120"/>
      <w:outlineLvl w:val="2"/>
    </w:pPr>
    <w:rPr>
      <w:b/>
    </w:rPr>
  </w:style>
  <w:style w:type="paragraph" w:styleId="Heading4">
    <w:name w:val="heading 4"/>
    <w:basedOn w:val="Normal"/>
    <w:next w:val="ParaNum"/>
    <w:link w:val="Heading4Char1"/>
    <w:qFormat/>
    <w:rsid w:val="00225768"/>
    <w:pPr>
      <w:keepNext/>
      <w:numPr>
        <w:ilvl w:val="3"/>
        <w:numId w:val="2"/>
      </w:numPr>
      <w:tabs>
        <w:tab w:val="left" w:pos="2880"/>
      </w:tabs>
      <w:spacing w:after="120"/>
      <w:outlineLvl w:val="3"/>
    </w:pPr>
    <w:rPr>
      <w:b/>
    </w:rPr>
  </w:style>
  <w:style w:type="paragraph" w:styleId="Heading5">
    <w:name w:val="heading 5"/>
    <w:basedOn w:val="Normal"/>
    <w:next w:val="ParaNum"/>
    <w:link w:val="Heading5Char1"/>
    <w:qFormat/>
    <w:rsid w:val="002257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1"/>
    <w:qFormat/>
    <w:rsid w:val="00225768"/>
    <w:pPr>
      <w:numPr>
        <w:ilvl w:val="5"/>
        <w:numId w:val="2"/>
      </w:numPr>
      <w:tabs>
        <w:tab w:val="left" w:pos="4320"/>
      </w:tabs>
      <w:spacing w:after="120"/>
      <w:outlineLvl w:val="5"/>
    </w:pPr>
    <w:rPr>
      <w:b/>
    </w:rPr>
  </w:style>
  <w:style w:type="paragraph" w:styleId="Heading7">
    <w:name w:val="heading 7"/>
    <w:basedOn w:val="Normal"/>
    <w:next w:val="ParaNum"/>
    <w:link w:val="Heading7Char1"/>
    <w:qFormat/>
    <w:rsid w:val="0022576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1"/>
    <w:qFormat/>
    <w:rsid w:val="0022576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1"/>
    <w:qFormat/>
    <w:rsid w:val="0022576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57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768"/>
  </w:style>
  <w:style w:type="paragraph" w:customStyle="1" w:styleId="ParaNum">
    <w:name w:val="ParaNum"/>
    <w:basedOn w:val="Normal"/>
    <w:link w:val="ParaNumChar"/>
    <w:rsid w:val="00225768"/>
    <w:pPr>
      <w:numPr>
        <w:numId w:val="1"/>
      </w:numPr>
      <w:tabs>
        <w:tab w:val="clear" w:pos="1080"/>
        <w:tab w:val="num" w:pos="1440"/>
      </w:tabs>
      <w:spacing w:after="120"/>
    </w:pPr>
  </w:style>
  <w:style w:type="character" w:customStyle="1" w:styleId="ParaNumChar">
    <w:name w:val="ParaNum Char"/>
    <w:link w:val="ParaNum"/>
    <w:locked/>
    <w:rPr>
      <w:snapToGrid w:val="0"/>
      <w:kern w:val="28"/>
      <w:sz w:val="22"/>
    </w:rPr>
  </w:style>
  <w:style w:type="character" w:customStyle="1" w:styleId="Heading1Char1">
    <w:name w:val="Heading 1 Char1"/>
    <w:link w:val="Heading1"/>
    <w:locked/>
    <w:rPr>
      <w:rFonts w:ascii="Times New Roman Bold" w:hAnsi="Times New Roman Bold"/>
      <w:b/>
      <w:caps/>
      <w:snapToGrid w:val="0"/>
      <w:kern w:val="28"/>
      <w:sz w:val="22"/>
    </w:rPr>
  </w:style>
  <w:style w:type="character" w:customStyle="1" w:styleId="Heading2Char1">
    <w:name w:val="Heading 2 Char1"/>
    <w:locked/>
    <w:rsid w:val="00C22581"/>
    <w:rPr>
      <w:b/>
      <w:snapToGrid w:val="0"/>
      <w:kern w:val="28"/>
      <w:sz w:val="22"/>
    </w:rPr>
  </w:style>
  <w:style w:type="character" w:customStyle="1" w:styleId="Heading3Char1">
    <w:name w:val="Heading 3 Char1"/>
    <w:link w:val="Heading3"/>
    <w:locked/>
    <w:rPr>
      <w:b/>
      <w:snapToGrid w:val="0"/>
      <w:kern w:val="28"/>
      <w:sz w:val="22"/>
    </w:rPr>
  </w:style>
  <w:style w:type="character" w:customStyle="1" w:styleId="Heading4Char1">
    <w:name w:val="Heading 4 Char1"/>
    <w:link w:val="Heading4"/>
    <w:locked/>
    <w:rPr>
      <w:b/>
      <w:snapToGrid w:val="0"/>
      <w:kern w:val="28"/>
      <w:sz w:val="22"/>
    </w:rPr>
  </w:style>
  <w:style w:type="character" w:customStyle="1" w:styleId="Heading5Char1">
    <w:name w:val="Heading 5 Char1"/>
    <w:link w:val="Heading5"/>
    <w:locked/>
    <w:rPr>
      <w:b/>
      <w:snapToGrid w:val="0"/>
      <w:kern w:val="28"/>
      <w:sz w:val="22"/>
    </w:rPr>
  </w:style>
  <w:style w:type="character" w:customStyle="1" w:styleId="Heading6Char1">
    <w:name w:val="Heading 6 Char1"/>
    <w:link w:val="Heading6"/>
    <w:locked/>
    <w:rPr>
      <w:b/>
      <w:snapToGrid w:val="0"/>
      <w:kern w:val="28"/>
      <w:sz w:val="22"/>
    </w:rPr>
  </w:style>
  <w:style w:type="character" w:customStyle="1" w:styleId="Heading7Char1">
    <w:name w:val="Heading 7 Char1"/>
    <w:link w:val="Heading7"/>
    <w:locked/>
    <w:rPr>
      <w:b/>
      <w:snapToGrid w:val="0"/>
      <w:kern w:val="28"/>
      <w:sz w:val="22"/>
    </w:rPr>
  </w:style>
  <w:style w:type="character" w:customStyle="1" w:styleId="Heading8Char1">
    <w:name w:val="Heading 8 Char1"/>
    <w:link w:val="Heading8"/>
    <w:locked/>
    <w:rPr>
      <w:b/>
      <w:snapToGrid w:val="0"/>
      <w:kern w:val="28"/>
      <w:sz w:val="22"/>
    </w:rPr>
  </w:style>
  <w:style w:type="character" w:customStyle="1" w:styleId="Heading9Char1">
    <w:name w:val="Heading 9 Char1"/>
    <w:link w:val="Heading9"/>
    <w:locked/>
    <w:rPr>
      <w:b/>
      <w:snapToGrid w:val="0"/>
      <w:kern w:val="28"/>
      <w:sz w:val="22"/>
    </w:rPr>
  </w:style>
  <w:style w:type="paragraph" w:styleId="EndnoteText">
    <w:name w:val="endnote text"/>
    <w:basedOn w:val="Normal"/>
    <w:link w:val="EndnoteTextChar1"/>
    <w:semiHidden/>
    <w:rsid w:val="00225768"/>
    <w:rPr>
      <w:sz w:val="20"/>
    </w:rPr>
  </w:style>
  <w:style w:type="character" w:customStyle="1" w:styleId="EndnoteTextChar1">
    <w:name w:val="Endnote Text Char1"/>
    <w:link w:val="EndnoteText"/>
    <w:semiHidden/>
    <w:locked/>
    <w:rPr>
      <w:snapToGrid w:val="0"/>
      <w:kern w:val="28"/>
    </w:rPr>
  </w:style>
  <w:style w:type="character" w:styleId="EndnoteReference">
    <w:name w:val="endnote reference"/>
    <w:semiHidden/>
    <w:rsid w:val="00225768"/>
    <w:rPr>
      <w:vertAlign w:val="superscript"/>
    </w:rPr>
  </w:style>
  <w:style w:type="paragraph" w:styleId="FootnoteText">
    <w:name w:val="footnote text"/>
    <w:aliases w:val="Footnote Text Char1,Footnote Text Char3 Char,Footnote Text Char2 Char Char,Footnote Text Char Char1 Char Char,Footnote Text Char2 Char Char1 Char Char,Footnote Text Char Char1 Char Char Char Char,Footnote Text Char3,Footnote Text Char2,fn"/>
    <w:link w:val="FootnoteTextChar"/>
    <w:rsid w:val="00225768"/>
    <w:pPr>
      <w:spacing w:after="120"/>
    </w:pPr>
  </w:style>
  <w:style w:type="character" w:customStyle="1" w:styleId="FootnoteTextChar">
    <w:name w:val="Footnote Text Char"/>
    <w:aliases w:val="Footnote Text Char1 Char,Footnote Text Char3 Char Char,Footnote Text Char2 Char Char Char,Footnote Text Char Char1 Char Char Char,Footnote Text Char2 Char Char1 Char Char Char,Footnote Text Char Char1 Char Char Char Char Char,fn Char2"/>
    <w:link w:val="FootnoteText"/>
    <w:locked/>
  </w:style>
  <w:style w:type="character" w:styleId="FootnoteReference">
    <w:name w:val="footnote reference"/>
    <w:aliases w:val="o,fr,Appel note de bas de p,Style 12,(NECG) Footnote Reference,Style 124,Style 3,Style 17,FR,Style 13,Style 6,Footnote Reference/,Style 7"/>
    <w:rsid w:val="00225768"/>
    <w:rPr>
      <w:rFonts w:ascii="Times New Roman" w:hAnsi="Times New Roman"/>
      <w:dstrike w:val="0"/>
      <w:color w:val="auto"/>
      <w:sz w:val="20"/>
      <w:vertAlign w:val="superscript"/>
    </w:rPr>
  </w:style>
  <w:style w:type="paragraph" w:styleId="TOC1">
    <w:name w:val="toc 1"/>
    <w:basedOn w:val="Normal"/>
    <w:next w:val="Normal"/>
    <w:rsid w:val="00225768"/>
    <w:pPr>
      <w:tabs>
        <w:tab w:val="left" w:pos="360"/>
        <w:tab w:val="right" w:leader="dot" w:pos="9360"/>
      </w:tabs>
      <w:suppressAutoHyphens/>
      <w:ind w:left="360" w:right="720" w:hanging="360"/>
    </w:pPr>
    <w:rPr>
      <w:caps/>
      <w:noProof/>
    </w:rPr>
  </w:style>
  <w:style w:type="paragraph" w:styleId="TOC2">
    <w:name w:val="toc 2"/>
    <w:basedOn w:val="Normal"/>
    <w:next w:val="Normal"/>
    <w:rsid w:val="00225768"/>
    <w:pPr>
      <w:tabs>
        <w:tab w:val="left" w:pos="720"/>
        <w:tab w:val="right" w:leader="dot" w:pos="9360"/>
      </w:tabs>
      <w:suppressAutoHyphens/>
      <w:ind w:left="720" w:right="720" w:hanging="360"/>
    </w:pPr>
    <w:rPr>
      <w:noProof/>
    </w:rPr>
  </w:style>
  <w:style w:type="paragraph" w:styleId="TOC3">
    <w:name w:val="toc 3"/>
    <w:basedOn w:val="Normal"/>
    <w:next w:val="Normal"/>
    <w:rsid w:val="0022576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57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57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57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57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57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57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5768"/>
    <w:pPr>
      <w:tabs>
        <w:tab w:val="right" w:pos="9360"/>
      </w:tabs>
      <w:suppressAutoHyphens/>
    </w:pPr>
  </w:style>
  <w:style w:type="character" w:customStyle="1" w:styleId="EquationCaption">
    <w:name w:val="_Equation Caption"/>
    <w:rsid w:val="00225768"/>
  </w:style>
  <w:style w:type="paragraph" w:styleId="Header">
    <w:name w:val="header"/>
    <w:basedOn w:val="Normal"/>
    <w:link w:val="HeaderChar1"/>
    <w:autoRedefine/>
    <w:rsid w:val="00225768"/>
    <w:pPr>
      <w:tabs>
        <w:tab w:val="center" w:pos="4680"/>
        <w:tab w:val="right" w:pos="9360"/>
      </w:tabs>
    </w:pPr>
    <w:rPr>
      <w:b/>
    </w:rPr>
  </w:style>
  <w:style w:type="character" w:customStyle="1" w:styleId="HeaderChar1">
    <w:name w:val="Header Char1"/>
    <w:link w:val="Header"/>
    <w:locked/>
    <w:rsid w:val="008D3EB8"/>
    <w:rPr>
      <w:b/>
      <w:snapToGrid w:val="0"/>
      <w:kern w:val="28"/>
      <w:sz w:val="22"/>
    </w:rPr>
  </w:style>
  <w:style w:type="paragraph" w:styleId="Footer">
    <w:name w:val="footer"/>
    <w:basedOn w:val="Normal"/>
    <w:link w:val="FooterChar1"/>
    <w:rsid w:val="00225768"/>
    <w:pPr>
      <w:tabs>
        <w:tab w:val="center" w:pos="4320"/>
        <w:tab w:val="right" w:pos="8640"/>
      </w:tabs>
    </w:pPr>
  </w:style>
  <w:style w:type="character" w:customStyle="1" w:styleId="FooterChar1">
    <w:name w:val="Footer Char1"/>
    <w:link w:val="Footer"/>
    <w:locked/>
    <w:rPr>
      <w:snapToGrid w:val="0"/>
      <w:kern w:val="28"/>
      <w:sz w:val="22"/>
    </w:rPr>
  </w:style>
  <w:style w:type="character" w:styleId="PageNumber">
    <w:name w:val="page number"/>
    <w:basedOn w:val="DefaultParagraphFont"/>
    <w:rsid w:val="00225768"/>
  </w:style>
  <w:style w:type="paragraph" w:styleId="BlockText">
    <w:name w:val="Block Text"/>
    <w:basedOn w:val="Normal"/>
    <w:rsid w:val="00225768"/>
    <w:pPr>
      <w:spacing w:after="240"/>
      <w:ind w:left="1440" w:right="1440"/>
    </w:pPr>
  </w:style>
  <w:style w:type="paragraph" w:customStyle="1" w:styleId="Paratitle">
    <w:name w:val="Para title"/>
    <w:basedOn w:val="Normal"/>
    <w:rsid w:val="00225768"/>
    <w:pPr>
      <w:tabs>
        <w:tab w:val="center" w:pos="9270"/>
      </w:tabs>
      <w:spacing w:after="240"/>
    </w:pPr>
    <w:rPr>
      <w:spacing w:val="-2"/>
    </w:rPr>
  </w:style>
  <w:style w:type="paragraph" w:customStyle="1" w:styleId="Bullet">
    <w:name w:val="Bullet"/>
    <w:basedOn w:val="Normal"/>
    <w:rsid w:val="00225768"/>
    <w:pPr>
      <w:tabs>
        <w:tab w:val="left" w:pos="2160"/>
      </w:tabs>
      <w:spacing w:after="220"/>
      <w:ind w:left="2160" w:hanging="720"/>
    </w:pPr>
  </w:style>
  <w:style w:type="paragraph" w:customStyle="1" w:styleId="TableFormat">
    <w:name w:val="TableFormat"/>
    <w:basedOn w:val="Bullet"/>
    <w:rsid w:val="00225768"/>
    <w:pPr>
      <w:tabs>
        <w:tab w:val="clear" w:pos="2160"/>
        <w:tab w:val="left" w:pos="5040"/>
      </w:tabs>
      <w:ind w:left="5040" w:hanging="3600"/>
    </w:pPr>
  </w:style>
  <w:style w:type="paragraph" w:customStyle="1" w:styleId="TOCTitle">
    <w:name w:val="TOC Title"/>
    <w:basedOn w:val="Normal"/>
    <w:rsid w:val="002257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5768"/>
    <w:pPr>
      <w:jc w:val="center"/>
    </w:pPr>
    <w:rPr>
      <w:rFonts w:ascii="Times New Roman Bold" w:hAnsi="Times New Roman Bold"/>
      <w:b/>
      <w:bCs/>
      <w:caps/>
      <w:szCs w:val="22"/>
    </w:rPr>
  </w:style>
  <w:style w:type="character" w:styleId="Hyperlink">
    <w:name w:val="Hyperlink"/>
    <w:rsid w:val="00225768"/>
    <w:rPr>
      <w:color w:val="0000FF"/>
      <w:u w:val="single"/>
    </w:rPr>
  </w:style>
  <w:style w:type="paragraph" w:styleId="BalloonText">
    <w:name w:val="Balloon Text"/>
    <w:basedOn w:val="Normal"/>
    <w:link w:val="BalloonTextChar1"/>
    <w:semiHidden/>
    <w:rPr>
      <w:rFonts w:ascii="Tahoma" w:hAnsi="Tahoma" w:cs="Tahoma"/>
      <w:snapToGrid/>
      <w:sz w:val="16"/>
      <w:szCs w:val="16"/>
    </w:rPr>
  </w:style>
  <w:style w:type="character" w:customStyle="1" w:styleId="BalloonTextChar1">
    <w:name w:val="Balloon Text Char1"/>
    <w:link w:val="BalloonText"/>
    <w:semiHidden/>
    <w:locked/>
    <w:rPr>
      <w:rFonts w:ascii="Tahoma" w:hAnsi="Tahoma" w:cs="Tahoma"/>
      <w:kern w:val="28"/>
      <w:sz w:val="16"/>
      <w:szCs w:val="16"/>
      <w:lang w:val="en-US" w:eastAsia="en-US" w:bidi="ar-SA"/>
    </w:rPr>
  </w:style>
  <w:style w:type="paragraph" w:customStyle="1" w:styleId="StyleParaNumTimesNewRoman11pt">
    <w:name w:val="Style ParaNum + Times New Roman 11 pt"/>
    <w:basedOn w:val="ParaNum"/>
    <w:link w:val="StyleParaNumTimesNewRoman11ptChar"/>
    <w:autoRedefine/>
    <w:pPr>
      <w:widowControl/>
      <w:numPr>
        <w:numId w:val="0"/>
      </w:numPr>
      <w:tabs>
        <w:tab w:val="num" w:pos="360"/>
        <w:tab w:val="left" w:pos="1440"/>
        <w:tab w:val="num" w:pos="3780"/>
      </w:tabs>
      <w:ind w:left="360" w:hanging="360"/>
    </w:pPr>
    <w:rPr>
      <w:snapToGrid/>
    </w:rPr>
  </w:style>
  <w:style w:type="character" w:customStyle="1" w:styleId="StyleParaNumTimesNewRoman11ptChar">
    <w:name w:val="Style ParaNum + Times New Roman 11 pt Char"/>
    <w:link w:val="StyleParaNumTimesNewRoman11pt"/>
    <w:locked/>
    <w:rPr>
      <w:kern w:val="28"/>
      <w:sz w:val="22"/>
      <w:lang w:val="en-US" w:eastAsia="en-US" w:bidi="ar-SA"/>
    </w:rPr>
  </w:style>
  <w:style w:type="character" w:customStyle="1" w:styleId="StyleFootnoteReferenceofrAppelnotedebasdepStyle12NECG">
    <w:name w:val="Style Footnote ReferenceofrAppel note de bas de pStyle 12(NECG..."/>
    <w:rPr>
      <w:rFonts w:ascii="Times New Roman" w:hAnsi="Times New Roman"/>
      <w:color w:val="000000"/>
      <w:sz w:val="22"/>
      <w:vertAlign w:val="superscript"/>
    </w:rPr>
  </w:style>
  <w:style w:type="paragraph" w:customStyle="1" w:styleId="StyleParaNum">
    <w:name w:val="Style ParaNum +"/>
    <w:basedOn w:val="Normal"/>
    <w:link w:val="StyleParaNumChar"/>
    <w:autoRedefine/>
    <w:pPr>
      <w:tabs>
        <w:tab w:val="num" w:pos="360"/>
        <w:tab w:val="num" w:pos="1440"/>
      </w:tabs>
      <w:spacing w:after="120"/>
      <w:ind w:left="360" w:hanging="360"/>
    </w:pPr>
    <w:rPr>
      <w:snapToGrid/>
      <w:kern w:val="0"/>
    </w:rPr>
  </w:style>
  <w:style w:type="character" w:customStyle="1" w:styleId="StyleParaNumChar">
    <w:name w:val="Style ParaNum + Char"/>
    <w:link w:val="StyleParaNum"/>
    <w:locked/>
    <w:rPr>
      <w:sz w:val="22"/>
      <w:lang w:val="en-US" w:eastAsia="en-US" w:bidi="ar-SA"/>
    </w:rPr>
  </w:style>
  <w:style w:type="paragraph" w:styleId="CommentText">
    <w:name w:val="annotation text"/>
    <w:basedOn w:val="Normal"/>
    <w:link w:val="CommentTextChar1"/>
    <w:rPr>
      <w:snapToGrid/>
      <w:sz w:val="20"/>
    </w:rPr>
  </w:style>
  <w:style w:type="character" w:customStyle="1" w:styleId="CommentTextChar1">
    <w:name w:val="Comment Text Char1"/>
    <w:link w:val="CommentText"/>
    <w:semiHidden/>
    <w:locked/>
    <w:rPr>
      <w:kern w:val="28"/>
      <w:lang w:val="en-US" w:eastAsia="en-US" w:bidi="ar-SA"/>
    </w:rPr>
  </w:style>
  <w:style w:type="paragraph" w:styleId="CommentSubject">
    <w:name w:val="annotation subject"/>
    <w:basedOn w:val="CommentText"/>
    <w:next w:val="CommentText"/>
    <w:link w:val="CommentSubjectChar1"/>
    <w:semiHidden/>
    <w:rPr>
      <w:b/>
      <w:bCs/>
    </w:rPr>
  </w:style>
  <w:style w:type="character" w:customStyle="1" w:styleId="CommentSubjectChar1">
    <w:name w:val="Comment Subject Char1"/>
    <w:link w:val="CommentSubject"/>
    <w:semiHidden/>
    <w:locked/>
    <w:rPr>
      <w:b/>
      <w:bCs/>
      <w:kern w:val="28"/>
      <w:lang w:val="en-US" w:eastAsia="en-US" w:bidi="ar-SA"/>
    </w:rPr>
  </w:style>
  <w:style w:type="paragraph" w:styleId="DocumentMap">
    <w:name w:val="Document Map"/>
    <w:basedOn w:val="Normal"/>
    <w:link w:val="DocumentMapChar1"/>
    <w:semiHidden/>
    <w:pPr>
      <w:shd w:val="clear" w:color="auto" w:fill="000080"/>
    </w:pPr>
    <w:rPr>
      <w:rFonts w:ascii="Tahoma" w:hAnsi="Tahoma" w:cs="Tahoma"/>
      <w:snapToGrid/>
      <w:sz w:val="20"/>
    </w:rPr>
  </w:style>
  <w:style w:type="character" w:customStyle="1" w:styleId="DocumentMapChar1">
    <w:name w:val="Document Map Char1"/>
    <w:link w:val="DocumentMap"/>
    <w:semiHidden/>
    <w:locked/>
    <w:rPr>
      <w:rFonts w:ascii="Tahoma" w:hAnsi="Tahoma" w:cs="Tahoma"/>
      <w:kern w:val="28"/>
      <w:lang w:val="en-US" w:eastAsia="en-US" w:bidi="ar-SA"/>
    </w:rPr>
  </w:style>
  <w:style w:type="character" w:customStyle="1" w:styleId="FootnoteTextChar5">
    <w:name w:val="Footnote Text Char5"/>
    <w:aliases w:val="Footnote Text Char2 Char Char1,Footnote Text Char3 Char Char Char1,Footnote Text Char2 Char Char Char Char1,Footnote Text Char Char Char1 Char Char Char Char1,Footnote Text Char1 Char1 Char Char Char Char1,fn Char1,f Char,f Char1"/>
    <w:locked/>
    <w:rPr>
      <w:lang w:val="en-US" w:eastAsia="en-US"/>
    </w:rPr>
  </w:style>
  <w:style w:type="paragraph" w:customStyle="1" w:styleId="paranum0">
    <w:name w:val="paranum"/>
    <w:basedOn w:val="Normal"/>
    <w:pPr>
      <w:widowControl/>
      <w:snapToGrid w:val="0"/>
      <w:spacing w:after="120"/>
      <w:ind w:firstLine="720"/>
    </w:pPr>
    <w:rPr>
      <w:snapToGrid/>
      <w:kern w:val="0"/>
      <w:szCs w:val="22"/>
    </w:rPr>
  </w:style>
  <w:style w:type="character" w:customStyle="1" w:styleId="cosearchterm6">
    <w:name w:val="co_searchterm6"/>
    <w:rsid w:val="007D1EC5"/>
    <w:rPr>
      <w:b/>
      <w:bCs/>
      <w:color w:val="252525"/>
    </w:rPr>
  </w:style>
  <w:style w:type="character" w:styleId="CommentReference">
    <w:name w:val="annotation reference"/>
    <w:rPr>
      <w:sz w:val="16"/>
      <w:szCs w:val="16"/>
    </w:rPr>
  </w:style>
  <w:style w:type="character" w:customStyle="1" w:styleId="Heading1Char">
    <w:name w:val="Heading 1 Char"/>
    <w:locked/>
    <w:rPr>
      <w:rFonts w:ascii="Times New Roman Bold" w:hAnsi="Times New Roman Bold"/>
      <w:b/>
      <w:caps/>
      <w:snapToGrid w:val="0"/>
      <w:kern w:val="28"/>
      <w:sz w:val="22"/>
      <w:lang w:val="en-US" w:eastAsia="en-US" w:bidi="ar-SA"/>
    </w:rPr>
  </w:style>
  <w:style w:type="character" w:customStyle="1" w:styleId="Heading2Char">
    <w:name w:val="Heading 2 Char"/>
    <w:locked/>
    <w:rPr>
      <w:b/>
      <w:snapToGrid w:val="0"/>
      <w:kern w:val="28"/>
      <w:sz w:val="22"/>
      <w:lang w:val="en-US" w:eastAsia="en-US" w:bidi="ar-SA"/>
    </w:rPr>
  </w:style>
  <w:style w:type="character" w:customStyle="1" w:styleId="Heading3Char">
    <w:name w:val="Heading 3 Char"/>
    <w:locked/>
    <w:rPr>
      <w:b/>
      <w:snapToGrid w:val="0"/>
      <w:kern w:val="28"/>
      <w:sz w:val="22"/>
      <w:lang w:val="en-US" w:eastAsia="en-US" w:bidi="ar-SA"/>
    </w:rPr>
  </w:style>
  <w:style w:type="character" w:customStyle="1" w:styleId="Heading4Char">
    <w:name w:val="Heading 4 Char"/>
    <w:locked/>
    <w:rPr>
      <w:b/>
      <w:snapToGrid w:val="0"/>
      <w:kern w:val="28"/>
      <w:sz w:val="22"/>
      <w:lang w:val="en-US" w:eastAsia="en-US" w:bidi="ar-SA"/>
    </w:rPr>
  </w:style>
  <w:style w:type="character" w:customStyle="1" w:styleId="Heading5Char">
    <w:name w:val="Heading 5 Char"/>
    <w:semiHidden/>
    <w:locked/>
    <w:rPr>
      <w:b/>
      <w:snapToGrid w:val="0"/>
      <w:kern w:val="28"/>
      <w:sz w:val="22"/>
      <w:lang w:val="en-US" w:eastAsia="en-US" w:bidi="ar-SA"/>
    </w:rPr>
  </w:style>
  <w:style w:type="character" w:customStyle="1" w:styleId="Heading6Char">
    <w:name w:val="Heading 6 Char"/>
    <w:semiHidden/>
    <w:locked/>
    <w:rPr>
      <w:b/>
      <w:snapToGrid w:val="0"/>
      <w:kern w:val="28"/>
      <w:sz w:val="22"/>
      <w:lang w:val="en-US" w:eastAsia="en-US" w:bidi="ar-SA"/>
    </w:rPr>
  </w:style>
  <w:style w:type="character" w:customStyle="1" w:styleId="Heading7Char">
    <w:name w:val="Heading 7 Char"/>
    <w:semiHidden/>
    <w:locked/>
    <w:rPr>
      <w:b/>
      <w:snapToGrid w:val="0"/>
      <w:kern w:val="28"/>
      <w:sz w:val="22"/>
      <w:lang w:val="en-US" w:eastAsia="en-US" w:bidi="ar-SA"/>
    </w:rPr>
  </w:style>
  <w:style w:type="character" w:customStyle="1" w:styleId="Heading8Char">
    <w:name w:val="Heading 8 Char"/>
    <w:semiHidden/>
    <w:locked/>
    <w:rPr>
      <w:b/>
      <w:snapToGrid w:val="0"/>
      <w:kern w:val="28"/>
      <w:sz w:val="22"/>
      <w:lang w:val="en-US" w:eastAsia="en-US" w:bidi="ar-SA"/>
    </w:rPr>
  </w:style>
  <w:style w:type="character" w:customStyle="1" w:styleId="Heading9Char">
    <w:name w:val="Heading 9 Char"/>
    <w:semiHidden/>
    <w:locked/>
    <w:rPr>
      <w:b/>
      <w:snapToGrid w:val="0"/>
      <w:kern w:val="28"/>
      <w:sz w:val="22"/>
      <w:lang w:val="en-US" w:eastAsia="en-US" w:bidi="ar-SA"/>
    </w:rPr>
  </w:style>
  <w:style w:type="character" w:customStyle="1" w:styleId="EndnoteTextChar">
    <w:name w:val="Endnote Text Char"/>
    <w:semiHidden/>
    <w:locked/>
    <w:rPr>
      <w:snapToGrid w:val="0"/>
      <w:kern w:val="28"/>
      <w:lang w:val="en-US" w:eastAsia="en-US" w:bidi="ar-SA"/>
    </w:rPr>
  </w:style>
  <w:style w:type="character" w:customStyle="1" w:styleId="HeaderChar">
    <w:name w:val="Header Char"/>
    <w:semiHidden/>
    <w:locked/>
    <w:rPr>
      <w:b/>
      <w:snapToGrid w:val="0"/>
      <w:kern w:val="28"/>
      <w:sz w:val="22"/>
      <w:lang w:val="en-US" w:eastAsia="en-US" w:bidi="ar-SA"/>
    </w:rPr>
  </w:style>
  <w:style w:type="character" w:customStyle="1" w:styleId="FooterChar">
    <w:name w:val="Footer Char"/>
    <w:semiHidden/>
    <w:locked/>
    <w:rPr>
      <w:snapToGrid w:val="0"/>
      <w:kern w:val="28"/>
      <w:sz w:val="22"/>
      <w:lang w:val="en-US" w:eastAsia="en-US" w:bidi="ar-SA"/>
    </w:rPr>
  </w:style>
  <w:style w:type="character" w:customStyle="1" w:styleId="BalloonTextChar">
    <w:name w:val="Balloon Text Char"/>
    <w:semiHidden/>
    <w:locked/>
    <w:rPr>
      <w:rFonts w:ascii="Tahoma" w:hAnsi="Tahoma" w:cs="Tahoma"/>
      <w:kern w:val="28"/>
      <w:sz w:val="16"/>
      <w:szCs w:val="16"/>
      <w:lang w:val="en-US" w:eastAsia="en-US" w:bidi="ar-SA"/>
    </w:rPr>
  </w:style>
  <w:style w:type="character" w:customStyle="1" w:styleId="CommentTextChar">
    <w:name w:val="Comment Text Char"/>
    <w:semiHidden/>
    <w:locked/>
    <w:rPr>
      <w:kern w:val="28"/>
      <w:lang w:val="en-US" w:eastAsia="en-US" w:bidi="ar-SA"/>
    </w:rPr>
  </w:style>
  <w:style w:type="character" w:customStyle="1" w:styleId="CommentSubjectChar">
    <w:name w:val="Comment Subject Char"/>
    <w:semiHidden/>
    <w:locked/>
    <w:rPr>
      <w:b/>
      <w:bCs/>
      <w:kern w:val="28"/>
      <w:lang w:val="en-US" w:eastAsia="en-US" w:bidi="ar-SA"/>
    </w:rPr>
  </w:style>
  <w:style w:type="character" w:customStyle="1" w:styleId="DocumentMapChar">
    <w:name w:val="Document Map Char"/>
    <w:semiHidden/>
    <w:locked/>
    <w:rPr>
      <w:rFonts w:ascii="Tahoma" w:hAnsi="Tahoma" w:cs="Tahoma"/>
      <w:kern w:val="28"/>
      <w:lang w:val="en-US" w:eastAsia="en-US" w:bidi="ar-SA"/>
    </w:rPr>
  </w:style>
  <w:style w:type="character" w:customStyle="1" w:styleId="footnotetextchar2char1">
    <w:name w:val="footnotetextchar2char1"/>
    <w:basedOn w:val="DefaultParagraphFont"/>
  </w:style>
  <w:style w:type="character" w:styleId="Emphasis">
    <w:name w:val="Emphasis"/>
    <w:uiPriority w:val="20"/>
    <w:qFormat/>
    <w:rPr>
      <w:i/>
      <w:i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beforeAutospacing="1" w:after="100" w:afterAutospacing="1"/>
    </w:pPr>
    <w:rPr>
      <w:snapToGrid/>
      <w:kern w:val="0"/>
      <w:sz w:val="24"/>
      <w:szCs w:val="24"/>
    </w:rPr>
  </w:style>
  <w:style w:type="character" w:customStyle="1" w:styleId="FootnoteTextChar3CharCharChar">
    <w:name w:val="Footnote Text Char3 Char Char Char"/>
    <w:aliases w:val="Footnote Text Char2 Char Char Char Char,Footnote Text Char Char Char1 Char Char Char Char,Footnote Text Char1 Char1 Char Char Char Char,Footnote Text Char Char Char2 Char Char Char,fn Char,Footnote Text Char Char"/>
    <w:locked/>
    <w:rsid w:val="00A710D7"/>
    <w:rPr>
      <w:lang w:val="en-US" w:eastAsia="en-US" w:bidi="ar-SA"/>
    </w:rPr>
  </w:style>
  <w:style w:type="paragraph" w:styleId="Revision">
    <w:name w:val="Revision"/>
    <w:hidden/>
    <w:uiPriority w:val="99"/>
    <w:semiHidden/>
    <w:rsid w:val="000641CD"/>
    <w:rPr>
      <w:snapToGrid w:val="0"/>
      <w:kern w:val="28"/>
      <w:sz w:val="22"/>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56329E"/>
    <w:rPr>
      <w:lang w:val="en-US" w:eastAsia="en-US" w:bidi="ar-SA"/>
    </w:rPr>
  </w:style>
  <w:style w:type="character" w:customStyle="1" w:styleId="BalloonTextChar2">
    <w:name w:val="Balloon Text Char2"/>
    <w:semiHidden/>
    <w:locked/>
    <w:rsid w:val="00C43BE4"/>
    <w:rPr>
      <w:rFonts w:ascii="Tahoma" w:hAnsi="Tahoma"/>
      <w:kern w:val="28"/>
      <w:sz w:val="16"/>
      <w:lang w:val="en-US" w:eastAsia="en-US"/>
    </w:rPr>
  </w:style>
  <w:style w:type="character" w:customStyle="1" w:styleId="StyleFootnoteReferenceofrAppelnotedebasdepStyle12NECG1">
    <w:name w:val="Style Footnote ReferenceofrAppel note de bas de pStyle 12(NECG...1"/>
    <w:rsid w:val="00883FEC"/>
    <w:rPr>
      <w:rFonts w:ascii="Times New Roman" w:hAnsi="Times New Roman"/>
      <w:dstrike w:val="0"/>
      <w:color w:val="auto"/>
      <w:kern w:val="0"/>
      <w:sz w:val="22"/>
      <w:vertAlign w:val="superscript"/>
    </w:rPr>
  </w:style>
  <w:style w:type="character" w:customStyle="1" w:styleId="costarpage2">
    <w:name w:val="co_starpage2"/>
    <w:rsid w:val="007D1EC5"/>
  </w:style>
  <w:style w:type="character" w:customStyle="1" w:styleId="documentbody">
    <w:name w:val="documentbody"/>
    <w:basedOn w:val="DefaultParagraphFont"/>
    <w:rsid w:val="007D3E5E"/>
  </w:style>
  <w:style w:type="character" w:customStyle="1" w:styleId="CommentTextChar3">
    <w:name w:val="Comment Text Char3"/>
    <w:locked/>
    <w:rsid w:val="008A1C1E"/>
    <w:rPr>
      <w:kern w:val="28"/>
      <w:lang w:val="en-US" w:eastAsia="en-US"/>
    </w:rPr>
  </w:style>
  <w:style w:type="character" w:customStyle="1" w:styleId="Normal2">
    <w:name w:val="Normal2"/>
    <w:rsid w:val="008A1C1E"/>
    <w:rPr>
      <w:rFonts w:ascii="Times New Roman" w:hAnsi="Times New Roman" w:cs="Times New Roman"/>
      <w:sz w:val="20"/>
      <w:lang w:val="en-US" w:eastAsia="x-none"/>
    </w:rPr>
  </w:style>
  <w:style w:type="character" w:customStyle="1" w:styleId="FootnoteTextChar4">
    <w:name w:val="Footnote Text Char4"/>
    <w:aliases w:val="Footnote Text Char1 Char1,Footnote Text Char3 Char Char1,Footnote Text Char2 Char Char Char1,Footnote Text Char Char1 Char Char Char1,Footnote Text Char2 Char Char1 Char Char Char1,Footnote Text Char Char1 Char Char Char Char Char1"/>
    <w:semiHidden/>
    <w:locked/>
    <w:rsid w:val="00086899"/>
  </w:style>
  <w:style w:type="paragraph" w:styleId="TOCHeading">
    <w:name w:val="TOC Heading"/>
    <w:basedOn w:val="Heading1"/>
    <w:next w:val="Normal"/>
    <w:uiPriority w:val="39"/>
    <w:semiHidden/>
    <w:unhideWhenUsed/>
    <w:qFormat/>
    <w:rsid w:val="0060795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Heading2Char4">
    <w:name w:val="Heading 2 Char4"/>
    <w:locked/>
    <w:rsid w:val="005C0F80"/>
    <w:rPr>
      <w:b/>
      <w:snapToGrid w:val="0"/>
      <w:kern w:val="28"/>
      <w:sz w:val="22"/>
    </w:rPr>
  </w:style>
  <w:style w:type="paragraph" w:styleId="PlainText">
    <w:name w:val="Plain Text"/>
    <w:basedOn w:val="Normal"/>
    <w:link w:val="PlainTextChar"/>
    <w:rsid w:val="005C0F80"/>
    <w:pPr>
      <w:widowControl/>
    </w:pPr>
    <w:rPr>
      <w:rFonts w:ascii="Courier New" w:hAnsi="Courier New"/>
      <w:sz w:val="20"/>
    </w:rPr>
  </w:style>
  <w:style w:type="character" w:customStyle="1" w:styleId="PlainTextChar">
    <w:name w:val="Plain Text Char"/>
    <w:link w:val="PlainText"/>
    <w:rsid w:val="005C0F80"/>
    <w:rPr>
      <w:rFonts w:ascii="Courier New" w:hAnsi="Courier New"/>
      <w:snapToGrid w:val="0"/>
      <w:kern w:val="28"/>
    </w:rPr>
  </w:style>
  <w:style w:type="character" w:customStyle="1" w:styleId="searchterm">
    <w:name w:val="searchterm"/>
    <w:rsid w:val="004B33FA"/>
  </w:style>
  <w:style w:type="paragraph" w:styleId="ListParagraph">
    <w:name w:val="List Paragraph"/>
    <w:basedOn w:val="Normal"/>
    <w:uiPriority w:val="34"/>
    <w:qFormat/>
    <w:rsid w:val="0034223D"/>
    <w:pPr>
      <w:ind w:left="720"/>
    </w:pPr>
  </w:style>
  <w:style w:type="character" w:customStyle="1" w:styleId="Heading2Char2">
    <w:name w:val="Heading 2 Char2"/>
    <w:basedOn w:val="DefaultParagraphFont"/>
    <w:link w:val="Heading2"/>
    <w:rsid w:val="00BD692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071">
      <w:bodyDiv w:val="1"/>
      <w:marLeft w:val="0"/>
      <w:marRight w:val="0"/>
      <w:marTop w:val="0"/>
      <w:marBottom w:val="0"/>
      <w:divBdr>
        <w:top w:val="none" w:sz="0" w:space="0" w:color="auto"/>
        <w:left w:val="none" w:sz="0" w:space="0" w:color="auto"/>
        <w:bottom w:val="none" w:sz="0" w:space="0" w:color="auto"/>
        <w:right w:val="none" w:sz="0" w:space="0" w:color="auto"/>
      </w:divBdr>
    </w:div>
    <w:div w:id="152376160">
      <w:bodyDiv w:val="1"/>
      <w:marLeft w:val="0"/>
      <w:marRight w:val="0"/>
      <w:marTop w:val="0"/>
      <w:marBottom w:val="0"/>
      <w:divBdr>
        <w:top w:val="none" w:sz="0" w:space="0" w:color="auto"/>
        <w:left w:val="none" w:sz="0" w:space="0" w:color="auto"/>
        <w:bottom w:val="none" w:sz="0" w:space="0" w:color="auto"/>
        <w:right w:val="none" w:sz="0" w:space="0" w:color="auto"/>
      </w:divBdr>
    </w:div>
    <w:div w:id="161363556">
      <w:bodyDiv w:val="1"/>
      <w:marLeft w:val="0"/>
      <w:marRight w:val="0"/>
      <w:marTop w:val="0"/>
      <w:marBottom w:val="0"/>
      <w:divBdr>
        <w:top w:val="none" w:sz="0" w:space="0" w:color="auto"/>
        <w:left w:val="none" w:sz="0" w:space="0" w:color="auto"/>
        <w:bottom w:val="none" w:sz="0" w:space="0" w:color="auto"/>
        <w:right w:val="none" w:sz="0" w:space="0" w:color="auto"/>
      </w:divBdr>
    </w:div>
    <w:div w:id="169101749">
      <w:bodyDiv w:val="1"/>
      <w:marLeft w:val="0"/>
      <w:marRight w:val="0"/>
      <w:marTop w:val="0"/>
      <w:marBottom w:val="0"/>
      <w:divBdr>
        <w:top w:val="none" w:sz="0" w:space="0" w:color="auto"/>
        <w:left w:val="none" w:sz="0" w:space="0" w:color="auto"/>
        <w:bottom w:val="none" w:sz="0" w:space="0" w:color="auto"/>
        <w:right w:val="none" w:sz="0" w:space="0" w:color="auto"/>
      </w:divBdr>
    </w:div>
    <w:div w:id="217864654">
      <w:bodyDiv w:val="1"/>
      <w:marLeft w:val="0"/>
      <w:marRight w:val="0"/>
      <w:marTop w:val="0"/>
      <w:marBottom w:val="0"/>
      <w:divBdr>
        <w:top w:val="none" w:sz="0" w:space="0" w:color="auto"/>
        <w:left w:val="none" w:sz="0" w:space="0" w:color="auto"/>
        <w:bottom w:val="none" w:sz="0" w:space="0" w:color="auto"/>
        <w:right w:val="none" w:sz="0" w:space="0" w:color="auto"/>
      </w:divBdr>
    </w:div>
    <w:div w:id="227109679">
      <w:bodyDiv w:val="1"/>
      <w:marLeft w:val="0"/>
      <w:marRight w:val="0"/>
      <w:marTop w:val="0"/>
      <w:marBottom w:val="0"/>
      <w:divBdr>
        <w:top w:val="none" w:sz="0" w:space="0" w:color="auto"/>
        <w:left w:val="none" w:sz="0" w:space="0" w:color="auto"/>
        <w:bottom w:val="none" w:sz="0" w:space="0" w:color="auto"/>
        <w:right w:val="none" w:sz="0" w:space="0" w:color="auto"/>
      </w:divBdr>
    </w:div>
    <w:div w:id="230896442">
      <w:bodyDiv w:val="1"/>
      <w:marLeft w:val="0"/>
      <w:marRight w:val="0"/>
      <w:marTop w:val="0"/>
      <w:marBottom w:val="0"/>
      <w:divBdr>
        <w:top w:val="none" w:sz="0" w:space="0" w:color="auto"/>
        <w:left w:val="none" w:sz="0" w:space="0" w:color="auto"/>
        <w:bottom w:val="none" w:sz="0" w:space="0" w:color="auto"/>
        <w:right w:val="none" w:sz="0" w:space="0" w:color="auto"/>
      </w:divBdr>
    </w:div>
    <w:div w:id="258607999">
      <w:bodyDiv w:val="1"/>
      <w:marLeft w:val="0"/>
      <w:marRight w:val="0"/>
      <w:marTop w:val="0"/>
      <w:marBottom w:val="0"/>
      <w:divBdr>
        <w:top w:val="none" w:sz="0" w:space="0" w:color="auto"/>
        <w:left w:val="none" w:sz="0" w:space="0" w:color="auto"/>
        <w:bottom w:val="none" w:sz="0" w:space="0" w:color="auto"/>
        <w:right w:val="none" w:sz="0" w:space="0" w:color="auto"/>
      </w:divBdr>
    </w:div>
    <w:div w:id="332608423">
      <w:bodyDiv w:val="1"/>
      <w:marLeft w:val="0"/>
      <w:marRight w:val="0"/>
      <w:marTop w:val="0"/>
      <w:marBottom w:val="0"/>
      <w:divBdr>
        <w:top w:val="none" w:sz="0" w:space="0" w:color="auto"/>
        <w:left w:val="none" w:sz="0" w:space="0" w:color="auto"/>
        <w:bottom w:val="none" w:sz="0" w:space="0" w:color="auto"/>
        <w:right w:val="none" w:sz="0" w:space="0" w:color="auto"/>
      </w:divBdr>
    </w:div>
    <w:div w:id="335694339">
      <w:bodyDiv w:val="1"/>
      <w:marLeft w:val="0"/>
      <w:marRight w:val="0"/>
      <w:marTop w:val="0"/>
      <w:marBottom w:val="0"/>
      <w:divBdr>
        <w:top w:val="none" w:sz="0" w:space="0" w:color="auto"/>
        <w:left w:val="none" w:sz="0" w:space="0" w:color="auto"/>
        <w:bottom w:val="none" w:sz="0" w:space="0" w:color="auto"/>
        <w:right w:val="none" w:sz="0" w:space="0" w:color="auto"/>
      </w:divBdr>
    </w:div>
    <w:div w:id="375736425">
      <w:bodyDiv w:val="1"/>
      <w:marLeft w:val="0"/>
      <w:marRight w:val="0"/>
      <w:marTop w:val="0"/>
      <w:marBottom w:val="0"/>
      <w:divBdr>
        <w:top w:val="none" w:sz="0" w:space="0" w:color="auto"/>
        <w:left w:val="none" w:sz="0" w:space="0" w:color="auto"/>
        <w:bottom w:val="none" w:sz="0" w:space="0" w:color="auto"/>
        <w:right w:val="none" w:sz="0" w:space="0" w:color="auto"/>
      </w:divBdr>
      <w:divsChild>
        <w:div w:id="74206004">
          <w:marLeft w:val="1008"/>
          <w:marRight w:val="0"/>
          <w:marTop w:val="58"/>
          <w:marBottom w:val="120"/>
          <w:divBdr>
            <w:top w:val="none" w:sz="0" w:space="0" w:color="auto"/>
            <w:left w:val="none" w:sz="0" w:space="0" w:color="auto"/>
            <w:bottom w:val="none" w:sz="0" w:space="0" w:color="auto"/>
            <w:right w:val="none" w:sz="0" w:space="0" w:color="auto"/>
          </w:divBdr>
        </w:div>
        <w:div w:id="139151433">
          <w:marLeft w:val="1008"/>
          <w:marRight w:val="0"/>
          <w:marTop w:val="58"/>
          <w:marBottom w:val="120"/>
          <w:divBdr>
            <w:top w:val="none" w:sz="0" w:space="0" w:color="auto"/>
            <w:left w:val="none" w:sz="0" w:space="0" w:color="auto"/>
            <w:bottom w:val="none" w:sz="0" w:space="0" w:color="auto"/>
            <w:right w:val="none" w:sz="0" w:space="0" w:color="auto"/>
          </w:divBdr>
        </w:div>
        <w:div w:id="573902373">
          <w:marLeft w:val="1008"/>
          <w:marRight w:val="0"/>
          <w:marTop w:val="58"/>
          <w:marBottom w:val="120"/>
          <w:divBdr>
            <w:top w:val="none" w:sz="0" w:space="0" w:color="auto"/>
            <w:left w:val="none" w:sz="0" w:space="0" w:color="auto"/>
            <w:bottom w:val="none" w:sz="0" w:space="0" w:color="auto"/>
            <w:right w:val="none" w:sz="0" w:space="0" w:color="auto"/>
          </w:divBdr>
        </w:div>
        <w:div w:id="1230384252">
          <w:marLeft w:val="1008"/>
          <w:marRight w:val="0"/>
          <w:marTop w:val="58"/>
          <w:marBottom w:val="120"/>
          <w:divBdr>
            <w:top w:val="none" w:sz="0" w:space="0" w:color="auto"/>
            <w:left w:val="none" w:sz="0" w:space="0" w:color="auto"/>
            <w:bottom w:val="none" w:sz="0" w:space="0" w:color="auto"/>
            <w:right w:val="none" w:sz="0" w:space="0" w:color="auto"/>
          </w:divBdr>
        </w:div>
        <w:div w:id="1489059054">
          <w:marLeft w:val="1008"/>
          <w:marRight w:val="0"/>
          <w:marTop w:val="58"/>
          <w:marBottom w:val="120"/>
          <w:divBdr>
            <w:top w:val="none" w:sz="0" w:space="0" w:color="auto"/>
            <w:left w:val="none" w:sz="0" w:space="0" w:color="auto"/>
            <w:bottom w:val="none" w:sz="0" w:space="0" w:color="auto"/>
            <w:right w:val="none" w:sz="0" w:space="0" w:color="auto"/>
          </w:divBdr>
        </w:div>
        <w:div w:id="2098987454">
          <w:marLeft w:val="1008"/>
          <w:marRight w:val="0"/>
          <w:marTop w:val="58"/>
          <w:marBottom w:val="120"/>
          <w:divBdr>
            <w:top w:val="none" w:sz="0" w:space="0" w:color="auto"/>
            <w:left w:val="none" w:sz="0" w:space="0" w:color="auto"/>
            <w:bottom w:val="none" w:sz="0" w:space="0" w:color="auto"/>
            <w:right w:val="none" w:sz="0" w:space="0" w:color="auto"/>
          </w:divBdr>
        </w:div>
      </w:divsChild>
    </w:div>
    <w:div w:id="409355143">
      <w:bodyDiv w:val="1"/>
      <w:marLeft w:val="0"/>
      <w:marRight w:val="0"/>
      <w:marTop w:val="0"/>
      <w:marBottom w:val="0"/>
      <w:divBdr>
        <w:top w:val="none" w:sz="0" w:space="0" w:color="auto"/>
        <w:left w:val="none" w:sz="0" w:space="0" w:color="auto"/>
        <w:bottom w:val="none" w:sz="0" w:space="0" w:color="auto"/>
        <w:right w:val="none" w:sz="0" w:space="0" w:color="auto"/>
      </w:divBdr>
    </w:div>
    <w:div w:id="466513382">
      <w:bodyDiv w:val="1"/>
      <w:marLeft w:val="0"/>
      <w:marRight w:val="0"/>
      <w:marTop w:val="0"/>
      <w:marBottom w:val="0"/>
      <w:divBdr>
        <w:top w:val="none" w:sz="0" w:space="0" w:color="auto"/>
        <w:left w:val="none" w:sz="0" w:space="0" w:color="auto"/>
        <w:bottom w:val="none" w:sz="0" w:space="0" w:color="auto"/>
        <w:right w:val="none" w:sz="0" w:space="0" w:color="auto"/>
      </w:divBdr>
    </w:div>
    <w:div w:id="467166787">
      <w:bodyDiv w:val="1"/>
      <w:marLeft w:val="0"/>
      <w:marRight w:val="0"/>
      <w:marTop w:val="0"/>
      <w:marBottom w:val="0"/>
      <w:divBdr>
        <w:top w:val="none" w:sz="0" w:space="0" w:color="auto"/>
        <w:left w:val="none" w:sz="0" w:space="0" w:color="auto"/>
        <w:bottom w:val="none" w:sz="0" w:space="0" w:color="auto"/>
        <w:right w:val="none" w:sz="0" w:space="0" w:color="auto"/>
      </w:divBdr>
    </w:div>
    <w:div w:id="526794511">
      <w:bodyDiv w:val="1"/>
      <w:marLeft w:val="0"/>
      <w:marRight w:val="0"/>
      <w:marTop w:val="0"/>
      <w:marBottom w:val="0"/>
      <w:divBdr>
        <w:top w:val="none" w:sz="0" w:space="0" w:color="auto"/>
        <w:left w:val="none" w:sz="0" w:space="0" w:color="auto"/>
        <w:bottom w:val="none" w:sz="0" w:space="0" w:color="auto"/>
        <w:right w:val="none" w:sz="0" w:space="0" w:color="auto"/>
      </w:divBdr>
    </w:div>
    <w:div w:id="642779188">
      <w:bodyDiv w:val="1"/>
      <w:marLeft w:val="0"/>
      <w:marRight w:val="0"/>
      <w:marTop w:val="0"/>
      <w:marBottom w:val="0"/>
      <w:divBdr>
        <w:top w:val="none" w:sz="0" w:space="0" w:color="auto"/>
        <w:left w:val="none" w:sz="0" w:space="0" w:color="auto"/>
        <w:bottom w:val="none" w:sz="0" w:space="0" w:color="auto"/>
        <w:right w:val="none" w:sz="0" w:space="0" w:color="auto"/>
      </w:divBdr>
    </w:div>
    <w:div w:id="643893168">
      <w:bodyDiv w:val="1"/>
      <w:marLeft w:val="0"/>
      <w:marRight w:val="0"/>
      <w:marTop w:val="0"/>
      <w:marBottom w:val="0"/>
      <w:divBdr>
        <w:top w:val="none" w:sz="0" w:space="0" w:color="auto"/>
        <w:left w:val="none" w:sz="0" w:space="0" w:color="auto"/>
        <w:bottom w:val="none" w:sz="0" w:space="0" w:color="auto"/>
        <w:right w:val="none" w:sz="0" w:space="0" w:color="auto"/>
      </w:divBdr>
    </w:div>
    <w:div w:id="673386450">
      <w:bodyDiv w:val="1"/>
      <w:marLeft w:val="0"/>
      <w:marRight w:val="0"/>
      <w:marTop w:val="0"/>
      <w:marBottom w:val="0"/>
      <w:divBdr>
        <w:top w:val="none" w:sz="0" w:space="0" w:color="auto"/>
        <w:left w:val="none" w:sz="0" w:space="0" w:color="auto"/>
        <w:bottom w:val="none" w:sz="0" w:space="0" w:color="auto"/>
        <w:right w:val="none" w:sz="0" w:space="0" w:color="auto"/>
      </w:divBdr>
    </w:div>
    <w:div w:id="675378484">
      <w:bodyDiv w:val="1"/>
      <w:marLeft w:val="0"/>
      <w:marRight w:val="0"/>
      <w:marTop w:val="0"/>
      <w:marBottom w:val="0"/>
      <w:divBdr>
        <w:top w:val="none" w:sz="0" w:space="0" w:color="auto"/>
        <w:left w:val="none" w:sz="0" w:space="0" w:color="auto"/>
        <w:bottom w:val="none" w:sz="0" w:space="0" w:color="auto"/>
        <w:right w:val="none" w:sz="0" w:space="0" w:color="auto"/>
      </w:divBdr>
    </w:div>
    <w:div w:id="678045957">
      <w:bodyDiv w:val="1"/>
      <w:marLeft w:val="0"/>
      <w:marRight w:val="0"/>
      <w:marTop w:val="0"/>
      <w:marBottom w:val="0"/>
      <w:divBdr>
        <w:top w:val="none" w:sz="0" w:space="0" w:color="auto"/>
        <w:left w:val="none" w:sz="0" w:space="0" w:color="auto"/>
        <w:bottom w:val="none" w:sz="0" w:space="0" w:color="auto"/>
        <w:right w:val="none" w:sz="0" w:space="0" w:color="auto"/>
      </w:divBdr>
    </w:div>
    <w:div w:id="751320083">
      <w:bodyDiv w:val="1"/>
      <w:marLeft w:val="0"/>
      <w:marRight w:val="0"/>
      <w:marTop w:val="0"/>
      <w:marBottom w:val="0"/>
      <w:divBdr>
        <w:top w:val="none" w:sz="0" w:space="0" w:color="auto"/>
        <w:left w:val="none" w:sz="0" w:space="0" w:color="auto"/>
        <w:bottom w:val="none" w:sz="0" w:space="0" w:color="auto"/>
        <w:right w:val="none" w:sz="0" w:space="0" w:color="auto"/>
      </w:divBdr>
    </w:div>
    <w:div w:id="768769298">
      <w:bodyDiv w:val="1"/>
      <w:marLeft w:val="0"/>
      <w:marRight w:val="0"/>
      <w:marTop w:val="0"/>
      <w:marBottom w:val="0"/>
      <w:divBdr>
        <w:top w:val="none" w:sz="0" w:space="0" w:color="auto"/>
        <w:left w:val="none" w:sz="0" w:space="0" w:color="auto"/>
        <w:bottom w:val="none" w:sz="0" w:space="0" w:color="auto"/>
        <w:right w:val="none" w:sz="0" w:space="0" w:color="auto"/>
      </w:divBdr>
    </w:div>
    <w:div w:id="807090569">
      <w:bodyDiv w:val="1"/>
      <w:marLeft w:val="0"/>
      <w:marRight w:val="0"/>
      <w:marTop w:val="0"/>
      <w:marBottom w:val="0"/>
      <w:divBdr>
        <w:top w:val="none" w:sz="0" w:space="0" w:color="auto"/>
        <w:left w:val="none" w:sz="0" w:space="0" w:color="auto"/>
        <w:bottom w:val="none" w:sz="0" w:space="0" w:color="auto"/>
        <w:right w:val="none" w:sz="0" w:space="0" w:color="auto"/>
      </w:divBdr>
    </w:div>
    <w:div w:id="820656400">
      <w:bodyDiv w:val="1"/>
      <w:marLeft w:val="0"/>
      <w:marRight w:val="0"/>
      <w:marTop w:val="0"/>
      <w:marBottom w:val="0"/>
      <w:divBdr>
        <w:top w:val="none" w:sz="0" w:space="0" w:color="auto"/>
        <w:left w:val="none" w:sz="0" w:space="0" w:color="auto"/>
        <w:bottom w:val="none" w:sz="0" w:space="0" w:color="auto"/>
        <w:right w:val="none" w:sz="0" w:space="0" w:color="auto"/>
      </w:divBdr>
      <w:divsChild>
        <w:div w:id="901864352">
          <w:marLeft w:val="547"/>
          <w:marRight w:val="0"/>
          <w:marTop w:val="58"/>
          <w:marBottom w:val="240"/>
          <w:divBdr>
            <w:top w:val="none" w:sz="0" w:space="0" w:color="auto"/>
            <w:left w:val="none" w:sz="0" w:space="0" w:color="auto"/>
            <w:bottom w:val="none" w:sz="0" w:space="0" w:color="auto"/>
            <w:right w:val="none" w:sz="0" w:space="0" w:color="auto"/>
          </w:divBdr>
        </w:div>
      </w:divsChild>
    </w:div>
    <w:div w:id="849635554">
      <w:bodyDiv w:val="1"/>
      <w:marLeft w:val="0"/>
      <w:marRight w:val="0"/>
      <w:marTop w:val="0"/>
      <w:marBottom w:val="0"/>
      <w:divBdr>
        <w:top w:val="none" w:sz="0" w:space="0" w:color="auto"/>
        <w:left w:val="none" w:sz="0" w:space="0" w:color="auto"/>
        <w:bottom w:val="none" w:sz="0" w:space="0" w:color="auto"/>
        <w:right w:val="none" w:sz="0" w:space="0" w:color="auto"/>
      </w:divBdr>
    </w:div>
    <w:div w:id="940258188">
      <w:bodyDiv w:val="1"/>
      <w:marLeft w:val="0"/>
      <w:marRight w:val="0"/>
      <w:marTop w:val="0"/>
      <w:marBottom w:val="0"/>
      <w:divBdr>
        <w:top w:val="none" w:sz="0" w:space="0" w:color="auto"/>
        <w:left w:val="none" w:sz="0" w:space="0" w:color="auto"/>
        <w:bottom w:val="none" w:sz="0" w:space="0" w:color="auto"/>
        <w:right w:val="none" w:sz="0" w:space="0" w:color="auto"/>
      </w:divBdr>
      <w:divsChild>
        <w:div w:id="79255219">
          <w:marLeft w:val="1008"/>
          <w:marRight w:val="0"/>
          <w:marTop w:val="58"/>
          <w:marBottom w:val="0"/>
          <w:divBdr>
            <w:top w:val="none" w:sz="0" w:space="0" w:color="auto"/>
            <w:left w:val="none" w:sz="0" w:space="0" w:color="auto"/>
            <w:bottom w:val="none" w:sz="0" w:space="0" w:color="auto"/>
            <w:right w:val="none" w:sz="0" w:space="0" w:color="auto"/>
          </w:divBdr>
        </w:div>
        <w:div w:id="241834650">
          <w:marLeft w:val="1008"/>
          <w:marRight w:val="0"/>
          <w:marTop w:val="58"/>
          <w:marBottom w:val="0"/>
          <w:divBdr>
            <w:top w:val="none" w:sz="0" w:space="0" w:color="auto"/>
            <w:left w:val="none" w:sz="0" w:space="0" w:color="auto"/>
            <w:bottom w:val="none" w:sz="0" w:space="0" w:color="auto"/>
            <w:right w:val="none" w:sz="0" w:space="0" w:color="auto"/>
          </w:divBdr>
        </w:div>
        <w:div w:id="318653309">
          <w:marLeft w:val="1008"/>
          <w:marRight w:val="0"/>
          <w:marTop w:val="58"/>
          <w:marBottom w:val="120"/>
          <w:divBdr>
            <w:top w:val="none" w:sz="0" w:space="0" w:color="auto"/>
            <w:left w:val="none" w:sz="0" w:space="0" w:color="auto"/>
            <w:bottom w:val="none" w:sz="0" w:space="0" w:color="auto"/>
            <w:right w:val="none" w:sz="0" w:space="0" w:color="auto"/>
          </w:divBdr>
        </w:div>
        <w:div w:id="404423039">
          <w:marLeft w:val="1008"/>
          <w:marRight w:val="0"/>
          <w:marTop w:val="58"/>
          <w:marBottom w:val="0"/>
          <w:divBdr>
            <w:top w:val="none" w:sz="0" w:space="0" w:color="auto"/>
            <w:left w:val="none" w:sz="0" w:space="0" w:color="auto"/>
            <w:bottom w:val="none" w:sz="0" w:space="0" w:color="auto"/>
            <w:right w:val="none" w:sz="0" w:space="0" w:color="auto"/>
          </w:divBdr>
        </w:div>
        <w:div w:id="480124894">
          <w:marLeft w:val="1008"/>
          <w:marRight w:val="0"/>
          <w:marTop w:val="58"/>
          <w:marBottom w:val="0"/>
          <w:divBdr>
            <w:top w:val="none" w:sz="0" w:space="0" w:color="auto"/>
            <w:left w:val="none" w:sz="0" w:space="0" w:color="auto"/>
            <w:bottom w:val="none" w:sz="0" w:space="0" w:color="auto"/>
            <w:right w:val="none" w:sz="0" w:space="0" w:color="auto"/>
          </w:divBdr>
        </w:div>
        <w:div w:id="593051803">
          <w:marLeft w:val="547"/>
          <w:marRight w:val="0"/>
          <w:marTop w:val="58"/>
          <w:marBottom w:val="0"/>
          <w:divBdr>
            <w:top w:val="none" w:sz="0" w:space="0" w:color="auto"/>
            <w:left w:val="none" w:sz="0" w:space="0" w:color="auto"/>
            <w:bottom w:val="none" w:sz="0" w:space="0" w:color="auto"/>
            <w:right w:val="none" w:sz="0" w:space="0" w:color="auto"/>
          </w:divBdr>
        </w:div>
        <w:div w:id="1057626770">
          <w:marLeft w:val="1008"/>
          <w:marRight w:val="0"/>
          <w:marTop w:val="58"/>
          <w:marBottom w:val="120"/>
          <w:divBdr>
            <w:top w:val="none" w:sz="0" w:space="0" w:color="auto"/>
            <w:left w:val="none" w:sz="0" w:space="0" w:color="auto"/>
            <w:bottom w:val="none" w:sz="0" w:space="0" w:color="auto"/>
            <w:right w:val="none" w:sz="0" w:space="0" w:color="auto"/>
          </w:divBdr>
        </w:div>
        <w:div w:id="1158614760">
          <w:marLeft w:val="1008"/>
          <w:marRight w:val="0"/>
          <w:marTop w:val="58"/>
          <w:marBottom w:val="0"/>
          <w:divBdr>
            <w:top w:val="none" w:sz="0" w:space="0" w:color="auto"/>
            <w:left w:val="none" w:sz="0" w:space="0" w:color="auto"/>
            <w:bottom w:val="none" w:sz="0" w:space="0" w:color="auto"/>
            <w:right w:val="none" w:sz="0" w:space="0" w:color="auto"/>
          </w:divBdr>
        </w:div>
        <w:div w:id="1266957918">
          <w:marLeft w:val="1008"/>
          <w:marRight w:val="0"/>
          <w:marTop w:val="58"/>
          <w:marBottom w:val="120"/>
          <w:divBdr>
            <w:top w:val="none" w:sz="0" w:space="0" w:color="auto"/>
            <w:left w:val="none" w:sz="0" w:space="0" w:color="auto"/>
            <w:bottom w:val="none" w:sz="0" w:space="0" w:color="auto"/>
            <w:right w:val="none" w:sz="0" w:space="0" w:color="auto"/>
          </w:divBdr>
        </w:div>
        <w:div w:id="1352877036">
          <w:marLeft w:val="1008"/>
          <w:marRight w:val="0"/>
          <w:marTop w:val="58"/>
          <w:marBottom w:val="0"/>
          <w:divBdr>
            <w:top w:val="none" w:sz="0" w:space="0" w:color="auto"/>
            <w:left w:val="none" w:sz="0" w:space="0" w:color="auto"/>
            <w:bottom w:val="none" w:sz="0" w:space="0" w:color="auto"/>
            <w:right w:val="none" w:sz="0" w:space="0" w:color="auto"/>
          </w:divBdr>
        </w:div>
        <w:div w:id="1441031005">
          <w:marLeft w:val="547"/>
          <w:marRight w:val="0"/>
          <w:marTop w:val="58"/>
          <w:marBottom w:val="0"/>
          <w:divBdr>
            <w:top w:val="none" w:sz="0" w:space="0" w:color="auto"/>
            <w:left w:val="none" w:sz="0" w:space="0" w:color="auto"/>
            <w:bottom w:val="none" w:sz="0" w:space="0" w:color="auto"/>
            <w:right w:val="none" w:sz="0" w:space="0" w:color="auto"/>
          </w:divBdr>
        </w:div>
        <w:div w:id="1457721396">
          <w:marLeft w:val="1008"/>
          <w:marRight w:val="0"/>
          <w:marTop w:val="58"/>
          <w:marBottom w:val="0"/>
          <w:divBdr>
            <w:top w:val="none" w:sz="0" w:space="0" w:color="auto"/>
            <w:left w:val="none" w:sz="0" w:space="0" w:color="auto"/>
            <w:bottom w:val="none" w:sz="0" w:space="0" w:color="auto"/>
            <w:right w:val="none" w:sz="0" w:space="0" w:color="auto"/>
          </w:divBdr>
        </w:div>
        <w:div w:id="1492058649">
          <w:marLeft w:val="1008"/>
          <w:marRight w:val="0"/>
          <w:marTop w:val="58"/>
          <w:marBottom w:val="120"/>
          <w:divBdr>
            <w:top w:val="none" w:sz="0" w:space="0" w:color="auto"/>
            <w:left w:val="none" w:sz="0" w:space="0" w:color="auto"/>
            <w:bottom w:val="none" w:sz="0" w:space="0" w:color="auto"/>
            <w:right w:val="none" w:sz="0" w:space="0" w:color="auto"/>
          </w:divBdr>
        </w:div>
        <w:div w:id="1649019918">
          <w:marLeft w:val="1008"/>
          <w:marRight w:val="0"/>
          <w:marTop w:val="58"/>
          <w:marBottom w:val="0"/>
          <w:divBdr>
            <w:top w:val="none" w:sz="0" w:space="0" w:color="auto"/>
            <w:left w:val="none" w:sz="0" w:space="0" w:color="auto"/>
            <w:bottom w:val="none" w:sz="0" w:space="0" w:color="auto"/>
            <w:right w:val="none" w:sz="0" w:space="0" w:color="auto"/>
          </w:divBdr>
        </w:div>
        <w:div w:id="1662076180">
          <w:marLeft w:val="547"/>
          <w:marRight w:val="0"/>
          <w:marTop w:val="58"/>
          <w:marBottom w:val="0"/>
          <w:divBdr>
            <w:top w:val="none" w:sz="0" w:space="0" w:color="auto"/>
            <w:left w:val="none" w:sz="0" w:space="0" w:color="auto"/>
            <w:bottom w:val="none" w:sz="0" w:space="0" w:color="auto"/>
            <w:right w:val="none" w:sz="0" w:space="0" w:color="auto"/>
          </w:divBdr>
        </w:div>
        <w:div w:id="1827162656">
          <w:marLeft w:val="1008"/>
          <w:marRight w:val="0"/>
          <w:marTop w:val="58"/>
          <w:marBottom w:val="120"/>
          <w:divBdr>
            <w:top w:val="none" w:sz="0" w:space="0" w:color="auto"/>
            <w:left w:val="none" w:sz="0" w:space="0" w:color="auto"/>
            <w:bottom w:val="none" w:sz="0" w:space="0" w:color="auto"/>
            <w:right w:val="none" w:sz="0" w:space="0" w:color="auto"/>
          </w:divBdr>
        </w:div>
        <w:div w:id="1877425818">
          <w:marLeft w:val="547"/>
          <w:marRight w:val="0"/>
          <w:marTop w:val="58"/>
          <w:marBottom w:val="0"/>
          <w:divBdr>
            <w:top w:val="none" w:sz="0" w:space="0" w:color="auto"/>
            <w:left w:val="none" w:sz="0" w:space="0" w:color="auto"/>
            <w:bottom w:val="none" w:sz="0" w:space="0" w:color="auto"/>
            <w:right w:val="none" w:sz="0" w:space="0" w:color="auto"/>
          </w:divBdr>
        </w:div>
        <w:div w:id="1931889530">
          <w:marLeft w:val="1008"/>
          <w:marRight w:val="0"/>
          <w:marTop w:val="58"/>
          <w:marBottom w:val="0"/>
          <w:divBdr>
            <w:top w:val="none" w:sz="0" w:space="0" w:color="auto"/>
            <w:left w:val="none" w:sz="0" w:space="0" w:color="auto"/>
            <w:bottom w:val="none" w:sz="0" w:space="0" w:color="auto"/>
            <w:right w:val="none" w:sz="0" w:space="0" w:color="auto"/>
          </w:divBdr>
        </w:div>
        <w:div w:id="2058973515">
          <w:marLeft w:val="547"/>
          <w:marRight w:val="0"/>
          <w:marTop w:val="58"/>
          <w:marBottom w:val="0"/>
          <w:divBdr>
            <w:top w:val="none" w:sz="0" w:space="0" w:color="auto"/>
            <w:left w:val="none" w:sz="0" w:space="0" w:color="auto"/>
            <w:bottom w:val="none" w:sz="0" w:space="0" w:color="auto"/>
            <w:right w:val="none" w:sz="0" w:space="0" w:color="auto"/>
          </w:divBdr>
        </w:div>
        <w:div w:id="2133202982">
          <w:marLeft w:val="1008"/>
          <w:marRight w:val="0"/>
          <w:marTop w:val="58"/>
          <w:marBottom w:val="0"/>
          <w:divBdr>
            <w:top w:val="none" w:sz="0" w:space="0" w:color="auto"/>
            <w:left w:val="none" w:sz="0" w:space="0" w:color="auto"/>
            <w:bottom w:val="none" w:sz="0" w:space="0" w:color="auto"/>
            <w:right w:val="none" w:sz="0" w:space="0" w:color="auto"/>
          </w:divBdr>
        </w:div>
      </w:divsChild>
    </w:div>
    <w:div w:id="951671245">
      <w:bodyDiv w:val="1"/>
      <w:marLeft w:val="30"/>
      <w:marRight w:val="30"/>
      <w:marTop w:val="30"/>
      <w:marBottom w:val="30"/>
      <w:divBdr>
        <w:top w:val="none" w:sz="0" w:space="0" w:color="auto"/>
        <w:left w:val="none" w:sz="0" w:space="0" w:color="auto"/>
        <w:bottom w:val="none" w:sz="0" w:space="0" w:color="auto"/>
        <w:right w:val="none" w:sz="0" w:space="0" w:color="auto"/>
      </w:divBdr>
      <w:divsChild>
        <w:div w:id="305672707">
          <w:marLeft w:val="0"/>
          <w:marRight w:val="0"/>
          <w:marTop w:val="0"/>
          <w:marBottom w:val="0"/>
          <w:divBdr>
            <w:top w:val="none" w:sz="0" w:space="0" w:color="auto"/>
            <w:left w:val="none" w:sz="0" w:space="0" w:color="auto"/>
            <w:bottom w:val="none" w:sz="0" w:space="0" w:color="auto"/>
            <w:right w:val="none" w:sz="0" w:space="0" w:color="auto"/>
          </w:divBdr>
          <w:divsChild>
            <w:div w:id="962231549">
              <w:marLeft w:val="45"/>
              <w:marRight w:val="45"/>
              <w:marTop w:val="45"/>
              <w:marBottom w:val="45"/>
              <w:divBdr>
                <w:top w:val="none" w:sz="0" w:space="0" w:color="auto"/>
                <w:left w:val="none" w:sz="0" w:space="0" w:color="auto"/>
                <w:bottom w:val="none" w:sz="0" w:space="0" w:color="auto"/>
                <w:right w:val="none" w:sz="0" w:space="0" w:color="auto"/>
              </w:divBdr>
              <w:divsChild>
                <w:div w:id="573243540">
                  <w:marLeft w:val="0"/>
                  <w:marRight w:val="0"/>
                  <w:marTop w:val="0"/>
                  <w:marBottom w:val="0"/>
                  <w:divBdr>
                    <w:top w:val="none" w:sz="0" w:space="0" w:color="auto"/>
                    <w:left w:val="none" w:sz="0" w:space="0" w:color="auto"/>
                    <w:bottom w:val="none" w:sz="0" w:space="0" w:color="auto"/>
                    <w:right w:val="none" w:sz="0" w:space="0" w:color="auto"/>
                  </w:divBdr>
                  <w:divsChild>
                    <w:div w:id="734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9007">
      <w:bodyDiv w:val="1"/>
      <w:marLeft w:val="0"/>
      <w:marRight w:val="0"/>
      <w:marTop w:val="0"/>
      <w:marBottom w:val="0"/>
      <w:divBdr>
        <w:top w:val="none" w:sz="0" w:space="0" w:color="auto"/>
        <w:left w:val="none" w:sz="0" w:space="0" w:color="auto"/>
        <w:bottom w:val="none" w:sz="0" w:space="0" w:color="auto"/>
        <w:right w:val="none" w:sz="0" w:space="0" w:color="auto"/>
      </w:divBdr>
      <w:divsChild>
        <w:div w:id="1793016211">
          <w:marLeft w:val="0"/>
          <w:marRight w:val="0"/>
          <w:marTop w:val="0"/>
          <w:marBottom w:val="0"/>
          <w:divBdr>
            <w:top w:val="none" w:sz="0" w:space="0" w:color="auto"/>
            <w:left w:val="single" w:sz="6" w:space="0" w:color="BBBBBB"/>
            <w:bottom w:val="single" w:sz="6" w:space="0" w:color="BBBBBB"/>
            <w:right w:val="single" w:sz="6" w:space="0" w:color="BBBBBB"/>
          </w:divBdr>
          <w:divsChild>
            <w:div w:id="189687805">
              <w:marLeft w:val="0"/>
              <w:marRight w:val="0"/>
              <w:marTop w:val="0"/>
              <w:marBottom w:val="0"/>
              <w:divBdr>
                <w:top w:val="none" w:sz="0" w:space="0" w:color="auto"/>
                <w:left w:val="none" w:sz="0" w:space="0" w:color="auto"/>
                <w:bottom w:val="none" w:sz="0" w:space="0" w:color="auto"/>
                <w:right w:val="none" w:sz="0" w:space="0" w:color="auto"/>
              </w:divBdr>
              <w:divsChild>
                <w:div w:id="1021512441">
                  <w:marLeft w:val="0"/>
                  <w:marRight w:val="0"/>
                  <w:marTop w:val="0"/>
                  <w:marBottom w:val="0"/>
                  <w:divBdr>
                    <w:top w:val="none" w:sz="0" w:space="0" w:color="auto"/>
                    <w:left w:val="none" w:sz="0" w:space="0" w:color="auto"/>
                    <w:bottom w:val="none" w:sz="0" w:space="0" w:color="auto"/>
                    <w:right w:val="none" w:sz="0" w:space="0" w:color="auto"/>
                  </w:divBdr>
                  <w:divsChild>
                    <w:div w:id="996037926">
                      <w:marLeft w:val="0"/>
                      <w:marRight w:val="0"/>
                      <w:marTop w:val="0"/>
                      <w:marBottom w:val="0"/>
                      <w:divBdr>
                        <w:top w:val="none" w:sz="0" w:space="0" w:color="auto"/>
                        <w:left w:val="none" w:sz="0" w:space="0" w:color="auto"/>
                        <w:bottom w:val="none" w:sz="0" w:space="0" w:color="auto"/>
                        <w:right w:val="none" w:sz="0" w:space="0" w:color="auto"/>
                      </w:divBdr>
                      <w:divsChild>
                        <w:div w:id="606810304">
                          <w:marLeft w:val="0"/>
                          <w:marRight w:val="0"/>
                          <w:marTop w:val="0"/>
                          <w:marBottom w:val="0"/>
                          <w:divBdr>
                            <w:top w:val="none" w:sz="0" w:space="0" w:color="auto"/>
                            <w:left w:val="none" w:sz="0" w:space="0" w:color="auto"/>
                            <w:bottom w:val="none" w:sz="0" w:space="0" w:color="auto"/>
                            <w:right w:val="none" w:sz="0" w:space="0" w:color="auto"/>
                          </w:divBdr>
                          <w:divsChild>
                            <w:div w:id="1496609664">
                              <w:marLeft w:val="0"/>
                              <w:marRight w:val="0"/>
                              <w:marTop w:val="0"/>
                              <w:marBottom w:val="0"/>
                              <w:divBdr>
                                <w:top w:val="none" w:sz="0" w:space="0" w:color="auto"/>
                                <w:left w:val="none" w:sz="0" w:space="0" w:color="auto"/>
                                <w:bottom w:val="none" w:sz="0" w:space="0" w:color="auto"/>
                                <w:right w:val="none" w:sz="0" w:space="0" w:color="auto"/>
                              </w:divBdr>
                              <w:divsChild>
                                <w:div w:id="2061050351">
                                  <w:marLeft w:val="0"/>
                                  <w:marRight w:val="0"/>
                                  <w:marTop w:val="0"/>
                                  <w:marBottom w:val="0"/>
                                  <w:divBdr>
                                    <w:top w:val="none" w:sz="0" w:space="0" w:color="auto"/>
                                    <w:left w:val="none" w:sz="0" w:space="0" w:color="auto"/>
                                    <w:bottom w:val="none" w:sz="0" w:space="0" w:color="auto"/>
                                    <w:right w:val="none" w:sz="0" w:space="0" w:color="auto"/>
                                  </w:divBdr>
                                  <w:divsChild>
                                    <w:div w:id="967248987">
                                      <w:marLeft w:val="0"/>
                                      <w:marRight w:val="0"/>
                                      <w:marTop w:val="0"/>
                                      <w:marBottom w:val="0"/>
                                      <w:divBdr>
                                        <w:top w:val="none" w:sz="0" w:space="0" w:color="auto"/>
                                        <w:left w:val="none" w:sz="0" w:space="0" w:color="auto"/>
                                        <w:bottom w:val="none" w:sz="0" w:space="0" w:color="auto"/>
                                        <w:right w:val="none" w:sz="0" w:space="0" w:color="auto"/>
                                      </w:divBdr>
                                      <w:divsChild>
                                        <w:div w:id="902565704">
                                          <w:marLeft w:val="1200"/>
                                          <w:marRight w:val="1200"/>
                                          <w:marTop w:val="0"/>
                                          <w:marBottom w:val="0"/>
                                          <w:divBdr>
                                            <w:top w:val="none" w:sz="0" w:space="0" w:color="auto"/>
                                            <w:left w:val="none" w:sz="0" w:space="0" w:color="auto"/>
                                            <w:bottom w:val="none" w:sz="0" w:space="0" w:color="auto"/>
                                            <w:right w:val="none" w:sz="0" w:space="0" w:color="auto"/>
                                          </w:divBdr>
                                          <w:divsChild>
                                            <w:div w:id="261497403">
                                              <w:marLeft w:val="0"/>
                                              <w:marRight w:val="0"/>
                                              <w:marTop w:val="0"/>
                                              <w:marBottom w:val="0"/>
                                              <w:divBdr>
                                                <w:top w:val="none" w:sz="0" w:space="0" w:color="auto"/>
                                                <w:left w:val="none" w:sz="0" w:space="0" w:color="auto"/>
                                                <w:bottom w:val="none" w:sz="0" w:space="0" w:color="auto"/>
                                                <w:right w:val="none" w:sz="0" w:space="0" w:color="auto"/>
                                              </w:divBdr>
                                              <w:divsChild>
                                                <w:div w:id="164825613">
                                                  <w:marLeft w:val="0"/>
                                                  <w:marRight w:val="0"/>
                                                  <w:marTop w:val="240"/>
                                                  <w:marBottom w:val="0"/>
                                                  <w:divBdr>
                                                    <w:top w:val="none" w:sz="0" w:space="0" w:color="auto"/>
                                                    <w:left w:val="none" w:sz="0" w:space="0" w:color="auto"/>
                                                    <w:bottom w:val="none" w:sz="0" w:space="0" w:color="auto"/>
                                                    <w:right w:val="none" w:sz="0" w:space="0" w:color="auto"/>
                                                  </w:divBdr>
                                                  <w:divsChild>
                                                    <w:div w:id="504324152">
                                                      <w:marLeft w:val="0"/>
                                                      <w:marRight w:val="0"/>
                                                      <w:marTop w:val="0"/>
                                                      <w:marBottom w:val="0"/>
                                                      <w:divBdr>
                                                        <w:top w:val="none" w:sz="0" w:space="0" w:color="auto"/>
                                                        <w:left w:val="none" w:sz="0" w:space="0" w:color="auto"/>
                                                        <w:bottom w:val="none" w:sz="0" w:space="0" w:color="auto"/>
                                                        <w:right w:val="none" w:sz="0" w:space="0" w:color="auto"/>
                                                      </w:divBdr>
                                                      <w:divsChild>
                                                        <w:div w:id="1275357996">
                                                          <w:marLeft w:val="1275"/>
                                                          <w:marRight w:val="0"/>
                                                          <w:marTop w:val="0"/>
                                                          <w:marBottom w:val="0"/>
                                                          <w:divBdr>
                                                            <w:top w:val="none" w:sz="0" w:space="0" w:color="auto"/>
                                                            <w:left w:val="none" w:sz="0" w:space="0" w:color="auto"/>
                                                            <w:bottom w:val="none" w:sz="0" w:space="0" w:color="auto"/>
                                                            <w:right w:val="none" w:sz="0" w:space="0" w:color="auto"/>
                                                          </w:divBdr>
                                                          <w:divsChild>
                                                            <w:div w:id="338310954">
                                                              <w:marLeft w:val="0"/>
                                                              <w:marRight w:val="0"/>
                                                              <w:marTop w:val="0"/>
                                                              <w:marBottom w:val="0"/>
                                                              <w:divBdr>
                                                                <w:top w:val="none" w:sz="0" w:space="0" w:color="auto"/>
                                                                <w:left w:val="none" w:sz="0" w:space="0" w:color="auto"/>
                                                                <w:bottom w:val="none" w:sz="0" w:space="0" w:color="auto"/>
                                                                <w:right w:val="none" w:sz="0" w:space="0" w:color="auto"/>
                                                              </w:divBdr>
                                                              <w:divsChild>
                                                                <w:div w:id="861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957">
                                                          <w:marLeft w:val="0"/>
                                                          <w:marRight w:val="0"/>
                                                          <w:marTop w:val="0"/>
                                                          <w:marBottom w:val="0"/>
                                                          <w:divBdr>
                                                            <w:top w:val="none" w:sz="0" w:space="0" w:color="auto"/>
                                                            <w:left w:val="none" w:sz="0" w:space="0" w:color="auto"/>
                                                            <w:bottom w:val="none" w:sz="0" w:space="0" w:color="auto"/>
                                                            <w:right w:val="none" w:sz="0" w:space="0" w:color="auto"/>
                                                          </w:divBdr>
                                                        </w:div>
                                                      </w:divsChild>
                                                    </w:div>
                                                    <w:div w:id="646785996">
                                                      <w:marLeft w:val="0"/>
                                                      <w:marRight w:val="0"/>
                                                      <w:marTop w:val="0"/>
                                                      <w:marBottom w:val="0"/>
                                                      <w:divBdr>
                                                        <w:top w:val="none" w:sz="0" w:space="0" w:color="auto"/>
                                                        <w:left w:val="none" w:sz="0" w:space="0" w:color="auto"/>
                                                        <w:bottom w:val="none" w:sz="0" w:space="0" w:color="auto"/>
                                                        <w:right w:val="none" w:sz="0" w:space="0" w:color="auto"/>
                                                      </w:divBdr>
                                                      <w:divsChild>
                                                        <w:div w:id="339741443">
                                                          <w:marLeft w:val="0"/>
                                                          <w:marRight w:val="0"/>
                                                          <w:marTop w:val="0"/>
                                                          <w:marBottom w:val="0"/>
                                                          <w:divBdr>
                                                            <w:top w:val="none" w:sz="0" w:space="0" w:color="auto"/>
                                                            <w:left w:val="none" w:sz="0" w:space="0" w:color="auto"/>
                                                            <w:bottom w:val="none" w:sz="0" w:space="0" w:color="auto"/>
                                                            <w:right w:val="none" w:sz="0" w:space="0" w:color="auto"/>
                                                          </w:divBdr>
                                                        </w:div>
                                                        <w:div w:id="1866361691">
                                                          <w:marLeft w:val="1275"/>
                                                          <w:marRight w:val="0"/>
                                                          <w:marTop w:val="0"/>
                                                          <w:marBottom w:val="0"/>
                                                          <w:divBdr>
                                                            <w:top w:val="none" w:sz="0" w:space="0" w:color="auto"/>
                                                            <w:left w:val="none" w:sz="0" w:space="0" w:color="auto"/>
                                                            <w:bottom w:val="none" w:sz="0" w:space="0" w:color="auto"/>
                                                            <w:right w:val="none" w:sz="0" w:space="0" w:color="auto"/>
                                                          </w:divBdr>
                                                          <w:divsChild>
                                                            <w:div w:id="1295477253">
                                                              <w:marLeft w:val="0"/>
                                                              <w:marRight w:val="0"/>
                                                              <w:marTop w:val="0"/>
                                                              <w:marBottom w:val="0"/>
                                                              <w:divBdr>
                                                                <w:top w:val="none" w:sz="0" w:space="0" w:color="auto"/>
                                                                <w:left w:val="none" w:sz="0" w:space="0" w:color="auto"/>
                                                                <w:bottom w:val="none" w:sz="0" w:space="0" w:color="auto"/>
                                                                <w:right w:val="none" w:sz="0" w:space="0" w:color="auto"/>
                                                              </w:divBdr>
                                                              <w:divsChild>
                                                                <w:div w:id="20852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3501">
                                                      <w:marLeft w:val="0"/>
                                                      <w:marRight w:val="0"/>
                                                      <w:marTop w:val="0"/>
                                                      <w:marBottom w:val="0"/>
                                                      <w:divBdr>
                                                        <w:top w:val="none" w:sz="0" w:space="0" w:color="auto"/>
                                                        <w:left w:val="none" w:sz="0" w:space="0" w:color="auto"/>
                                                        <w:bottom w:val="none" w:sz="0" w:space="0" w:color="auto"/>
                                                        <w:right w:val="none" w:sz="0" w:space="0" w:color="auto"/>
                                                      </w:divBdr>
                                                      <w:divsChild>
                                                        <w:div w:id="652179058">
                                                          <w:marLeft w:val="0"/>
                                                          <w:marRight w:val="0"/>
                                                          <w:marTop w:val="0"/>
                                                          <w:marBottom w:val="0"/>
                                                          <w:divBdr>
                                                            <w:top w:val="none" w:sz="0" w:space="0" w:color="auto"/>
                                                            <w:left w:val="none" w:sz="0" w:space="0" w:color="auto"/>
                                                            <w:bottom w:val="none" w:sz="0" w:space="0" w:color="auto"/>
                                                            <w:right w:val="none" w:sz="0" w:space="0" w:color="auto"/>
                                                          </w:divBdr>
                                                        </w:div>
                                                        <w:div w:id="838622396">
                                                          <w:marLeft w:val="1275"/>
                                                          <w:marRight w:val="0"/>
                                                          <w:marTop w:val="0"/>
                                                          <w:marBottom w:val="0"/>
                                                          <w:divBdr>
                                                            <w:top w:val="none" w:sz="0" w:space="0" w:color="auto"/>
                                                            <w:left w:val="none" w:sz="0" w:space="0" w:color="auto"/>
                                                            <w:bottom w:val="none" w:sz="0" w:space="0" w:color="auto"/>
                                                            <w:right w:val="none" w:sz="0" w:space="0" w:color="auto"/>
                                                          </w:divBdr>
                                                          <w:divsChild>
                                                            <w:div w:id="1569608050">
                                                              <w:marLeft w:val="0"/>
                                                              <w:marRight w:val="0"/>
                                                              <w:marTop w:val="0"/>
                                                              <w:marBottom w:val="0"/>
                                                              <w:divBdr>
                                                                <w:top w:val="none" w:sz="0" w:space="0" w:color="auto"/>
                                                                <w:left w:val="none" w:sz="0" w:space="0" w:color="auto"/>
                                                                <w:bottom w:val="none" w:sz="0" w:space="0" w:color="auto"/>
                                                                <w:right w:val="none" w:sz="0" w:space="0" w:color="auto"/>
                                                              </w:divBdr>
                                                              <w:divsChild>
                                                                <w:div w:id="28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5904">
                                                      <w:marLeft w:val="0"/>
                                                      <w:marRight w:val="0"/>
                                                      <w:marTop w:val="0"/>
                                                      <w:marBottom w:val="0"/>
                                                      <w:divBdr>
                                                        <w:top w:val="none" w:sz="0" w:space="0" w:color="auto"/>
                                                        <w:left w:val="none" w:sz="0" w:space="0" w:color="auto"/>
                                                        <w:bottom w:val="none" w:sz="0" w:space="0" w:color="auto"/>
                                                        <w:right w:val="none" w:sz="0" w:space="0" w:color="auto"/>
                                                      </w:divBdr>
                                                      <w:divsChild>
                                                        <w:div w:id="1168903463">
                                                          <w:marLeft w:val="1275"/>
                                                          <w:marRight w:val="0"/>
                                                          <w:marTop w:val="0"/>
                                                          <w:marBottom w:val="0"/>
                                                          <w:divBdr>
                                                            <w:top w:val="none" w:sz="0" w:space="0" w:color="auto"/>
                                                            <w:left w:val="none" w:sz="0" w:space="0" w:color="auto"/>
                                                            <w:bottom w:val="none" w:sz="0" w:space="0" w:color="auto"/>
                                                            <w:right w:val="none" w:sz="0" w:space="0" w:color="auto"/>
                                                          </w:divBdr>
                                                          <w:divsChild>
                                                            <w:div w:id="1774322446">
                                                              <w:marLeft w:val="0"/>
                                                              <w:marRight w:val="0"/>
                                                              <w:marTop w:val="0"/>
                                                              <w:marBottom w:val="0"/>
                                                              <w:divBdr>
                                                                <w:top w:val="none" w:sz="0" w:space="0" w:color="auto"/>
                                                                <w:left w:val="none" w:sz="0" w:space="0" w:color="auto"/>
                                                                <w:bottom w:val="none" w:sz="0" w:space="0" w:color="auto"/>
                                                                <w:right w:val="none" w:sz="0" w:space="0" w:color="auto"/>
                                                              </w:divBdr>
                                                              <w:divsChild>
                                                                <w:div w:id="18435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385">
                                                          <w:marLeft w:val="0"/>
                                                          <w:marRight w:val="0"/>
                                                          <w:marTop w:val="0"/>
                                                          <w:marBottom w:val="0"/>
                                                          <w:divBdr>
                                                            <w:top w:val="none" w:sz="0" w:space="0" w:color="auto"/>
                                                            <w:left w:val="none" w:sz="0" w:space="0" w:color="auto"/>
                                                            <w:bottom w:val="none" w:sz="0" w:space="0" w:color="auto"/>
                                                            <w:right w:val="none" w:sz="0" w:space="0" w:color="auto"/>
                                                          </w:divBdr>
                                                        </w:div>
                                                      </w:divsChild>
                                                    </w:div>
                                                    <w:div w:id="992683708">
                                                      <w:marLeft w:val="0"/>
                                                      <w:marRight w:val="0"/>
                                                      <w:marTop w:val="0"/>
                                                      <w:marBottom w:val="0"/>
                                                      <w:divBdr>
                                                        <w:top w:val="none" w:sz="0" w:space="0" w:color="auto"/>
                                                        <w:left w:val="none" w:sz="0" w:space="0" w:color="auto"/>
                                                        <w:bottom w:val="none" w:sz="0" w:space="0" w:color="auto"/>
                                                        <w:right w:val="none" w:sz="0" w:space="0" w:color="auto"/>
                                                      </w:divBdr>
                                                      <w:divsChild>
                                                        <w:div w:id="435566848">
                                                          <w:marLeft w:val="1275"/>
                                                          <w:marRight w:val="0"/>
                                                          <w:marTop w:val="0"/>
                                                          <w:marBottom w:val="0"/>
                                                          <w:divBdr>
                                                            <w:top w:val="none" w:sz="0" w:space="0" w:color="auto"/>
                                                            <w:left w:val="none" w:sz="0" w:space="0" w:color="auto"/>
                                                            <w:bottom w:val="none" w:sz="0" w:space="0" w:color="auto"/>
                                                            <w:right w:val="none" w:sz="0" w:space="0" w:color="auto"/>
                                                          </w:divBdr>
                                                          <w:divsChild>
                                                            <w:div w:id="457534792">
                                                              <w:marLeft w:val="0"/>
                                                              <w:marRight w:val="0"/>
                                                              <w:marTop w:val="0"/>
                                                              <w:marBottom w:val="0"/>
                                                              <w:divBdr>
                                                                <w:top w:val="none" w:sz="0" w:space="0" w:color="auto"/>
                                                                <w:left w:val="none" w:sz="0" w:space="0" w:color="auto"/>
                                                                <w:bottom w:val="none" w:sz="0" w:space="0" w:color="auto"/>
                                                                <w:right w:val="none" w:sz="0" w:space="0" w:color="auto"/>
                                                              </w:divBdr>
                                                              <w:divsChild>
                                                                <w:div w:id="1099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8977">
                                                      <w:marLeft w:val="0"/>
                                                      <w:marRight w:val="0"/>
                                                      <w:marTop w:val="0"/>
                                                      <w:marBottom w:val="0"/>
                                                      <w:divBdr>
                                                        <w:top w:val="none" w:sz="0" w:space="0" w:color="auto"/>
                                                        <w:left w:val="none" w:sz="0" w:space="0" w:color="auto"/>
                                                        <w:bottom w:val="none" w:sz="0" w:space="0" w:color="auto"/>
                                                        <w:right w:val="none" w:sz="0" w:space="0" w:color="auto"/>
                                                      </w:divBdr>
                                                      <w:divsChild>
                                                        <w:div w:id="846560063">
                                                          <w:marLeft w:val="1275"/>
                                                          <w:marRight w:val="0"/>
                                                          <w:marTop w:val="0"/>
                                                          <w:marBottom w:val="0"/>
                                                          <w:divBdr>
                                                            <w:top w:val="none" w:sz="0" w:space="0" w:color="auto"/>
                                                            <w:left w:val="none" w:sz="0" w:space="0" w:color="auto"/>
                                                            <w:bottom w:val="none" w:sz="0" w:space="0" w:color="auto"/>
                                                            <w:right w:val="none" w:sz="0" w:space="0" w:color="auto"/>
                                                          </w:divBdr>
                                                          <w:divsChild>
                                                            <w:div w:id="1644657787">
                                                              <w:marLeft w:val="0"/>
                                                              <w:marRight w:val="0"/>
                                                              <w:marTop w:val="0"/>
                                                              <w:marBottom w:val="0"/>
                                                              <w:divBdr>
                                                                <w:top w:val="none" w:sz="0" w:space="0" w:color="auto"/>
                                                                <w:left w:val="none" w:sz="0" w:space="0" w:color="auto"/>
                                                                <w:bottom w:val="none" w:sz="0" w:space="0" w:color="auto"/>
                                                                <w:right w:val="none" w:sz="0" w:space="0" w:color="auto"/>
                                                              </w:divBdr>
                                                              <w:divsChild>
                                                                <w:div w:id="9805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4379">
                                                          <w:marLeft w:val="0"/>
                                                          <w:marRight w:val="0"/>
                                                          <w:marTop w:val="0"/>
                                                          <w:marBottom w:val="0"/>
                                                          <w:divBdr>
                                                            <w:top w:val="none" w:sz="0" w:space="0" w:color="auto"/>
                                                            <w:left w:val="none" w:sz="0" w:space="0" w:color="auto"/>
                                                            <w:bottom w:val="none" w:sz="0" w:space="0" w:color="auto"/>
                                                            <w:right w:val="none" w:sz="0" w:space="0" w:color="auto"/>
                                                          </w:divBdr>
                                                        </w:div>
                                                      </w:divsChild>
                                                    </w:div>
                                                    <w:div w:id="1184170335">
                                                      <w:marLeft w:val="0"/>
                                                      <w:marRight w:val="0"/>
                                                      <w:marTop w:val="0"/>
                                                      <w:marBottom w:val="0"/>
                                                      <w:divBdr>
                                                        <w:top w:val="none" w:sz="0" w:space="0" w:color="auto"/>
                                                        <w:left w:val="none" w:sz="0" w:space="0" w:color="auto"/>
                                                        <w:bottom w:val="none" w:sz="0" w:space="0" w:color="auto"/>
                                                        <w:right w:val="none" w:sz="0" w:space="0" w:color="auto"/>
                                                      </w:divBdr>
                                                      <w:divsChild>
                                                        <w:div w:id="545915656">
                                                          <w:marLeft w:val="1275"/>
                                                          <w:marRight w:val="0"/>
                                                          <w:marTop w:val="0"/>
                                                          <w:marBottom w:val="0"/>
                                                          <w:divBdr>
                                                            <w:top w:val="none" w:sz="0" w:space="0" w:color="auto"/>
                                                            <w:left w:val="none" w:sz="0" w:space="0" w:color="auto"/>
                                                            <w:bottom w:val="none" w:sz="0" w:space="0" w:color="auto"/>
                                                            <w:right w:val="none" w:sz="0" w:space="0" w:color="auto"/>
                                                          </w:divBdr>
                                                          <w:divsChild>
                                                            <w:div w:id="488057132">
                                                              <w:marLeft w:val="0"/>
                                                              <w:marRight w:val="0"/>
                                                              <w:marTop w:val="0"/>
                                                              <w:marBottom w:val="0"/>
                                                              <w:divBdr>
                                                                <w:top w:val="none" w:sz="0" w:space="0" w:color="auto"/>
                                                                <w:left w:val="none" w:sz="0" w:space="0" w:color="auto"/>
                                                                <w:bottom w:val="none" w:sz="0" w:space="0" w:color="auto"/>
                                                                <w:right w:val="none" w:sz="0" w:space="0" w:color="auto"/>
                                                              </w:divBdr>
                                                              <w:divsChild>
                                                                <w:div w:id="190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0394">
                                                          <w:marLeft w:val="0"/>
                                                          <w:marRight w:val="0"/>
                                                          <w:marTop w:val="0"/>
                                                          <w:marBottom w:val="0"/>
                                                          <w:divBdr>
                                                            <w:top w:val="none" w:sz="0" w:space="0" w:color="auto"/>
                                                            <w:left w:val="none" w:sz="0" w:space="0" w:color="auto"/>
                                                            <w:bottom w:val="none" w:sz="0" w:space="0" w:color="auto"/>
                                                            <w:right w:val="none" w:sz="0" w:space="0" w:color="auto"/>
                                                          </w:divBdr>
                                                        </w:div>
                                                      </w:divsChild>
                                                    </w:div>
                                                    <w:div w:id="1275819601">
                                                      <w:marLeft w:val="0"/>
                                                      <w:marRight w:val="0"/>
                                                      <w:marTop w:val="0"/>
                                                      <w:marBottom w:val="0"/>
                                                      <w:divBdr>
                                                        <w:top w:val="none" w:sz="0" w:space="0" w:color="auto"/>
                                                        <w:left w:val="none" w:sz="0" w:space="0" w:color="auto"/>
                                                        <w:bottom w:val="none" w:sz="0" w:space="0" w:color="auto"/>
                                                        <w:right w:val="none" w:sz="0" w:space="0" w:color="auto"/>
                                                      </w:divBdr>
                                                      <w:divsChild>
                                                        <w:div w:id="244187752">
                                                          <w:marLeft w:val="1275"/>
                                                          <w:marRight w:val="0"/>
                                                          <w:marTop w:val="0"/>
                                                          <w:marBottom w:val="0"/>
                                                          <w:divBdr>
                                                            <w:top w:val="none" w:sz="0" w:space="0" w:color="auto"/>
                                                            <w:left w:val="none" w:sz="0" w:space="0" w:color="auto"/>
                                                            <w:bottom w:val="none" w:sz="0" w:space="0" w:color="auto"/>
                                                            <w:right w:val="none" w:sz="0" w:space="0" w:color="auto"/>
                                                          </w:divBdr>
                                                          <w:divsChild>
                                                            <w:div w:id="2018385859">
                                                              <w:marLeft w:val="0"/>
                                                              <w:marRight w:val="0"/>
                                                              <w:marTop w:val="0"/>
                                                              <w:marBottom w:val="0"/>
                                                              <w:divBdr>
                                                                <w:top w:val="none" w:sz="0" w:space="0" w:color="auto"/>
                                                                <w:left w:val="none" w:sz="0" w:space="0" w:color="auto"/>
                                                                <w:bottom w:val="none" w:sz="0" w:space="0" w:color="auto"/>
                                                                <w:right w:val="none" w:sz="0" w:space="0" w:color="auto"/>
                                                              </w:divBdr>
                                                              <w:divsChild>
                                                                <w:div w:id="11412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9785">
                                                          <w:marLeft w:val="0"/>
                                                          <w:marRight w:val="0"/>
                                                          <w:marTop w:val="0"/>
                                                          <w:marBottom w:val="0"/>
                                                          <w:divBdr>
                                                            <w:top w:val="none" w:sz="0" w:space="0" w:color="auto"/>
                                                            <w:left w:val="none" w:sz="0" w:space="0" w:color="auto"/>
                                                            <w:bottom w:val="none" w:sz="0" w:space="0" w:color="auto"/>
                                                            <w:right w:val="none" w:sz="0" w:space="0" w:color="auto"/>
                                                          </w:divBdr>
                                                        </w:div>
                                                      </w:divsChild>
                                                    </w:div>
                                                    <w:div w:id="1645501236">
                                                      <w:marLeft w:val="0"/>
                                                      <w:marRight w:val="0"/>
                                                      <w:marTop w:val="0"/>
                                                      <w:marBottom w:val="0"/>
                                                      <w:divBdr>
                                                        <w:top w:val="none" w:sz="0" w:space="0" w:color="auto"/>
                                                        <w:left w:val="none" w:sz="0" w:space="0" w:color="auto"/>
                                                        <w:bottom w:val="none" w:sz="0" w:space="0" w:color="auto"/>
                                                        <w:right w:val="none" w:sz="0" w:space="0" w:color="auto"/>
                                                      </w:divBdr>
                                                      <w:divsChild>
                                                        <w:div w:id="1068040475">
                                                          <w:marLeft w:val="1275"/>
                                                          <w:marRight w:val="0"/>
                                                          <w:marTop w:val="0"/>
                                                          <w:marBottom w:val="0"/>
                                                          <w:divBdr>
                                                            <w:top w:val="none" w:sz="0" w:space="0" w:color="auto"/>
                                                            <w:left w:val="none" w:sz="0" w:space="0" w:color="auto"/>
                                                            <w:bottom w:val="none" w:sz="0" w:space="0" w:color="auto"/>
                                                            <w:right w:val="none" w:sz="0" w:space="0" w:color="auto"/>
                                                          </w:divBdr>
                                                          <w:divsChild>
                                                            <w:div w:id="887450907">
                                                              <w:marLeft w:val="0"/>
                                                              <w:marRight w:val="0"/>
                                                              <w:marTop w:val="0"/>
                                                              <w:marBottom w:val="0"/>
                                                              <w:divBdr>
                                                                <w:top w:val="none" w:sz="0" w:space="0" w:color="auto"/>
                                                                <w:left w:val="none" w:sz="0" w:space="0" w:color="auto"/>
                                                                <w:bottom w:val="none" w:sz="0" w:space="0" w:color="auto"/>
                                                                <w:right w:val="none" w:sz="0" w:space="0" w:color="auto"/>
                                                              </w:divBdr>
                                                              <w:divsChild>
                                                                <w:div w:id="12409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9106">
                                                          <w:marLeft w:val="0"/>
                                                          <w:marRight w:val="0"/>
                                                          <w:marTop w:val="0"/>
                                                          <w:marBottom w:val="0"/>
                                                          <w:divBdr>
                                                            <w:top w:val="none" w:sz="0" w:space="0" w:color="auto"/>
                                                            <w:left w:val="none" w:sz="0" w:space="0" w:color="auto"/>
                                                            <w:bottom w:val="none" w:sz="0" w:space="0" w:color="auto"/>
                                                            <w:right w:val="none" w:sz="0" w:space="0" w:color="auto"/>
                                                          </w:divBdr>
                                                        </w:div>
                                                      </w:divsChild>
                                                    </w:div>
                                                    <w:div w:id="1691955889">
                                                      <w:marLeft w:val="0"/>
                                                      <w:marRight w:val="0"/>
                                                      <w:marTop w:val="0"/>
                                                      <w:marBottom w:val="0"/>
                                                      <w:divBdr>
                                                        <w:top w:val="none" w:sz="0" w:space="0" w:color="auto"/>
                                                        <w:left w:val="none" w:sz="0" w:space="0" w:color="auto"/>
                                                        <w:bottom w:val="none" w:sz="0" w:space="0" w:color="auto"/>
                                                        <w:right w:val="none" w:sz="0" w:space="0" w:color="auto"/>
                                                      </w:divBdr>
                                                      <w:divsChild>
                                                        <w:div w:id="230045521">
                                                          <w:marLeft w:val="0"/>
                                                          <w:marRight w:val="0"/>
                                                          <w:marTop w:val="0"/>
                                                          <w:marBottom w:val="0"/>
                                                          <w:divBdr>
                                                            <w:top w:val="none" w:sz="0" w:space="0" w:color="auto"/>
                                                            <w:left w:val="none" w:sz="0" w:space="0" w:color="auto"/>
                                                            <w:bottom w:val="none" w:sz="0" w:space="0" w:color="auto"/>
                                                            <w:right w:val="none" w:sz="0" w:space="0" w:color="auto"/>
                                                          </w:divBdr>
                                                        </w:div>
                                                        <w:div w:id="1447311286">
                                                          <w:marLeft w:val="1275"/>
                                                          <w:marRight w:val="0"/>
                                                          <w:marTop w:val="0"/>
                                                          <w:marBottom w:val="0"/>
                                                          <w:divBdr>
                                                            <w:top w:val="none" w:sz="0" w:space="0" w:color="auto"/>
                                                            <w:left w:val="none" w:sz="0" w:space="0" w:color="auto"/>
                                                            <w:bottom w:val="none" w:sz="0" w:space="0" w:color="auto"/>
                                                            <w:right w:val="none" w:sz="0" w:space="0" w:color="auto"/>
                                                          </w:divBdr>
                                                          <w:divsChild>
                                                            <w:div w:id="404648863">
                                                              <w:marLeft w:val="0"/>
                                                              <w:marRight w:val="0"/>
                                                              <w:marTop w:val="0"/>
                                                              <w:marBottom w:val="0"/>
                                                              <w:divBdr>
                                                                <w:top w:val="none" w:sz="0" w:space="0" w:color="auto"/>
                                                                <w:left w:val="none" w:sz="0" w:space="0" w:color="auto"/>
                                                                <w:bottom w:val="none" w:sz="0" w:space="0" w:color="auto"/>
                                                                <w:right w:val="none" w:sz="0" w:space="0" w:color="auto"/>
                                                              </w:divBdr>
                                                              <w:divsChild>
                                                                <w:div w:id="8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4331">
                                                      <w:marLeft w:val="0"/>
                                                      <w:marRight w:val="0"/>
                                                      <w:marTop w:val="0"/>
                                                      <w:marBottom w:val="0"/>
                                                      <w:divBdr>
                                                        <w:top w:val="none" w:sz="0" w:space="0" w:color="auto"/>
                                                        <w:left w:val="none" w:sz="0" w:space="0" w:color="auto"/>
                                                        <w:bottom w:val="none" w:sz="0" w:space="0" w:color="auto"/>
                                                        <w:right w:val="none" w:sz="0" w:space="0" w:color="auto"/>
                                                      </w:divBdr>
                                                      <w:divsChild>
                                                        <w:div w:id="1264455724">
                                                          <w:marLeft w:val="0"/>
                                                          <w:marRight w:val="0"/>
                                                          <w:marTop w:val="0"/>
                                                          <w:marBottom w:val="0"/>
                                                          <w:divBdr>
                                                            <w:top w:val="none" w:sz="0" w:space="0" w:color="auto"/>
                                                            <w:left w:val="none" w:sz="0" w:space="0" w:color="auto"/>
                                                            <w:bottom w:val="none" w:sz="0" w:space="0" w:color="auto"/>
                                                            <w:right w:val="none" w:sz="0" w:space="0" w:color="auto"/>
                                                          </w:divBdr>
                                                        </w:div>
                                                        <w:div w:id="1617516023">
                                                          <w:marLeft w:val="1275"/>
                                                          <w:marRight w:val="0"/>
                                                          <w:marTop w:val="0"/>
                                                          <w:marBottom w:val="0"/>
                                                          <w:divBdr>
                                                            <w:top w:val="none" w:sz="0" w:space="0" w:color="auto"/>
                                                            <w:left w:val="none" w:sz="0" w:space="0" w:color="auto"/>
                                                            <w:bottom w:val="none" w:sz="0" w:space="0" w:color="auto"/>
                                                            <w:right w:val="none" w:sz="0" w:space="0" w:color="auto"/>
                                                          </w:divBdr>
                                                          <w:divsChild>
                                                            <w:div w:id="1527057061">
                                                              <w:marLeft w:val="0"/>
                                                              <w:marRight w:val="0"/>
                                                              <w:marTop w:val="0"/>
                                                              <w:marBottom w:val="0"/>
                                                              <w:divBdr>
                                                                <w:top w:val="none" w:sz="0" w:space="0" w:color="auto"/>
                                                                <w:left w:val="none" w:sz="0" w:space="0" w:color="auto"/>
                                                                <w:bottom w:val="none" w:sz="0" w:space="0" w:color="auto"/>
                                                                <w:right w:val="none" w:sz="0" w:space="0" w:color="auto"/>
                                                              </w:divBdr>
                                                              <w:divsChild>
                                                                <w:div w:id="1809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2910">
      <w:bodyDiv w:val="1"/>
      <w:marLeft w:val="0"/>
      <w:marRight w:val="0"/>
      <w:marTop w:val="0"/>
      <w:marBottom w:val="0"/>
      <w:divBdr>
        <w:top w:val="none" w:sz="0" w:space="0" w:color="auto"/>
        <w:left w:val="none" w:sz="0" w:space="0" w:color="auto"/>
        <w:bottom w:val="none" w:sz="0" w:space="0" w:color="auto"/>
        <w:right w:val="none" w:sz="0" w:space="0" w:color="auto"/>
      </w:divBdr>
    </w:div>
    <w:div w:id="1091007865">
      <w:bodyDiv w:val="1"/>
      <w:marLeft w:val="0"/>
      <w:marRight w:val="0"/>
      <w:marTop w:val="0"/>
      <w:marBottom w:val="0"/>
      <w:divBdr>
        <w:top w:val="none" w:sz="0" w:space="0" w:color="auto"/>
        <w:left w:val="none" w:sz="0" w:space="0" w:color="auto"/>
        <w:bottom w:val="none" w:sz="0" w:space="0" w:color="auto"/>
        <w:right w:val="none" w:sz="0" w:space="0" w:color="auto"/>
      </w:divBdr>
    </w:div>
    <w:div w:id="1260019228">
      <w:bodyDiv w:val="1"/>
      <w:marLeft w:val="0"/>
      <w:marRight w:val="0"/>
      <w:marTop w:val="0"/>
      <w:marBottom w:val="0"/>
      <w:divBdr>
        <w:top w:val="none" w:sz="0" w:space="0" w:color="auto"/>
        <w:left w:val="none" w:sz="0" w:space="0" w:color="auto"/>
        <w:bottom w:val="none" w:sz="0" w:space="0" w:color="auto"/>
        <w:right w:val="none" w:sz="0" w:space="0" w:color="auto"/>
      </w:divBdr>
    </w:div>
    <w:div w:id="1275988675">
      <w:bodyDiv w:val="1"/>
      <w:marLeft w:val="0"/>
      <w:marRight w:val="0"/>
      <w:marTop w:val="0"/>
      <w:marBottom w:val="0"/>
      <w:divBdr>
        <w:top w:val="none" w:sz="0" w:space="0" w:color="auto"/>
        <w:left w:val="none" w:sz="0" w:space="0" w:color="auto"/>
        <w:bottom w:val="none" w:sz="0" w:space="0" w:color="auto"/>
        <w:right w:val="none" w:sz="0" w:space="0" w:color="auto"/>
      </w:divBdr>
    </w:div>
    <w:div w:id="1289513909">
      <w:bodyDiv w:val="1"/>
      <w:marLeft w:val="0"/>
      <w:marRight w:val="0"/>
      <w:marTop w:val="0"/>
      <w:marBottom w:val="0"/>
      <w:divBdr>
        <w:top w:val="none" w:sz="0" w:space="0" w:color="auto"/>
        <w:left w:val="none" w:sz="0" w:space="0" w:color="auto"/>
        <w:bottom w:val="none" w:sz="0" w:space="0" w:color="auto"/>
        <w:right w:val="none" w:sz="0" w:space="0" w:color="auto"/>
      </w:divBdr>
      <w:divsChild>
        <w:div w:id="822503887">
          <w:marLeft w:val="0"/>
          <w:marRight w:val="0"/>
          <w:marTop w:val="0"/>
          <w:marBottom w:val="0"/>
          <w:divBdr>
            <w:top w:val="none" w:sz="0" w:space="0" w:color="auto"/>
            <w:left w:val="none" w:sz="0" w:space="0" w:color="auto"/>
            <w:bottom w:val="none" w:sz="0" w:space="0" w:color="auto"/>
            <w:right w:val="none" w:sz="0" w:space="0" w:color="auto"/>
          </w:divBdr>
        </w:div>
      </w:divsChild>
    </w:div>
    <w:div w:id="1293629323">
      <w:bodyDiv w:val="1"/>
      <w:marLeft w:val="0"/>
      <w:marRight w:val="0"/>
      <w:marTop w:val="0"/>
      <w:marBottom w:val="0"/>
      <w:divBdr>
        <w:top w:val="none" w:sz="0" w:space="0" w:color="auto"/>
        <w:left w:val="none" w:sz="0" w:space="0" w:color="auto"/>
        <w:bottom w:val="none" w:sz="0" w:space="0" w:color="auto"/>
        <w:right w:val="none" w:sz="0" w:space="0" w:color="auto"/>
      </w:divBdr>
    </w:div>
    <w:div w:id="1337031004">
      <w:bodyDiv w:val="1"/>
      <w:marLeft w:val="0"/>
      <w:marRight w:val="0"/>
      <w:marTop w:val="0"/>
      <w:marBottom w:val="0"/>
      <w:divBdr>
        <w:top w:val="none" w:sz="0" w:space="0" w:color="auto"/>
        <w:left w:val="none" w:sz="0" w:space="0" w:color="auto"/>
        <w:bottom w:val="none" w:sz="0" w:space="0" w:color="auto"/>
        <w:right w:val="none" w:sz="0" w:space="0" w:color="auto"/>
      </w:divBdr>
    </w:div>
    <w:div w:id="1343897773">
      <w:bodyDiv w:val="1"/>
      <w:marLeft w:val="0"/>
      <w:marRight w:val="0"/>
      <w:marTop w:val="0"/>
      <w:marBottom w:val="0"/>
      <w:divBdr>
        <w:top w:val="none" w:sz="0" w:space="0" w:color="auto"/>
        <w:left w:val="none" w:sz="0" w:space="0" w:color="auto"/>
        <w:bottom w:val="none" w:sz="0" w:space="0" w:color="auto"/>
        <w:right w:val="none" w:sz="0" w:space="0" w:color="auto"/>
      </w:divBdr>
    </w:div>
    <w:div w:id="1348411266">
      <w:bodyDiv w:val="1"/>
      <w:marLeft w:val="0"/>
      <w:marRight w:val="0"/>
      <w:marTop w:val="0"/>
      <w:marBottom w:val="0"/>
      <w:divBdr>
        <w:top w:val="none" w:sz="0" w:space="0" w:color="auto"/>
        <w:left w:val="none" w:sz="0" w:space="0" w:color="auto"/>
        <w:bottom w:val="none" w:sz="0" w:space="0" w:color="auto"/>
        <w:right w:val="none" w:sz="0" w:space="0" w:color="auto"/>
      </w:divBdr>
    </w:div>
    <w:div w:id="1380783857">
      <w:bodyDiv w:val="1"/>
      <w:marLeft w:val="0"/>
      <w:marRight w:val="0"/>
      <w:marTop w:val="0"/>
      <w:marBottom w:val="0"/>
      <w:divBdr>
        <w:top w:val="none" w:sz="0" w:space="0" w:color="auto"/>
        <w:left w:val="none" w:sz="0" w:space="0" w:color="auto"/>
        <w:bottom w:val="none" w:sz="0" w:space="0" w:color="auto"/>
        <w:right w:val="none" w:sz="0" w:space="0" w:color="auto"/>
      </w:divBdr>
    </w:div>
    <w:div w:id="1383406999">
      <w:bodyDiv w:val="1"/>
      <w:marLeft w:val="0"/>
      <w:marRight w:val="0"/>
      <w:marTop w:val="0"/>
      <w:marBottom w:val="0"/>
      <w:divBdr>
        <w:top w:val="none" w:sz="0" w:space="0" w:color="auto"/>
        <w:left w:val="none" w:sz="0" w:space="0" w:color="auto"/>
        <w:bottom w:val="none" w:sz="0" w:space="0" w:color="auto"/>
        <w:right w:val="none" w:sz="0" w:space="0" w:color="auto"/>
      </w:divBdr>
    </w:div>
    <w:div w:id="1468932217">
      <w:bodyDiv w:val="1"/>
      <w:marLeft w:val="0"/>
      <w:marRight w:val="0"/>
      <w:marTop w:val="0"/>
      <w:marBottom w:val="0"/>
      <w:divBdr>
        <w:top w:val="none" w:sz="0" w:space="0" w:color="auto"/>
        <w:left w:val="none" w:sz="0" w:space="0" w:color="auto"/>
        <w:bottom w:val="none" w:sz="0" w:space="0" w:color="auto"/>
        <w:right w:val="none" w:sz="0" w:space="0" w:color="auto"/>
      </w:divBdr>
      <w:divsChild>
        <w:div w:id="203299822">
          <w:marLeft w:val="1008"/>
          <w:marRight w:val="0"/>
          <w:marTop w:val="58"/>
          <w:marBottom w:val="120"/>
          <w:divBdr>
            <w:top w:val="none" w:sz="0" w:space="0" w:color="auto"/>
            <w:left w:val="none" w:sz="0" w:space="0" w:color="auto"/>
            <w:bottom w:val="none" w:sz="0" w:space="0" w:color="auto"/>
            <w:right w:val="none" w:sz="0" w:space="0" w:color="auto"/>
          </w:divBdr>
        </w:div>
        <w:div w:id="1484547685">
          <w:marLeft w:val="1008"/>
          <w:marRight w:val="0"/>
          <w:marTop w:val="58"/>
          <w:marBottom w:val="0"/>
          <w:divBdr>
            <w:top w:val="none" w:sz="0" w:space="0" w:color="auto"/>
            <w:left w:val="none" w:sz="0" w:space="0" w:color="auto"/>
            <w:bottom w:val="none" w:sz="0" w:space="0" w:color="auto"/>
            <w:right w:val="none" w:sz="0" w:space="0" w:color="auto"/>
          </w:divBdr>
        </w:div>
      </w:divsChild>
    </w:div>
    <w:div w:id="1579098608">
      <w:bodyDiv w:val="1"/>
      <w:marLeft w:val="0"/>
      <w:marRight w:val="0"/>
      <w:marTop w:val="0"/>
      <w:marBottom w:val="0"/>
      <w:divBdr>
        <w:top w:val="none" w:sz="0" w:space="0" w:color="auto"/>
        <w:left w:val="none" w:sz="0" w:space="0" w:color="auto"/>
        <w:bottom w:val="none" w:sz="0" w:space="0" w:color="auto"/>
        <w:right w:val="none" w:sz="0" w:space="0" w:color="auto"/>
      </w:divBdr>
    </w:div>
    <w:div w:id="1614364621">
      <w:bodyDiv w:val="1"/>
      <w:marLeft w:val="0"/>
      <w:marRight w:val="0"/>
      <w:marTop w:val="0"/>
      <w:marBottom w:val="0"/>
      <w:divBdr>
        <w:top w:val="none" w:sz="0" w:space="0" w:color="auto"/>
        <w:left w:val="none" w:sz="0" w:space="0" w:color="auto"/>
        <w:bottom w:val="none" w:sz="0" w:space="0" w:color="auto"/>
        <w:right w:val="none" w:sz="0" w:space="0" w:color="auto"/>
      </w:divBdr>
    </w:div>
    <w:div w:id="1660964040">
      <w:bodyDiv w:val="1"/>
      <w:marLeft w:val="0"/>
      <w:marRight w:val="0"/>
      <w:marTop w:val="0"/>
      <w:marBottom w:val="0"/>
      <w:divBdr>
        <w:top w:val="none" w:sz="0" w:space="0" w:color="auto"/>
        <w:left w:val="none" w:sz="0" w:space="0" w:color="auto"/>
        <w:bottom w:val="none" w:sz="0" w:space="0" w:color="auto"/>
        <w:right w:val="none" w:sz="0" w:space="0" w:color="auto"/>
      </w:divBdr>
    </w:div>
    <w:div w:id="1685671044">
      <w:bodyDiv w:val="1"/>
      <w:marLeft w:val="0"/>
      <w:marRight w:val="0"/>
      <w:marTop w:val="0"/>
      <w:marBottom w:val="0"/>
      <w:divBdr>
        <w:top w:val="none" w:sz="0" w:space="0" w:color="auto"/>
        <w:left w:val="none" w:sz="0" w:space="0" w:color="auto"/>
        <w:bottom w:val="none" w:sz="0" w:space="0" w:color="auto"/>
        <w:right w:val="none" w:sz="0" w:space="0" w:color="auto"/>
      </w:divBdr>
    </w:div>
    <w:div w:id="1818955577">
      <w:bodyDiv w:val="1"/>
      <w:marLeft w:val="30"/>
      <w:marRight w:val="30"/>
      <w:marTop w:val="30"/>
      <w:marBottom w:val="30"/>
      <w:divBdr>
        <w:top w:val="none" w:sz="0" w:space="0" w:color="auto"/>
        <w:left w:val="none" w:sz="0" w:space="0" w:color="auto"/>
        <w:bottom w:val="none" w:sz="0" w:space="0" w:color="auto"/>
        <w:right w:val="none" w:sz="0" w:space="0" w:color="auto"/>
      </w:divBdr>
      <w:divsChild>
        <w:div w:id="2146310689">
          <w:marLeft w:val="0"/>
          <w:marRight w:val="0"/>
          <w:marTop w:val="0"/>
          <w:marBottom w:val="0"/>
          <w:divBdr>
            <w:top w:val="none" w:sz="0" w:space="0" w:color="auto"/>
            <w:left w:val="none" w:sz="0" w:space="0" w:color="auto"/>
            <w:bottom w:val="none" w:sz="0" w:space="0" w:color="auto"/>
            <w:right w:val="none" w:sz="0" w:space="0" w:color="auto"/>
          </w:divBdr>
          <w:divsChild>
            <w:div w:id="1985622366">
              <w:marLeft w:val="45"/>
              <w:marRight w:val="45"/>
              <w:marTop w:val="45"/>
              <w:marBottom w:val="45"/>
              <w:divBdr>
                <w:top w:val="none" w:sz="0" w:space="0" w:color="auto"/>
                <w:left w:val="none" w:sz="0" w:space="0" w:color="auto"/>
                <w:bottom w:val="none" w:sz="0" w:space="0" w:color="auto"/>
                <w:right w:val="none" w:sz="0" w:space="0" w:color="auto"/>
              </w:divBdr>
              <w:divsChild>
                <w:div w:id="2142381769">
                  <w:marLeft w:val="0"/>
                  <w:marRight w:val="0"/>
                  <w:marTop w:val="0"/>
                  <w:marBottom w:val="0"/>
                  <w:divBdr>
                    <w:top w:val="none" w:sz="0" w:space="0" w:color="auto"/>
                    <w:left w:val="none" w:sz="0" w:space="0" w:color="auto"/>
                    <w:bottom w:val="none" w:sz="0" w:space="0" w:color="auto"/>
                    <w:right w:val="none" w:sz="0" w:space="0" w:color="auto"/>
                  </w:divBdr>
                  <w:divsChild>
                    <w:div w:id="10285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97577">
      <w:bodyDiv w:val="1"/>
      <w:marLeft w:val="0"/>
      <w:marRight w:val="0"/>
      <w:marTop w:val="0"/>
      <w:marBottom w:val="0"/>
      <w:divBdr>
        <w:top w:val="none" w:sz="0" w:space="0" w:color="auto"/>
        <w:left w:val="none" w:sz="0" w:space="0" w:color="auto"/>
        <w:bottom w:val="none" w:sz="0" w:space="0" w:color="auto"/>
        <w:right w:val="none" w:sz="0" w:space="0" w:color="auto"/>
      </w:divBdr>
    </w:div>
    <w:div w:id="2040473338">
      <w:bodyDiv w:val="1"/>
      <w:marLeft w:val="0"/>
      <w:marRight w:val="0"/>
      <w:marTop w:val="0"/>
      <w:marBottom w:val="0"/>
      <w:divBdr>
        <w:top w:val="none" w:sz="0" w:space="0" w:color="auto"/>
        <w:left w:val="none" w:sz="0" w:space="0" w:color="auto"/>
        <w:bottom w:val="none" w:sz="0" w:space="0" w:color="auto"/>
        <w:right w:val="none" w:sz="0" w:space="0" w:color="auto"/>
      </w:divBdr>
      <w:divsChild>
        <w:div w:id="386955159">
          <w:marLeft w:val="0"/>
          <w:marRight w:val="0"/>
          <w:marTop w:val="0"/>
          <w:marBottom w:val="0"/>
          <w:divBdr>
            <w:top w:val="none" w:sz="0" w:space="0" w:color="auto"/>
            <w:left w:val="single" w:sz="6" w:space="0" w:color="BBBBBB"/>
            <w:bottom w:val="single" w:sz="6" w:space="0" w:color="BBBBBB"/>
            <w:right w:val="single" w:sz="6" w:space="0" w:color="BBBBBB"/>
          </w:divBdr>
          <w:divsChild>
            <w:div w:id="663508038">
              <w:marLeft w:val="0"/>
              <w:marRight w:val="0"/>
              <w:marTop w:val="0"/>
              <w:marBottom w:val="0"/>
              <w:divBdr>
                <w:top w:val="none" w:sz="0" w:space="0" w:color="auto"/>
                <w:left w:val="none" w:sz="0" w:space="0" w:color="auto"/>
                <w:bottom w:val="none" w:sz="0" w:space="0" w:color="auto"/>
                <w:right w:val="none" w:sz="0" w:space="0" w:color="auto"/>
              </w:divBdr>
              <w:divsChild>
                <w:div w:id="1803231318">
                  <w:marLeft w:val="0"/>
                  <w:marRight w:val="0"/>
                  <w:marTop w:val="0"/>
                  <w:marBottom w:val="0"/>
                  <w:divBdr>
                    <w:top w:val="none" w:sz="0" w:space="0" w:color="auto"/>
                    <w:left w:val="none" w:sz="0" w:space="0" w:color="auto"/>
                    <w:bottom w:val="none" w:sz="0" w:space="0" w:color="auto"/>
                    <w:right w:val="none" w:sz="0" w:space="0" w:color="auto"/>
                  </w:divBdr>
                  <w:divsChild>
                    <w:div w:id="1811361484">
                      <w:marLeft w:val="0"/>
                      <w:marRight w:val="0"/>
                      <w:marTop w:val="0"/>
                      <w:marBottom w:val="0"/>
                      <w:divBdr>
                        <w:top w:val="none" w:sz="0" w:space="0" w:color="auto"/>
                        <w:left w:val="none" w:sz="0" w:space="0" w:color="auto"/>
                        <w:bottom w:val="none" w:sz="0" w:space="0" w:color="auto"/>
                        <w:right w:val="none" w:sz="0" w:space="0" w:color="auto"/>
                      </w:divBdr>
                      <w:divsChild>
                        <w:div w:id="1285651758">
                          <w:marLeft w:val="0"/>
                          <w:marRight w:val="0"/>
                          <w:marTop w:val="0"/>
                          <w:marBottom w:val="0"/>
                          <w:divBdr>
                            <w:top w:val="none" w:sz="0" w:space="0" w:color="auto"/>
                            <w:left w:val="none" w:sz="0" w:space="0" w:color="auto"/>
                            <w:bottom w:val="none" w:sz="0" w:space="0" w:color="auto"/>
                            <w:right w:val="none" w:sz="0" w:space="0" w:color="auto"/>
                          </w:divBdr>
                          <w:divsChild>
                            <w:div w:id="555121064">
                              <w:marLeft w:val="0"/>
                              <w:marRight w:val="0"/>
                              <w:marTop w:val="0"/>
                              <w:marBottom w:val="0"/>
                              <w:divBdr>
                                <w:top w:val="none" w:sz="0" w:space="0" w:color="auto"/>
                                <w:left w:val="none" w:sz="0" w:space="0" w:color="auto"/>
                                <w:bottom w:val="none" w:sz="0" w:space="0" w:color="auto"/>
                                <w:right w:val="none" w:sz="0" w:space="0" w:color="auto"/>
                              </w:divBdr>
                              <w:divsChild>
                                <w:div w:id="432751775">
                                  <w:marLeft w:val="0"/>
                                  <w:marRight w:val="0"/>
                                  <w:marTop w:val="0"/>
                                  <w:marBottom w:val="0"/>
                                  <w:divBdr>
                                    <w:top w:val="none" w:sz="0" w:space="0" w:color="auto"/>
                                    <w:left w:val="none" w:sz="0" w:space="0" w:color="auto"/>
                                    <w:bottom w:val="none" w:sz="0" w:space="0" w:color="auto"/>
                                    <w:right w:val="none" w:sz="0" w:space="0" w:color="auto"/>
                                  </w:divBdr>
                                  <w:divsChild>
                                    <w:div w:id="538207717">
                                      <w:marLeft w:val="0"/>
                                      <w:marRight w:val="0"/>
                                      <w:marTop w:val="0"/>
                                      <w:marBottom w:val="0"/>
                                      <w:divBdr>
                                        <w:top w:val="none" w:sz="0" w:space="0" w:color="auto"/>
                                        <w:left w:val="none" w:sz="0" w:space="0" w:color="auto"/>
                                        <w:bottom w:val="none" w:sz="0" w:space="0" w:color="auto"/>
                                        <w:right w:val="none" w:sz="0" w:space="0" w:color="auto"/>
                                      </w:divBdr>
                                      <w:divsChild>
                                        <w:div w:id="720979910">
                                          <w:marLeft w:val="1200"/>
                                          <w:marRight w:val="1200"/>
                                          <w:marTop w:val="0"/>
                                          <w:marBottom w:val="0"/>
                                          <w:divBdr>
                                            <w:top w:val="none" w:sz="0" w:space="0" w:color="auto"/>
                                            <w:left w:val="none" w:sz="0" w:space="0" w:color="auto"/>
                                            <w:bottom w:val="none" w:sz="0" w:space="0" w:color="auto"/>
                                            <w:right w:val="none" w:sz="0" w:space="0" w:color="auto"/>
                                          </w:divBdr>
                                          <w:divsChild>
                                            <w:div w:id="934704754">
                                              <w:marLeft w:val="0"/>
                                              <w:marRight w:val="0"/>
                                              <w:marTop w:val="0"/>
                                              <w:marBottom w:val="0"/>
                                              <w:divBdr>
                                                <w:top w:val="none" w:sz="0" w:space="0" w:color="auto"/>
                                                <w:left w:val="none" w:sz="0" w:space="0" w:color="auto"/>
                                                <w:bottom w:val="none" w:sz="0" w:space="0" w:color="auto"/>
                                                <w:right w:val="none" w:sz="0" w:space="0" w:color="auto"/>
                                              </w:divBdr>
                                              <w:divsChild>
                                                <w:div w:id="588127225">
                                                  <w:marLeft w:val="0"/>
                                                  <w:marRight w:val="0"/>
                                                  <w:marTop w:val="0"/>
                                                  <w:marBottom w:val="0"/>
                                                  <w:divBdr>
                                                    <w:top w:val="none" w:sz="0" w:space="0" w:color="auto"/>
                                                    <w:left w:val="none" w:sz="0" w:space="0" w:color="auto"/>
                                                    <w:bottom w:val="none" w:sz="0" w:space="0" w:color="auto"/>
                                                    <w:right w:val="none" w:sz="0" w:space="0" w:color="auto"/>
                                                  </w:divBdr>
                                                  <w:divsChild>
                                                    <w:div w:id="214434493">
                                                      <w:marLeft w:val="0"/>
                                                      <w:marRight w:val="0"/>
                                                      <w:marTop w:val="0"/>
                                                      <w:marBottom w:val="0"/>
                                                      <w:divBdr>
                                                        <w:top w:val="none" w:sz="0" w:space="0" w:color="auto"/>
                                                        <w:left w:val="none" w:sz="0" w:space="0" w:color="auto"/>
                                                        <w:bottom w:val="none" w:sz="0" w:space="0" w:color="auto"/>
                                                        <w:right w:val="none" w:sz="0" w:space="0" w:color="auto"/>
                                                      </w:divBdr>
                                                      <w:divsChild>
                                                        <w:div w:id="660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296801">
      <w:bodyDiv w:val="1"/>
      <w:marLeft w:val="0"/>
      <w:marRight w:val="0"/>
      <w:marTop w:val="0"/>
      <w:marBottom w:val="0"/>
      <w:divBdr>
        <w:top w:val="none" w:sz="0" w:space="0" w:color="auto"/>
        <w:left w:val="none" w:sz="0" w:space="0" w:color="auto"/>
        <w:bottom w:val="none" w:sz="0" w:space="0" w:color="auto"/>
        <w:right w:val="none" w:sz="0" w:space="0" w:color="auto"/>
      </w:divBdr>
    </w:div>
    <w:div w:id="20963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9420</Words>
  <Characters>52711</Characters>
  <Application>Microsoft Office Word</Application>
  <DocSecurity>0</DocSecurity>
  <Lines>770</Lines>
  <Paragraphs>179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62258</CharactersWithSpaces>
  <SharedDoc>false</SharedDoc>
  <HyperlinkBase> </HyperlinkBase>
  <HLinks>
    <vt:vector size="30" baseType="variant">
      <vt:variant>
        <vt:i4>7208982</vt:i4>
      </vt:variant>
      <vt:variant>
        <vt:i4>12</vt:i4>
      </vt:variant>
      <vt:variant>
        <vt:i4>0</vt:i4>
      </vt:variant>
      <vt:variant>
        <vt:i4>5</vt:i4>
      </vt:variant>
      <vt:variant>
        <vt:lpwstr>http://web2.westlaw.com/find/default.wl?mt=12&amp;db=0004493&amp;tc=-1&amp;rp=%2ffind%2fdefault.wl&amp;findtype=Y&amp;ordoc=2025471271&amp;serialnum=2000526112&amp;vr=2.0&amp;fn=_top&amp;sv=Split&amp;tf=-1&amp;pbc=F931ECE8&amp;rs=WLW12.04</vt:lpwstr>
      </vt:variant>
      <vt:variant>
        <vt:lpwstr/>
      </vt:variant>
      <vt:variant>
        <vt:i4>2228311</vt:i4>
      </vt:variant>
      <vt:variant>
        <vt:i4>9</vt:i4>
      </vt:variant>
      <vt:variant>
        <vt:i4>0</vt:i4>
      </vt:variant>
      <vt:variant>
        <vt:i4>5</vt:i4>
      </vt:variant>
      <vt:variant>
        <vt:lpwstr>http://web2.westlaw.com/find/default.wl?tf=-1&amp;rs=WLW10.05&amp;referencepositiontype=S&amp;serialnum=1997265080&amp;fn=_top&amp;sv=Split&amp;referenceposition=23896&amp;pbc=66821A55&amp;tc=-1&amp;ordoc=2017442660&amp;findtype=Y&amp;db=4493&amp;vr=2.0&amp;rp=%2ffind%2fdefault.wl&amp;mt=7</vt:lpwstr>
      </vt:variant>
      <vt:variant>
        <vt:lpwstr/>
      </vt:variant>
      <vt:variant>
        <vt:i4>5373994</vt:i4>
      </vt:variant>
      <vt:variant>
        <vt:i4>6</vt:i4>
      </vt:variant>
      <vt:variant>
        <vt:i4>0</vt:i4>
      </vt:variant>
      <vt:variant>
        <vt:i4>5</vt:i4>
      </vt:variant>
      <vt:variant>
        <vt:lpwstr>http://web2.westlaw.com/find/default.wl?tf=-1&amp;rs=WLW10.05&amp;referencepositiontype=T&amp;referenceposition=SP%3b6ad60000aeea7&amp;fn=_top&amp;sv=Split&amp;docname=47USCAS310&amp;tc=-1&amp;pbc=66821A55&amp;ordoc=2017442660&amp;findtype=L&amp;db=1000546&amp;vr=2.0&amp;rp=%2ffind%2fdefault.wl&amp;mt=7</vt:lpwstr>
      </vt:variant>
      <vt:variant>
        <vt:lpwstr/>
      </vt:variant>
      <vt:variant>
        <vt:i4>5373994</vt:i4>
      </vt:variant>
      <vt:variant>
        <vt:i4>3</vt:i4>
      </vt:variant>
      <vt:variant>
        <vt:i4>0</vt:i4>
      </vt:variant>
      <vt:variant>
        <vt:i4>5</vt:i4>
      </vt:variant>
      <vt:variant>
        <vt:lpwstr>http://web2.westlaw.com/find/default.wl?tf=-1&amp;rs=WLW10.05&amp;referencepositiontype=T&amp;referenceposition=SP%3b6ad60000aeea7&amp;fn=_top&amp;sv=Split&amp;docname=47USCAS310&amp;tc=-1&amp;pbc=66821A55&amp;ordoc=2017442660&amp;findtype=L&amp;db=1000546&amp;vr=2.0&amp;rp=%2ffind%2fdefault.wl&amp;mt=7</vt:lpwstr>
      </vt:variant>
      <vt:variant>
        <vt:lpwstr/>
      </vt:variant>
      <vt:variant>
        <vt:i4>2490473</vt:i4>
      </vt:variant>
      <vt:variant>
        <vt:i4>0</vt:i4>
      </vt:variant>
      <vt:variant>
        <vt:i4>0</vt:i4>
      </vt:variant>
      <vt:variant>
        <vt:i4>5</vt:i4>
      </vt:variant>
      <vt:variant>
        <vt:lpwstr>http://www.westlaw.com/Find/Default.wl?rs=dfa1.0&amp;vr=2.0&amp;DB=1016&amp;FindType=Y&amp;SerialNum=2010660902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2013-09-03T20:35:00Z</cp:lastPrinted>
  <dcterms:created xsi:type="dcterms:W3CDTF">2013-09-04T19:30:00Z</dcterms:created>
  <dcterms:modified xsi:type="dcterms:W3CDTF">2013-09-04T19:30:00Z</dcterms:modified>
  <cp:category> </cp:category>
  <cp:contentStatus> </cp:contentStatus>
</cp:coreProperties>
</file>